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327" w:type="dxa"/>
        <w:tblLook w:val="04A0" w:firstRow="1" w:lastRow="0" w:firstColumn="1" w:lastColumn="0" w:noHBand="0" w:noVBand="1"/>
      </w:tblPr>
      <w:tblGrid>
        <w:gridCol w:w="1430"/>
        <w:gridCol w:w="1710"/>
        <w:gridCol w:w="737"/>
        <w:gridCol w:w="1829"/>
        <w:gridCol w:w="8621"/>
      </w:tblGrid>
      <w:tr w:rsidR="00882C07" w:rsidRPr="00266CBA" w14:paraId="2819AEF6" w14:textId="77777777" w:rsidTr="00021D3C">
        <w:tc>
          <w:tcPr>
            <w:tcW w:w="1402" w:type="dxa"/>
            <w:vAlign w:val="center"/>
          </w:tcPr>
          <w:p w14:paraId="737902B5" w14:textId="7165CD03" w:rsidR="00882C07" w:rsidRPr="00266CBA" w:rsidRDefault="00882C07" w:rsidP="008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připomínky</w:t>
            </w:r>
          </w:p>
        </w:tc>
        <w:tc>
          <w:tcPr>
            <w:tcW w:w="1708" w:type="dxa"/>
            <w:vAlign w:val="center"/>
          </w:tcPr>
          <w:p w14:paraId="0469C49B" w14:textId="43E77A5C" w:rsidR="00882C07" w:rsidRPr="00266CBA" w:rsidRDefault="00882C07" w:rsidP="008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Připomínkové místo (kdo připomínkuje)</w:t>
            </w:r>
          </w:p>
        </w:tc>
        <w:tc>
          <w:tcPr>
            <w:tcW w:w="656" w:type="dxa"/>
            <w:vAlign w:val="center"/>
          </w:tcPr>
          <w:p w14:paraId="68A822AE" w14:textId="0D60BA22" w:rsidR="00882C07" w:rsidRPr="00266CBA" w:rsidRDefault="00882C07" w:rsidP="008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D/Z</w:t>
            </w:r>
            <w:r w:rsidR="00182BAE" w:rsidRPr="0026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837" w:type="dxa"/>
            <w:vAlign w:val="center"/>
          </w:tcPr>
          <w:p w14:paraId="15476C24" w14:textId="16F7070D" w:rsidR="00882C07" w:rsidRPr="00266CBA" w:rsidRDefault="00882C07" w:rsidP="008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Ustanovení návrhu </w:t>
            </w:r>
            <w:r w:rsidRPr="0026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(§, odst., písm.)</w:t>
            </w:r>
          </w:p>
        </w:tc>
        <w:tc>
          <w:tcPr>
            <w:tcW w:w="8724" w:type="dxa"/>
            <w:vAlign w:val="center"/>
          </w:tcPr>
          <w:p w14:paraId="4CB6CE5F" w14:textId="77777777" w:rsidR="000810CE" w:rsidRPr="00266CBA" w:rsidRDefault="00882C07" w:rsidP="000810CE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Připomínka včetně </w:t>
            </w:r>
            <w:r w:rsidRPr="0026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odůvodnění</w:t>
            </w:r>
            <w:r w:rsidR="000810CE" w:rsidRPr="0026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</w:p>
          <w:p w14:paraId="1C17F412" w14:textId="77777777" w:rsidR="000810CE" w:rsidRPr="00266CBA" w:rsidRDefault="000810CE" w:rsidP="000810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Připomínky k mezirezortnímu připomínkovému </w:t>
            </w:r>
            <w:proofErr w:type="gramStart"/>
            <w:r w:rsidRPr="0026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- Návrh</w:t>
            </w:r>
            <w:proofErr w:type="gramEnd"/>
            <w:r w:rsidRPr="0026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zákona, kterým se mění zákon č. 48/1997 Sb., o veřejném zdravotním pojištění a o změně a doplnění některých souvisejících zákonů, ve znění pozdějších předpisů, a další související zákony.</w:t>
            </w:r>
          </w:p>
          <w:p w14:paraId="700C6F60" w14:textId="6203F40F" w:rsidR="00882C07" w:rsidRPr="00266CBA" w:rsidRDefault="00882C07" w:rsidP="0088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07" w:rsidRPr="00266CBA" w14:paraId="5C9521BF" w14:textId="77777777" w:rsidTr="00021D3C">
        <w:tc>
          <w:tcPr>
            <w:tcW w:w="1402" w:type="dxa"/>
          </w:tcPr>
          <w:p w14:paraId="3B52601D" w14:textId="77777777" w:rsidR="00E53D80" w:rsidRPr="00266CBA" w:rsidRDefault="00E5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DB38" w14:textId="2590B3E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8" w:type="dxa"/>
          </w:tcPr>
          <w:p w14:paraId="3BBCE636" w14:textId="77777777" w:rsidR="00E53D80" w:rsidRPr="00266CBA" w:rsidRDefault="00E5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BFAF7" w14:textId="6C956E7F" w:rsidR="00882C07" w:rsidRPr="00266CBA" w:rsidRDefault="00E53D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NRZP ČR </w:t>
            </w:r>
          </w:p>
        </w:tc>
        <w:tc>
          <w:tcPr>
            <w:tcW w:w="656" w:type="dxa"/>
          </w:tcPr>
          <w:p w14:paraId="7F6E1FE9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7A6E0" w14:textId="11F5C33D" w:rsidR="00E53D80" w:rsidRPr="00266CBA" w:rsidRDefault="00E53D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</w:t>
            </w:r>
          </w:p>
        </w:tc>
        <w:tc>
          <w:tcPr>
            <w:tcW w:w="1837" w:type="dxa"/>
          </w:tcPr>
          <w:p w14:paraId="5FFF2033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9D4B6" w14:textId="0D1FDFC2" w:rsidR="00E53D80" w:rsidRPr="00266CBA" w:rsidRDefault="00672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 bodu č. 259 - </w:t>
            </w:r>
            <w:r w:rsidR="00E53D80" w:rsidRPr="0026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55, odst. 1)</w:t>
            </w:r>
          </w:p>
        </w:tc>
        <w:tc>
          <w:tcPr>
            <w:tcW w:w="8724" w:type="dxa"/>
          </w:tcPr>
          <w:p w14:paraId="4784FE98" w14:textId="34657FAD" w:rsidR="00E53D80" w:rsidRPr="00266CBA" w:rsidRDefault="00CF1658" w:rsidP="00E53D80">
            <w:pPr>
              <w:spacing w:after="240" w:line="300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Původní text:</w:t>
            </w:r>
            <w:r w:rsidR="008916D7" w:rsidRPr="00266C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184C118A" w14:textId="19792064" w:rsidR="00CF1658" w:rsidRPr="00266CBA" w:rsidRDefault="00E53D80" w:rsidP="00E53D80">
            <w:pPr>
              <w:pStyle w:val="Bezmezer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  <w:r w:rsidRPr="00266CBA">
              <w:rPr>
                <w:rFonts w:ascii="Times New Roman" w:hAnsi="Times New Roman"/>
                <w:i/>
                <w:iCs/>
                <w:sz w:val="24"/>
              </w:rPr>
              <w:t xml:space="preserve">(1) Příslušná zdravotní pojišťovna má vůči třetí osobě právo na náhradu těch nákladů na hrazené služby, které vynaložila v důsledku zaviněného protiprávního jednání této třetí osoby vůči pojištěnci. </w:t>
            </w:r>
            <w:r w:rsidRPr="00266CBA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Příslušná zdravotní pojišťovna má vůči svému pojištěnci právo na náhradu nákladů na jemu poskytnuté hrazené služby, které vynaložila v důsledku jeho zaviněného protiprávního jednání. </w:t>
            </w:r>
            <w:r w:rsidRPr="00266CBA">
              <w:rPr>
                <w:rFonts w:ascii="Times New Roman" w:hAnsi="Times New Roman"/>
                <w:i/>
                <w:iCs/>
                <w:sz w:val="24"/>
              </w:rPr>
              <w:t>Náhrada podle věty první</w:t>
            </w:r>
            <w:r w:rsidRPr="00266CBA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a druhé</w:t>
            </w:r>
            <w:r w:rsidRPr="00266CBA">
              <w:rPr>
                <w:rFonts w:ascii="Times New Roman" w:hAnsi="Times New Roman"/>
                <w:i/>
                <w:iCs/>
                <w:sz w:val="24"/>
              </w:rPr>
              <w:t xml:space="preserve"> je příjmem fondů zdravotní pojišťovny.</w:t>
            </w:r>
          </w:p>
          <w:p w14:paraId="3949AA2F" w14:textId="77777777" w:rsidR="00CF1658" w:rsidRPr="00266CBA" w:rsidRDefault="00CF1658" w:rsidP="00CF1658">
            <w:pPr>
              <w:pStyle w:val="Bezmezer"/>
              <w:rPr>
                <w:rFonts w:ascii="Times New Roman" w:hAnsi="Times New Roman"/>
                <w:b/>
                <w:color w:val="auto"/>
                <w:sz w:val="24"/>
                <w:u w:val="single"/>
              </w:rPr>
            </w:pPr>
          </w:p>
          <w:p w14:paraId="5F16C45C" w14:textId="7A9D0454" w:rsidR="008916D7" w:rsidRPr="00266CBA" w:rsidRDefault="00CF1658" w:rsidP="008916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Návrh změny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A1298C0" w14:textId="1E4336CE" w:rsidR="00CF1658" w:rsidRPr="00266CBA" w:rsidRDefault="00BC50A2" w:rsidP="00CF165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(1) Příslušná zdravotní pojišťovna má vůči třetí osobě právo na náhradu těch nákladů na hrazené služby, které vynaložila v důsledku zaviněného protiprávního jednání této třetí osoby vůči pojištěnci. </w:t>
            </w:r>
            <w:r w:rsidRPr="00266C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Příslušná zdravotní pojišťovna má vůči svému pojištěnci právo na náhradu nákladů na jemu poskytnuté hrazené služby, které vynaložila v důsledku jeho zaviněného </w:t>
            </w:r>
            <w:r w:rsidRPr="00266C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úmyslného</w:t>
            </w:r>
            <w:r w:rsidRPr="00266C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protiprávního jednání, </w:t>
            </w:r>
            <w:r w:rsidRPr="00266C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nebo jeho zaviněného protiprávního jednání způsobeného pod vlivem návykových látek které si sám přivodil</w:t>
            </w:r>
            <w:r w:rsidRPr="00266C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356430" w:rsidRPr="00266C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66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Náhrada podle věty první</w:t>
            </w:r>
            <w:r w:rsidRPr="00266C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 druhé</w:t>
            </w:r>
            <w:r w:rsidRPr="00266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je příjmem fondů zdravotní pojišťovny.</w:t>
            </w:r>
          </w:p>
          <w:p w14:paraId="167AE920" w14:textId="77777777" w:rsidR="00CF1658" w:rsidRPr="00266CBA" w:rsidRDefault="00CF1658" w:rsidP="00CF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C7AA8" w14:textId="77777777" w:rsidR="00882C07" w:rsidRPr="00266CBA" w:rsidRDefault="00CF1658" w:rsidP="0068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Zdůvodnění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5B45F73" w14:textId="20410758" w:rsidR="00546431" w:rsidRPr="00266CBA" w:rsidRDefault="00BC50A2" w:rsidP="0068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Původní návrh považuje NRZP ČR za </w:t>
            </w:r>
            <w:r w:rsidRPr="00266C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velmi nebezpečný</w:t>
            </w:r>
            <w:r w:rsidR="00546431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 a takový, který by pojišťovnám umožňoval vyžadovat na svých pojištěncích úhradu nákladů léčení ve velkém množství a širokém spektru případů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. Velmi snadno </w:t>
            </w:r>
            <w:r w:rsidR="00546431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se totiž m</w:t>
            </w:r>
            <w:r w:rsidR="00546431" w:rsidRPr="00266CBA">
              <w:rPr>
                <w:rFonts w:ascii="Times New Roman" w:hAnsi="Times New Roman" w:cs="Times New Roman"/>
                <w:sz w:val="24"/>
                <w:szCs w:val="24"/>
              </w:rPr>
              <w:t>ohlo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 stát, že by </w:t>
            </w:r>
            <w:r w:rsidR="00546431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obyčejný 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účastník dopravní nehody neměl hrazeno léčené svého úrazu vzniklého touto dopravní nehodou a svého velmi vážného poškození zdraví. </w:t>
            </w:r>
            <w:r w:rsidR="00546431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V této situaci by v mnoha případech byl pro poškozené takovýto přístup až zcela likvidační. 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Stačí, aby poškozený účastník dopravní nehody, který nehodu zavinil, při ní způsobil nějaký dopravní 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přestupek (protiprávní jednání) stačí třeba vyšší než povolená rychlost</w:t>
            </w:r>
            <w:r w:rsidR="00546431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 nutná pro dokončení předjíždění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431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náhodná 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jízda jednosměrkou </w:t>
            </w:r>
            <w:r w:rsidR="00546431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způsobená omylem 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(typické pro velká a ucpaná města), předjíždění </w:t>
            </w:r>
            <w:r w:rsidR="00546431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zčásti 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na nedovoleném úseku, nebo jízda na </w:t>
            </w:r>
            <w:proofErr w:type="gramStart"/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červenou</w:t>
            </w:r>
            <w:proofErr w:type="gramEnd"/>
            <w:r w:rsidR="007E21A2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 když nestihl včas před semaforem zastavit</w:t>
            </w:r>
            <w:r w:rsidR="00546431" w:rsidRPr="00266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 apod. </w:t>
            </w:r>
            <w:r w:rsidR="00546431" w:rsidRPr="00266CBA">
              <w:rPr>
                <w:rFonts w:ascii="Times New Roman" w:hAnsi="Times New Roman" w:cs="Times New Roman"/>
                <w:sz w:val="24"/>
                <w:szCs w:val="24"/>
              </w:rPr>
              <w:t>Je zřejmé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, že většina dopravních nehod je způsobena zároveň při nějakém dopravním přestupku. </w:t>
            </w:r>
            <w:r w:rsidR="00546431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Často způsobeném pouhou chybou řidiče. </w:t>
            </w:r>
          </w:p>
          <w:p w14:paraId="7BB96EC9" w14:textId="77777777" w:rsidR="00BC50A2" w:rsidRPr="00266CBA" w:rsidRDefault="00546431" w:rsidP="0068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50A2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opravní přestupky jsou 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však pouze nejčastější příčinou</w:t>
            </w:r>
            <w:r w:rsidR="00BC50A2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. Poškození zdraví zaviněným protiprávním jednáním však může být mnohem častější, a i v jiných oblastech. Například třeba i rybolov bez rybářského lístku, lyžování 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zčásti </w:t>
            </w:r>
            <w:r w:rsidR="00BC50A2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v momentálně uzavřeném horském úseku, koupání v místech, která k tomu nejsou </w:t>
            </w:r>
            <w:proofErr w:type="gramStart"/>
            <w:r w:rsidR="00BC50A2" w:rsidRPr="00266CBA">
              <w:rPr>
                <w:rFonts w:ascii="Times New Roman" w:hAnsi="Times New Roman" w:cs="Times New Roman"/>
                <w:sz w:val="24"/>
                <w:szCs w:val="24"/>
              </w:rPr>
              <w:t>určena,</w:t>
            </w:r>
            <w:proofErr w:type="gramEnd"/>
            <w:r w:rsidR="00BC50A2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  <w:r w:rsidR="000E2883"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 Ve většině těchto případů nelze spravedlivě požadovat na poškozeném pojištěnci, aby si uhradil velmi vysoké náklady léčení, které si sám způsobil svou vlastní chybou.</w:t>
            </w:r>
          </w:p>
          <w:p w14:paraId="33123557" w14:textId="6F62AD91" w:rsidR="000E2883" w:rsidRPr="00266CBA" w:rsidRDefault="000E2883" w:rsidP="0068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Navrhujeme tedy takovou úpravu, aby se tato možnost vztahovala </w:t>
            </w:r>
            <w:r w:rsidRPr="0026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pouze na úmyslné 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 xml:space="preserve">protiprávní jednání a na protiprávní jednání způsobené </w:t>
            </w:r>
            <w:r w:rsidRPr="0026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 vlivem návykových látek, které si poškozený pojištěnec sám přivodil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C07" w:rsidRPr="00266CBA" w14:paraId="5C4F31D1" w14:textId="77777777" w:rsidTr="00021D3C">
        <w:tc>
          <w:tcPr>
            <w:tcW w:w="1402" w:type="dxa"/>
          </w:tcPr>
          <w:p w14:paraId="603C7FBD" w14:textId="16301F10" w:rsidR="00882C07" w:rsidRPr="00266CBA" w:rsidRDefault="009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708" w:type="dxa"/>
          </w:tcPr>
          <w:p w14:paraId="0BFD7052" w14:textId="6BBA52C0" w:rsidR="00882C07" w:rsidRPr="00266CBA" w:rsidRDefault="0008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NRZP ČR</w:t>
            </w:r>
          </w:p>
        </w:tc>
        <w:tc>
          <w:tcPr>
            <w:tcW w:w="656" w:type="dxa"/>
          </w:tcPr>
          <w:p w14:paraId="14CABA88" w14:textId="7EDD9078" w:rsidR="00882C07" w:rsidRPr="00266CBA" w:rsidRDefault="0008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837" w:type="dxa"/>
          </w:tcPr>
          <w:p w14:paraId="77538536" w14:textId="77777777" w:rsidR="000810CE" w:rsidRPr="00266CBA" w:rsidRDefault="000810CE" w:rsidP="00081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Příloha č. 6 k zákonu č. 48/1997 Sb., sk.č.11 - název úhradové skupiny</w:t>
            </w:r>
          </w:p>
          <w:p w14:paraId="4062A47C" w14:textId="14FC4F2C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14:paraId="45E8B2D4" w14:textId="77777777" w:rsidR="000810CE" w:rsidRPr="00266CBA" w:rsidRDefault="000810CE" w:rsidP="0008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Původní text: </w:t>
            </w:r>
            <w:r w:rsidRPr="00266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Sk.č.11: </w:t>
            </w: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Speciální enterální výživa bez bílkovin pro kojence a malé děti</w:t>
            </w:r>
          </w:p>
          <w:p w14:paraId="0B21579E" w14:textId="77777777" w:rsidR="000810CE" w:rsidRPr="00266CBA" w:rsidRDefault="000810CE" w:rsidP="000810CE">
            <w:pPr>
              <w:pStyle w:val="Bezmezer"/>
              <w:rPr>
                <w:rFonts w:ascii="Times New Roman" w:hAnsi="Times New Roman"/>
                <w:bCs/>
                <w:color w:val="auto"/>
                <w:sz w:val="24"/>
                <w:u w:val="single"/>
              </w:rPr>
            </w:pPr>
          </w:p>
          <w:p w14:paraId="192B11C2" w14:textId="77777777" w:rsidR="000810CE" w:rsidRPr="00266CBA" w:rsidRDefault="000810CE" w:rsidP="0008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Návrh změny</w:t>
            </w:r>
            <w:r w:rsidRPr="00266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Sk.č.11: </w:t>
            </w:r>
            <w:r w:rsidRPr="0026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Speciální výživa bez bílkovin nebo se sníženým obsahem bílkovin </w:t>
            </w:r>
          </w:p>
          <w:p w14:paraId="2454EC49" w14:textId="77777777" w:rsidR="000810CE" w:rsidRPr="00266CBA" w:rsidRDefault="000810CE" w:rsidP="000810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F977D2" w14:textId="77777777" w:rsidR="000810CE" w:rsidRPr="00266CBA" w:rsidRDefault="000810CE" w:rsidP="000810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Zdůvodnění</w:t>
            </w:r>
            <w:r w:rsidRPr="00266CBA">
              <w:rPr>
                <w:rFonts w:ascii="Times New Roman" w:hAnsi="Times New Roman" w:cs="Times New Roman"/>
                <w:bCs/>
                <w:sz w:val="24"/>
                <w:szCs w:val="24"/>
              </w:rPr>
              <w:t>: Administrativní změna, oprava chybného pojmenování skupiny, zpřesnění názvu s neutrálním dopadem do rozpočtu.</w:t>
            </w:r>
          </w:p>
          <w:p w14:paraId="234D01EA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07" w:rsidRPr="00266CBA" w14:paraId="7FD9AF06" w14:textId="77777777" w:rsidTr="00021D3C">
        <w:trPr>
          <w:trHeight w:val="992"/>
        </w:trPr>
        <w:tc>
          <w:tcPr>
            <w:tcW w:w="1402" w:type="dxa"/>
          </w:tcPr>
          <w:p w14:paraId="65370786" w14:textId="474A652A" w:rsidR="00882C07" w:rsidRPr="00266CBA" w:rsidRDefault="00AF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8" w:type="dxa"/>
          </w:tcPr>
          <w:p w14:paraId="0B288F67" w14:textId="28E0FE5F" w:rsidR="00882C07" w:rsidRPr="00266CBA" w:rsidRDefault="00AF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NRZP ČR</w:t>
            </w:r>
          </w:p>
        </w:tc>
        <w:tc>
          <w:tcPr>
            <w:tcW w:w="656" w:type="dxa"/>
          </w:tcPr>
          <w:p w14:paraId="2E120F3A" w14:textId="5A8B529C" w:rsidR="00882C07" w:rsidRPr="00266CBA" w:rsidRDefault="00AF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837" w:type="dxa"/>
          </w:tcPr>
          <w:p w14:paraId="5EDBA6A6" w14:textId="6D9B763D" w:rsidR="00AF76C6" w:rsidRPr="00266CBA" w:rsidRDefault="00AF76C6" w:rsidP="00AF7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§ </w:t>
            </w:r>
            <w:proofErr w:type="gramStart"/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7a</w:t>
            </w:r>
            <w:proofErr w:type="gramEnd"/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odstavec (2), písm. b). </w:t>
            </w:r>
          </w:p>
          <w:p w14:paraId="6C8049E9" w14:textId="77777777" w:rsidR="00AF76C6" w:rsidRPr="00266CBA" w:rsidRDefault="00AF76C6" w:rsidP="00AF76C6">
            <w:pPr>
              <w:spacing w:before="100" w:beforeAutospacing="1" w:after="100" w:afterAutospacing="1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5DEEF61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14:paraId="08593B9A" w14:textId="3C050ABB" w:rsidR="007E2BC4" w:rsidRPr="00266CBA" w:rsidRDefault="007E2BC4" w:rsidP="00AF7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26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Změna zákona o Všeobecné zdravotní pojišťovně ČR.</w:t>
            </w:r>
          </w:p>
          <w:p w14:paraId="1600D8C3" w14:textId="426A700B" w:rsidR="00AF76C6" w:rsidRPr="00266CBA" w:rsidRDefault="00AF76C6" w:rsidP="00AF7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Původní text.</w:t>
            </w:r>
          </w:p>
          <w:p w14:paraId="39887866" w14:textId="77777777" w:rsidR="00AF76C6" w:rsidRPr="00266CBA" w:rsidRDefault="00AF76C6" w:rsidP="00AF7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CB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  <w:t>„podporu činnosti pacientských organizací zapsaných v seznamu podle zákona o zdravotních službách s tím, že úhrnná výše příspěvku poskytovaného pacientským organizacím nepřekročí 5 % z celkových zdrojů fondu obecně prospěšných činností Pojišťovny podle odstavce 1,“</w:t>
            </w:r>
          </w:p>
          <w:p w14:paraId="437FA670" w14:textId="74BC598D" w:rsidR="00AF76C6" w:rsidRPr="00266CBA" w:rsidRDefault="00AF76C6" w:rsidP="00AF7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lastRenderedPageBreak/>
              <w:t>Návrh změny</w:t>
            </w:r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</w:p>
          <w:p w14:paraId="1320F82C" w14:textId="77777777" w:rsidR="00AF76C6" w:rsidRPr="00266CBA" w:rsidRDefault="00AF76C6" w:rsidP="00AF7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„podporu činnosti pacientských organizací zapsaných v Seznamu podle zákona o zdravotních službách s tím, že </w:t>
            </w:r>
            <w:proofErr w:type="gramStart"/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alokovaný  příspěvek</w:t>
            </w:r>
            <w:proofErr w:type="gramEnd"/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 poskytovaný pacientským organizacím bude 5% z celkových zdrojů fondu obecně prospěšných činností Pojišťovny podle odstavce 1,“</w:t>
            </w:r>
          </w:p>
          <w:p w14:paraId="68E4C5F5" w14:textId="6A5EDA41" w:rsidR="00AF76C6" w:rsidRPr="00266CBA" w:rsidRDefault="00AF76C6" w:rsidP="00021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  <w:p w14:paraId="2B8B48A8" w14:textId="1F122036" w:rsidR="00AF76C6" w:rsidRPr="00266CBA" w:rsidRDefault="00AF76C6" w:rsidP="00AF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1FE68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07" w:rsidRPr="00266CBA" w14:paraId="596475CA" w14:textId="77777777" w:rsidTr="00021D3C">
        <w:tc>
          <w:tcPr>
            <w:tcW w:w="1402" w:type="dxa"/>
          </w:tcPr>
          <w:p w14:paraId="5D1C71D0" w14:textId="6E80C240" w:rsidR="00882C07" w:rsidRPr="00266CBA" w:rsidRDefault="0002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708" w:type="dxa"/>
          </w:tcPr>
          <w:p w14:paraId="2747237D" w14:textId="3C0773B8" w:rsidR="00882C07" w:rsidRPr="00266CBA" w:rsidRDefault="0002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NRZP ČR</w:t>
            </w:r>
          </w:p>
        </w:tc>
        <w:tc>
          <w:tcPr>
            <w:tcW w:w="656" w:type="dxa"/>
          </w:tcPr>
          <w:p w14:paraId="6F292D9A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9C759D2" w14:textId="549C7499" w:rsidR="00882C07" w:rsidRPr="00266CBA" w:rsidRDefault="0002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t>§ 18, odst. (2), písm. b)</w:t>
            </w:r>
          </w:p>
        </w:tc>
        <w:tc>
          <w:tcPr>
            <w:tcW w:w="8724" w:type="dxa"/>
          </w:tcPr>
          <w:p w14:paraId="7F463EA3" w14:textId="44DDE10F" w:rsidR="00266CBA" w:rsidRPr="00266CBA" w:rsidRDefault="00266CBA" w:rsidP="00266C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6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Změna zákona o resortních, oborových, podnikových a dalších zdravotních pojišťovnách</w:t>
            </w:r>
            <w:r w:rsidRPr="0026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</w:p>
          <w:p w14:paraId="64A62F25" w14:textId="60C41733" w:rsidR="00021D3C" w:rsidRPr="00266CBA" w:rsidRDefault="00266CBA" w:rsidP="00266C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P</w:t>
            </w:r>
            <w:r w:rsidR="00021D3C" w:rsidRPr="00266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ůvodní </w:t>
            </w:r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text:</w:t>
            </w:r>
          </w:p>
          <w:p w14:paraId="566B88D7" w14:textId="77777777" w:rsidR="00021D3C" w:rsidRPr="00266CBA" w:rsidRDefault="00021D3C" w:rsidP="00266C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CB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  <w:t>„podporu činnosti pacientských organizací zapsaných v seznamu podle zákona o zdravotních službách s tím, že úhrnná výše příspěvku poskytovaného pacientským organizacím nepřekročí 5 % z celkových zdrojů fondu obecně prospěšných činností zaměstnanecké pojišťovny podle odstavce 1,“</w:t>
            </w:r>
          </w:p>
          <w:p w14:paraId="766D773E" w14:textId="1281BA10" w:rsidR="00021D3C" w:rsidRPr="00266CBA" w:rsidRDefault="00266CBA" w:rsidP="00266C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Návrh změny:</w:t>
            </w:r>
          </w:p>
          <w:p w14:paraId="60848F3D" w14:textId="77777777" w:rsidR="00021D3C" w:rsidRPr="00266CBA" w:rsidRDefault="00021D3C" w:rsidP="00266C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„podporu činnosti pacientských organizací zapsaných v Seznamu podle zákona o zdravotních službách s tím, že </w:t>
            </w:r>
            <w:proofErr w:type="gramStart"/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alokovaný  příspěvek</w:t>
            </w:r>
            <w:proofErr w:type="gramEnd"/>
            <w:r w:rsidRPr="00266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 poskytovaný pacientským organizacím bude 5% z celkových zdrojů fondu obecně prospěšných činností Pojišťovny podle odstavce 1,“</w:t>
            </w:r>
          </w:p>
          <w:p w14:paraId="42265FAA" w14:textId="6838BB59" w:rsidR="00266CBA" w:rsidRPr="00266CBA" w:rsidRDefault="00021D3C" w:rsidP="00266C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Odůvodnění</w:t>
            </w:r>
            <w:r w:rsidR="00266CBA" w:rsidRPr="00266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obou návrhů:</w:t>
            </w:r>
            <w:r w:rsidRPr="00266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0F3C5C4" w14:textId="60555B9A" w:rsidR="00021D3C" w:rsidRPr="00266CBA" w:rsidRDefault="00021D3C" w:rsidP="0002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Původní textace dle našeho výkladu plně nezaručuje, že bude nějaká částka na financování provozních nákladů pacientských organizací poskytnuta, protože se hovoří jen o maximální částce. Ta může být při splnění uvedených podmínek i nulová</w:t>
            </w:r>
            <w:r w:rsidR="00266CBA" w:rsidRPr="0026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CD7DEC" w14:textId="77777777" w:rsidR="00882C07" w:rsidRPr="00266CBA" w:rsidRDefault="00882C07" w:rsidP="0002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07" w:rsidRPr="00266CBA" w14:paraId="38CD2EE3" w14:textId="77777777" w:rsidTr="00021D3C">
        <w:tc>
          <w:tcPr>
            <w:tcW w:w="1402" w:type="dxa"/>
          </w:tcPr>
          <w:p w14:paraId="7E07A2EA" w14:textId="50AB151B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601F7BA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148952D8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33BEBC0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14:paraId="5CD0294C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07" w:rsidRPr="00266CBA" w14:paraId="3D0C6F1E" w14:textId="77777777" w:rsidTr="00021D3C">
        <w:tc>
          <w:tcPr>
            <w:tcW w:w="1402" w:type="dxa"/>
          </w:tcPr>
          <w:p w14:paraId="328C91FB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5C92A04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215DC182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4D55AD7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14:paraId="280AAFF1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07" w:rsidRPr="00266CBA" w14:paraId="66F093F0" w14:textId="77777777" w:rsidTr="00021D3C">
        <w:tc>
          <w:tcPr>
            <w:tcW w:w="1402" w:type="dxa"/>
          </w:tcPr>
          <w:p w14:paraId="210F9F14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F56792F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637405BF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0D4C05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14:paraId="1A2A61A4" w14:textId="77777777" w:rsidR="00882C07" w:rsidRPr="00266CBA" w:rsidRDefault="0088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B884B" w14:textId="2B6502D6" w:rsidR="00DD795B" w:rsidRPr="00266CBA" w:rsidRDefault="00DD795B">
      <w:pPr>
        <w:rPr>
          <w:rFonts w:ascii="Times New Roman" w:hAnsi="Times New Roman" w:cs="Times New Roman"/>
          <w:sz w:val="24"/>
          <w:szCs w:val="24"/>
        </w:rPr>
      </w:pPr>
    </w:p>
    <w:p w14:paraId="5D2A9937" w14:textId="5DFB1D0C" w:rsidR="00182BAE" w:rsidRPr="00266CBA" w:rsidRDefault="00182BA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6CBA">
        <w:rPr>
          <w:rFonts w:ascii="Times New Roman" w:hAnsi="Times New Roman" w:cs="Times New Roman"/>
          <w:i/>
          <w:iCs/>
          <w:sz w:val="24"/>
          <w:szCs w:val="24"/>
        </w:rPr>
        <w:t>* D/Z = připomínka doporučující/zásadní</w:t>
      </w:r>
    </w:p>
    <w:p w14:paraId="05962C48" w14:textId="6D2D6E3E" w:rsidR="000810CE" w:rsidRPr="00266CBA" w:rsidRDefault="000810C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1AA5D8E" w14:textId="16B33AB0" w:rsidR="000810CE" w:rsidRPr="00266CBA" w:rsidRDefault="000810CE">
      <w:pPr>
        <w:rPr>
          <w:rFonts w:ascii="Times New Roman" w:hAnsi="Times New Roman" w:cs="Times New Roman"/>
          <w:iCs/>
          <w:sz w:val="24"/>
          <w:szCs w:val="24"/>
        </w:rPr>
      </w:pPr>
      <w:r w:rsidRPr="00266CBA">
        <w:rPr>
          <w:rFonts w:ascii="Times New Roman" w:hAnsi="Times New Roman" w:cs="Times New Roman"/>
          <w:iCs/>
          <w:sz w:val="24"/>
          <w:szCs w:val="24"/>
        </w:rPr>
        <w:t xml:space="preserve">Zpracoval: JUDr. Zdeněk Žižka                                                         </w:t>
      </w:r>
      <w:bookmarkStart w:id="0" w:name="_GoBack"/>
      <w:bookmarkEnd w:id="0"/>
      <w:r w:rsidRPr="00266CB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Za NRZP ČR: Mgr. Václav Krása. Předseda</w:t>
      </w:r>
    </w:p>
    <w:sectPr w:rsidR="000810CE" w:rsidRPr="00266CBA" w:rsidSect="00EB2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7886"/>
    <w:multiLevelType w:val="multilevel"/>
    <w:tmpl w:val="F3A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07"/>
    <w:rsid w:val="00021D3C"/>
    <w:rsid w:val="000810CE"/>
    <w:rsid w:val="000E2883"/>
    <w:rsid w:val="000F3372"/>
    <w:rsid w:val="00182BAE"/>
    <w:rsid w:val="00266CBA"/>
    <w:rsid w:val="00356430"/>
    <w:rsid w:val="00546431"/>
    <w:rsid w:val="00672CB4"/>
    <w:rsid w:val="00687B2A"/>
    <w:rsid w:val="007E21A2"/>
    <w:rsid w:val="007E2BC4"/>
    <w:rsid w:val="00882C07"/>
    <w:rsid w:val="008916D7"/>
    <w:rsid w:val="008D66B2"/>
    <w:rsid w:val="00970724"/>
    <w:rsid w:val="00AF76C6"/>
    <w:rsid w:val="00BC50A2"/>
    <w:rsid w:val="00CF1658"/>
    <w:rsid w:val="00DD795B"/>
    <w:rsid w:val="00E53D80"/>
    <w:rsid w:val="00E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4A08"/>
  <w15:chartTrackingRefBased/>
  <w15:docId w15:val="{58F77AF5-02CE-409C-977D-84D070E3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F1658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Jana, Mgr. DiS.</dc:creator>
  <cp:keywords/>
  <dc:description/>
  <cp:lastModifiedBy>Václav Krása</cp:lastModifiedBy>
  <cp:revision>11</cp:revision>
  <dcterms:created xsi:type="dcterms:W3CDTF">2024-05-10T10:19:00Z</dcterms:created>
  <dcterms:modified xsi:type="dcterms:W3CDTF">2024-05-14T17:58:00Z</dcterms:modified>
</cp:coreProperties>
</file>