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327" w:type="dxa"/>
        <w:tblLook w:val="04A0" w:firstRow="1" w:lastRow="0" w:firstColumn="1" w:lastColumn="0" w:noHBand="0" w:noVBand="1"/>
      </w:tblPr>
      <w:tblGrid>
        <w:gridCol w:w="1402"/>
        <w:gridCol w:w="1708"/>
        <w:gridCol w:w="656"/>
        <w:gridCol w:w="1837"/>
        <w:gridCol w:w="8724"/>
      </w:tblGrid>
      <w:tr w:rsidR="00882C07" w14:paraId="2819AEF6" w14:textId="77777777" w:rsidTr="00882C07">
        <w:tc>
          <w:tcPr>
            <w:tcW w:w="1402" w:type="dxa"/>
            <w:vAlign w:val="center"/>
          </w:tcPr>
          <w:p w14:paraId="737902B5" w14:textId="7165CD03" w:rsidR="00882C07" w:rsidRDefault="00882C07" w:rsidP="00882C07">
            <w:pPr>
              <w:jc w:val="center"/>
            </w:pPr>
            <w:r w:rsidRPr="00882C07">
              <w:rPr>
                <w:rFonts w:ascii="Liberation Sans" w:eastAsia="Times New Roman" w:hAnsi="Liberation Sans" w:cs="Calibri"/>
                <w:b/>
                <w:bCs/>
                <w:color w:val="000000"/>
                <w:lang w:eastAsia="cs-CZ"/>
              </w:rPr>
              <w:t>Číslo připomínky</w:t>
            </w:r>
          </w:p>
        </w:tc>
        <w:tc>
          <w:tcPr>
            <w:tcW w:w="1709" w:type="dxa"/>
            <w:vAlign w:val="center"/>
          </w:tcPr>
          <w:p w14:paraId="0469C49B" w14:textId="43E77A5C" w:rsidR="00882C07" w:rsidRDefault="00882C07" w:rsidP="00882C07">
            <w:pPr>
              <w:jc w:val="center"/>
            </w:pPr>
            <w:r w:rsidRPr="00455250">
              <w:rPr>
                <w:rFonts w:ascii="Liberation Sans" w:eastAsia="Times New Roman" w:hAnsi="Liberation Sans" w:cs="Calibri"/>
                <w:b/>
                <w:bCs/>
                <w:color w:val="000000"/>
                <w:lang w:eastAsia="cs-CZ"/>
              </w:rPr>
              <w:t>Přip</w:t>
            </w:r>
            <w:r>
              <w:rPr>
                <w:rFonts w:ascii="Liberation Sans" w:eastAsia="Times New Roman" w:hAnsi="Liberation Sans" w:cs="Calibri"/>
                <w:b/>
                <w:bCs/>
                <w:color w:val="000000"/>
                <w:lang w:eastAsia="cs-CZ"/>
              </w:rPr>
              <w:t>omínkové</w:t>
            </w:r>
            <w:r w:rsidRPr="00455250">
              <w:rPr>
                <w:rFonts w:ascii="Liberation Sans" w:eastAsia="Times New Roman" w:hAnsi="Liberation Sans" w:cs="Calibri"/>
                <w:b/>
                <w:bCs/>
                <w:color w:val="000000"/>
                <w:lang w:eastAsia="cs-CZ"/>
              </w:rPr>
              <w:t xml:space="preserve"> místo</w:t>
            </w:r>
            <w:r>
              <w:rPr>
                <w:rFonts w:ascii="Liberation Sans" w:eastAsia="Times New Roman" w:hAnsi="Liberation Sans" w:cs="Calibri"/>
                <w:b/>
                <w:bCs/>
                <w:color w:val="000000"/>
                <w:lang w:eastAsia="cs-CZ"/>
              </w:rPr>
              <w:t xml:space="preserve"> (kdo připomínkuje)</w:t>
            </w:r>
          </w:p>
        </w:tc>
        <w:tc>
          <w:tcPr>
            <w:tcW w:w="571" w:type="dxa"/>
            <w:vAlign w:val="center"/>
          </w:tcPr>
          <w:p w14:paraId="68A822AE" w14:textId="0D60BA22" w:rsidR="00882C07" w:rsidRDefault="00882C07" w:rsidP="00882C07">
            <w:pPr>
              <w:jc w:val="center"/>
            </w:pPr>
            <w:r w:rsidRPr="00455250">
              <w:rPr>
                <w:rFonts w:ascii="Liberation Sans" w:eastAsia="Times New Roman" w:hAnsi="Liberation Sans" w:cs="Calibri"/>
                <w:b/>
                <w:bCs/>
                <w:color w:val="000000"/>
                <w:lang w:eastAsia="cs-CZ"/>
              </w:rPr>
              <w:t>D/Z</w:t>
            </w:r>
            <w:r w:rsidR="00182BAE">
              <w:rPr>
                <w:rFonts w:ascii="Liberation Sans" w:eastAsia="Times New Roman" w:hAnsi="Liberation Sans" w:cs="Calibri"/>
                <w:b/>
                <w:bCs/>
                <w:color w:val="000000"/>
                <w:lang w:eastAsia="cs-CZ"/>
              </w:rPr>
              <w:t>*</w:t>
            </w:r>
          </w:p>
        </w:tc>
        <w:tc>
          <w:tcPr>
            <w:tcW w:w="1842" w:type="dxa"/>
            <w:vAlign w:val="center"/>
          </w:tcPr>
          <w:p w14:paraId="15476C24" w14:textId="16F7070D" w:rsidR="00882C07" w:rsidRDefault="00882C07" w:rsidP="00882C07">
            <w:pPr>
              <w:jc w:val="center"/>
            </w:pPr>
            <w:r w:rsidRPr="00455250">
              <w:rPr>
                <w:rFonts w:ascii="Liberation Sans" w:eastAsia="Times New Roman" w:hAnsi="Liberation Sans" w:cs="Calibri"/>
                <w:b/>
                <w:bCs/>
                <w:color w:val="000000"/>
                <w:lang w:eastAsia="cs-CZ"/>
              </w:rPr>
              <w:t>Ustanovení návrhu</w:t>
            </w:r>
            <w:r>
              <w:rPr>
                <w:rFonts w:ascii="Liberation Sans" w:eastAsia="Times New Roman" w:hAnsi="Liberation Sans" w:cs="Calibri"/>
                <w:b/>
                <w:bCs/>
                <w:color w:val="000000"/>
                <w:lang w:eastAsia="cs-CZ"/>
              </w:rPr>
              <w:t xml:space="preserve"> </w:t>
            </w:r>
            <w:r>
              <w:rPr>
                <w:rFonts w:ascii="Liberation Sans" w:eastAsia="Times New Roman" w:hAnsi="Liberation Sans" w:cs="Calibri"/>
                <w:b/>
                <w:bCs/>
                <w:color w:val="000000"/>
                <w:lang w:eastAsia="cs-CZ"/>
              </w:rPr>
              <w:br/>
              <w:t>(§, odst., písm.)</w:t>
            </w:r>
          </w:p>
        </w:tc>
        <w:tc>
          <w:tcPr>
            <w:tcW w:w="8803" w:type="dxa"/>
            <w:vAlign w:val="center"/>
          </w:tcPr>
          <w:p w14:paraId="700C6F60" w14:textId="4DB74BAB" w:rsidR="00882C07" w:rsidRDefault="00882C07" w:rsidP="00882C07">
            <w:pPr>
              <w:jc w:val="center"/>
            </w:pPr>
            <w:r w:rsidRPr="00455250">
              <w:rPr>
                <w:rFonts w:ascii="Liberation Sans" w:eastAsia="Times New Roman" w:hAnsi="Liberation Sans" w:cs="Calibri"/>
                <w:b/>
                <w:bCs/>
                <w:color w:val="000000"/>
                <w:lang w:eastAsia="cs-CZ"/>
              </w:rPr>
              <w:t xml:space="preserve">Připomínka včetně </w:t>
            </w:r>
            <w:r w:rsidRPr="000F3372">
              <w:rPr>
                <w:rFonts w:ascii="Liberation Sans" w:eastAsia="Times New Roman" w:hAnsi="Liberation Sans" w:cs="Calibri"/>
                <w:b/>
                <w:bCs/>
                <w:color w:val="000000"/>
                <w:u w:val="single"/>
                <w:lang w:eastAsia="cs-CZ"/>
              </w:rPr>
              <w:t>odůvodnění</w:t>
            </w:r>
          </w:p>
        </w:tc>
      </w:tr>
      <w:tr w:rsidR="00882C07" w14:paraId="5C9521BF" w14:textId="77777777" w:rsidTr="00882C07">
        <w:tc>
          <w:tcPr>
            <w:tcW w:w="1402" w:type="dxa"/>
          </w:tcPr>
          <w:p w14:paraId="087A7544" w14:textId="77777777" w:rsidR="009B4538" w:rsidRPr="009B4538" w:rsidRDefault="009B4538">
            <w:pPr>
              <w:rPr>
                <w:rFonts w:ascii="Times New Roman" w:hAnsi="Times New Roman" w:cs="Times New Roman"/>
                <w:sz w:val="24"/>
                <w:szCs w:val="24"/>
              </w:rPr>
            </w:pPr>
          </w:p>
          <w:p w14:paraId="36C2E4DB" w14:textId="77777777" w:rsidR="009B4538" w:rsidRPr="009B4538" w:rsidRDefault="009B4538">
            <w:pPr>
              <w:rPr>
                <w:rFonts w:ascii="Times New Roman" w:hAnsi="Times New Roman" w:cs="Times New Roman"/>
                <w:sz w:val="24"/>
                <w:szCs w:val="24"/>
              </w:rPr>
            </w:pPr>
          </w:p>
          <w:p w14:paraId="7C59DB38" w14:textId="179E0ADA" w:rsidR="00882C07" w:rsidRPr="009B4538" w:rsidRDefault="009B4538">
            <w:pPr>
              <w:rPr>
                <w:rFonts w:ascii="Times New Roman" w:hAnsi="Times New Roman" w:cs="Times New Roman"/>
                <w:sz w:val="24"/>
                <w:szCs w:val="24"/>
              </w:rPr>
            </w:pPr>
            <w:r w:rsidRPr="009B4538">
              <w:rPr>
                <w:rFonts w:ascii="Times New Roman" w:hAnsi="Times New Roman" w:cs="Times New Roman"/>
                <w:sz w:val="24"/>
                <w:szCs w:val="24"/>
              </w:rPr>
              <w:t xml:space="preserve">   </w:t>
            </w:r>
            <w:r w:rsidR="00882C07" w:rsidRPr="009B4538">
              <w:rPr>
                <w:rFonts w:ascii="Times New Roman" w:hAnsi="Times New Roman" w:cs="Times New Roman"/>
                <w:sz w:val="24"/>
                <w:szCs w:val="24"/>
              </w:rPr>
              <w:t>1.</w:t>
            </w:r>
          </w:p>
        </w:tc>
        <w:tc>
          <w:tcPr>
            <w:tcW w:w="1709" w:type="dxa"/>
          </w:tcPr>
          <w:p w14:paraId="41E5B576" w14:textId="77777777" w:rsidR="009B4538" w:rsidRPr="009B4538" w:rsidRDefault="009B4538">
            <w:pPr>
              <w:rPr>
                <w:rFonts w:ascii="Times New Roman" w:hAnsi="Times New Roman" w:cs="Times New Roman"/>
                <w:sz w:val="24"/>
                <w:szCs w:val="24"/>
              </w:rPr>
            </w:pPr>
          </w:p>
          <w:p w14:paraId="5BB0B5D5" w14:textId="77777777" w:rsidR="009B4538" w:rsidRPr="009B4538" w:rsidRDefault="009B4538">
            <w:pPr>
              <w:rPr>
                <w:rFonts w:ascii="Times New Roman" w:hAnsi="Times New Roman" w:cs="Times New Roman"/>
                <w:sz w:val="24"/>
                <w:szCs w:val="24"/>
              </w:rPr>
            </w:pPr>
          </w:p>
          <w:p w14:paraId="1E3BFAF7" w14:textId="222EB364" w:rsidR="00882C07" w:rsidRPr="009B4538" w:rsidRDefault="009B4538">
            <w:pPr>
              <w:rPr>
                <w:rFonts w:ascii="Times New Roman" w:hAnsi="Times New Roman" w:cs="Times New Roman"/>
                <w:b/>
                <w:bCs/>
                <w:sz w:val="24"/>
                <w:szCs w:val="24"/>
              </w:rPr>
            </w:pPr>
            <w:r w:rsidRPr="009B4538">
              <w:rPr>
                <w:rFonts w:ascii="Times New Roman" w:hAnsi="Times New Roman" w:cs="Times New Roman"/>
                <w:sz w:val="24"/>
                <w:szCs w:val="24"/>
              </w:rPr>
              <w:t xml:space="preserve">  </w:t>
            </w:r>
            <w:r w:rsidRPr="009B4538">
              <w:rPr>
                <w:rFonts w:ascii="Times New Roman" w:hAnsi="Times New Roman" w:cs="Times New Roman"/>
                <w:b/>
                <w:bCs/>
                <w:sz w:val="24"/>
                <w:szCs w:val="24"/>
              </w:rPr>
              <w:t>NRZP ČR</w:t>
            </w:r>
          </w:p>
        </w:tc>
        <w:tc>
          <w:tcPr>
            <w:tcW w:w="571" w:type="dxa"/>
          </w:tcPr>
          <w:p w14:paraId="10E168AE" w14:textId="77777777" w:rsidR="009B4538" w:rsidRPr="009B4538" w:rsidRDefault="009B4538">
            <w:pPr>
              <w:rPr>
                <w:rFonts w:ascii="Times New Roman" w:hAnsi="Times New Roman" w:cs="Times New Roman"/>
                <w:sz w:val="24"/>
                <w:szCs w:val="24"/>
              </w:rPr>
            </w:pPr>
          </w:p>
          <w:p w14:paraId="7FAE01B7" w14:textId="77777777" w:rsidR="009B4538" w:rsidRPr="009B4538" w:rsidRDefault="009B4538">
            <w:pPr>
              <w:rPr>
                <w:rFonts w:ascii="Times New Roman" w:hAnsi="Times New Roman" w:cs="Times New Roman"/>
                <w:sz w:val="24"/>
                <w:szCs w:val="24"/>
              </w:rPr>
            </w:pPr>
          </w:p>
          <w:p w14:paraId="7E17A6E0" w14:textId="6B6E5099" w:rsidR="00882C07" w:rsidRPr="009B4538" w:rsidRDefault="009B4538">
            <w:pPr>
              <w:rPr>
                <w:rFonts w:ascii="Times New Roman" w:hAnsi="Times New Roman" w:cs="Times New Roman"/>
                <w:b/>
                <w:bCs/>
                <w:sz w:val="24"/>
                <w:szCs w:val="24"/>
              </w:rPr>
            </w:pPr>
            <w:r w:rsidRPr="009B4538">
              <w:rPr>
                <w:rFonts w:ascii="Times New Roman" w:hAnsi="Times New Roman" w:cs="Times New Roman"/>
                <w:sz w:val="24"/>
                <w:szCs w:val="24"/>
              </w:rPr>
              <w:t xml:space="preserve">  </w:t>
            </w:r>
            <w:r w:rsidRPr="009B4538">
              <w:rPr>
                <w:rFonts w:ascii="Times New Roman" w:hAnsi="Times New Roman" w:cs="Times New Roman"/>
                <w:b/>
                <w:bCs/>
                <w:sz w:val="24"/>
                <w:szCs w:val="24"/>
              </w:rPr>
              <w:t>Z</w:t>
            </w:r>
          </w:p>
        </w:tc>
        <w:tc>
          <w:tcPr>
            <w:tcW w:w="1842" w:type="dxa"/>
          </w:tcPr>
          <w:p w14:paraId="5A931628" w14:textId="77777777" w:rsidR="009B4538" w:rsidRPr="009B4538" w:rsidRDefault="009B4538">
            <w:pPr>
              <w:rPr>
                <w:rFonts w:ascii="Times New Roman" w:hAnsi="Times New Roman" w:cs="Times New Roman"/>
                <w:sz w:val="24"/>
                <w:szCs w:val="24"/>
              </w:rPr>
            </w:pPr>
          </w:p>
          <w:p w14:paraId="5B78CF49" w14:textId="77777777" w:rsidR="009B4538" w:rsidRPr="009B4538" w:rsidRDefault="009B4538">
            <w:pPr>
              <w:rPr>
                <w:rFonts w:ascii="Times New Roman" w:hAnsi="Times New Roman" w:cs="Times New Roman"/>
                <w:sz w:val="24"/>
                <w:szCs w:val="24"/>
              </w:rPr>
            </w:pPr>
          </w:p>
          <w:p w14:paraId="6C69D4B6" w14:textId="72ECE945" w:rsidR="00882C07" w:rsidRPr="009B4538" w:rsidRDefault="009B4538">
            <w:pPr>
              <w:rPr>
                <w:rFonts w:ascii="Times New Roman" w:hAnsi="Times New Roman" w:cs="Times New Roman"/>
                <w:b/>
                <w:bCs/>
                <w:sz w:val="24"/>
                <w:szCs w:val="24"/>
              </w:rPr>
            </w:pPr>
            <w:r w:rsidRPr="009B4538">
              <w:rPr>
                <w:rFonts w:ascii="Times New Roman" w:hAnsi="Times New Roman" w:cs="Times New Roman"/>
                <w:sz w:val="24"/>
                <w:szCs w:val="24"/>
              </w:rPr>
              <w:t xml:space="preserve">    </w:t>
            </w:r>
            <w:r w:rsidRPr="009B4538">
              <w:rPr>
                <w:rFonts w:ascii="Times New Roman" w:hAnsi="Times New Roman" w:cs="Times New Roman"/>
                <w:b/>
                <w:bCs/>
                <w:sz w:val="24"/>
                <w:szCs w:val="24"/>
              </w:rPr>
              <w:t>§ 85</w:t>
            </w:r>
          </w:p>
        </w:tc>
        <w:tc>
          <w:tcPr>
            <w:tcW w:w="8803" w:type="dxa"/>
          </w:tcPr>
          <w:p w14:paraId="717566EE" w14:textId="25CF4BB3" w:rsidR="009B4538" w:rsidRPr="00715259" w:rsidRDefault="00CF1658" w:rsidP="009B4538">
            <w:pPr>
              <w:pStyle w:val="Novelizanbod"/>
              <w:numPr>
                <w:ilvl w:val="0"/>
                <w:numId w:val="0"/>
              </w:numPr>
              <w:ind w:left="567" w:hanging="567"/>
              <w:rPr>
                <w:szCs w:val="24"/>
              </w:rPr>
            </w:pPr>
            <w:r w:rsidRPr="00715259">
              <w:rPr>
                <w:bCs/>
                <w:szCs w:val="24"/>
                <w:u w:val="single"/>
              </w:rPr>
              <w:t>Původní text</w:t>
            </w:r>
            <w:r w:rsidRPr="00715259">
              <w:rPr>
                <w:bCs/>
                <w:szCs w:val="24"/>
              </w:rPr>
              <w:t>:</w:t>
            </w:r>
            <w:r w:rsidR="009B4538" w:rsidRPr="00715259">
              <w:rPr>
                <w:b/>
                <w:szCs w:val="24"/>
              </w:rPr>
              <w:t xml:space="preserve"> </w:t>
            </w:r>
            <w:r w:rsidR="009B4538" w:rsidRPr="00715259">
              <w:rPr>
                <w:bCs/>
                <w:szCs w:val="24"/>
              </w:rPr>
              <w:t>Bod 292.</w:t>
            </w:r>
            <w:r w:rsidR="009B4538" w:rsidRPr="00715259">
              <w:rPr>
                <w:b/>
                <w:szCs w:val="24"/>
              </w:rPr>
              <w:t xml:space="preserve"> </w:t>
            </w:r>
            <w:r w:rsidR="009B4538" w:rsidRPr="00715259">
              <w:rPr>
                <w:b/>
                <w:bCs/>
                <w:szCs w:val="24"/>
              </w:rPr>
              <w:t>§ 85 se včetně nadpisu zrušuje.</w:t>
            </w:r>
          </w:p>
          <w:p w14:paraId="184C118A" w14:textId="3FFABD29" w:rsidR="00CF1658" w:rsidRPr="00715259" w:rsidRDefault="00CF1658" w:rsidP="00CF1658">
            <w:pPr>
              <w:pStyle w:val="Bezmezer"/>
              <w:rPr>
                <w:rFonts w:ascii="Times New Roman" w:hAnsi="Times New Roman"/>
                <w:b/>
                <w:color w:val="auto"/>
                <w:sz w:val="24"/>
                <w:u w:val="single"/>
              </w:rPr>
            </w:pPr>
          </w:p>
          <w:p w14:paraId="3949AA2F" w14:textId="77777777" w:rsidR="00CF1658" w:rsidRPr="00715259" w:rsidRDefault="00CF1658" w:rsidP="00CF1658">
            <w:pPr>
              <w:pStyle w:val="Bezmezer"/>
              <w:rPr>
                <w:rFonts w:ascii="Times New Roman" w:hAnsi="Times New Roman"/>
                <w:b/>
                <w:color w:val="auto"/>
                <w:sz w:val="24"/>
                <w:u w:val="single"/>
              </w:rPr>
            </w:pPr>
          </w:p>
          <w:p w14:paraId="5A1298C0" w14:textId="21254CC4" w:rsidR="00CF1658" w:rsidRPr="00715259" w:rsidRDefault="00CF1658" w:rsidP="00CF1658">
            <w:pPr>
              <w:jc w:val="both"/>
              <w:rPr>
                <w:rFonts w:ascii="Times New Roman" w:hAnsi="Times New Roman" w:cs="Times New Roman"/>
                <w:sz w:val="24"/>
                <w:szCs w:val="24"/>
              </w:rPr>
            </w:pPr>
            <w:r w:rsidRPr="00715259">
              <w:rPr>
                <w:rFonts w:ascii="Times New Roman" w:hAnsi="Times New Roman" w:cs="Times New Roman"/>
                <w:sz w:val="24"/>
                <w:szCs w:val="24"/>
                <w:u w:val="single"/>
              </w:rPr>
              <w:t>Návrh změny</w:t>
            </w:r>
            <w:r w:rsidRPr="00715259">
              <w:rPr>
                <w:rFonts w:ascii="Times New Roman" w:hAnsi="Times New Roman" w:cs="Times New Roman"/>
                <w:sz w:val="24"/>
                <w:szCs w:val="24"/>
              </w:rPr>
              <w:t xml:space="preserve">: </w:t>
            </w:r>
            <w:r w:rsidR="009B4538" w:rsidRPr="00715259">
              <w:rPr>
                <w:rFonts w:ascii="Times New Roman" w:hAnsi="Times New Roman" w:cs="Times New Roman"/>
                <w:b/>
                <w:sz w:val="24"/>
                <w:szCs w:val="24"/>
              </w:rPr>
              <w:t>Bod 292. znějící „§ 85 se včetně nadpisu zrušuje.“</w:t>
            </w:r>
            <w:r w:rsidR="009B4538" w:rsidRPr="00715259">
              <w:rPr>
                <w:rFonts w:ascii="Times New Roman" w:hAnsi="Times New Roman" w:cs="Times New Roman"/>
                <w:sz w:val="24"/>
                <w:szCs w:val="24"/>
              </w:rPr>
              <w:t xml:space="preserve"> </w:t>
            </w:r>
            <w:r w:rsidR="009B4538" w:rsidRPr="00715259">
              <w:rPr>
                <w:rFonts w:ascii="Times New Roman" w:hAnsi="Times New Roman" w:cs="Times New Roman"/>
                <w:b/>
                <w:bCs/>
                <w:sz w:val="24"/>
                <w:szCs w:val="24"/>
              </w:rPr>
              <w:t xml:space="preserve">se </w:t>
            </w:r>
            <w:proofErr w:type="gramStart"/>
            <w:r w:rsidR="009B4538" w:rsidRPr="00715259">
              <w:rPr>
                <w:rFonts w:ascii="Times New Roman" w:hAnsi="Times New Roman" w:cs="Times New Roman"/>
                <w:b/>
                <w:bCs/>
                <w:sz w:val="24"/>
                <w:szCs w:val="24"/>
              </w:rPr>
              <w:t>ruší</w:t>
            </w:r>
            <w:proofErr w:type="gramEnd"/>
            <w:r w:rsidR="009B4538" w:rsidRPr="00715259">
              <w:rPr>
                <w:rFonts w:ascii="Times New Roman" w:hAnsi="Times New Roman" w:cs="Times New Roman"/>
                <w:sz w:val="24"/>
                <w:szCs w:val="24"/>
              </w:rPr>
              <w:t>.</w:t>
            </w:r>
          </w:p>
          <w:p w14:paraId="167AE920" w14:textId="77777777" w:rsidR="00CF1658" w:rsidRPr="00715259" w:rsidRDefault="00CF1658" w:rsidP="00CF1658">
            <w:pPr>
              <w:jc w:val="both"/>
              <w:rPr>
                <w:rFonts w:ascii="Times New Roman" w:hAnsi="Times New Roman" w:cs="Times New Roman"/>
                <w:sz w:val="24"/>
                <w:szCs w:val="24"/>
              </w:rPr>
            </w:pPr>
          </w:p>
          <w:p w14:paraId="298CAFE2" w14:textId="77777777" w:rsidR="00072D92" w:rsidRDefault="00CF1658" w:rsidP="00CF1658">
            <w:pPr>
              <w:jc w:val="both"/>
              <w:rPr>
                <w:rFonts w:ascii="Times New Roman" w:hAnsi="Times New Roman" w:cs="Times New Roman"/>
                <w:sz w:val="24"/>
                <w:szCs w:val="24"/>
              </w:rPr>
            </w:pPr>
            <w:r w:rsidRPr="00715259">
              <w:rPr>
                <w:rFonts w:ascii="Times New Roman" w:hAnsi="Times New Roman" w:cs="Times New Roman"/>
                <w:sz w:val="24"/>
                <w:szCs w:val="24"/>
                <w:u w:val="single"/>
              </w:rPr>
              <w:t>Zdůvodnění</w:t>
            </w:r>
            <w:r w:rsidRPr="00715259">
              <w:rPr>
                <w:rFonts w:ascii="Times New Roman" w:hAnsi="Times New Roman" w:cs="Times New Roman"/>
                <w:sz w:val="24"/>
                <w:szCs w:val="24"/>
              </w:rPr>
              <w:t xml:space="preserve">: </w:t>
            </w:r>
            <w:r w:rsidR="00ED00E7" w:rsidRPr="00715259">
              <w:rPr>
                <w:rFonts w:ascii="Times New Roman" w:hAnsi="Times New Roman" w:cs="Times New Roman"/>
                <w:b/>
                <w:bCs/>
                <w:sz w:val="24"/>
                <w:szCs w:val="24"/>
              </w:rPr>
              <w:t>Zásadně nesouhlasíme</w:t>
            </w:r>
            <w:r w:rsidR="004E7C3C" w:rsidRPr="00715259">
              <w:rPr>
                <w:rFonts w:ascii="Times New Roman" w:hAnsi="Times New Roman" w:cs="Times New Roman"/>
                <w:b/>
                <w:bCs/>
                <w:sz w:val="24"/>
                <w:szCs w:val="24"/>
              </w:rPr>
              <w:t xml:space="preserve"> se zruš</w:t>
            </w:r>
            <w:r w:rsidR="00ED00E7" w:rsidRPr="00715259">
              <w:rPr>
                <w:rFonts w:ascii="Times New Roman" w:hAnsi="Times New Roman" w:cs="Times New Roman"/>
                <w:b/>
                <w:bCs/>
                <w:sz w:val="24"/>
                <w:szCs w:val="24"/>
              </w:rPr>
              <w:t>ením</w:t>
            </w:r>
            <w:r w:rsidR="004E7C3C" w:rsidRPr="00715259">
              <w:rPr>
                <w:rFonts w:ascii="Times New Roman" w:hAnsi="Times New Roman" w:cs="Times New Roman"/>
                <w:b/>
                <w:bCs/>
                <w:sz w:val="24"/>
                <w:szCs w:val="24"/>
              </w:rPr>
              <w:t xml:space="preserve"> úprav</w:t>
            </w:r>
            <w:r w:rsidR="00ED00E7" w:rsidRPr="00715259">
              <w:rPr>
                <w:rFonts w:ascii="Times New Roman" w:hAnsi="Times New Roman" w:cs="Times New Roman"/>
                <w:b/>
                <w:bCs/>
                <w:sz w:val="24"/>
                <w:szCs w:val="24"/>
              </w:rPr>
              <w:t>y</w:t>
            </w:r>
            <w:r w:rsidR="004E7C3C" w:rsidRPr="00715259">
              <w:rPr>
                <w:rFonts w:ascii="Times New Roman" w:hAnsi="Times New Roman" w:cs="Times New Roman"/>
                <w:b/>
                <w:bCs/>
                <w:sz w:val="24"/>
                <w:szCs w:val="24"/>
              </w:rPr>
              <w:t xml:space="preserve"> vracení daně z přidané hodnoty osobám se zdravotním postižením (příjemcům příspěvku na zvláštní pomůcku na pořízení motorového vozidla),</w:t>
            </w:r>
            <w:r w:rsidR="00ED00E7" w:rsidRPr="00715259">
              <w:rPr>
                <w:rFonts w:ascii="Times New Roman" w:hAnsi="Times New Roman" w:cs="Times New Roman"/>
                <w:b/>
                <w:bCs/>
                <w:sz w:val="24"/>
                <w:szCs w:val="24"/>
              </w:rPr>
              <w:t xml:space="preserve"> obsažené v § 85 a požadujeme jeho zachování!</w:t>
            </w:r>
            <w:r w:rsidR="00715259" w:rsidRPr="00715259">
              <w:rPr>
                <w:rFonts w:ascii="Times New Roman" w:hAnsi="Times New Roman" w:cs="Times New Roman"/>
                <w:b/>
                <w:bCs/>
                <w:sz w:val="24"/>
                <w:szCs w:val="24"/>
              </w:rPr>
              <w:t xml:space="preserve"> </w:t>
            </w:r>
            <w:r w:rsidR="00715259" w:rsidRPr="00715259">
              <w:rPr>
                <w:rFonts w:ascii="Times New Roman" w:hAnsi="Times New Roman" w:cs="Times New Roman"/>
                <w:sz w:val="24"/>
                <w:szCs w:val="24"/>
              </w:rPr>
              <w:t xml:space="preserve">Již přes 20 let mohou lidé s těžkým zdravotním postižením, kterým je </w:t>
            </w:r>
            <w:r w:rsidR="006A0DD0">
              <w:rPr>
                <w:rFonts w:ascii="Times New Roman" w:hAnsi="Times New Roman" w:cs="Times New Roman"/>
                <w:sz w:val="24"/>
                <w:szCs w:val="24"/>
              </w:rPr>
              <w:t xml:space="preserve">úřadem práce </w:t>
            </w:r>
            <w:r w:rsidR="00715259" w:rsidRPr="00715259">
              <w:rPr>
                <w:rFonts w:ascii="Times New Roman" w:hAnsi="Times New Roman" w:cs="Times New Roman"/>
                <w:sz w:val="24"/>
                <w:szCs w:val="24"/>
              </w:rPr>
              <w:t>přiznán příspěvek na nákup motorového vozidla, požádat finanční úřad o vrácení daně z přidané hodnoty, a to až do</w:t>
            </w:r>
            <w:r w:rsidR="006A0DD0">
              <w:rPr>
                <w:rFonts w:ascii="Times New Roman" w:hAnsi="Times New Roman" w:cs="Times New Roman"/>
                <w:sz w:val="24"/>
                <w:szCs w:val="24"/>
              </w:rPr>
              <w:t xml:space="preserve"> maximální</w:t>
            </w:r>
            <w:r w:rsidR="00715259" w:rsidRPr="00715259">
              <w:rPr>
                <w:rFonts w:ascii="Times New Roman" w:hAnsi="Times New Roman" w:cs="Times New Roman"/>
                <w:sz w:val="24"/>
                <w:szCs w:val="24"/>
              </w:rPr>
              <w:t xml:space="preserve"> výše 100 000 </w:t>
            </w:r>
            <w:r w:rsidR="006A0DD0">
              <w:rPr>
                <w:rFonts w:ascii="Times New Roman" w:hAnsi="Times New Roman" w:cs="Times New Roman"/>
                <w:sz w:val="24"/>
                <w:szCs w:val="24"/>
              </w:rPr>
              <w:t>Kč</w:t>
            </w:r>
            <w:r w:rsidR="00715259" w:rsidRPr="00715259">
              <w:rPr>
                <w:rFonts w:ascii="Times New Roman" w:hAnsi="Times New Roman" w:cs="Times New Roman"/>
                <w:sz w:val="24"/>
                <w:szCs w:val="24"/>
              </w:rPr>
              <w:t>.</w:t>
            </w:r>
            <w:r w:rsidR="006A0DD0">
              <w:rPr>
                <w:rFonts w:ascii="Times New Roman" w:hAnsi="Times New Roman" w:cs="Times New Roman"/>
                <w:sz w:val="24"/>
                <w:szCs w:val="24"/>
              </w:rPr>
              <w:t xml:space="preserve"> Při nižší ceně pořizovaného automobilu může být výše vráceného DPH i nižší. </w:t>
            </w:r>
          </w:p>
          <w:p w14:paraId="044E2F45" w14:textId="6335FF36" w:rsidR="00CF1658" w:rsidRDefault="006A0DD0" w:rsidP="00CF1658">
            <w:pPr>
              <w:jc w:val="both"/>
              <w:rPr>
                <w:rFonts w:ascii="Times New Roman" w:hAnsi="Times New Roman" w:cs="Times New Roman"/>
                <w:sz w:val="24"/>
                <w:szCs w:val="24"/>
              </w:rPr>
            </w:pPr>
            <w:r>
              <w:rPr>
                <w:rFonts w:ascii="Times New Roman" w:hAnsi="Times New Roman" w:cs="Times New Roman"/>
                <w:sz w:val="24"/>
                <w:szCs w:val="24"/>
              </w:rPr>
              <w:t>S ohledem na to, že v ČR není veřejná hromadná doprava v současnosti ani zdaleka bezbariérová</w:t>
            </w:r>
            <w:r w:rsidR="00072D92">
              <w:rPr>
                <w:rFonts w:ascii="Times New Roman" w:hAnsi="Times New Roman" w:cs="Times New Roman"/>
                <w:sz w:val="24"/>
                <w:szCs w:val="24"/>
              </w:rPr>
              <w:t xml:space="preserve"> jsou lidé s tím nejtěžším fyzickým, pohybovým a mentálním postižením při své dopravě plně odkázáni na soukromou dopravu osobními motorovými vozidly</w:t>
            </w:r>
            <w:r>
              <w:rPr>
                <w:rFonts w:ascii="Times New Roman" w:hAnsi="Times New Roman" w:cs="Times New Roman"/>
                <w:sz w:val="24"/>
                <w:szCs w:val="24"/>
              </w:rPr>
              <w:t>.</w:t>
            </w:r>
            <w:r w:rsidR="00072D92">
              <w:rPr>
                <w:rFonts w:ascii="Times New Roman" w:hAnsi="Times New Roman" w:cs="Times New Roman"/>
                <w:sz w:val="24"/>
                <w:szCs w:val="24"/>
              </w:rPr>
              <w:t xml:space="preserve"> Bez upraveného, či jinak přizpůsobeného motorového vozidla by jim byla zcela znemožněna doprava a zamezeno jakékoli cestování, včetně nutných návštěv lékaře, školy, zaměstnání, sociálních </w:t>
            </w:r>
            <w:proofErr w:type="gramStart"/>
            <w:r w:rsidR="00072D92">
              <w:rPr>
                <w:rFonts w:ascii="Times New Roman" w:hAnsi="Times New Roman" w:cs="Times New Roman"/>
                <w:sz w:val="24"/>
                <w:szCs w:val="24"/>
              </w:rPr>
              <w:t>služeb,</w:t>
            </w:r>
            <w:proofErr w:type="gramEnd"/>
            <w:r w:rsidR="00072D92">
              <w:rPr>
                <w:rFonts w:ascii="Times New Roman" w:hAnsi="Times New Roman" w:cs="Times New Roman"/>
                <w:sz w:val="24"/>
                <w:szCs w:val="24"/>
              </w:rPr>
              <w:t xml:space="preserve"> apod.</w:t>
            </w:r>
          </w:p>
          <w:p w14:paraId="73C5E1B8" w14:textId="67BF0CCE" w:rsidR="00072D92" w:rsidRDefault="0044470E" w:rsidP="00CF1658">
            <w:pPr>
              <w:jc w:val="both"/>
              <w:rPr>
                <w:rFonts w:ascii="Times New Roman" w:hAnsi="Times New Roman" w:cs="Times New Roman"/>
                <w:sz w:val="24"/>
                <w:szCs w:val="24"/>
              </w:rPr>
            </w:pPr>
            <w:r>
              <w:rPr>
                <w:rFonts w:ascii="Times New Roman" w:hAnsi="Times New Roman" w:cs="Times New Roman"/>
                <w:sz w:val="24"/>
                <w:szCs w:val="24"/>
              </w:rPr>
              <w:t xml:space="preserve">Příjemci příspěvku na zakoupení zvláštní pomůcky motorového vozidla jsou současně většinou ekonomicky velmi slabou skupinou našich občanů. Bez vrácení této částky DPH by si většina z nich nebyla schopna motorové vozidlo ze svých vlastních prostředků pořídit. A to i proto, že s ohledem na jejich závažná zdravotní postižení velmi často musí kupovat velké automobily, které jsou současně </w:t>
            </w:r>
            <w:r w:rsidR="009278D1">
              <w:rPr>
                <w:rFonts w:ascii="Times New Roman" w:hAnsi="Times New Roman" w:cs="Times New Roman"/>
                <w:sz w:val="24"/>
                <w:szCs w:val="24"/>
              </w:rPr>
              <w:t>také</w:t>
            </w:r>
            <w:r>
              <w:rPr>
                <w:rFonts w:ascii="Times New Roman" w:hAnsi="Times New Roman" w:cs="Times New Roman"/>
                <w:sz w:val="24"/>
                <w:szCs w:val="24"/>
              </w:rPr>
              <w:t xml:space="preserve"> velmi drahými.</w:t>
            </w:r>
          </w:p>
          <w:p w14:paraId="0995D4A5" w14:textId="77777777" w:rsidR="00E97E65" w:rsidRDefault="0044470E" w:rsidP="00E97E65">
            <w:pPr>
              <w:jc w:val="both"/>
              <w:rPr>
                <w:rFonts w:ascii="Times New Roman" w:hAnsi="Times New Roman"/>
                <w:sz w:val="24"/>
                <w:szCs w:val="24"/>
              </w:rPr>
            </w:pPr>
            <w:r>
              <w:rPr>
                <w:rFonts w:ascii="Times New Roman" w:hAnsi="Times New Roman" w:cs="Times New Roman"/>
                <w:sz w:val="24"/>
                <w:szCs w:val="24"/>
              </w:rPr>
              <w:t>Ministerstvo svůj návrh na zrušení odůvodňuje tím, že</w:t>
            </w:r>
            <w:r w:rsidRPr="0044470E">
              <w:rPr>
                <w:rFonts w:ascii="Times New Roman" w:hAnsi="Times New Roman" w:cs="Times New Roman"/>
                <w:sz w:val="24"/>
                <w:szCs w:val="24"/>
              </w:rPr>
              <w:t xml:space="preserve"> </w:t>
            </w:r>
            <w:r w:rsidRPr="0044470E">
              <w:rPr>
                <w:rFonts w:ascii="Times New Roman" w:hAnsi="Times New Roman" w:cs="Times New Roman"/>
                <w:bCs/>
                <w:sz w:val="24"/>
                <w:szCs w:val="24"/>
              </w:rPr>
              <w:t>se jedná se o speciální ustanovení, které nemá oporu ve směrnici o dani z přidané hodnoty ani v žádném dalším právním předpisu Evropské unie a je tedy v podstatě v rozporu s unijním právem.</w:t>
            </w:r>
            <w:r>
              <w:rPr>
                <w:rFonts w:ascii="Times New Roman" w:hAnsi="Times New Roman" w:cs="Times New Roman"/>
                <w:bCs/>
                <w:sz w:val="24"/>
                <w:szCs w:val="24"/>
              </w:rPr>
              <w:t xml:space="preserve"> Dále, že se jedná o takový charakter dávky, </w:t>
            </w:r>
            <w:r w:rsidR="007B6E7A">
              <w:rPr>
                <w:rFonts w:ascii="Times New Roman" w:hAnsi="Times New Roman" w:cs="Times New Roman"/>
                <w:bCs/>
                <w:sz w:val="24"/>
                <w:szCs w:val="24"/>
              </w:rPr>
              <w:t xml:space="preserve">která do oblasti daně z přidané hodnoty </w:t>
            </w:r>
            <w:proofErr w:type="gramStart"/>
            <w:r w:rsidR="007B6E7A">
              <w:rPr>
                <w:rFonts w:ascii="Times New Roman" w:hAnsi="Times New Roman" w:cs="Times New Roman"/>
                <w:bCs/>
                <w:sz w:val="24"/>
                <w:szCs w:val="24"/>
              </w:rPr>
              <w:t>nepatří</w:t>
            </w:r>
            <w:proofErr w:type="gramEnd"/>
            <w:r w:rsidR="007B6E7A">
              <w:rPr>
                <w:rFonts w:ascii="Times New Roman" w:hAnsi="Times New Roman" w:cs="Times New Roman"/>
                <w:bCs/>
                <w:sz w:val="24"/>
                <w:szCs w:val="24"/>
              </w:rPr>
              <w:t xml:space="preserve"> a </w:t>
            </w:r>
            <w:r>
              <w:rPr>
                <w:rFonts w:ascii="Times New Roman" w:hAnsi="Times New Roman" w:cs="Times New Roman"/>
                <w:bCs/>
                <w:sz w:val="24"/>
                <w:szCs w:val="24"/>
              </w:rPr>
              <w:t xml:space="preserve">která je </w:t>
            </w:r>
            <w:r>
              <w:rPr>
                <w:rFonts w:ascii="Times New Roman" w:hAnsi="Times New Roman" w:cs="Times New Roman"/>
                <w:bCs/>
                <w:sz w:val="24"/>
                <w:szCs w:val="24"/>
              </w:rPr>
              <w:lastRenderedPageBreak/>
              <w:t>v gesci MPSV ČR</w:t>
            </w:r>
            <w:r w:rsidR="007B6E7A">
              <w:rPr>
                <w:rFonts w:ascii="Times New Roman" w:hAnsi="Times New Roman" w:cs="Times New Roman"/>
                <w:bCs/>
                <w:sz w:val="24"/>
                <w:szCs w:val="24"/>
              </w:rPr>
              <w:t>, neboť je navázána na poskytnutí příspěvku na zakoupení zvláštní pomůcky motorového vozidla, jehož je doplňkem.</w:t>
            </w:r>
            <w:r w:rsidR="00E97E65">
              <w:rPr>
                <w:rFonts w:ascii="Times New Roman" w:hAnsi="Times New Roman" w:cs="Times New Roman"/>
                <w:bCs/>
                <w:sz w:val="24"/>
                <w:szCs w:val="24"/>
              </w:rPr>
              <w:t xml:space="preserve"> </w:t>
            </w:r>
            <w:r w:rsidR="00E97E65" w:rsidRPr="00637B6E">
              <w:rPr>
                <w:rFonts w:ascii="Times New Roman" w:hAnsi="Times New Roman"/>
                <w:sz w:val="24"/>
                <w:szCs w:val="24"/>
              </w:rPr>
              <w:t xml:space="preserve">Tento návrh je </w:t>
            </w:r>
            <w:r w:rsidR="00E97E65">
              <w:rPr>
                <w:rFonts w:ascii="Times New Roman" w:hAnsi="Times New Roman"/>
                <w:sz w:val="24"/>
                <w:szCs w:val="24"/>
              </w:rPr>
              <w:t xml:space="preserve">podle ministerstva </w:t>
            </w:r>
            <w:r w:rsidR="00E97E65" w:rsidRPr="00637B6E">
              <w:rPr>
                <w:rFonts w:ascii="Times New Roman" w:hAnsi="Times New Roman"/>
                <w:sz w:val="24"/>
                <w:szCs w:val="24"/>
              </w:rPr>
              <w:t>i v souladu s jedním z bodů Programového prohlášení vlády, a to „Prověříme možnosti zrušení nesystémových daňových výjimek“ a se snížením administrativní zátěže.</w:t>
            </w:r>
            <w:r w:rsidR="00E97E65">
              <w:rPr>
                <w:rFonts w:ascii="Times New Roman" w:hAnsi="Times New Roman"/>
                <w:sz w:val="24"/>
                <w:szCs w:val="24"/>
              </w:rPr>
              <w:t xml:space="preserve"> </w:t>
            </w:r>
          </w:p>
          <w:p w14:paraId="23D29311" w14:textId="77777777" w:rsidR="004E1CF3" w:rsidRDefault="00E97E65" w:rsidP="00E97E65">
            <w:pPr>
              <w:jc w:val="both"/>
              <w:rPr>
                <w:rFonts w:ascii="Times New Roman" w:hAnsi="Times New Roman" w:cs="Times New Roman"/>
                <w:sz w:val="24"/>
                <w:szCs w:val="24"/>
              </w:rPr>
            </w:pPr>
            <w:r w:rsidRPr="00E97E65">
              <w:rPr>
                <w:rFonts w:ascii="Times New Roman" w:hAnsi="Times New Roman"/>
                <w:b/>
                <w:bCs/>
                <w:sz w:val="24"/>
                <w:szCs w:val="24"/>
              </w:rPr>
              <w:t xml:space="preserve">NRZP ČR zásadně nesouhlasí s tímto odůvodněním </w:t>
            </w:r>
            <w:r>
              <w:rPr>
                <w:rFonts w:ascii="Times New Roman" w:hAnsi="Times New Roman"/>
                <w:b/>
                <w:bCs/>
                <w:sz w:val="24"/>
                <w:szCs w:val="24"/>
              </w:rPr>
              <w:t>M</w:t>
            </w:r>
            <w:r w:rsidRPr="00E97E65">
              <w:rPr>
                <w:rFonts w:ascii="Times New Roman" w:hAnsi="Times New Roman"/>
                <w:b/>
                <w:bCs/>
                <w:sz w:val="24"/>
                <w:szCs w:val="24"/>
              </w:rPr>
              <w:t>inisterstva financí</w:t>
            </w:r>
            <w:r>
              <w:rPr>
                <w:rFonts w:ascii="Times New Roman" w:hAnsi="Times New Roman"/>
                <w:sz w:val="24"/>
                <w:szCs w:val="24"/>
              </w:rPr>
              <w:t xml:space="preserve"> </w:t>
            </w:r>
            <w:r w:rsidRPr="00E97E65">
              <w:rPr>
                <w:rFonts w:ascii="Times New Roman" w:hAnsi="Times New Roman"/>
                <w:b/>
                <w:bCs/>
                <w:sz w:val="24"/>
                <w:szCs w:val="24"/>
              </w:rPr>
              <w:t>ČR</w:t>
            </w:r>
            <w:r>
              <w:rPr>
                <w:rFonts w:ascii="Times New Roman" w:hAnsi="Times New Roman"/>
                <w:sz w:val="24"/>
                <w:szCs w:val="24"/>
              </w:rPr>
              <w:t xml:space="preserve">. A dodává že </w:t>
            </w:r>
            <w:r w:rsidRPr="00E97E65">
              <w:rPr>
                <w:rFonts w:ascii="Times New Roman" w:hAnsi="Times New Roman" w:cs="Times New Roman"/>
                <w:sz w:val="24"/>
                <w:szCs w:val="24"/>
              </w:rPr>
              <w:t xml:space="preserve">každá výjimka </w:t>
            </w:r>
            <w:r>
              <w:rPr>
                <w:rFonts w:ascii="Times New Roman" w:hAnsi="Times New Roman" w:cs="Times New Roman"/>
                <w:sz w:val="24"/>
                <w:szCs w:val="24"/>
              </w:rPr>
              <w:t>v daňových zákonech</w:t>
            </w:r>
            <w:r w:rsidRPr="00E97E65">
              <w:rPr>
                <w:rFonts w:ascii="Times New Roman" w:hAnsi="Times New Roman" w:cs="Times New Roman"/>
                <w:sz w:val="24"/>
                <w:szCs w:val="24"/>
              </w:rPr>
              <w:t xml:space="preserve"> je v zásadě </w:t>
            </w:r>
            <w:proofErr w:type="gramStart"/>
            <w:r w:rsidRPr="00E97E65">
              <w:rPr>
                <w:rFonts w:ascii="Times New Roman" w:hAnsi="Times New Roman" w:cs="Times New Roman"/>
                <w:sz w:val="24"/>
                <w:szCs w:val="24"/>
              </w:rPr>
              <w:t>nesystémová</w:t>
            </w:r>
            <w:proofErr w:type="gramEnd"/>
            <w:r>
              <w:rPr>
                <w:rFonts w:ascii="Times New Roman" w:hAnsi="Times New Roman" w:cs="Times New Roman"/>
                <w:sz w:val="24"/>
                <w:szCs w:val="24"/>
              </w:rPr>
              <w:t xml:space="preserve"> </w:t>
            </w:r>
            <w:r w:rsidR="00964CB4">
              <w:rPr>
                <w:rFonts w:ascii="Times New Roman" w:hAnsi="Times New Roman" w:cs="Times New Roman"/>
                <w:sz w:val="24"/>
                <w:szCs w:val="24"/>
              </w:rPr>
              <w:t>a přesto jich tyto zákony obsahují nespočet. Včetně takových, které ministerstvo financí nepožaduje zrušit. T</w:t>
            </w:r>
            <w:r w:rsidRPr="00E97E65">
              <w:rPr>
                <w:rFonts w:ascii="Times New Roman" w:hAnsi="Times New Roman" w:cs="Times New Roman"/>
                <w:sz w:val="24"/>
                <w:szCs w:val="24"/>
              </w:rPr>
              <w:t>udíž, toto zdůvodnění MF ČR považuje</w:t>
            </w:r>
            <w:r w:rsidR="00964CB4">
              <w:rPr>
                <w:rFonts w:ascii="Times New Roman" w:hAnsi="Times New Roman" w:cs="Times New Roman"/>
                <w:sz w:val="24"/>
                <w:szCs w:val="24"/>
              </w:rPr>
              <w:t xml:space="preserve"> NRZP ČR pouze za ryze účelové </w:t>
            </w:r>
            <w:r w:rsidRPr="00E97E65">
              <w:rPr>
                <w:rFonts w:ascii="Times New Roman" w:hAnsi="Times New Roman" w:cs="Times New Roman"/>
                <w:sz w:val="24"/>
                <w:szCs w:val="24"/>
              </w:rPr>
              <w:t>a nesmyslné. Dále nemůžeme souhlasit s tím, že tato sleva na dani neodpovídá unijním úpravám, když doposud nikdo nikdy takovou námitku nevznesl.</w:t>
            </w:r>
          </w:p>
          <w:p w14:paraId="3FCC7A17" w14:textId="2DD1717B" w:rsidR="00964CB4" w:rsidRDefault="004E1CF3" w:rsidP="00E97E65">
            <w:pPr>
              <w:jc w:val="both"/>
              <w:rPr>
                <w:rFonts w:ascii="Times New Roman" w:hAnsi="Times New Roman" w:cs="Times New Roman"/>
                <w:sz w:val="24"/>
                <w:szCs w:val="24"/>
              </w:rPr>
            </w:pPr>
            <w:r w:rsidRPr="00E97E65">
              <w:rPr>
                <w:rFonts w:ascii="Times New Roman" w:hAnsi="Times New Roman"/>
                <w:b/>
                <w:bCs/>
                <w:sz w:val="24"/>
                <w:szCs w:val="24"/>
              </w:rPr>
              <w:t>NRZP ČR zásadně nesouhlasí</w:t>
            </w:r>
            <w:r>
              <w:rPr>
                <w:rFonts w:ascii="Times New Roman" w:hAnsi="Times New Roman"/>
                <w:b/>
                <w:bCs/>
                <w:sz w:val="24"/>
                <w:szCs w:val="24"/>
              </w:rPr>
              <w:t xml:space="preserve"> </w:t>
            </w:r>
            <w:r w:rsidRPr="005B4E16">
              <w:rPr>
                <w:rFonts w:ascii="Times New Roman" w:hAnsi="Times New Roman"/>
                <w:sz w:val="24"/>
                <w:szCs w:val="24"/>
              </w:rPr>
              <w:t>ani s tím, že</w:t>
            </w:r>
            <w:r w:rsidR="005B4E16" w:rsidRPr="005B4E16">
              <w:rPr>
                <w:rFonts w:ascii="Times New Roman" w:hAnsi="Times New Roman"/>
                <w:sz w:val="24"/>
                <w:szCs w:val="24"/>
              </w:rPr>
              <w:t xml:space="preserve"> </w:t>
            </w:r>
            <w:r w:rsidR="005B4E16" w:rsidRPr="005B4E16">
              <w:rPr>
                <w:rFonts w:ascii="Times New Roman" w:hAnsi="Times New Roman"/>
                <w:b/>
                <w:bCs/>
                <w:sz w:val="24"/>
                <w:szCs w:val="24"/>
              </w:rPr>
              <w:t>je</w:t>
            </w:r>
            <w:r w:rsidR="005B4E16">
              <w:rPr>
                <w:rFonts w:ascii="Times New Roman" w:hAnsi="Times New Roman"/>
                <w:sz w:val="24"/>
                <w:szCs w:val="24"/>
              </w:rPr>
              <w:t>,</w:t>
            </w:r>
            <w:r w:rsidR="005B4E16" w:rsidRPr="005B4E16">
              <w:rPr>
                <w:rFonts w:ascii="Times New Roman" w:hAnsi="Times New Roman"/>
                <w:sz w:val="24"/>
                <w:szCs w:val="24"/>
              </w:rPr>
              <w:t xml:space="preserve"> podle sdělení ministerstva</w:t>
            </w:r>
            <w:r w:rsidR="005B4E16">
              <w:rPr>
                <w:rFonts w:ascii="Times New Roman" w:hAnsi="Times New Roman"/>
                <w:sz w:val="24"/>
                <w:szCs w:val="24"/>
              </w:rPr>
              <w:t>,</w:t>
            </w:r>
            <w:r w:rsidR="005B4E16" w:rsidRPr="005B4E16">
              <w:rPr>
                <w:rFonts w:ascii="Times New Roman" w:hAnsi="Times New Roman"/>
                <w:sz w:val="24"/>
                <w:szCs w:val="24"/>
              </w:rPr>
              <w:t xml:space="preserve"> </w:t>
            </w:r>
            <w:r w:rsidR="005B4E16" w:rsidRPr="005B4E16">
              <w:rPr>
                <w:rFonts w:ascii="Times New Roman" w:hAnsi="Times New Roman"/>
                <w:b/>
                <w:bCs/>
                <w:sz w:val="24"/>
                <w:szCs w:val="24"/>
              </w:rPr>
              <w:t>toto</w:t>
            </w:r>
            <w:r w:rsidRPr="005B4E16">
              <w:rPr>
                <w:rFonts w:ascii="Times New Roman" w:hAnsi="Times New Roman"/>
                <w:b/>
                <w:bCs/>
                <w:sz w:val="24"/>
                <w:szCs w:val="24"/>
              </w:rPr>
              <w:t xml:space="preserve"> </w:t>
            </w:r>
            <w:r w:rsidR="005B4E16" w:rsidRPr="005B4E16">
              <w:rPr>
                <w:rFonts w:ascii="Times New Roman" w:hAnsi="Times New Roman"/>
                <w:b/>
                <w:bCs/>
                <w:sz w:val="24"/>
                <w:szCs w:val="24"/>
              </w:rPr>
              <w:t>ustanovení v zásadě diskriminační</w:t>
            </w:r>
            <w:r w:rsidR="005B4E16" w:rsidRPr="00637B6E">
              <w:rPr>
                <w:rFonts w:ascii="Times New Roman" w:hAnsi="Times New Roman"/>
                <w:sz w:val="24"/>
                <w:szCs w:val="24"/>
              </w:rPr>
              <w:t xml:space="preserve"> vůči osobám se zdravotním postižením, které se rozhodnou koupit motorové vozidlo, od jiné osoby, která není plátcem, nebo je tento automobil pořízen z jiného členského státu, kde opět dodavatelem není osoba registrovaná k dani a současně se nejedná o nový dopravní prostředek ve smyslu § 19 zákona o dani z přidané hodnoty.</w:t>
            </w:r>
            <w:r w:rsidR="005B4E16">
              <w:rPr>
                <w:rFonts w:ascii="Times New Roman" w:hAnsi="Times New Roman"/>
                <w:sz w:val="24"/>
                <w:szCs w:val="24"/>
              </w:rPr>
              <w:t xml:space="preserve"> Takovéto nákupy vozidel nejsou mezi žadateli o příspěvek ani zdaleka běžné, neboť příspěvek je poskytován na období 7 let a na takovouto dobu při velmi vysokém zatížení a opotřebovávání se vozidla je nutné zakoupit vozidlo úplně nové, aby po celou tuto dobu zmíněné vysoké nároky spolehlivě vydrželo. Navíc je nutno drtivou většinu vozidel speciálně upravovat. A tyto úpravy není často možné provést na kterémkoli vozidle. Proto žadatelé již předem vybírají vozidla, která budou umožňovat provést speciální, jimi vyžadovanou úpravu, kterou nutně potřebují k tomu, aby jimi mohli být dopravováni. Takový nákup vozidel, který uvádí ministerstvo a při kterém není možno vrátit DPH, není ani zdaleka</w:t>
            </w:r>
            <w:r w:rsidR="00567259">
              <w:rPr>
                <w:rFonts w:ascii="Times New Roman" w:hAnsi="Times New Roman"/>
                <w:sz w:val="24"/>
                <w:szCs w:val="24"/>
              </w:rPr>
              <w:t xml:space="preserve"> b</w:t>
            </w:r>
            <w:r w:rsidR="005B4E16">
              <w:rPr>
                <w:rFonts w:ascii="Times New Roman" w:hAnsi="Times New Roman"/>
                <w:sz w:val="24"/>
                <w:szCs w:val="24"/>
              </w:rPr>
              <w:t>ěžný. A už vůbec není většinový. Jde spíše o výjimečné nákupy.</w:t>
            </w:r>
            <w:r w:rsidR="00567259">
              <w:rPr>
                <w:rFonts w:ascii="Times New Roman" w:hAnsi="Times New Roman"/>
                <w:sz w:val="24"/>
                <w:szCs w:val="24"/>
              </w:rPr>
              <w:t xml:space="preserve"> Při nich však kupující počítají s podstatně nižší cenou vozidla, než jaká by byla u vozidla úplně nového. Na takovouto výši ceny pak dosáhnou i bez vrácení DPH.</w:t>
            </w:r>
          </w:p>
          <w:p w14:paraId="448B291D" w14:textId="718D50E2" w:rsidR="00E97E65" w:rsidRPr="00964CB4" w:rsidRDefault="00964CB4" w:rsidP="00E97E65">
            <w:pPr>
              <w:jc w:val="both"/>
              <w:rPr>
                <w:rFonts w:ascii="Times New Roman" w:hAnsi="Times New Roman" w:cs="Times New Roman"/>
                <w:sz w:val="24"/>
                <w:szCs w:val="24"/>
              </w:rPr>
            </w:pPr>
            <w:r>
              <w:rPr>
                <w:rFonts w:ascii="Times New Roman" w:hAnsi="Times New Roman" w:cs="Times New Roman"/>
                <w:sz w:val="24"/>
                <w:szCs w:val="24"/>
              </w:rPr>
              <w:t>Máme-li v této souvislosti srovnat v absolutních číslech o jak velký zásah do státního rozpočtu se v případě vracení DPH při nákupu těchto vozidel jedná, tak podle informace ministerstva financí je za</w:t>
            </w:r>
            <w:r w:rsidR="00E97E65" w:rsidRPr="00E97E65">
              <w:rPr>
                <w:rFonts w:ascii="Times New Roman" w:hAnsi="Times New Roman" w:cs="Times New Roman"/>
                <w:sz w:val="24"/>
                <w:szCs w:val="24"/>
              </w:rPr>
              <w:t xml:space="preserve"> rok </w:t>
            </w:r>
            <w:r>
              <w:rPr>
                <w:rFonts w:ascii="Times New Roman" w:hAnsi="Times New Roman" w:cs="Times New Roman"/>
                <w:sz w:val="24"/>
                <w:szCs w:val="24"/>
              </w:rPr>
              <w:t>p</w:t>
            </w:r>
            <w:r w:rsidR="00E97E65" w:rsidRPr="00E97E65">
              <w:rPr>
                <w:rFonts w:ascii="Times New Roman" w:hAnsi="Times New Roman" w:cs="Times New Roman"/>
                <w:sz w:val="24"/>
                <w:szCs w:val="24"/>
              </w:rPr>
              <w:t xml:space="preserve">oskytnuto </w:t>
            </w:r>
            <w:r>
              <w:rPr>
                <w:rFonts w:ascii="Times New Roman" w:hAnsi="Times New Roman" w:cs="Times New Roman"/>
                <w:sz w:val="24"/>
                <w:szCs w:val="24"/>
              </w:rPr>
              <w:t xml:space="preserve">asi </w:t>
            </w:r>
            <w:r w:rsidR="00E97E65" w:rsidRPr="00E97E65">
              <w:rPr>
                <w:rFonts w:ascii="Times New Roman" w:hAnsi="Times New Roman" w:cs="Times New Roman"/>
                <w:sz w:val="24"/>
                <w:szCs w:val="24"/>
              </w:rPr>
              <w:t>1</w:t>
            </w:r>
            <w:r>
              <w:rPr>
                <w:rFonts w:ascii="Times New Roman" w:hAnsi="Times New Roman" w:cs="Times New Roman"/>
                <w:sz w:val="24"/>
                <w:szCs w:val="24"/>
              </w:rPr>
              <w:t xml:space="preserve"> </w:t>
            </w:r>
            <w:r w:rsidR="00E97E65" w:rsidRPr="00E97E65">
              <w:rPr>
                <w:rFonts w:ascii="Times New Roman" w:hAnsi="Times New Roman" w:cs="Times New Roman"/>
                <w:sz w:val="24"/>
                <w:szCs w:val="24"/>
              </w:rPr>
              <w:t xml:space="preserve">200 příspěvků na nákup motorového vozidla. Pokud by všichni uplatnili maximální </w:t>
            </w:r>
            <w:r>
              <w:rPr>
                <w:rFonts w:ascii="Times New Roman" w:hAnsi="Times New Roman" w:cs="Times New Roman"/>
                <w:sz w:val="24"/>
                <w:szCs w:val="24"/>
              </w:rPr>
              <w:t>výši nároku na vrácení DPH (což se v praxi samozřejmě nikdy nestalo)</w:t>
            </w:r>
            <w:r w:rsidR="00E97E65" w:rsidRPr="00E97E65">
              <w:rPr>
                <w:rFonts w:ascii="Times New Roman" w:hAnsi="Times New Roman" w:cs="Times New Roman"/>
                <w:sz w:val="24"/>
                <w:szCs w:val="24"/>
              </w:rPr>
              <w:t xml:space="preserve"> to je 100 000 </w:t>
            </w:r>
            <w:r>
              <w:rPr>
                <w:rFonts w:ascii="Times New Roman" w:hAnsi="Times New Roman" w:cs="Times New Roman"/>
                <w:sz w:val="24"/>
                <w:szCs w:val="24"/>
              </w:rPr>
              <w:t>Kč/automobil</w:t>
            </w:r>
            <w:r w:rsidR="00E97E65" w:rsidRPr="00E97E65">
              <w:rPr>
                <w:rFonts w:ascii="Times New Roman" w:hAnsi="Times New Roman" w:cs="Times New Roman"/>
                <w:sz w:val="24"/>
                <w:szCs w:val="24"/>
              </w:rPr>
              <w:t>, tak by se snížily příjmy stát</w:t>
            </w:r>
            <w:r w:rsidR="004E1CF3">
              <w:rPr>
                <w:rFonts w:ascii="Times New Roman" w:hAnsi="Times New Roman" w:cs="Times New Roman"/>
                <w:sz w:val="24"/>
                <w:szCs w:val="24"/>
              </w:rPr>
              <w:t xml:space="preserve">ního </w:t>
            </w:r>
            <w:r w:rsidR="004E1CF3">
              <w:rPr>
                <w:rFonts w:ascii="Times New Roman" w:hAnsi="Times New Roman" w:cs="Times New Roman"/>
                <w:sz w:val="24"/>
                <w:szCs w:val="24"/>
              </w:rPr>
              <w:lastRenderedPageBreak/>
              <w:t>rozpočtu</w:t>
            </w:r>
            <w:r w:rsidR="00E97E65" w:rsidRPr="00E97E65">
              <w:rPr>
                <w:rFonts w:ascii="Times New Roman" w:hAnsi="Times New Roman" w:cs="Times New Roman"/>
                <w:sz w:val="24"/>
                <w:szCs w:val="24"/>
              </w:rPr>
              <w:t xml:space="preserve"> za rok o 120 miliónů korun. Vzhledem k tomu, že příjmy státního rozpočtu na rok 2024 se odhadují na </w:t>
            </w:r>
            <w:r w:rsidR="00E97E65" w:rsidRPr="004E1CF3">
              <w:rPr>
                <w:rFonts w:ascii="Times New Roman" w:hAnsi="Times New Roman" w:cs="Times New Roman"/>
                <w:b/>
                <w:bCs/>
                <w:sz w:val="24"/>
                <w:szCs w:val="24"/>
              </w:rPr>
              <w:t>1 bilión 940 miliard korun</w:t>
            </w:r>
            <w:r w:rsidR="00E97E65" w:rsidRPr="00E97E65">
              <w:rPr>
                <w:rFonts w:ascii="Times New Roman" w:hAnsi="Times New Roman" w:cs="Times New Roman"/>
                <w:sz w:val="24"/>
                <w:szCs w:val="24"/>
              </w:rPr>
              <w:t xml:space="preserve">, je </w:t>
            </w:r>
            <w:r w:rsidR="00E97E65" w:rsidRPr="004E1CF3">
              <w:rPr>
                <w:rFonts w:ascii="Times New Roman" w:hAnsi="Times New Roman" w:cs="Times New Roman"/>
                <w:b/>
                <w:bCs/>
                <w:sz w:val="24"/>
                <w:szCs w:val="24"/>
              </w:rPr>
              <w:t>120 miliónů korun</w:t>
            </w:r>
            <w:r w:rsidR="00E97E65" w:rsidRPr="00E97E65">
              <w:rPr>
                <w:rFonts w:ascii="Times New Roman" w:hAnsi="Times New Roman" w:cs="Times New Roman"/>
                <w:sz w:val="24"/>
                <w:szCs w:val="24"/>
              </w:rPr>
              <w:t xml:space="preserve">, ušetřených </w:t>
            </w:r>
            <w:r w:rsidR="004E1CF3">
              <w:rPr>
                <w:rFonts w:ascii="Times New Roman" w:hAnsi="Times New Roman" w:cs="Times New Roman"/>
                <w:sz w:val="24"/>
                <w:szCs w:val="24"/>
              </w:rPr>
              <w:t xml:space="preserve">takto velmi bolestivě </w:t>
            </w:r>
            <w:r w:rsidR="00E97E65" w:rsidRPr="00E97E65">
              <w:rPr>
                <w:rFonts w:ascii="Times New Roman" w:hAnsi="Times New Roman" w:cs="Times New Roman"/>
                <w:sz w:val="24"/>
                <w:szCs w:val="24"/>
              </w:rPr>
              <w:t>na DPH u zdravotně postižených občanů</w:t>
            </w:r>
            <w:r w:rsidR="004E1CF3">
              <w:rPr>
                <w:rFonts w:ascii="Times New Roman" w:hAnsi="Times New Roman" w:cs="Times New Roman"/>
                <w:sz w:val="24"/>
                <w:szCs w:val="24"/>
              </w:rPr>
              <w:t xml:space="preserve"> s těmi úplně nejtěžšími postiženími (tedy u těch nejzranitelnějších)</w:t>
            </w:r>
            <w:r w:rsidR="00E97E65" w:rsidRPr="00E97E65">
              <w:rPr>
                <w:rFonts w:ascii="Times New Roman" w:hAnsi="Times New Roman" w:cs="Times New Roman"/>
                <w:sz w:val="24"/>
                <w:szCs w:val="24"/>
              </w:rPr>
              <w:t xml:space="preserve">, </w:t>
            </w:r>
            <w:r w:rsidR="00E97E65" w:rsidRPr="004E1CF3">
              <w:rPr>
                <w:rFonts w:ascii="Times New Roman" w:hAnsi="Times New Roman" w:cs="Times New Roman"/>
                <w:b/>
                <w:bCs/>
                <w:sz w:val="24"/>
                <w:szCs w:val="24"/>
                <w:u w:val="single"/>
              </w:rPr>
              <w:t>zcela nicotn</w:t>
            </w:r>
            <w:r w:rsidR="004E1CF3" w:rsidRPr="004E1CF3">
              <w:rPr>
                <w:rFonts w:ascii="Times New Roman" w:hAnsi="Times New Roman" w:cs="Times New Roman"/>
                <w:b/>
                <w:bCs/>
                <w:sz w:val="24"/>
                <w:szCs w:val="24"/>
                <w:u w:val="single"/>
              </w:rPr>
              <w:t>ou</w:t>
            </w:r>
            <w:r w:rsidR="00E97E65" w:rsidRPr="004E1CF3">
              <w:rPr>
                <w:rFonts w:ascii="Times New Roman" w:hAnsi="Times New Roman" w:cs="Times New Roman"/>
                <w:b/>
                <w:bCs/>
                <w:sz w:val="24"/>
                <w:szCs w:val="24"/>
                <w:u w:val="single"/>
              </w:rPr>
              <w:t xml:space="preserve"> částk</w:t>
            </w:r>
            <w:r w:rsidR="004E1CF3" w:rsidRPr="004E1CF3">
              <w:rPr>
                <w:rFonts w:ascii="Times New Roman" w:hAnsi="Times New Roman" w:cs="Times New Roman"/>
                <w:b/>
                <w:bCs/>
                <w:sz w:val="24"/>
                <w:szCs w:val="24"/>
                <w:u w:val="single"/>
              </w:rPr>
              <w:t>ou</w:t>
            </w:r>
            <w:r w:rsidR="00E97E65" w:rsidRPr="004E1CF3">
              <w:rPr>
                <w:rFonts w:ascii="Times New Roman" w:hAnsi="Times New Roman" w:cs="Times New Roman"/>
                <w:b/>
                <w:bCs/>
                <w:sz w:val="24"/>
                <w:szCs w:val="24"/>
                <w:u w:val="single"/>
              </w:rPr>
              <w:t xml:space="preserve"> na úrovni jedné deseti tisíciny procenta</w:t>
            </w:r>
            <w:r w:rsidR="004E1CF3">
              <w:rPr>
                <w:rFonts w:ascii="Times New Roman" w:hAnsi="Times New Roman" w:cs="Times New Roman"/>
                <w:b/>
                <w:bCs/>
                <w:sz w:val="24"/>
                <w:szCs w:val="24"/>
                <w:u w:val="single"/>
              </w:rPr>
              <w:t>!</w:t>
            </w:r>
            <w:r w:rsidR="00E97E65" w:rsidRPr="00E97E65">
              <w:rPr>
                <w:rFonts w:ascii="Times New Roman" w:hAnsi="Times New Roman" w:cs="Times New Roman"/>
                <w:sz w:val="24"/>
                <w:szCs w:val="24"/>
              </w:rPr>
              <w:t xml:space="preserve"> </w:t>
            </w:r>
            <w:r w:rsidR="004E1CF3">
              <w:rPr>
                <w:rFonts w:ascii="Times New Roman" w:hAnsi="Times New Roman" w:cs="Times New Roman"/>
                <w:sz w:val="24"/>
                <w:szCs w:val="24"/>
              </w:rPr>
              <w:t>V souvislosti s tím je nutno velmi výrazně podtrhnout a zdůraznit</w:t>
            </w:r>
            <w:r w:rsidR="00E97E65" w:rsidRPr="00E97E65">
              <w:rPr>
                <w:rFonts w:ascii="Times New Roman" w:hAnsi="Times New Roman" w:cs="Times New Roman"/>
                <w:sz w:val="24"/>
                <w:szCs w:val="24"/>
              </w:rPr>
              <w:t xml:space="preserve">, že v mnoha případech právě možnost </w:t>
            </w:r>
            <w:r w:rsidR="004E1CF3">
              <w:rPr>
                <w:rFonts w:ascii="Times New Roman" w:hAnsi="Times New Roman" w:cs="Times New Roman"/>
                <w:sz w:val="24"/>
                <w:szCs w:val="24"/>
              </w:rPr>
              <w:t xml:space="preserve">finanční </w:t>
            </w:r>
            <w:r w:rsidR="00E97E65" w:rsidRPr="00E97E65">
              <w:rPr>
                <w:rFonts w:ascii="Times New Roman" w:hAnsi="Times New Roman" w:cs="Times New Roman"/>
                <w:sz w:val="24"/>
                <w:szCs w:val="24"/>
              </w:rPr>
              <w:t>dostupnosti motorových vozidel pro osoby se zdravotním postižením jim umožňuje výkon zaměstnání, což zase naopak přináší peníze do státního rozpočtu</w:t>
            </w:r>
            <w:r w:rsidR="004E1CF3">
              <w:rPr>
                <w:rFonts w:ascii="Times New Roman" w:hAnsi="Times New Roman" w:cs="Times New Roman"/>
                <w:sz w:val="24"/>
                <w:szCs w:val="24"/>
              </w:rPr>
              <w:t xml:space="preserve">! Tito lidé jsou tak schopni státem vynaložené peníze na jejich příspěvky a vrácené </w:t>
            </w:r>
            <w:proofErr w:type="gramStart"/>
            <w:r w:rsidR="004E1CF3">
              <w:rPr>
                <w:rFonts w:ascii="Times New Roman" w:hAnsi="Times New Roman" w:cs="Times New Roman"/>
                <w:sz w:val="24"/>
                <w:szCs w:val="24"/>
              </w:rPr>
              <w:t>DPH  alespoň</w:t>
            </w:r>
            <w:proofErr w:type="gramEnd"/>
            <w:r w:rsidR="004E1CF3">
              <w:rPr>
                <w:rFonts w:ascii="Times New Roman" w:hAnsi="Times New Roman" w:cs="Times New Roman"/>
                <w:sz w:val="24"/>
                <w:szCs w:val="24"/>
              </w:rPr>
              <w:t xml:space="preserve"> z části, nebo někdy i plně do rozpočtu vracet.</w:t>
            </w:r>
          </w:p>
          <w:p w14:paraId="315143F0" w14:textId="274BC2D8" w:rsidR="004E1CF3" w:rsidRDefault="004E1CF3" w:rsidP="00E97E65">
            <w:pPr>
              <w:jc w:val="both"/>
              <w:rPr>
                <w:rFonts w:ascii="Times New Roman" w:hAnsi="Times New Roman" w:cs="Times New Roman"/>
                <w:sz w:val="24"/>
                <w:szCs w:val="24"/>
              </w:rPr>
            </w:pPr>
            <w:r>
              <w:rPr>
                <w:rFonts w:ascii="Times New Roman" w:hAnsi="Times New Roman" w:cs="Times New Roman"/>
                <w:sz w:val="24"/>
                <w:szCs w:val="24"/>
              </w:rPr>
              <w:t xml:space="preserve">Oproti </w:t>
            </w:r>
            <w:r w:rsidR="00567259">
              <w:rPr>
                <w:rFonts w:ascii="Times New Roman" w:hAnsi="Times New Roman" w:cs="Times New Roman"/>
                <w:sz w:val="24"/>
                <w:szCs w:val="24"/>
              </w:rPr>
              <w:t xml:space="preserve">této hypotetické úspoře rozpočtu je pak nutno do ostrého kontrastu postavit vznik nesmírně velkých komplikací pro osoby s těmi úplně nejtěžšími pohybovými a mentálními postiženími, které by bez pořízení motorového vozidla byly zcela zbaveny, jakékoli možnosti přepravy na větší vzdálenosti než </w:t>
            </w:r>
            <w:proofErr w:type="gramStart"/>
            <w:r w:rsidR="00567259">
              <w:rPr>
                <w:rFonts w:ascii="Times New Roman" w:hAnsi="Times New Roman" w:cs="Times New Roman"/>
                <w:sz w:val="24"/>
                <w:szCs w:val="24"/>
              </w:rPr>
              <w:t>1km</w:t>
            </w:r>
            <w:proofErr w:type="gramEnd"/>
            <w:r w:rsidR="00567259">
              <w:rPr>
                <w:rFonts w:ascii="Times New Roman" w:hAnsi="Times New Roman" w:cs="Times New Roman"/>
                <w:sz w:val="24"/>
                <w:szCs w:val="24"/>
              </w:rPr>
              <w:t xml:space="preserve">. V některých případech než </w:t>
            </w:r>
            <w:proofErr w:type="gramStart"/>
            <w:r w:rsidR="00567259">
              <w:rPr>
                <w:rFonts w:ascii="Times New Roman" w:hAnsi="Times New Roman" w:cs="Times New Roman"/>
                <w:sz w:val="24"/>
                <w:szCs w:val="24"/>
              </w:rPr>
              <w:t>500m</w:t>
            </w:r>
            <w:proofErr w:type="gramEnd"/>
            <w:r w:rsidR="00567259">
              <w:rPr>
                <w:rFonts w:ascii="Times New Roman" w:hAnsi="Times New Roman" w:cs="Times New Roman"/>
                <w:sz w:val="24"/>
                <w:szCs w:val="24"/>
              </w:rPr>
              <w:t>. Nemenší komplikace by tato úspora způsobila i jejich rodinám a pečujícím osobám,</w:t>
            </w:r>
            <w:r w:rsidR="00D9226E">
              <w:rPr>
                <w:rFonts w:ascii="Times New Roman" w:hAnsi="Times New Roman" w:cs="Times New Roman"/>
                <w:sz w:val="24"/>
                <w:szCs w:val="24"/>
              </w:rPr>
              <w:t xml:space="preserve"> které jsou již nyní i bez tohoto návrhu ve velmi složité a komplikované ekonomické situaci.</w:t>
            </w:r>
          </w:p>
          <w:p w14:paraId="6B994E4E" w14:textId="1D041E98" w:rsidR="004E1CF3" w:rsidRDefault="00567259" w:rsidP="00E97E65">
            <w:pPr>
              <w:jc w:val="both"/>
              <w:rPr>
                <w:rFonts w:ascii="Times New Roman" w:hAnsi="Times New Roman" w:cs="Times New Roman"/>
                <w:sz w:val="24"/>
                <w:szCs w:val="24"/>
              </w:rPr>
            </w:pPr>
            <w:r>
              <w:rPr>
                <w:rFonts w:ascii="Times New Roman" w:hAnsi="Times New Roman" w:cs="Times New Roman"/>
                <w:sz w:val="24"/>
                <w:szCs w:val="24"/>
              </w:rPr>
              <w:t xml:space="preserve">Vzhledem k výše uvedenému </w:t>
            </w:r>
            <w:r w:rsidRPr="00567259">
              <w:rPr>
                <w:rFonts w:ascii="Times New Roman" w:hAnsi="Times New Roman" w:cs="Times New Roman"/>
                <w:b/>
                <w:bCs/>
                <w:sz w:val="24"/>
                <w:szCs w:val="24"/>
                <w:u w:val="single"/>
              </w:rPr>
              <w:t>NRZP ČR trvá na zachování možnosti vrácení DPH na zakoupení motorového vozidla pořízeného z příspěvku na zvláštní pomůcku motorového vozidla od úřadu práce</w:t>
            </w:r>
            <w:r>
              <w:rPr>
                <w:rFonts w:ascii="Times New Roman" w:hAnsi="Times New Roman" w:cs="Times New Roman"/>
                <w:sz w:val="24"/>
                <w:szCs w:val="24"/>
              </w:rPr>
              <w:t>.</w:t>
            </w:r>
            <w:r w:rsidR="00D9226E">
              <w:rPr>
                <w:rFonts w:ascii="Times New Roman" w:hAnsi="Times New Roman" w:cs="Times New Roman"/>
                <w:sz w:val="24"/>
                <w:szCs w:val="24"/>
              </w:rPr>
              <w:t xml:space="preserve"> Požadujeme zrušit novelizační bod č. 292 </w:t>
            </w:r>
            <w:r w:rsidR="00D9226E" w:rsidRPr="00D9226E">
              <w:rPr>
                <w:rFonts w:ascii="Times New Roman" w:hAnsi="Times New Roman" w:cs="Times New Roman"/>
                <w:bCs/>
                <w:sz w:val="24"/>
                <w:szCs w:val="24"/>
              </w:rPr>
              <w:t>„§ 85 se včetně nadpisu zrušuje.“</w:t>
            </w:r>
            <w:r w:rsidR="00D9226E">
              <w:rPr>
                <w:rFonts w:ascii="Times New Roman" w:hAnsi="Times New Roman" w:cs="Times New Roman"/>
                <w:b/>
                <w:sz w:val="24"/>
                <w:szCs w:val="24"/>
              </w:rPr>
              <w:t>.</w:t>
            </w:r>
          </w:p>
          <w:p w14:paraId="33123557" w14:textId="6D56E5C2" w:rsidR="00E97E65" w:rsidRPr="00715259" w:rsidRDefault="00E97E65" w:rsidP="00E97E65">
            <w:pPr>
              <w:jc w:val="both"/>
              <w:rPr>
                <w:rFonts w:ascii="Times New Roman" w:hAnsi="Times New Roman" w:cs="Times New Roman"/>
                <w:sz w:val="24"/>
                <w:szCs w:val="24"/>
              </w:rPr>
            </w:pPr>
          </w:p>
        </w:tc>
      </w:tr>
      <w:tr w:rsidR="00882C07" w14:paraId="5C4F31D1" w14:textId="77777777" w:rsidTr="00882C07">
        <w:tc>
          <w:tcPr>
            <w:tcW w:w="1402" w:type="dxa"/>
          </w:tcPr>
          <w:p w14:paraId="240F02FF" w14:textId="77777777" w:rsidR="00D9226E" w:rsidRDefault="00D9226E">
            <w:pPr>
              <w:rPr>
                <w:rFonts w:ascii="Times New Roman" w:hAnsi="Times New Roman" w:cs="Times New Roman"/>
                <w:sz w:val="24"/>
                <w:szCs w:val="24"/>
              </w:rPr>
            </w:pPr>
          </w:p>
          <w:p w14:paraId="6EF8EDE9" w14:textId="77777777" w:rsidR="00D9226E" w:rsidRDefault="00D9226E">
            <w:pPr>
              <w:rPr>
                <w:rFonts w:ascii="Times New Roman" w:hAnsi="Times New Roman" w:cs="Times New Roman"/>
                <w:sz w:val="24"/>
                <w:szCs w:val="24"/>
              </w:rPr>
            </w:pPr>
          </w:p>
          <w:p w14:paraId="603C7FBD" w14:textId="00548A78" w:rsidR="00882C07" w:rsidRPr="00D9226E" w:rsidRDefault="00D9226E">
            <w:pPr>
              <w:rPr>
                <w:rFonts w:ascii="Times New Roman" w:hAnsi="Times New Roman" w:cs="Times New Roman"/>
                <w:sz w:val="24"/>
                <w:szCs w:val="24"/>
              </w:rPr>
            </w:pPr>
            <w:r>
              <w:rPr>
                <w:rFonts w:ascii="Times New Roman" w:hAnsi="Times New Roman" w:cs="Times New Roman"/>
                <w:sz w:val="24"/>
                <w:szCs w:val="24"/>
              </w:rPr>
              <w:t xml:space="preserve">      </w:t>
            </w:r>
            <w:r w:rsidRPr="00D9226E">
              <w:rPr>
                <w:rFonts w:ascii="Times New Roman" w:hAnsi="Times New Roman" w:cs="Times New Roman"/>
                <w:sz w:val="24"/>
                <w:szCs w:val="24"/>
              </w:rPr>
              <w:t>2.</w:t>
            </w:r>
          </w:p>
        </w:tc>
        <w:tc>
          <w:tcPr>
            <w:tcW w:w="1709" w:type="dxa"/>
          </w:tcPr>
          <w:p w14:paraId="254C12E5" w14:textId="77777777" w:rsidR="00D9226E" w:rsidRDefault="00D9226E">
            <w:pPr>
              <w:rPr>
                <w:rFonts w:ascii="Times New Roman" w:hAnsi="Times New Roman" w:cs="Times New Roman"/>
                <w:sz w:val="24"/>
                <w:szCs w:val="24"/>
              </w:rPr>
            </w:pPr>
          </w:p>
          <w:p w14:paraId="5A35357C" w14:textId="77777777" w:rsidR="00D9226E" w:rsidRDefault="00D9226E">
            <w:pPr>
              <w:rPr>
                <w:rFonts w:ascii="Times New Roman" w:hAnsi="Times New Roman" w:cs="Times New Roman"/>
                <w:sz w:val="24"/>
                <w:szCs w:val="24"/>
              </w:rPr>
            </w:pPr>
          </w:p>
          <w:p w14:paraId="0BFD7052" w14:textId="7A48981E" w:rsidR="00882C07" w:rsidRPr="00D9226E" w:rsidRDefault="00D9226E">
            <w:pPr>
              <w:rPr>
                <w:rFonts w:ascii="Times New Roman" w:hAnsi="Times New Roman" w:cs="Times New Roman"/>
                <w:b/>
                <w:bCs/>
                <w:sz w:val="24"/>
                <w:szCs w:val="24"/>
              </w:rPr>
            </w:pPr>
            <w:r>
              <w:rPr>
                <w:rFonts w:ascii="Times New Roman" w:hAnsi="Times New Roman" w:cs="Times New Roman"/>
                <w:sz w:val="24"/>
                <w:szCs w:val="24"/>
              </w:rPr>
              <w:t xml:space="preserve">  </w:t>
            </w:r>
            <w:r w:rsidRPr="00D9226E">
              <w:rPr>
                <w:rFonts w:ascii="Times New Roman" w:hAnsi="Times New Roman" w:cs="Times New Roman"/>
                <w:b/>
                <w:bCs/>
                <w:sz w:val="24"/>
                <w:szCs w:val="24"/>
              </w:rPr>
              <w:t>NRZP ČR</w:t>
            </w:r>
          </w:p>
        </w:tc>
        <w:tc>
          <w:tcPr>
            <w:tcW w:w="571" w:type="dxa"/>
          </w:tcPr>
          <w:p w14:paraId="0CFBAC81" w14:textId="77777777" w:rsidR="00D9226E" w:rsidRDefault="00D9226E">
            <w:pPr>
              <w:rPr>
                <w:rFonts w:ascii="Times New Roman" w:hAnsi="Times New Roman" w:cs="Times New Roman"/>
                <w:sz w:val="24"/>
                <w:szCs w:val="24"/>
              </w:rPr>
            </w:pPr>
          </w:p>
          <w:p w14:paraId="0D0F51EC" w14:textId="77777777" w:rsidR="00D9226E" w:rsidRDefault="00D9226E">
            <w:pPr>
              <w:rPr>
                <w:rFonts w:ascii="Times New Roman" w:hAnsi="Times New Roman" w:cs="Times New Roman"/>
                <w:sz w:val="24"/>
                <w:szCs w:val="24"/>
              </w:rPr>
            </w:pPr>
          </w:p>
          <w:p w14:paraId="14CABA88" w14:textId="205CE754" w:rsidR="00882C07" w:rsidRPr="00D9226E" w:rsidRDefault="00D9226E">
            <w:pPr>
              <w:rPr>
                <w:rFonts w:ascii="Times New Roman" w:hAnsi="Times New Roman" w:cs="Times New Roman"/>
                <w:b/>
                <w:bCs/>
                <w:sz w:val="24"/>
                <w:szCs w:val="24"/>
              </w:rPr>
            </w:pPr>
            <w:r>
              <w:rPr>
                <w:rFonts w:ascii="Times New Roman" w:hAnsi="Times New Roman" w:cs="Times New Roman"/>
                <w:sz w:val="24"/>
                <w:szCs w:val="24"/>
              </w:rPr>
              <w:t xml:space="preserve">  </w:t>
            </w:r>
            <w:r w:rsidRPr="00D9226E">
              <w:rPr>
                <w:rFonts w:ascii="Times New Roman" w:hAnsi="Times New Roman" w:cs="Times New Roman"/>
                <w:b/>
                <w:bCs/>
                <w:sz w:val="24"/>
                <w:szCs w:val="24"/>
              </w:rPr>
              <w:t>Z</w:t>
            </w:r>
          </w:p>
        </w:tc>
        <w:tc>
          <w:tcPr>
            <w:tcW w:w="1842" w:type="dxa"/>
          </w:tcPr>
          <w:p w14:paraId="1C12A436" w14:textId="77777777" w:rsidR="002E0C79" w:rsidRDefault="00D9226E" w:rsidP="00D9226E">
            <w:pPr>
              <w:pStyle w:val="Dvodovzprva"/>
              <w:rPr>
                <w:rFonts w:ascii="Times New Roman" w:hAnsi="Times New Roman"/>
                <w:b/>
                <w:bCs/>
                <w:color w:val="auto"/>
                <w:sz w:val="24"/>
                <w:szCs w:val="24"/>
              </w:rPr>
            </w:pPr>
            <w:proofErr w:type="spellStart"/>
            <w:r w:rsidRPr="002E0C79">
              <w:rPr>
                <w:rFonts w:ascii="Times New Roman" w:hAnsi="Times New Roman"/>
                <w:b/>
                <w:bCs/>
                <w:color w:val="auto"/>
                <w:sz w:val="24"/>
                <w:szCs w:val="24"/>
              </w:rPr>
              <w:t>čl.II</w:t>
            </w:r>
            <w:proofErr w:type="spellEnd"/>
            <w:r w:rsidRPr="002E0C79">
              <w:rPr>
                <w:rFonts w:ascii="Times New Roman" w:hAnsi="Times New Roman"/>
                <w:b/>
                <w:bCs/>
                <w:color w:val="auto"/>
                <w:sz w:val="24"/>
                <w:szCs w:val="24"/>
              </w:rPr>
              <w:t xml:space="preserve">  </w:t>
            </w:r>
          </w:p>
          <w:p w14:paraId="256808BB" w14:textId="77B95584" w:rsidR="00D9226E" w:rsidRPr="002E0C79" w:rsidRDefault="00D9226E" w:rsidP="00D9226E">
            <w:pPr>
              <w:pStyle w:val="Dvodovzprva"/>
              <w:rPr>
                <w:rFonts w:ascii="Times New Roman" w:hAnsi="Times New Roman"/>
                <w:b/>
                <w:bCs/>
                <w:color w:val="auto"/>
                <w:sz w:val="24"/>
                <w:szCs w:val="24"/>
              </w:rPr>
            </w:pPr>
            <w:r w:rsidRPr="002E0C79">
              <w:rPr>
                <w:rFonts w:ascii="Times New Roman" w:hAnsi="Times New Roman"/>
                <w:b/>
                <w:bCs/>
                <w:color w:val="auto"/>
                <w:sz w:val="24"/>
                <w:szCs w:val="24"/>
              </w:rPr>
              <w:t>Přechodná ustanovení</w:t>
            </w:r>
          </w:p>
          <w:p w14:paraId="2323C54D" w14:textId="54E3C8EE" w:rsidR="00D9226E" w:rsidRPr="00637B6E" w:rsidRDefault="00D9226E" w:rsidP="00D9226E">
            <w:pPr>
              <w:pStyle w:val="Dvodovzprvakbodu"/>
              <w:numPr>
                <w:ilvl w:val="0"/>
                <w:numId w:val="0"/>
              </w:numPr>
              <w:outlineLvl w:val="2"/>
              <w:rPr>
                <w:szCs w:val="24"/>
              </w:rPr>
            </w:pPr>
            <w:r>
              <w:rPr>
                <w:szCs w:val="24"/>
              </w:rPr>
              <w:t>Bod 17</w:t>
            </w:r>
          </w:p>
          <w:p w14:paraId="4062A47C" w14:textId="77777777" w:rsidR="00882C07" w:rsidRDefault="00882C07"/>
        </w:tc>
        <w:tc>
          <w:tcPr>
            <w:tcW w:w="8803" w:type="dxa"/>
          </w:tcPr>
          <w:p w14:paraId="52D52498" w14:textId="77777777" w:rsidR="002E0C79" w:rsidRDefault="002E0C79" w:rsidP="002E0C79">
            <w:pPr>
              <w:pStyle w:val="Textpechodka"/>
              <w:numPr>
                <w:ilvl w:val="0"/>
                <w:numId w:val="0"/>
              </w:numPr>
              <w:spacing w:before="120"/>
              <w:ind w:left="425" w:hanging="425"/>
              <w:rPr>
                <w:b/>
                <w:szCs w:val="24"/>
              </w:rPr>
            </w:pPr>
            <w:r w:rsidRPr="00715259">
              <w:rPr>
                <w:bCs/>
                <w:szCs w:val="24"/>
                <w:u w:val="single"/>
              </w:rPr>
              <w:t>Původní text</w:t>
            </w:r>
            <w:r w:rsidRPr="00715259">
              <w:rPr>
                <w:bCs/>
                <w:szCs w:val="24"/>
              </w:rPr>
              <w:t>:</w:t>
            </w:r>
            <w:r w:rsidRPr="00715259">
              <w:rPr>
                <w:b/>
                <w:szCs w:val="24"/>
              </w:rPr>
              <w:t xml:space="preserve"> </w:t>
            </w:r>
          </w:p>
          <w:p w14:paraId="7F15A5F2" w14:textId="5EC64675" w:rsidR="002E0C79" w:rsidRDefault="002E0C79" w:rsidP="002E0C79">
            <w:pPr>
              <w:pStyle w:val="Textpechodka"/>
              <w:numPr>
                <w:ilvl w:val="0"/>
                <w:numId w:val="0"/>
              </w:numPr>
              <w:spacing w:before="120"/>
            </w:pPr>
            <w:r>
              <w:rPr>
                <w:bCs/>
                <w:szCs w:val="24"/>
              </w:rPr>
              <w:t>„</w:t>
            </w:r>
            <w:r w:rsidRPr="00715259">
              <w:rPr>
                <w:bCs/>
                <w:szCs w:val="24"/>
              </w:rPr>
              <w:t xml:space="preserve">Bod </w:t>
            </w:r>
            <w:r>
              <w:rPr>
                <w:bCs/>
                <w:szCs w:val="24"/>
              </w:rPr>
              <w:t>17</w:t>
            </w:r>
            <w:r w:rsidRPr="00715259">
              <w:rPr>
                <w:bCs/>
                <w:szCs w:val="24"/>
              </w:rPr>
              <w:t>.</w:t>
            </w:r>
            <w:r w:rsidRPr="00715259">
              <w:rPr>
                <w:b/>
                <w:szCs w:val="24"/>
              </w:rPr>
              <w:t xml:space="preserve"> </w:t>
            </w:r>
            <w:r w:rsidRPr="0041417E">
              <w:t>Pokud byl rozhodnutím příslušného úřadu přiznán příspěvek podle zákona upravujícího poskytování dávek osobám se zdravotním postižením na dodané motorové vozidlo přede dnem nabytí účinnosti tohoto zákona, posuzuje se vznik nároku na vrácení daně a</w:t>
            </w:r>
            <w:r>
              <w:t> </w:t>
            </w:r>
            <w:r w:rsidRPr="0041417E">
              <w:t>postupuje se v</w:t>
            </w:r>
            <w:r>
              <w:t> </w:t>
            </w:r>
            <w:r w:rsidRPr="0041417E">
              <w:t>případě jeho uplatnění podle §</w:t>
            </w:r>
            <w:r>
              <w:t> </w:t>
            </w:r>
            <w:r w:rsidRPr="0041417E">
              <w:t>85 zákona č.</w:t>
            </w:r>
            <w:r>
              <w:t> </w:t>
            </w:r>
            <w:r w:rsidRPr="0041417E">
              <w:t>235/2004 Sb., ve znění účinném přede dnem nabytí účinnosti tohoto zákona.</w:t>
            </w:r>
            <w:r>
              <w:t>“</w:t>
            </w:r>
          </w:p>
          <w:p w14:paraId="154ED666" w14:textId="77777777" w:rsidR="002E0C79" w:rsidRPr="00715259" w:rsidRDefault="002E0C79" w:rsidP="002E0C79">
            <w:pPr>
              <w:pStyle w:val="Bezmezer"/>
              <w:rPr>
                <w:rFonts w:ascii="Times New Roman" w:hAnsi="Times New Roman"/>
                <w:b/>
                <w:color w:val="auto"/>
                <w:sz w:val="24"/>
                <w:u w:val="single"/>
              </w:rPr>
            </w:pPr>
          </w:p>
          <w:p w14:paraId="0C83D0B6" w14:textId="3C8A5582" w:rsidR="002E0C79" w:rsidRPr="00715259" w:rsidRDefault="002E0C79" w:rsidP="002E0C79">
            <w:pPr>
              <w:jc w:val="both"/>
              <w:rPr>
                <w:rFonts w:ascii="Times New Roman" w:hAnsi="Times New Roman" w:cs="Times New Roman"/>
                <w:sz w:val="24"/>
                <w:szCs w:val="24"/>
              </w:rPr>
            </w:pPr>
            <w:r w:rsidRPr="00715259">
              <w:rPr>
                <w:rFonts w:ascii="Times New Roman" w:hAnsi="Times New Roman" w:cs="Times New Roman"/>
                <w:sz w:val="24"/>
                <w:szCs w:val="24"/>
                <w:u w:val="single"/>
              </w:rPr>
              <w:t>Návrh změny</w:t>
            </w:r>
            <w:r w:rsidRPr="00715259">
              <w:rPr>
                <w:rFonts w:ascii="Times New Roman" w:hAnsi="Times New Roman" w:cs="Times New Roman"/>
                <w:sz w:val="24"/>
                <w:szCs w:val="24"/>
              </w:rPr>
              <w:t xml:space="preserve">: </w:t>
            </w:r>
            <w:r w:rsidRPr="00715259">
              <w:rPr>
                <w:rFonts w:ascii="Times New Roman" w:hAnsi="Times New Roman" w:cs="Times New Roman"/>
                <w:b/>
                <w:sz w:val="24"/>
                <w:szCs w:val="24"/>
              </w:rPr>
              <w:t xml:space="preserve">Bod </w:t>
            </w:r>
            <w:r>
              <w:rPr>
                <w:rFonts w:ascii="Times New Roman" w:hAnsi="Times New Roman" w:cs="Times New Roman"/>
                <w:b/>
                <w:sz w:val="24"/>
                <w:szCs w:val="24"/>
              </w:rPr>
              <w:t>17</w:t>
            </w:r>
            <w:r w:rsidRPr="00715259">
              <w:rPr>
                <w:rFonts w:ascii="Times New Roman" w:hAnsi="Times New Roman" w:cs="Times New Roman"/>
                <w:b/>
                <w:sz w:val="24"/>
                <w:szCs w:val="24"/>
              </w:rPr>
              <w:t>. znějící „</w:t>
            </w:r>
            <w:r w:rsidRPr="002E0C79">
              <w:rPr>
                <w:rFonts w:ascii="Times New Roman" w:hAnsi="Times New Roman" w:cs="Times New Roman"/>
                <w:b/>
                <w:bCs/>
                <w:sz w:val="24"/>
                <w:szCs w:val="24"/>
              </w:rPr>
              <w:t xml:space="preserve">Pokud byl rozhodnutím příslušného úřadu přiznán příspěvek podle zákona upravujícího poskytování dávek osobám se zdravotním postižením na dodané motorové vozidlo přede dnem nabytí účinnosti tohoto zákona, </w:t>
            </w:r>
            <w:r w:rsidRPr="002E0C79">
              <w:rPr>
                <w:rFonts w:ascii="Times New Roman" w:hAnsi="Times New Roman" w:cs="Times New Roman"/>
                <w:b/>
                <w:bCs/>
                <w:sz w:val="24"/>
                <w:szCs w:val="24"/>
              </w:rPr>
              <w:lastRenderedPageBreak/>
              <w:t>posuzuje se vznik nároku na vrácení daně a postupuje se v případě jeho uplatnění podle § 85 zákona č. 235/2004 Sb., ve znění účinném přede dnem nabytí účinnosti tohoto zákona.“</w:t>
            </w:r>
            <w:r w:rsidRPr="00715259">
              <w:rPr>
                <w:rFonts w:ascii="Times New Roman" w:hAnsi="Times New Roman" w:cs="Times New Roman"/>
                <w:sz w:val="24"/>
                <w:szCs w:val="24"/>
              </w:rPr>
              <w:t xml:space="preserve"> </w:t>
            </w:r>
            <w:r w:rsidRPr="00715259">
              <w:rPr>
                <w:rFonts w:ascii="Times New Roman" w:hAnsi="Times New Roman" w:cs="Times New Roman"/>
                <w:b/>
                <w:bCs/>
                <w:sz w:val="24"/>
                <w:szCs w:val="24"/>
              </w:rPr>
              <w:t xml:space="preserve">se </w:t>
            </w:r>
            <w:proofErr w:type="gramStart"/>
            <w:r w:rsidRPr="00715259">
              <w:rPr>
                <w:rFonts w:ascii="Times New Roman" w:hAnsi="Times New Roman" w:cs="Times New Roman"/>
                <w:b/>
                <w:bCs/>
                <w:sz w:val="24"/>
                <w:szCs w:val="24"/>
              </w:rPr>
              <w:t>ruší</w:t>
            </w:r>
            <w:proofErr w:type="gramEnd"/>
            <w:r w:rsidRPr="00715259">
              <w:rPr>
                <w:rFonts w:ascii="Times New Roman" w:hAnsi="Times New Roman" w:cs="Times New Roman"/>
                <w:sz w:val="24"/>
                <w:szCs w:val="24"/>
              </w:rPr>
              <w:t>.</w:t>
            </w:r>
          </w:p>
          <w:p w14:paraId="37EA9ECC" w14:textId="77777777" w:rsidR="002E0C79" w:rsidRPr="00715259" w:rsidRDefault="002E0C79" w:rsidP="002E0C79">
            <w:pPr>
              <w:jc w:val="both"/>
              <w:rPr>
                <w:rFonts w:ascii="Times New Roman" w:hAnsi="Times New Roman" w:cs="Times New Roman"/>
                <w:sz w:val="24"/>
                <w:szCs w:val="24"/>
              </w:rPr>
            </w:pPr>
          </w:p>
          <w:p w14:paraId="03C1614F" w14:textId="77777777" w:rsidR="00882C07" w:rsidRDefault="002E0C79" w:rsidP="002E0C79">
            <w:pPr>
              <w:rPr>
                <w:rFonts w:ascii="Times New Roman" w:hAnsi="Times New Roman" w:cs="Times New Roman"/>
                <w:sz w:val="24"/>
                <w:szCs w:val="24"/>
              </w:rPr>
            </w:pPr>
            <w:r w:rsidRPr="00715259">
              <w:rPr>
                <w:rFonts w:ascii="Times New Roman" w:hAnsi="Times New Roman" w:cs="Times New Roman"/>
                <w:sz w:val="24"/>
                <w:szCs w:val="24"/>
                <w:u w:val="single"/>
              </w:rPr>
              <w:t>Zdůvodnění</w:t>
            </w:r>
            <w:r w:rsidRPr="00715259">
              <w:rPr>
                <w:rFonts w:ascii="Times New Roman" w:hAnsi="Times New Roman" w:cs="Times New Roman"/>
                <w:sz w:val="24"/>
                <w:szCs w:val="24"/>
              </w:rPr>
              <w:t>:</w:t>
            </w:r>
            <w:r>
              <w:rPr>
                <w:rFonts w:ascii="Times New Roman" w:hAnsi="Times New Roman" w:cs="Times New Roman"/>
                <w:sz w:val="24"/>
                <w:szCs w:val="24"/>
              </w:rPr>
              <w:t xml:space="preserve"> Viz číslo připomínky 1.</w:t>
            </w:r>
          </w:p>
          <w:p w14:paraId="234D01EA" w14:textId="54F1C24E" w:rsidR="002E0C79" w:rsidRDefault="002E0C79" w:rsidP="002E0C79"/>
        </w:tc>
      </w:tr>
      <w:tr w:rsidR="00882C07" w14:paraId="7FD9AF06" w14:textId="77777777" w:rsidTr="00882C07">
        <w:tc>
          <w:tcPr>
            <w:tcW w:w="1402" w:type="dxa"/>
          </w:tcPr>
          <w:p w14:paraId="65370786" w14:textId="0837B900" w:rsidR="00882C07" w:rsidRDefault="00882C07"/>
        </w:tc>
        <w:tc>
          <w:tcPr>
            <w:tcW w:w="1709" w:type="dxa"/>
          </w:tcPr>
          <w:p w14:paraId="0B288F67" w14:textId="77777777" w:rsidR="00882C07" w:rsidRDefault="00882C07"/>
        </w:tc>
        <w:tc>
          <w:tcPr>
            <w:tcW w:w="571" w:type="dxa"/>
          </w:tcPr>
          <w:p w14:paraId="2E120F3A" w14:textId="77777777" w:rsidR="00882C07" w:rsidRDefault="00882C07"/>
        </w:tc>
        <w:tc>
          <w:tcPr>
            <w:tcW w:w="1842" w:type="dxa"/>
          </w:tcPr>
          <w:p w14:paraId="05DEEF61" w14:textId="77777777" w:rsidR="00882C07" w:rsidRDefault="00882C07"/>
        </w:tc>
        <w:tc>
          <w:tcPr>
            <w:tcW w:w="8803" w:type="dxa"/>
          </w:tcPr>
          <w:p w14:paraId="5491FE68" w14:textId="77777777" w:rsidR="00882C07" w:rsidRDefault="00882C07"/>
        </w:tc>
      </w:tr>
      <w:tr w:rsidR="00882C07" w14:paraId="596475CA" w14:textId="77777777" w:rsidTr="00882C07">
        <w:tc>
          <w:tcPr>
            <w:tcW w:w="1402" w:type="dxa"/>
          </w:tcPr>
          <w:p w14:paraId="5D1C71D0" w14:textId="1D152EA4" w:rsidR="00882C07" w:rsidRDefault="00882C07"/>
        </w:tc>
        <w:tc>
          <w:tcPr>
            <w:tcW w:w="1709" w:type="dxa"/>
          </w:tcPr>
          <w:p w14:paraId="2747237D" w14:textId="77777777" w:rsidR="00882C07" w:rsidRDefault="00882C07"/>
        </w:tc>
        <w:tc>
          <w:tcPr>
            <w:tcW w:w="571" w:type="dxa"/>
          </w:tcPr>
          <w:p w14:paraId="6F292D9A" w14:textId="77777777" w:rsidR="00882C07" w:rsidRDefault="00882C07"/>
        </w:tc>
        <w:tc>
          <w:tcPr>
            <w:tcW w:w="1842" w:type="dxa"/>
          </w:tcPr>
          <w:p w14:paraId="19C759D2" w14:textId="77777777" w:rsidR="00882C07" w:rsidRDefault="00882C07"/>
        </w:tc>
        <w:tc>
          <w:tcPr>
            <w:tcW w:w="8803" w:type="dxa"/>
          </w:tcPr>
          <w:p w14:paraId="0FCD7DEC" w14:textId="77777777" w:rsidR="00882C07" w:rsidRDefault="00882C07"/>
        </w:tc>
      </w:tr>
      <w:tr w:rsidR="00882C07" w14:paraId="38CD2EE3" w14:textId="77777777" w:rsidTr="00882C07">
        <w:tc>
          <w:tcPr>
            <w:tcW w:w="1402" w:type="dxa"/>
          </w:tcPr>
          <w:p w14:paraId="7E07A2EA" w14:textId="50AB151B" w:rsidR="00882C07" w:rsidRDefault="00882C07"/>
        </w:tc>
        <w:tc>
          <w:tcPr>
            <w:tcW w:w="1709" w:type="dxa"/>
          </w:tcPr>
          <w:p w14:paraId="0601F7BA" w14:textId="77777777" w:rsidR="00882C07" w:rsidRDefault="00882C07"/>
        </w:tc>
        <w:tc>
          <w:tcPr>
            <w:tcW w:w="571" w:type="dxa"/>
          </w:tcPr>
          <w:p w14:paraId="148952D8" w14:textId="77777777" w:rsidR="00882C07" w:rsidRDefault="00882C07"/>
        </w:tc>
        <w:tc>
          <w:tcPr>
            <w:tcW w:w="1842" w:type="dxa"/>
          </w:tcPr>
          <w:p w14:paraId="733BEBC0" w14:textId="77777777" w:rsidR="00882C07" w:rsidRDefault="00882C07"/>
        </w:tc>
        <w:tc>
          <w:tcPr>
            <w:tcW w:w="8803" w:type="dxa"/>
          </w:tcPr>
          <w:p w14:paraId="5CD0294C" w14:textId="77777777" w:rsidR="00882C07" w:rsidRDefault="00882C07"/>
        </w:tc>
      </w:tr>
      <w:tr w:rsidR="00882C07" w14:paraId="3D0C6F1E" w14:textId="77777777" w:rsidTr="00882C07">
        <w:tc>
          <w:tcPr>
            <w:tcW w:w="1402" w:type="dxa"/>
          </w:tcPr>
          <w:p w14:paraId="328C91FB" w14:textId="77777777" w:rsidR="00882C07" w:rsidRDefault="00882C07"/>
        </w:tc>
        <w:tc>
          <w:tcPr>
            <w:tcW w:w="1709" w:type="dxa"/>
          </w:tcPr>
          <w:p w14:paraId="55C92A04" w14:textId="77777777" w:rsidR="00882C07" w:rsidRDefault="00882C07"/>
        </w:tc>
        <w:tc>
          <w:tcPr>
            <w:tcW w:w="571" w:type="dxa"/>
          </w:tcPr>
          <w:p w14:paraId="215DC182" w14:textId="77777777" w:rsidR="00882C07" w:rsidRDefault="00882C07"/>
        </w:tc>
        <w:tc>
          <w:tcPr>
            <w:tcW w:w="1842" w:type="dxa"/>
          </w:tcPr>
          <w:p w14:paraId="24D55AD7" w14:textId="77777777" w:rsidR="00882C07" w:rsidRDefault="00882C07"/>
        </w:tc>
        <w:tc>
          <w:tcPr>
            <w:tcW w:w="8803" w:type="dxa"/>
          </w:tcPr>
          <w:p w14:paraId="280AAFF1" w14:textId="77777777" w:rsidR="00882C07" w:rsidRDefault="00882C07"/>
        </w:tc>
      </w:tr>
      <w:tr w:rsidR="00882C07" w14:paraId="66F093F0" w14:textId="77777777" w:rsidTr="00882C07">
        <w:tc>
          <w:tcPr>
            <w:tcW w:w="1402" w:type="dxa"/>
          </w:tcPr>
          <w:p w14:paraId="210F9F14" w14:textId="77777777" w:rsidR="00882C07" w:rsidRDefault="00882C07"/>
        </w:tc>
        <w:tc>
          <w:tcPr>
            <w:tcW w:w="1709" w:type="dxa"/>
          </w:tcPr>
          <w:p w14:paraId="6F56792F" w14:textId="77777777" w:rsidR="00882C07" w:rsidRDefault="00882C07"/>
        </w:tc>
        <w:tc>
          <w:tcPr>
            <w:tcW w:w="571" w:type="dxa"/>
          </w:tcPr>
          <w:p w14:paraId="637405BF" w14:textId="77777777" w:rsidR="00882C07" w:rsidRDefault="00882C07"/>
        </w:tc>
        <w:tc>
          <w:tcPr>
            <w:tcW w:w="1842" w:type="dxa"/>
          </w:tcPr>
          <w:p w14:paraId="750D4C05" w14:textId="77777777" w:rsidR="00882C07" w:rsidRDefault="00882C07"/>
        </w:tc>
        <w:tc>
          <w:tcPr>
            <w:tcW w:w="8803" w:type="dxa"/>
          </w:tcPr>
          <w:p w14:paraId="1A2A61A4" w14:textId="77777777" w:rsidR="00882C07" w:rsidRDefault="00882C07"/>
        </w:tc>
      </w:tr>
    </w:tbl>
    <w:p w14:paraId="3FFB884B" w14:textId="2B6502D6" w:rsidR="00DD795B" w:rsidRDefault="00DD795B"/>
    <w:p w14:paraId="5D2A9937" w14:textId="471F730E" w:rsidR="00182BAE" w:rsidRDefault="00182BAE">
      <w:pPr>
        <w:rPr>
          <w:i/>
          <w:iCs/>
        </w:rPr>
      </w:pPr>
      <w:r w:rsidRPr="00182BAE">
        <w:rPr>
          <w:i/>
          <w:iCs/>
        </w:rPr>
        <w:t>* D/Z = připomínka doporučující/zásadní</w:t>
      </w:r>
    </w:p>
    <w:p w14:paraId="66E42965" w14:textId="77777777" w:rsidR="00B11E6D" w:rsidRDefault="00B11E6D">
      <w:pPr>
        <w:rPr>
          <w:i/>
          <w:iCs/>
        </w:rPr>
      </w:pPr>
    </w:p>
    <w:p w14:paraId="7335F55D" w14:textId="77777777" w:rsidR="00B11E6D" w:rsidRDefault="00B11E6D">
      <w:pPr>
        <w:rPr>
          <w:i/>
          <w:iCs/>
        </w:rPr>
      </w:pPr>
    </w:p>
    <w:p w14:paraId="05361F64" w14:textId="4F691327" w:rsidR="00B11E6D" w:rsidRDefault="00B11E6D" w:rsidP="00B11E6D">
      <w:pPr>
        <w:jc w:val="right"/>
      </w:pPr>
      <w:r>
        <w:t>V Praze dne 15. 2. 2023</w:t>
      </w:r>
    </w:p>
    <w:p w14:paraId="547988FB" w14:textId="77777777" w:rsidR="00B11E6D" w:rsidRDefault="00B11E6D"/>
    <w:p w14:paraId="7D768B25" w14:textId="77777777" w:rsidR="00B11E6D" w:rsidRDefault="00B11E6D"/>
    <w:p w14:paraId="6A78CD3E" w14:textId="0321B4D2" w:rsidR="00B11E6D" w:rsidRDefault="00B11E6D">
      <w:r>
        <w:t>Zpracoval: JUDr. Zdeněk Žižka</w:t>
      </w:r>
    </w:p>
    <w:p w14:paraId="2E4808FB" w14:textId="76B60B5A" w:rsidR="00B11E6D" w:rsidRPr="00B11E6D" w:rsidRDefault="00B11E6D">
      <w:r>
        <w:t>Za NRZP ČR: Mgr. Václav Krása</w:t>
      </w:r>
    </w:p>
    <w:sectPr w:rsidR="00B11E6D" w:rsidRPr="00B11E6D" w:rsidSect="00071C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BD0"/>
    <w:multiLevelType w:val="singleLevel"/>
    <w:tmpl w:val="36408472"/>
    <w:lvl w:ilvl="0">
      <w:start w:val="1"/>
      <w:numFmt w:val="decimal"/>
      <w:pStyle w:val="Novelizanbod"/>
      <w:lvlText w:val="%1."/>
      <w:lvlJc w:val="left"/>
      <w:pPr>
        <w:tabs>
          <w:tab w:val="num" w:pos="567"/>
        </w:tabs>
        <w:ind w:left="567" w:hanging="567"/>
      </w:pPr>
      <w:rPr>
        <w:b/>
        <w:i w:val="0"/>
      </w:rPr>
    </w:lvl>
  </w:abstractNum>
  <w:abstractNum w:abstractNumId="1"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71FB70A6"/>
    <w:multiLevelType w:val="hybridMultilevel"/>
    <w:tmpl w:val="11321FD8"/>
    <w:lvl w:ilvl="0" w:tplc="0FE2CA36">
      <w:start w:val="1"/>
      <w:numFmt w:val="decimal"/>
      <w:pStyle w:val="Dvodovzprvakbodu"/>
      <w:suff w:val="space"/>
      <w:lvlText w:val="K bodu %1"/>
      <w:lvlJc w:val="left"/>
      <w:pPr>
        <w:ind w:left="1417" w:firstLine="0"/>
      </w:pPr>
      <w:rPr>
        <w:rFonts w:ascii="Times New Roman" w:hAnsi="Times New Roman" w:cs="Times New Roman" w:hint="default"/>
        <w:b/>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5695789">
    <w:abstractNumId w:val="0"/>
  </w:num>
  <w:num w:numId="2" w16cid:durableId="1359507732">
    <w:abstractNumId w:val="2"/>
  </w:num>
  <w:num w:numId="3" w16cid:durableId="91097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07"/>
    <w:rsid w:val="00071C04"/>
    <w:rsid w:val="00072D92"/>
    <w:rsid w:val="000F3372"/>
    <w:rsid w:val="00182BAE"/>
    <w:rsid w:val="002E0C79"/>
    <w:rsid w:val="002F6C19"/>
    <w:rsid w:val="0044470E"/>
    <w:rsid w:val="0049583C"/>
    <w:rsid w:val="004E1CF3"/>
    <w:rsid w:val="004E7C3C"/>
    <w:rsid w:val="00567259"/>
    <w:rsid w:val="005B4E16"/>
    <w:rsid w:val="006A0DD0"/>
    <w:rsid w:val="00715259"/>
    <w:rsid w:val="007B6E7A"/>
    <w:rsid w:val="00882C07"/>
    <w:rsid w:val="009278D1"/>
    <w:rsid w:val="00964CB4"/>
    <w:rsid w:val="009B4538"/>
    <w:rsid w:val="00B11E6D"/>
    <w:rsid w:val="00CF1658"/>
    <w:rsid w:val="00D9226E"/>
    <w:rsid w:val="00DD795B"/>
    <w:rsid w:val="00E97E65"/>
    <w:rsid w:val="00ED0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4A08"/>
  <w15:chartTrackingRefBased/>
  <w15:docId w15:val="{58F77AF5-02CE-409C-977D-84D070E3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C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8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CF1658"/>
    <w:pPr>
      <w:spacing w:after="0" w:line="240" w:lineRule="auto"/>
      <w:jc w:val="both"/>
    </w:pPr>
    <w:rPr>
      <w:rFonts w:ascii="Arial" w:eastAsia="Times New Roman" w:hAnsi="Arial" w:cs="Times New Roman"/>
      <w:noProof/>
      <w:color w:val="000000"/>
      <w:szCs w:val="24"/>
      <w:lang w:eastAsia="cs-CZ"/>
    </w:rPr>
  </w:style>
  <w:style w:type="paragraph" w:customStyle="1" w:styleId="Novelizanbod">
    <w:name w:val="Novelizační bod"/>
    <w:basedOn w:val="Normln"/>
    <w:next w:val="Normln"/>
    <w:link w:val="NovelizanbodChar"/>
    <w:qFormat/>
    <w:rsid w:val="009B4538"/>
    <w:pPr>
      <w:keepNext/>
      <w:keepLines/>
      <w:numPr>
        <w:numId w:val="1"/>
      </w:numPr>
      <w:tabs>
        <w:tab w:val="left" w:pos="851"/>
      </w:tabs>
      <w:spacing w:before="480" w:after="120" w:line="240" w:lineRule="auto"/>
      <w:jc w:val="both"/>
      <w:outlineLvl w:val="1"/>
    </w:pPr>
    <w:rPr>
      <w:rFonts w:ascii="Times New Roman" w:eastAsia="Times New Roman" w:hAnsi="Times New Roman" w:cs="Times New Roman"/>
      <w:sz w:val="24"/>
      <w:szCs w:val="20"/>
      <w:lang w:eastAsia="cs-CZ"/>
    </w:rPr>
  </w:style>
  <w:style w:type="character" w:customStyle="1" w:styleId="NovelizanbodChar">
    <w:name w:val="Novelizační bod Char"/>
    <w:link w:val="Novelizanbod"/>
    <w:locked/>
    <w:rsid w:val="009B4538"/>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E97E65"/>
    <w:pPr>
      <w:spacing w:before="100" w:beforeAutospacing="1" w:after="100" w:afterAutospacing="1" w:line="240" w:lineRule="auto"/>
    </w:pPr>
    <w:rPr>
      <w:rFonts w:ascii="Calibri" w:hAnsi="Calibri" w:cs="Calibri"/>
      <w:lang w:eastAsia="cs-CZ"/>
    </w:rPr>
  </w:style>
  <w:style w:type="paragraph" w:customStyle="1" w:styleId="Dvodovzprva">
    <w:name w:val="Důvodová zpráva"/>
    <w:basedOn w:val="Normln"/>
    <w:link w:val="DvodovzprvaChar"/>
    <w:uiPriority w:val="99"/>
    <w:qFormat/>
    <w:rsid w:val="00D9226E"/>
    <w:pPr>
      <w:spacing w:before="120" w:after="0" w:line="240" w:lineRule="auto"/>
      <w:jc w:val="both"/>
      <w:outlineLvl w:val="0"/>
    </w:pPr>
    <w:rPr>
      <w:rFonts w:ascii="Arial" w:eastAsia="Times New Roman" w:hAnsi="Arial" w:cs="Times New Roman"/>
      <w:color w:val="0000FF"/>
      <w:szCs w:val="20"/>
      <w:lang w:eastAsia="cs-CZ"/>
    </w:rPr>
  </w:style>
  <w:style w:type="paragraph" w:customStyle="1" w:styleId="Dvodovzprvakbodu">
    <w:name w:val="Důvodová zpráva (k bodu)"/>
    <w:basedOn w:val="Dvodovzprva"/>
    <w:next w:val="Normln"/>
    <w:qFormat/>
    <w:rsid w:val="00D9226E"/>
    <w:pPr>
      <w:keepNext/>
      <w:numPr>
        <w:numId w:val="2"/>
      </w:numPr>
      <w:tabs>
        <w:tab w:val="num" w:pos="360"/>
        <w:tab w:val="num" w:pos="567"/>
      </w:tabs>
      <w:ind w:left="0" w:hanging="567"/>
    </w:pPr>
    <w:rPr>
      <w:rFonts w:ascii="Times New Roman" w:hAnsi="Times New Roman"/>
      <w:b/>
      <w:color w:val="auto"/>
      <w:sz w:val="24"/>
    </w:rPr>
  </w:style>
  <w:style w:type="character" w:customStyle="1" w:styleId="DvodovzprvaChar">
    <w:name w:val="Důvodová zpráva Char"/>
    <w:link w:val="Dvodovzprva"/>
    <w:uiPriority w:val="99"/>
    <w:locked/>
    <w:rsid w:val="00D9226E"/>
    <w:rPr>
      <w:rFonts w:ascii="Arial" w:eastAsia="Times New Roman" w:hAnsi="Arial" w:cs="Times New Roman"/>
      <w:color w:val="0000FF"/>
      <w:szCs w:val="20"/>
      <w:lang w:eastAsia="cs-CZ"/>
    </w:rPr>
  </w:style>
  <w:style w:type="paragraph" w:customStyle="1" w:styleId="Textpechodka">
    <w:name w:val="Text přechodka"/>
    <w:basedOn w:val="Normln"/>
    <w:qFormat/>
    <w:rsid w:val="002E0C79"/>
    <w:pPr>
      <w:numPr>
        <w:ilvl w:val="2"/>
        <w:numId w:val="3"/>
      </w:numPr>
      <w:spacing w:after="0" w:line="240" w:lineRule="auto"/>
      <w:jc w:val="both"/>
    </w:pPr>
    <w:rPr>
      <w:rFonts w:ascii="Times New Roman" w:eastAsia="Times New Roman" w:hAnsi="Times New Roman" w:cs="Times New Roman"/>
      <w:sz w:val="24"/>
      <w:szCs w:val="20"/>
      <w:lang w:eastAsia="cs-CZ"/>
    </w:rPr>
  </w:style>
  <w:style w:type="paragraph" w:customStyle="1" w:styleId="Textpechodkapsmene">
    <w:name w:val="Text přechodka písmene"/>
    <w:basedOn w:val="Normln"/>
    <w:qFormat/>
    <w:rsid w:val="002E0C79"/>
    <w:pPr>
      <w:numPr>
        <w:ilvl w:val="3"/>
        <w:numId w:val="3"/>
      </w:num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1048</Words>
  <Characters>6188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 Mgr. DiS.</dc:creator>
  <cp:keywords/>
  <dc:description/>
  <cp:lastModifiedBy>Michaela Kubíčková</cp:lastModifiedBy>
  <cp:revision>5</cp:revision>
  <dcterms:created xsi:type="dcterms:W3CDTF">2024-02-13T16:26:00Z</dcterms:created>
  <dcterms:modified xsi:type="dcterms:W3CDTF">2024-02-15T08:44:00Z</dcterms:modified>
</cp:coreProperties>
</file>