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70" w:type="dxa"/>
          <w:right w:w="70" w:type="dxa"/>
        </w:tblCellMar>
        <w:tblLook w:val="0000" w:firstRow="0" w:lastRow="0" w:firstColumn="0" w:lastColumn="0" w:noHBand="0" w:noVBand="0"/>
      </w:tblPr>
      <w:tblGrid>
        <w:gridCol w:w="5139"/>
        <w:gridCol w:w="4003"/>
      </w:tblGrid>
      <w:tr w:rsidR="00146B14" w:rsidTr="001808BC">
        <w:trPr>
          <w:trHeight w:val="1128"/>
          <w:jc w:val="center"/>
        </w:trPr>
        <w:tc>
          <w:tcPr>
            <w:tcW w:w="9142" w:type="dxa"/>
            <w:gridSpan w:val="2"/>
            <w:tcBorders>
              <w:bottom w:val="nil"/>
            </w:tcBorders>
            <w:vAlign w:val="bottom"/>
          </w:tcPr>
          <w:p w:rsidR="00146B14" w:rsidRPr="00EE64B0" w:rsidRDefault="00A10967" w:rsidP="001808BC">
            <w:pPr>
              <w:jc w:val="center"/>
            </w:pPr>
            <w:r>
              <w:rPr>
                <w:noProof/>
              </w:rPr>
              <w:drawing>
                <wp:inline distT="0" distB="0" distL="0" distR="0" wp14:anchorId="0E3A019D" wp14:editId="144D185A">
                  <wp:extent cx="533400" cy="638175"/>
                  <wp:effectExtent l="0" t="0" r="0" b="9525"/>
                  <wp:docPr id="1" name="obrázek 5"/>
                  <wp:cNvGraphicFramePr/>
                  <a:graphic xmlns:a="http://schemas.openxmlformats.org/drawingml/2006/main">
                    <a:graphicData uri="http://schemas.openxmlformats.org/drawingml/2006/picture">
                      <pic:pic xmlns:pic="http://schemas.openxmlformats.org/drawingml/2006/picture">
                        <pic:nvPicPr>
                          <pic:cNvPr id="1" name="obrázek 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c>
      </w:tr>
      <w:tr w:rsidR="00146B14" w:rsidRPr="00653BB2" w:rsidTr="00C74794">
        <w:trPr>
          <w:trHeight w:val="964"/>
          <w:jc w:val="center"/>
        </w:trPr>
        <w:tc>
          <w:tcPr>
            <w:tcW w:w="9142" w:type="dxa"/>
            <w:gridSpan w:val="2"/>
            <w:tcBorders>
              <w:bottom w:val="nil"/>
            </w:tcBorders>
            <w:vAlign w:val="bottom"/>
          </w:tcPr>
          <w:p w:rsidR="00146B14" w:rsidRPr="00924033" w:rsidRDefault="008E3684" w:rsidP="001808BC">
            <w:pPr>
              <w:jc w:val="center"/>
              <w:rPr>
                <w:rFonts w:ascii="Arial" w:hAnsi="Arial" w:cs="Arial"/>
                <w:b/>
                <w:iCs/>
                <w:sz w:val="24"/>
                <w:szCs w:val="24"/>
              </w:rPr>
            </w:pPr>
            <w:bookmarkStart w:id="0" w:name="funkce"/>
            <w:bookmarkEnd w:id="0"/>
            <w:r>
              <w:rPr>
                <w:rFonts w:ascii="Arial" w:hAnsi="Arial" w:cs="Arial"/>
                <w:b/>
                <w:iCs/>
                <w:sz w:val="24"/>
                <w:szCs w:val="24"/>
              </w:rPr>
              <w:t>Ing. Zbyněk STANJURA</w:t>
            </w:r>
            <w:bookmarkStart w:id="1" w:name="_GoBack"/>
            <w:bookmarkEnd w:id="1"/>
          </w:p>
          <w:p w:rsidR="00146B14" w:rsidRPr="00653BB2" w:rsidRDefault="00146B14" w:rsidP="008E3684">
            <w:pPr>
              <w:jc w:val="center"/>
              <w:rPr>
                <w:rFonts w:ascii="Arial" w:hAnsi="Arial" w:cs="Arial"/>
                <w:iCs/>
                <w:sz w:val="28"/>
              </w:rPr>
            </w:pPr>
            <w:r w:rsidRPr="00924033">
              <w:rPr>
                <w:rFonts w:ascii="Arial" w:hAnsi="Arial" w:cs="Arial"/>
                <w:iCs/>
                <w:sz w:val="24"/>
                <w:szCs w:val="24"/>
              </w:rPr>
              <w:t>ministr financí</w:t>
            </w:r>
          </w:p>
        </w:tc>
      </w:tr>
      <w:tr w:rsidR="00146B14" w:rsidRPr="00653BB2" w:rsidTr="00F4334A">
        <w:trPr>
          <w:trHeight w:hRule="exact" w:val="340"/>
          <w:jc w:val="center"/>
        </w:trPr>
        <w:tc>
          <w:tcPr>
            <w:tcW w:w="9142" w:type="dxa"/>
            <w:gridSpan w:val="2"/>
          </w:tcPr>
          <w:p w:rsidR="00146B14" w:rsidRPr="00653BB2" w:rsidRDefault="00146B14" w:rsidP="00665E3F">
            <w:pPr>
              <w:rPr>
                <w:rFonts w:ascii="Arial" w:hAnsi="Arial" w:cs="Arial"/>
                <w:b/>
                <w:sz w:val="24"/>
              </w:rPr>
            </w:pPr>
          </w:p>
        </w:tc>
      </w:tr>
      <w:tr w:rsidR="00146B14" w:rsidRPr="00653BB2" w:rsidTr="00224788">
        <w:trPr>
          <w:trHeight w:val="227"/>
          <w:jc w:val="center"/>
        </w:trPr>
        <w:tc>
          <w:tcPr>
            <w:tcW w:w="5139" w:type="dxa"/>
          </w:tcPr>
          <w:p w:rsidR="00146B14" w:rsidRPr="00653BB2" w:rsidRDefault="00146B14">
            <w:pPr>
              <w:tabs>
                <w:tab w:val="left" w:pos="5670"/>
                <w:tab w:val="left" w:pos="8222"/>
              </w:tabs>
              <w:rPr>
                <w:rFonts w:ascii="Arial" w:hAnsi="Arial" w:cs="Arial"/>
                <w:b/>
                <w:sz w:val="24"/>
              </w:rPr>
            </w:pPr>
          </w:p>
        </w:tc>
        <w:tc>
          <w:tcPr>
            <w:tcW w:w="4003" w:type="dxa"/>
            <w:vAlign w:val="center"/>
          </w:tcPr>
          <w:p w:rsidR="00146B14" w:rsidRPr="00F4334A" w:rsidRDefault="00146B14" w:rsidP="00252AA9">
            <w:pPr>
              <w:pStyle w:val="Identifiktory"/>
            </w:pPr>
            <w:r w:rsidRPr="00F4334A">
              <w:t xml:space="preserve">PID: </w:t>
            </w:r>
            <w:r w:rsidR="00881C0D" w:rsidRPr="00B56197">
              <w:t>MFCRDXUPBU</w:t>
            </w:r>
          </w:p>
        </w:tc>
      </w:tr>
      <w:tr w:rsidR="00146B14" w:rsidRPr="00653BB2" w:rsidTr="00224788">
        <w:trPr>
          <w:trHeight w:val="227"/>
          <w:jc w:val="center"/>
        </w:trPr>
        <w:tc>
          <w:tcPr>
            <w:tcW w:w="5139" w:type="dxa"/>
          </w:tcPr>
          <w:p w:rsidR="00146B14" w:rsidRPr="00653BB2" w:rsidRDefault="00146B14">
            <w:pPr>
              <w:tabs>
                <w:tab w:val="left" w:pos="5670"/>
                <w:tab w:val="left" w:pos="8222"/>
              </w:tabs>
              <w:rPr>
                <w:rFonts w:ascii="Arial" w:hAnsi="Arial" w:cs="Arial"/>
                <w:b/>
                <w:sz w:val="24"/>
              </w:rPr>
            </w:pPr>
          </w:p>
        </w:tc>
        <w:tc>
          <w:tcPr>
            <w:tcW w:w="4003" w:type="dxa"/>
            <w:vAlign w:val="center"/>
          </w:tcPr>
          <w:p w:rsidR="00146B14" w:rsidRPr="00F4334A" w:rsidRDefault="00146B14" w:rsidP="00252AA9">
            <w:pPr>
              <w:pStyle w:val="Identifiktory"/>
            </w:pPr>
            <w:r w:rsidRPr="00F4334A">
              <w:t xml:space="preserve">Č. j.: </w:t>
            </w:r>
            <w:r w:rsidR="00881C0D">
              <w:rPr>
                <w:lang w:val="en-US"/>
              </w:rPr>
              <w:t>MF-39120/2023/1401-3</w:t>
            </w:r>
          </w:p>
        </w:tc>
      </w:tr>
      <w:tr w:rsidR="00146B14" w:rsidRPr="00653BB2" w:rsidTr="00224788">
        <w:trPr>
          <w:jc w:val="center"/>
        </w:trPr>
        <w:tc>
          <w:tcPr>
            <w:tcW w:w="5139" w:type="dxa"/>
          </w:tcPr>
          <w:p w:rsidR="00146B14" w:rsidRPr="00653BB2" w:rsidRDefault="00146B14">
            <w:pPr>
              <w:tabs>
                <w:tab w:val="left" w:pos="5670"/>
                <w:tab w:val="left" w:pos="8222"/>
              </w:tabs>
              <w:rPr>
                <w:rFonts w:ascii="Arial" w:hAnsi="Arial" w:cs="Arial"/>
                <w:b/>
                <w:sz w:val="24"/>
              </w:rPr>
            </w:pPr>
          </w:p>
        </w:tc>
        <w:tc>
          <w:tcPr>
            <w:tcW w:w="4003" w:type="dxa"/>
            <w:vAlign w:val="center"/>
          </w:tcPr>
          <w:p w:rsidR="00146B14" w:rsidRPr="00F4334A" w:rsidRDefault="00224788" w:rsidP="004E4EDE">
            <w:pPr>
              <w:pStyle w:val="Identifiktory"/>
              <w:rPr>
                <w:b/>
              </w:rPr>
            </w:pPr>
            <w:r w:rsidRPr="004928BD">
              <w:t xml:space="preserve">Počet </w:t>
            </w:r>
            <w:r w:rsidR="007E0486">
              <w:t>listů</w:t>
            </w:r>
            <w:r w:rsidRPr="004928BD">
              <w:t xml:space="preserve">: </w:t>
            </w:r>
            <w:r w:rsidR="004E4EDE">
              <w:t>1</w:t>
            </w:r>
          </w:p>
        </w:tc>
      </w:tr>
      <w:tr w:rsidR="00224788" w:rsidRPr="00653BB2" w:rsidTr="00994283">
        <w:trPr>
          <w:jc w:val="center"/>
        </w:trPr>
        <w:tc>
          <w:tcPr>
            <w:tcW w:w="5139" w:type="dxa"/>
          </w:tcPr>
          <w:p w:rsidR="00224788" w:rsidRPr="00653BB2" w:rsidRDefault="00224788">
            <w:pPr>
              <w:tabs>
                <w:tab w:val="left" w:pos="5670"/>
                <w:tab w:val="left" w:pos="8222"/>
              </w:tabs>
              <w:rPr>
                <w:rFonts w:ascii="Arial" w:hAnsi="Arial" w:cs="Arial"/>
                <w:b/>
                <w:sz w:val="24"/>
              </w:rPr>
            </w:pPr>
          </w:p>
        </w:tc>
        <w:tc>
          <w:tcPr>
            <w:tcW w:w="4003" w:type="dxa"/>
            <w:vAlign w:val="center"/>
          </w:tcPr>
          <w:p w:rsidR="00224788" w:rsidRPr="00653BB2" w:rsidRDefault="00224788" w:rsidP="004E4EDE">
            <w:pPr>
              <w:pStyle w:val="Identifiktory"/>
              <w:rPr>
                <w:sz w:val="24"/>
              </w:rPr>
            </w:pPr>
            <w:r w:rsidRPr="004928BD">
              <w:rPr>
                <w:highlight w:val="lightGray"/>
              </w:rPr>
              <w:t xml:space="preserve"> </w:t>
            </w:r>
          </w:p>
        </w:tc>
      </w:tr>
      <w:tr w:rsidR="00F4334A" w:rsidRPr="00653BB2" w:rsidTr="00224788">
        <w:trPr>
          <w:jc w:val="center"/>
        </w:trPr>
        <w:tc>
          <w:tcPr>
            <w:tcW w:w="5139" w:type="dxa"/>
          </w:tcPr>
          <w:p w:rsidR="00F4334A" w:rsidRPr="00653BB2" w:rsidRDefault="00F4334A">
            <w:pPr>
              <w:tabs>
                <w:tab w:val="left" w:pos="5670"/>
                <w:tab w:val="left" w:pos="8222"/>
              </w:tabs>
              <w:rPr>
                <w:rFonts w:ascii="Arial" w:hAnsi="Arial" w:cs="Arial"/>
                <w:b/>
                <w:sz w:val="24"/>
              </w:rPr>
            </w:pPr>
          </w:p>
        </w:tc>
        <w:tc>
          <w:tcPr>
            <w:tcW w:w="4003" w:type="dxa"/>
            <w:vAlign w:val="center"/>
          </w:tcPr>
          <w:p w:rsidR="00F4334A" w:rsidRPr="00653BB2" w:rsidRDefault="00F4334A" w:rsidP="00252AA9">
            <w:pPr>
              <w:pStyle w:val="Identifiktory"/>
            </w:pPr>
          </w:p>
        </w:tc>
      </w:tr>
      <w:tr w:rsidR="00F4334A" w:rsidRPr="00653BB2" w:rsidTr="00224788">
        <w:trPr>
          <w:trHeight w:val="340"/>
          <w:jc w:val="center"/>
        </w:trPr>
        <w:tc>
          <w:tcPr>
            <w:tcW w:w="5139" w:type="dxa"/>
          </w:tcPr>
          <w:p w:rsidR="00F4334A" w:rsidRPr="00653BB2" w:rsidRDefault="00F4334A">
            <w:pPr>
              <w:tabs>
                <w:tab w:val="left" w:pos="5670"/>
                <w:tab w:val="left" w:pos="8222"/>
              </w:tabs>
              <w:rPr>
                <w:rFonts w:ascii="Arial" w:hAnsi="Arial" w:cs="Arial"/>
                <w:b/>
                <w:sz w:val="24"/>
              </w:rPr>
            </w:pPr>
          </w:p>
        </w:tc>
        <w:tc>
          <w:tcPr>
            <w:tcW w:w="4003" w:type="dxa"/>
            <w:vAlign w:val="center"/>
          </w:tcPr>
          <w:p w:rsidR="004E4EDE" w:rsidRDefault="004E4EDE" w:rsidP="004E4EDE">
            <w:pPr>
              <w:pStyle w:val="Datumdopisu"/>
            </w:pPr>
          </w:p>
          <w:p w:rsidR="00F4334A" w:rsidRPr="00653BB2" w:rsidRDefault="00BC2F8E" w:rsidP="002139F3">
            <w:pPr>
              <w:pStyle w:val="Datumdopisu"/>
            </w:pPr>
            <w:r w:rsidRPr="004928BD">
              <w:t xml:space="preserve">Praha </w:t>
            </w:r>
            <w:r w:rsidR="002139F3">
              <w:t xml:space="preserve"> 28</w:t>
            </w:r>
            <w:r w:rsidR="004E4EDE">
              <w:t>. prosince 2023</w:t>
            </w:r>
          </w:p>
        </w:tc>
      </w:tr>
      <w:tr w:rsidR="00F4334A" w:rsidRPr="00653BB2" w:rsidTr="00224788">
        <w:trPr>
          <w:cantSplit/>
          <w:jc w:val="center"/>
        </w:trPr>
        <w:tc>
          <w:tcPr>
            <w:tcW w:w="5139" w:type="dxa"/>
          </w:tcPr>
          <w:p w:rsidR="00F4334A" w:rsidRPr="00653BB2" w:rsidRDefault="00F4334A">
            <w:pPr>
              <w:tabs>
                <w:tab w:val="left" w:pos="5670"/>
                <w:tab w:val="left" w:pos="8222"/>
              </w:tabs>
              <w:rPr>
                <w:rFonts w:ascii="Arial" w:hAnsi="Arial" w:cs="Arial"/>
                <w:b/>
                <w:sz w:val="24"/>
              </w:rPr>
            </w:pPr>
          </w:p>
        </w:tc>
        <w:tc>
          <w:tcPr>
            <w:tcW w:w="4003" w:type="dxa"/>
          </w:tcPr>
          <w:p w:rsidR="00F4334A" w:rsidRPr="00653BB2" w:rsidRDefault="00F4334A" w:rsidP="00252AA9">
            <w:pPr>
              <w:pStyle w:val="Identifiktory"/>
            </w:pPr>
          </w:p>
        </w:tc>
      </w:tr>
    </w:tbl>
    <w:p w:rsidR="00146B14" w:rsidRPr="00653BB2" w:rsidRDefault="004E4EDE" w:rsidP="00252AA9">
      <w:pPr>
        <w:pStyle w:val="Textdopisu"/>
      </w:pPr>
      <w:r>
        <w:t>Vážený pane ministře,</w:t>
      </w:r>
    </w:p>
    <w:p w:rsidR="004E4EDE" w:rsidRPr="00D62FFB" w:rsidRDefault="004E4EDE" w:rsidP="004E4EDE">
      <w:pPr>
        <w:spacing w:after="240"/>
        <w:jc w:val="both"/>
        <w:rPr>
          <w:rFonts w:ascii="Arial" w:hAnsi="Arial" w:cs="Arial"/>
          <w:sz w:val="24"/>
          <w:szCs w:val="24"/>
        </w:rPr>
      </w:pPr>
      <w:r w:rsidRPr="007555E9">
        <w:rPr>
          <w:rFonts w:ascii="Arial" w:hAnsi="Arial" w:cs="Arial"/>
          <w:sz w:val="24"/>
          <w:szCs w:val="24"/>
        </w:rPr>
        <w:t>dopisem ze dne</w:t>
      </w:r>
      <w:r>
        <w:rPr>
          <w:rFonts w:ascii="Arial" w:hAnsi="Arial" w:cs="Arial"/>
          <w:sz w:val="24"/>
          <w:szCs w:val="24"/>
        </w:rPr>
        <w:t xml:space="preserve"> 21. prosince 2023 č. j.: 60500/23 jste se na mne obrátil s žádostí </w:t>
      </w:r>
      <w:r>
        <w:rPr>
          <w:rFonts w:ascii="Arial" w:hAnsi="Arial" w:cs="Arial"/>
          <w:sz w:val="24"/>
          <w:szCs w:val="24"/>
        </w:rPr>
        <w:br/>
        <w:t xml:space="preserve">o stanovisko k návrhu poslance Mariana Jurečky  </w:t>
      </w:r>
      <w:r w:rsidRPr="00935923">
        <w:rPr>
          <w:rFonts w:ascii="Arial" w:hAnsi="Arial" w:cs="Arial"/>
          <w:sz w:val="24"/>
          <w:szCs w:val="24"/>
        </w:rPr>
        <w:t>a dalších na vydání zákona,</w:t>
      </w:r>
      <w:r>
        <w:rPr>
          <w:rFonts w:ascii="Arial" w:hAnsi="Arial" w:cs="Arial"/>
          <w:sz w:val="24"/>
          <w:szCs w:val="24"/>
        </w:rPr>
        <w:t xml:space="preserve"> k</w:t>
      </w:r>
      <w:r w:rsidRPr="00935923">
        <w:rPr>
          <w:rFonts w:ascii="Arial" w:hAnsi="Arial" w:cs="Arial"/>
          <w:sz w:val="24"/>
          <w:szCs w:val="24"/>
        </w:rPr>
        <w:t>terým se mění zákon č. 108/2006 Sb., o sociálních službách, ve znění pozdějších</w:t>
      </w:r>
      <w:r>
        <w:rPr>
          <w:rFonts w:ascii="Arial" w:hAnsi="Arial" w:cs="Arial"/>
          <w:sz w:val="24"/>
          <w:szCs w:val="24"/>
        </w:rPr>
        <w:t xml:space="preserve">  </w:t>
      </w:r>
      <w:r w:rsidRPr="00935923">
        <w:rPr>
          <w:rFonts w:ascii="Arial" w:hAnsi="Arial" w:cs="Arial"/>
          <w:sz w:val="24"/>
          <w:szCs w:val="24"/>
        </w:rPr>
        <w:t>předpisů (sněmovní tisk č. 605).</w:t>
      </w:r>
    </w:p>
    <w:p w:rsidR="00146B14" w:rsidRDefault="004E4EDE" w:rsidP="004E4EDE">
      <w:pPr>
        <w:pStyle w:val="Textdopisu"/>
        <w:rPr>
          <w:szCs w:val="24"/>
        </w:rPr>
      </w:pPr>
      <w:r>
        <w:rPr>
          <w:szCs w:val="24"/>
        </w:rPr>
        <w:t xml:space="preserve">K výše uvedenému poslaneckému návrhu </w:t>
      </w:r>
      <w:r w:rsidRPr="004F4FB1">
        <w:rPr>
          <w:b/>
          <w:szCs w:val="24"/>
        </w:rPr>
        <w:t>doporučuji přijmout nesouhlasné stanovisko</w:t>
      </w:r>
      <w:r>
        <w:rPr>
          <w:szCs w:val="24"/>
        </w:rPr>
        <w:t>, a to z těchto důvodů.</w:t>
      </w:r>
    </w:p>
    <w:p w:rsidR="00634573" w:rsidRPr="004F4FB1" w:rsidRDefault="00634573" w:rsidP="00634573">
      <w:pPr>
        <w:numPr>
          <w:ilvl w:val="0"/>
          <w:numId w:val="2"/>
        </w:numPr>
        <w:spacing w:after="200" w:line="276" w:lineRule="auto"/>
        <w:jc w:val="both"/>
        <w:rPr>
          <w:rFonts w:ascii="Arial" w:hAnsi="Arial" w:cs="Arial"/>
          <w:sz w:val="24"/>
          <w:szCs w:val="24"/>
        </w:rPr>
      </w:pPr>
      <w:r w:rsidRPr="004F4FB1">
        <w:rPr>
          <w:rFonts w:ascii="Arial" w:hAnsi="Arial" w:cs="Arial"/>
          <w:sz w:val="24"/>
          <w:szCs w:val="24"/>
        </w:rPr>
        <w:t xml:space="preserve">Zásadně nesouhlasíme s účelovým jednáním MPSV. Původní plán na komplexní novelu zákona o sociálních službách, který měl přinést i tolik potřebnou změnu způsobu financování, nebylo MPSV schopno dosud připravit, a to i přes zapojení mnoha expertů do  navzájem se prolínajících pracovních skupin jednajících téměř dva roky. Namísto toho nyní MPSV rozdělilo původní návrh do části věnující se samostatně příspěvku na péči </w:t>
      </w:r>
      <w:r>
        <w:rPr>
          <w:rFonts w:ascii="Arial" w:hAnsi="Arial" w:cs="Arial"/>
          <w:sz w:val="24"/>
          <w:szCs w:val="24"/>
        </w:rPr>
        <w:br/>
      </w:r>
      <w:r w:rsidRPr="004F4FB1">
        <w:rPr>
          <w:rFonts w:ascii="Arial" w:hAnsi="Arial" w:cs="Arial"/>
          <w:sz w:val="24"/>
          <w:szCs w:val="24"/>
        </w:rPr>
        <w:t>a na tuto část, která obsahuje rozšíření okruhu osob, které mají nárok na čerpání služeb a rozšíření okruhu samotných služeb. Na druhou stranu MPSV zcela upustilo od zásadních systémových změn financování, což je požadováno jak ze strany odborné veřejnosti, tak ze strany samotných poskytovatelů sociálních služeb a především jejich klientů, v neposlední řadě také ze strany Ministerstva financí. Již několik let požadujeme po MPSV zajištění systémových změn, které povedou ke zvýšení dlouhodobé finanční udržitelnosti při respektování potřeb klientů.</w:t>
      </w:r>
    </w:p>
    <w:p w:rsidR="00634573" w:rsidRPr="004F4FB1" w:rsidRDefault="00634573" w:rsidP="00634573">
      <w:pPr>
        <w:numPr>
          <w:ilvl w:val="0"/>
          <w:numId w:val="2"/>
        </w:numPr>
        <w:spacing w:after="200" w:line="276" w:lineRule="auto"/>
        <w:jc w:val="both"/>
        <w:rPr>
          <w:rFonts w:ascii="Arial" w:hAnsi="Arial" w:cs="Arial"/>
          <w:sz w:val="24"/>
          <w:szCs w:val="24"/>
        </w:rPr>
      </w:pPr>
      <w:r w:rsidRPr="004F4FB1">
        <w:rPr>
          <w:rFonts w:ascii="Arial" w:hAnsi="Arial" w:cs="Arial"/>
          <w:sz w:val="24"/>
          <w:szCs w:val="24"/>
        </w:rPr>
        <w:t xml:space="preserve">Bez adekvátních úprav systému financování, konkrétně bez jasně stanovené participace krajů, obcí a bez většího zapojení samotných klientů a jejich rodin tam, kde je to důvodné, povede rozšíření okruhu klientů sociálních služeb </w:t>
      </w:r>
      <w:r>
        <w:rPr>
          <w:rFonts w:ascii="Arial" w:hAnsi="Arial" w:cs="Arial"/>
          <w:sz w:val="24"/>
          <w:szCs w:val="24"/>
        </w:rPr>
        <w:br/>
      </w:r>
      <w:r w:rsidRPr="004F4FB1">
        <w:rPr>
          <w:rFonts w:ascii="Arial" w:hAnsi="Arial" w:cs="Arial"/>
          <w:sz w:val="24"/>
          <w:szCs w:val="24"/>
        </w:rPr>
        <w:t xml:space="preserve">a rozšíření okruhu samotných sociálních služeb k požadavku na navyšování účasti SR na financování sociálních služeb. Tento trend je do budoucna neudržitelný. Z našeho pohledu je naprosto mylné tvrzení, že novela nebude </w:t>
      </w:r>
      <w:r w:rsidRPr="004F4FB1">
        <w:rPr>
          <w:rFonts w:ascii="Arial" w:hAnsi="Arial" w:cs="Arial"/>
          <w:sz w:val="24"/>
          <w:szCs w:val="24"/>
        </w:rPr>
        <w:lastRenderedPageBreak/>
        <w:t xml:space="preserve">mít dopad na státní ani veřejné rozpočty. Aby toto platilo, bylo při rozšíření okruhu klientů nutné, aby některým stávajícím klientům přestaly být sociální služby poskytovány, nebo aby byly některé stávající služby vyloučeny </w:t>
      </w:r>
      <w:r>
        <w:rPr>
          <w:rFonts w:ascii="Arial" w:hAnsi="Arial" w:cs="Arial"/>
          <w:sz w:val="24"/>
          <w:szCs w:val="24"/>
        </w:rPr>
        <w:br/>
      </w:r>
      <w:r w:rsidRPr="004F4FB1">
        <w:rPr>
          <w:rFonts w:ascii="Arial" w:hAnsi="Arial" w:cs="Arial"/>
          <w:sz w:val="24"/>
          <w:szCs w:val="24"/>
        </w:rPr>
        <w:t>z okruhu podporovaných služeb.</w:t>
      </w:r>
    </w:p>
    <w:p w:rsidR="00634573" w:rsidRPr="004F4FB1" w:rsidRDefault="00634573" w:rsidP="00634573">
      <w:pPr>
        <w:numPr>
          <w:ilvl w:val="0"/>
          <w:numId w:val="2"/>
        </w:numPr>
        <w:spacing w:after="200" w:line="276" w:lineRule="auto"/>
        <w:jc w:val="both"/>
        <w:rPr>
          <w:rFonts w:ascii="Arial" w:hAnsi="Arial" w:cs="Arial"/>
          <w:sz w:val="24"/>
          <w:szCs w:val="24"/>
        </w:rPr>
      </w:pPr>
      <w:r w:rsidRPr="004F4FB1">
        <w:rPr>
          <w:rFonts w:ascii="Arial" w:hAnsi="Arial" w:cs="Arial"/>
          <w:sz w:val="24"/>
          <w:szCs w:val="24"/>
        </w:rPr>
        <w:t>Není nám jasné, jak bude zajištěna péče o osoby v době, kdy jejich standardním pečujícím budou zajišťovány odlehčovací služby, jelikož kapacita služeb je již nyní nedostatečná.</w:t>
      </w:r>
    </w:p>
    <w:p w:rsidR="00634573" w:rsidRPr="00653BB2" w:rsidRDefault="00634573" w:rsidP="00634573">
      <w:pPr>
        <w:pStyle w:val="Textdopisu"/>
        <w:numPr>
          <w:ilvl w:val="0"/>
          <w:numId w:val="2"/>
        </w:numPr>
      </w:pPr>
      <w:r w:rsidRPr="004F4FB1">
        <w:rPr>
          <w:szCs w:val="24"/>
        </w:rPr>
        <w:t xml:space="preserve">Bez zajištění adekvátních změn systému financování sociálních služeb požadujeme, aby byla realizace předloženého návrhu zákona zabezpečena </w:t>
      </w:r>
      <w:r>
        <w:rPr>
          <w:szCs w:val="24"/>
        </w:rPr>
        <w:br/>
      </w:r>
      <w:r w:rsidRPr="004F4FB1">
        <w:rPr>
          <w:szCs w:val="24"/>
        </w:rPr>
        <w:t xml:space="preserve">v rámci schválených finančních limitů kapitoly 313 – Ministerstva práce </w:t>
      </w:r>
      <w:r>
        <w:rPr>
          <w:szCs w:val="24"/>
        </w:rPr>
        <w:br/>
      </w:r>
      <w:r w:rsidRPr="004F4FB1">
        <w:rPr>
          <w:szCs w:val="24"/>
        </w:rPr>
        <w:t>a sociálních věcí, a to bez nároku na jejich navyšování.</w:t>
      </w:r>
    </w:p>
    <w:p w:rsidR="00146B14" w:rsidRPr="00653BB2" w:rsidRDefault="00146B14" w:rsidP="00252AA9">
      <w:pPr>
        <w:pStyle w:val="Textdopisu"/>
      </w:pPr>
    </w:p>
    <w:p w:rsidR="00146B14" w:rsidRPr="00653BB2" w:rsidRDefault="00146B14" w:rsidP="00252AA9">
      <w:pPr>
        <w:pStyle w:val="Textdopisu"/>
      </w:pPr>
      <w:r w:rsidRPr="00653BB2">
        <w:t>S pozdravem</w:t>
      </w:r>
    </w:p>
    <w:p w:rsidR="00146B14" w:rsidRPr="00653BB2" w:rsidRDefault="00A54086" w:rsidP="00661459">
      <w:pPr>
        <w:pStyle w:val="Adrest"/>
      </w:pPr>
      <w:r>
        <w:tab/>
      </w:r>
    </w:p>
    <w:p w:rsidR="00146B14" w:rsidRPr="00653BB2" w:rsidRDefault="00146B14" w:rsidP="00661459">
      <w:pPr>
        <w:pStyle w:val="Adrest"/>
      </w:pPr>
    </w:p>
    <w:p w:rsidR="00146B14" w:rsidRDefault="00146B14" w:rsidP="00661459">
      <w:pPr>
        <w:pStyle w:val="Adrest"/>
      </w:pPr>
    </w:p>
    <w:p w:rsidR="00634573" w:rsidRDefault="00634573" w:rsidP="00661459">
      <w:pPr>
        <w:pStyle w:val="Adrest"/>
      </w:pPr>
    </w:p>
    <w:p w:rsidR="00634573" w:rsidRPr="00653BB2" w:rsidRDefault="00634573" w:rsidP="00661459">
      <w:pPr>
        <w:pStyle w:val="Adrest"/>
      </w:pPr>
    </w:p>
    <w:p w:rsidR="00146B14" w:rsidRPr="00653BB2" w:rsidRDefault="00146B14" w:rsidP="00661459">
      <w:pPr>
        <w:pStyle w:val="Adrest"/>
      </w:pPr>
    </w:p>
    <w:p w:rsidR="00146B14" w:rsidRPr="00653BB2" w:rsidRDefault="00146B14" w:rsidP="00661459">
      <w:pPr>
        <w:pStyle w:val="Adrest"/>
      </w:pPr>
    </w:p>
    <w:p w:rsidR="00146B14" w:rsidRPr="00653BB2" w:rsidRDefault="00146B14" w:rsidP="00661459">
      <w:pPr>
        <w:pStyle w:val="Adrest"/>
      </w:pPr>
    </w:p>
    <w:p w:rsidR="004E4EDE" w:rsidRDefault="004E4EDE" w:rsidP="004E4EDE">
      <w:pPr>
        <w:pStyle w:val="Adrest"/>
      </w:pPr>
      <w:r>
        <w:t>Vážený pan</w:t>
      </w:r>
    </w:p>
    <w:p w:rsidR="004E4EDE" w:rsidRDefault="004E4EDE" w:rsidP="004E4EDE">
      <w:pPr>
        <w:pStyle w:val="Adrest"/>
      </w:pPr>
      <w:r>
        <w:t xml:space="preserve">JUDr. </w:t>
      </w:r>
      <w:proofErr w:type="spellStart"/>
      <w:r>
        <w:t>MgA</w:t>
      </w:r>
      <w:proofErr w:type="spellEnd"/>
      <w:r>
        <w:t>. Michal Šalomoun, Ph.D.</w:t>
      </w:r>
    </w:p>
    <w:p w:rsidR="004E4EDE" w:rsidRDefault="004E4EDE" w:rsidP="004E4EDE">
      <w:pPr>
        <w:pStyle w:val="Adrest"/>
      </w:pPr>
      <w:r>
        <w:t>ministr pro legislativu</w:t>
      </w:r>
    </w:p>
    <w:p w:rsidR="004E4EDE" w:rsidRDefault="004E4EDE" w:rsidP="004E4EDE">
      <w:pPr>
        <w:pStyle w:val="Adrest"/>
      </w:pPr>
      <w:r>
        <w:t>a předseda Legislativní rady vlády</w:t>
      </w:r>
    </w:p>
    <w:p w:rsidR="004E4EDE" w:rsidRDefault="004E4EDE" w:rsidP="004E4EDE">
      <w:pPr>
        <w:pStyle w:val="Adrest"/>
      </w:pPr>
      <w:r>
        <w:t>Úřad vlády ČR</w:t>
      </w:r>
    </w:p>
    <w:p w:rsidR="004E4EDE" w:rsidRPr="00653BB2" w:rsidRDefault="004E4EDE" w:rsidP="004E4EDE">
      <w:pPr>
        <w:pStyle w:val="Adrest"/>
      </w:pPr>
      <w:r>
        <w:t>P R A H A</w:t>
      </w:r>
    </w:p>
    <w:p w:rsidR="00146B14" w:rsidRPr="00653BB2" w:rsidRDefault="00146B14" w:rsidP="00661459">
      <w:pPr>
        <w:pStyle w:val="Adrest"/>
      </w:pPr>
    </w:p>
    <w:sectPr w:rsidR="00146B14" w:rsidRPr="00653BB2" w:rsidSect="00A54086">
      <w:footerReference w:type="default" r:id="rId8"/>
      <w:pgSz w:w="11907" w:h="16840" w:code="9"/>
      <w:pgMar w:top="1134" w:right="1418" w:bottom="1418"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818" w:rsidRDefault="00731818">
      <w:r>
        <w:separator/>
      </w:r>
    </w:p>
  </w:endnote>
  <w:endnote w:type="continuationSeparator" w:id="0">
    <w:p w:rsidR="00731818" w:rsidRDefault="0073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B14" w:rsidRPr="00C07C6D" w:rsidRDefault="00146B14" w:rsidP="00131859">
    <w:pPr>
      <w:pBdr>
        <w:top w:val="single" w:sz="4" w:space="1" w:color="808080"/>
      </w:pBdr>
      <w:rPr>
        <w:i/>
        <w:color w:val="808080"/>
        <w:sz w:val="6"/>
        <w:szCs w:val="6"/>
        <w:u w:color="808080"/>
      </w:rPr>
    </w:pPr>
  </w:p>
  <w:p w:rsidR="00146B14" w:rsidRPr="00A54086" w:rsidRDefault="00146B14" w:rsidP="00E42E1F">
    <w:pPr>
      <w:pBdr>
        <w:top w:val="single" w:sz="4" w:space="1" w:color="808080"/>
      </w:pBdr>
      <w:tabs>
        <w:tab w:val="left" w:pos="6663"/>
      </w:tabs>
      <w:rPr>
        <w:rFonts w:ascii="Arial" w:hAnsi="Arial" w:cs="Arial"/>
        <w:color w:val="808080"/>
        <w:sz w:val="18"/>
        <w:szCs w:val="18"/>
      </w:rPr>
    </w:pPr>
    <w:r w:rsidRPr="00A54086">
      <w:rPr>
        <w:rFonts w:ascii="Arial" w:hAnsi="Arial" w:cs="Arial"/>
        <w:color w:val="808080"/>
        <w:sz w:val="18"/>
        <w:szCs w:val="18"/>
      </w:rPr>
      <w:t>Ministerstvo financí, Letenská 15, 118 10, Praha 1</w:t>
    </w:r>
    <w:r w:rsidRPr="00A54086">
      <w:rPr>
        <w:rFonts w:ascii="Arial" w:hAnsi="Arial" w:cs="Arial"/>
        <w:color w:val="808080"/>
        <w:sz w:val="18"/>
        <w:szCs w:val="18"/>
      </w:rPr>
      <w:tab/>
      <w:t xml:space="preserve">ID datové schránky: </w:t>
    </w:r>
    <w:proofErr w:type="spellStart"/>
    <w:r w:rsidRPr="00A54086">
      <w:rPr>
        <w:rFonts w:ascii="Arial" w:hAnsi="Arial" w:cs="Arial"/>
        <w:color w:val="808080"/>
        <w:sz w:val="18"/>
        <w:szCs w:val="18"/>
      </w:rPr>
      <w:t>xzeaauv</w:t>
    </w:r>
    <w:proofErr w:type="spellEnd"/>
  </w:p>
  <w:p w:rsidR="00146B14" w:rsidRPr="00A54086" w:rsidRDefault="00146B14" w:rsidP="00131859">
    <w:pPr>
      <w:pBdr>
        <w:top w:val="single" w:sz="4" w:space="1" w:color="808080"/>
      </w:pBdr>
      <w:tabs>
        <w:tab w:val="left" w:pos="6663"/>
      </w:tabs>
      <w:rPr>
        <w:rFonts w:ascii="Arial" w:hAnsi="Arial" w:cs="Arial"/>
        <w:color w:val="808080"/>
        <w:sz w:val="18"/>
        <w:szCs w:val="18"/>
        <w:u w:color="808080"/>
      </w:rPr>
    </w:pPr>
    <w:r w:rsidRPr="00A54086">
      <w:rPr>
        <w:rFonts w:ascii="Arial" w:hAnsi="Arial" w:cs="Arial"/>
        <w:color w:val="808080"/>
        <w:sz w:val="18"/>
        <w:szCs w:val="18"/>
        <w:u w:color="808080"/>
      </w:rPr>
      <w:tab/>
      <w:t xml:space="preserve">e-mail: </w:t>
    </w:r>
    <w:hyperlink r:id="rId1" w:history="1">
      <w:r w:rsidRPr="00A54086">
        <w:rPr>
          <w:rStyle w:val="Hypertextovodkaz"/>
          <w:rFonts w:ascii="Arial" w:hAnsi="Arial" w:cs="Arial"/>
          <w:color w:val="808080"/>
          <w:sz w:val="18"/>
          <w:szCs w:val="18"/>
          <w:u w:color="808080"/>
        </w:rPr>
        <w:t>podatelna@mfcr.cz</w:t>
      </w:r>
    </w:hyperlink>
  </w:p>
  <w:p w:rsidR="00146B14" w:rsidRPr="00A54086" w:rsidRDefault="00146B14" w:rsidP="00131859">
    <w:pPr>
      <w:pBdr>
        <w:top w:val="single" w:sz="4" w:space="1" w:color="808080"/>
      </w:pBdr>
      <w:tabs>
        <w:tab w:val="left" w:pos="6663"/>
        <w:tab w:val="right" w:pos="9071"/>
      </w:tabs>
      <w:ind w:firstLine="708"/>
      <w:rPr>
        <w:rFonts w:ascii="Arial" w:hAnsi="Arial" w:cs="Arial"/>
        <w:color w:val="808080"/>
        <w:sz w:val="18"/>
        <w:szCs w:val="18"/>
        <w:u w:color="808080"/>
      </w:rPr>
    </w:pPr>
    <w:r w:rsidRPr="00A54086">
      <w:rPr>
        <w:rFonts w:ascii="Arial" w:hAnsi="Arial" w:cs="Arial"/>
        <w:color w:val="808080"/>
        <w:sz w:val="18"/>
        <w:szCs w:val="18"/>
        <w:u w:color="808080"/>
      </w:rPr>
      <w:tab/>
      <w:t>Telefon: +420 257 041 111</w:t>
    </w:r>
  </w:p>
  <w:p w:rsidR="00146B14" w:rsidRPr="00A54086" w:rsidRDefault="00146B14" w:rsidP="00131859">
    <w:pPr>
      <w:pBdr>
        <w:top w:val="single" w:sz="4" w:space="1" w:color="808080"/>
      </w:pBdr>
      <w:tabs>
        <w:tab w:val="left" w:pos="6663"/>
      </w:tabs>
      <w:ind w:firstLine="708"/>
      <w:rPr>
        <w:rFonts w:ascii="Arial" w:hAnsi="Arial" w:cs="Arial"/>
        <w:color w:val="808080"/>
        <w:sz w:val="18"/>
        <w:szCs w:val="18"/>
        <w:u w:color="808080"/>
      </w:rPr>
    </w:pPr>
    <w:r w:rsidRPr="00A54086">
      <w:rPr>
        <w:rFonts w:ascii="Arial" w:hAnsi="Arial" w:cs="Arial"/>
        <w:color w:val="808080"/>
        <w:sz w:val="18"/>
        <w:szCs w:val="18"/>
        <w:u w:color="808080"/>
      </w:rPr>
      <w:tab/>
      <w:t>Fax: +420 257 042 788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818" w:rsidRDefault="00731818">
      <w:r>
        <w:separator/>
      </w:r>
    </w:p>
  </w:footnote>
  <w:footnote w:type="continuationSeparator" w:id="0">
    <w:p w:rsidR="00731818" w:rsidRDefault="00731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302"/>
    <w:multiLevelType w:val="hybridMultilevel"/>
    <w:tmpl w:val="296A4F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E3E48BC"/>
    <w:multiLevelType w:val="hybridMultilevel"/>
    <w:tmpl w:val="63FC375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6F"/>
    <w:rsid w:val="00000CF0"/>
    <w:rsid w:val="00002F3E"/>
    <w:rsid w:val="00013A9C"/>
    <w:rsid w:val="000143D5"/>
    <w:rsid w:val="000549CC"/>
    <w:rsid w:val="000569A1"/>
    <w:rsid w:val="000676DD"/>
    <w:rsid w:val="00096615"/>
    <w:rsid w:val="000D2A88"/>
    <w:rsid w:val="000E03D9"/>
    <w:rsid w:val="000E415B"/>
    <w:rsid w:val="000F70D3"/>
    <w:rsid w:val="000F79EB"/>
    <w:rsid w:val="001019DD"/>
    <w:rsid w:val="00125291"/>
    <w:rsid w:val="00131859"/>
    <w:rsid w:val="00131DA9"/>
    <w:rsid w:val="00136975"/>
    <w:rsid w:val="00146B14"/>
    <w:rsid w:val="00152DA1"/>
    <w:rsid w:val="0015539A"/>
    <w:rsid w:val="00164705"/>
    <w:rsid w:val="00175082"/>
    <w:rsid w:val="001808BC"/>
    <w:rsid w:val="00193DA4"/>
    <w:rsid w:val="00196539"/>
    <w:rsid w:val="00197680"/>
    <w:rsid w:val="001A4058"/>
    <w:rsid w:val="001C699D"/>
    <w:rsid w:val="001D54CF"/>
    <w:rsid w:val="001E110F"/>
    <w:rsid w:val="001F337B"/>
    <w:rsid w:val="0020449F"/>
    <w:rsid w:val="002139F3"/>
    <w:rsid w:val="002154F6"/>
    <w:rsid w:val="0021581D"/>
    <w:rsid w:val="00224788"/>
    <w:rsid w:val="00227955"/>
    <w:rsid w:val="00230219"/>
    <w:rsid w:val="00231BD0"/>
    <w:rsid w:val="00233FC2"/>
    <w:rsid w:val="002375C8"/>
    <w:rsid w:val="002375E0"/>
    <w:rsid w:val="0025246F"/>
    <w:rsid w:val="00252AA9"/>
    <w:rsid w:val="00276F3E"/>
    <w:rsid w:val="002B3768"/>
    <w:rsid w:val="002C5E2A"/>
    <w:rsid w:val="002D60D5"/>
    <w:rsid w:val="002E1918"/>
    <w:rsid w:val="002E3A2B"/>
    <w:rsid w:val="002E59AE"/>
    <w:rsid w:val="002F5E9B"/>
    <w:rsid w:val="00304DB7"/>
    <w:rsid w:val="003355D6"/>
    <w:rsid w:val="00357899"/>
    <w:rsid w:val="00363B8C"/>
    <w:rsid w:val="00374B7E"/>
    <w:rsid w:val="0037648C"/>
    <w:rsid w:val="00396A3A"/>
    <w:rsid w:val="003A21DD"/>
    <w:rsid w:val="003A4382"/>
    <w:rsid w:val="003B6678"/>
    <w:rsid w:val="003D6049"/>
    <w:rsid w:val="003F1D56"/>
    <w:rsid w:val="00402D48"/>
    <w:rsid w:val="00415F4D"/>
    <w:rsid w:val="00422C0A"/>
    <w:rsid w:val="00437D72"/>
    <w:rsid w:val="0044396C"/>
    <w:rsid w:val="00447214"/>
    <w:rsid w:val="00450AB1"/>
    <w:rsid w:val="00453863"/>
    <w:rsid w:val="004631E8"/>
    <w:rsid w:val="00464100"/>
    <w:rsid w:val="004666F0"/>
    <w:rsid w:val="00477795"/>
    <w:rsid w:val="00482F1A"/>
    <w:rsid w:val="00487609"/>
    <w:rsid w:val="00494956"/>
    <w:rsid w:val="004C057B"/>
    <w:rsid w:val="004C4B46"/>
    <w:rsid w:val="004D046C"/>
    <w:rsid w:val="004E4EDE"/>
    <w:rsid w:val="004F4C29"/>
    <w:rsid w:val="004F538D"/>
    <w:rsid w:val="00505535"/>
    <w:rsid w:val="00525EE3"/>
    <w:rsid w:val="00544E35"/>
    <w:rsid w:val="00552909"/>
    <w:rsid w:val="00552B86"/>
    <w:rsid w:val="005566C5"/>
    <w:rsid w:val="005A33AE"/>
    <w:rsid w:val="005B5B81"/>
    <w:rsid w:val="005D4352"/>
    <w:rsid w:val="005D56F4"/>
    <w:rsid w:val="005F1910"/>
    <w:rsid w:val="005F234C"/>
    <w:rsid w:val="005F389A"/>
    <w:rsid w:val="005F4D2A"/>
    <w:rsid w:val="00630966"/>
    <w:rsid w:val="006329FC"/>
    <w:rsid w:val="00634573"/>
    <w:rsid w:val="00643F78"/>
    <w:rsid w:val="0064443F"/>
    <w:rsid w:val="006522B1"/>
    <w:rsid w:val="00653BB2"/>
    <w:rsid w:val="006570FC"/>
    <w:rsid w:val="00661459"/>
    <w:rsid w:val="00665E3F"/>
    <w:rsid w:val="00675148"/>
    <w:rsid w:val="006956CF"/>
    <w:rsid w:val="006A5696"/>
    <w:rsid w:val="006A6D56"/>
    <w:rsid w:val="006B5DE2"/>
    <w:rsid w:val="006B5FB3"/>
    <w:rsid w:val="006C5484"/>
    <w:rsid w:val="006F258F"/>
    <w:rsid w:val="006F2CCF"/>
    <w:rsid w:val="0070093F"/>
    <w:rsid w:val="00700F9C"/>
    <w:rsid w:val="00717386"/>
    <w:rsid w:val="00731818"/>
    <w:rsid w:val="00732CD8"/>
    <w:rsid w:val="00743783"/>
    <w:rsid w:val="007452EE"/>
    <w:rsid w:val="0074587A"/>
    <w:rsid w:val="007516B1"/>
    <w:rsid w:val="007537E9"/>
    <w:rsid w:val="007741F3"/>
    <w:rsid w:val="0077436A"/>
    <w:rsid w:val="00791DBA"/>
    <w:rsid w:val="007A0795"/>
    <w:rsid w:val="007B5B03"/>
    <w:rsid w:val="007C0143"/>
    <w:rsid w:val="007C2E2F"/>
    <w:rsid w:val="007D0B4C"/>
    <w:rsid w:val="007E0486"/>
    <w:rsid w:val="007E320A"/>
    <w:rsid w:val="00820392"/>
    <w:rsid w:val="00834251"/>
    <w:rsid w:val="00841FA5"/>
    <w:rsid w:val="0085079E"/>
    <w:rsid w:val="0085677E"/>
    <w:rsid w:val="00863E73"/>
    <w:rsid w:val="008732A5"/>
    <w:rsid w:val="008755B3"/>
    <w:rsid w:val="00881C0D"/>
    <w:rsid w:val="00887463"/>
    <w:rsid w:val="00890AEC"/>
    <w:rsid w:val="008A176A"/>
    <w:rsid w:val="008C3E93"/>
    <w:rsid w:val="008D3C81"/>
    <w:rsid w:val="008D4722"/>
    <w:rsid w:val="008E3684"/>
    <w:rsid w:val="0090359F"/>
    <w:rsid w:val="00903BF7"/>
    <w:rsid w:val="00922CF7"/>
    <w:rsid w:val="009232E2"/>
    <w:rsid w:val="00924033"/>
    <w:rsid w:val="009340AB"/>
    <w:rsid w:val="00944CB2"/>
    <w:rsid w:val="00945C60"/>
    <w:rsid w:val="009602A3"/>
    <w:rsid w:val="00970E11"/>
    <w:rsid w:val="00975B84"/>
    <w:rsid w:val="00994283"/>
    <w:rsid w:val="009A4058"/>
    <w:rsid w:val="009B5FCB"/>
    <w:rsid w:val="009E321E"/>
    <w:rsid w:val="009F61E9"/>
    <w:rsid w:val="00A10967"/>
    <w:rsid w:val="00A2134C"/>
    <w:rsid w:val="00A2203F"/>
    <w:rsid w:val="00A42A37"/>
    <w:rsid w:val="00A4522D"/>
    <w:rsid w:val="00A54086"/>
    <w:rsid w:val="00A841C5"/>
    <w:rsid w:val="00A856B6"/>
    <w:rsid w:val="00AA2115"/>
    <w:rsid w:val="00AC0DCA"/>
    <w:rsid w:val="00AC4011"/>
    <w:rsid w:val="00AF2991"/>
    <w:rsid w:val="00B07F2A"/>
    <w:rsid w:val="00B13D3A"/>
    <w:rsid w:val="00B33045"/>
    <w:rsid w:val="00B35C73"/>
    <w:rsid w:val="00B4433B"/>
    <w:rsid w:val="00B859C0"/>
    <w:rsid w:val="00B93D86"/>
    <w:rsid w:val="00BA7408"/>
    <w:rsid w:val="00BA7CF2"/>
    <w:rsid w:val="00BB3867"/>
    <w:rsid w:val="00BC2F8E"/>
    <w:rsid w:val="00BC4CDD"/>
    <w:rsid w:val="00BC5043"/>
    <w:rsid w:val="00BC5400"/>
    <w:rsid w:val="00BD705A"/>
    <w:rsid w:val="00BF1B3F"/>
    <w:rsid w:val="00C07C6D"/>
    <w:rsid w:val="00C132CB"/>
    <w:rsid w:val="00C14CF4"/>
    <w:rsid w:val="00C30CE7"/>
    <w:rsid w:val="00C32AEF"/>
    <w:rsid w:val="00C46B51"/>
    <w:rsid w:val="00C74794"/>
    <w:rsid w:val="00C75146"/>
    <w:rsid w:val="00CB1082"/>
    <w:rsid w:val="00CB5036"/>
    <w:rsid w:val="00CB6FF8"/>
    <w:rsid w:val="00CC4412"/>
    <w:rsid w:val="00CC6FCB"/>
    <w:rsid w:val="00CD11F2"/>
    <w:rsid w:val="00CD2241"/>
    <w:rsid w:val="00D05FFB"/>
    <w:rsid w:val="00D26B1A"/>
    <w:rsid w:val="00D334E0"/>
    <w:rsid w:val="00D343F0"/>
    <w:rsid w:val="00D42484"/>
    <w:rsid w:val="00D433AF"/>
    <w:rsid w:val="00D63021"/>
    <w:rsid w:val="00D6530C"/>
    <w:rsid w:val="00D65A64"/>
    <w:rsid w:val="00D67D91"/>
    <w:rsid w:val="00D73020"/>
    <w:rsid w:val="00D97292"/>
    <w:rsid w:val="00DA6DCB"/>
    <w:rsid w:val="00E0597D"/>
    <w:rsid w:val="00E3569B"/>
    <w:rsid w:val="00E42E1F"/>
    <w:rsid w:val="00E579F5"/>
    <w:rsid w:val="00E84E29"/>
    <w:rsid w:val="00E9109F"/>
    <w:rsid w:val="00EA1E2F"/>
    <w:rsid w:val="00EA6758"/>
    <w:rsid w:val="00ED675D"/>
    <w:rsid w:val="00EE5E2B"/>
    <w:rsid w:val="00EE64B0"/>
    <w:rsid w:val="00F02B87"/>
    <w:rsid w:val="00F15179"/>
    <w:rsid w:val="00F21CCA"/>
    <w:rsid w:val="00F30B1A"/>
    <w:rsid w:val="00F4334A"/>
    <w:rsid w:val="00F511F3"/>
    <w:rsid w:val="00F64886"/>
    <w:rsid w:val="00F937CD"/>
    <w:rsid w:val="00FA0D15"/>
    <w:rsid w:val="00FC119D"/>
    <w:rsid w:val="00FC59AC"/>
    <w:rsid w:val="00FC77CF"/>
    <w:rsid w:val="00FD1B0C"/>
    <w:rsid w:val="00FD45D8"/>
    <w:rsid w:val="00FD7A27"/>
    <w:rsid w:val="00FE30D8"/>
    <w:rsid w:val="00FE53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4B5EC"/>
  <w15:docId w15:val="{8388F214-E4E8-4012-84A8-7846582B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DA1"/>
    <w:rPr>
      <w:sz w:val="20"/>
      <w:szCs w:val="20"/>
    </w:rPr>
  </w:style>
  <w:style w:type="paragraph" w:styleId="Nadpis1">
    <w:name w:val="heading 1"/>
    <w:basedOn w:val="Normln"/>
    <w:next w:val="Normln"/>
    <w:link w:val="Nadpis1Char"/>
    <w:uiPriority w:val="99"/>
    <w:qFormat/>
    <w:rsid w:val="00FD45D8"/>
    <w:pPr>
      <w:keepNext/>
      <w:tabs>
        <w:tab w:val="left" w:pos="5670"/>
        <w:tab w:val="left" w:pos="8222"/>
      </w:tabs>
      <w:spacing w:before="120" w:line="480" w:lineRule="auto"/>
      <w:jc w:val="center"/>
      <w:outlineLvl w:val="0"/>
    </w:pPr>
    <w:rPr>
      <w:rFonts w:ascii="Cambria" w:hAnsi="Cambria"/>
      <w:b/>
      <w:kern w:val="32"/>
      <w:sz w:val="32"/>
    </w:rPr>
  </w:style>
  <w:style w:type="paragraph" w:styleId="Nadpis2">
    <w:name w:val="heading 2"/>
    <w:basedOn w:val="Normln"/>
    <w:next w:val="Normln"/>
    <w:link w:val="Nadpis2Char"/>
    <w:uiPriority w:val="99"/>
    <w:qFormat/>
    <w:rsid w:val="00FD45D8"/>
    <w:pPr>
      <w:keepNext/>
      <w:tabs>
        <w:tab w:val="left" w:pos="5670"/>
        <w:tab w:val="left" w:pos="8222"/>
      </w:tabs>
      <w:outlineLvl w:val="1"/>
    </w:pPr>
    <w:rPr>
      <w:rFonts w:ascii="Cambria" w:hAnsi="Cambria"/>
      <w:b/>
      <w:i/>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25EE3"/>
    <w:rPr>
      <w:rFonts w:ascii="Cambria" w:hAnsi="Cambria" w:cs="Times New Roman"/>
      <w:b/>
      <w:kern w:val="32"/>
      <w:sz w:val="32"/>
    </w:rPr>
  </w:style>
  <w:style w:type="character" w:customStyle="1" w:styleId="Nadpis2Char">
    <w:name w:val="Nadpis 2 Char"/>
    <w:basedOn w:val="Standardnpsmoodstavce"/>
    <w:link w:val="Nadpis2"/>
    <w:uiPriority w:val="99"/>
    <w:semiHidden/>
    <w:locked/>
    <w:rsid w:val="00525EE3"/>
    <w:rPr>
      <w:rFonts w:ascii="Cambria" w:hAnsi="Cambria" w:cs="Times New Roman"/>
      <w:b/>
      <w:i/>
      <w:sz w:val="28"/>
    </w:rPr>
  </w:style>
  <w:style w:type="paragraph" w:styleId="Rozloendokumentu">
    <w:name w:val="Document Map"/>
    <w:basedOn w:val="Normln"/>
    <w:link w:val="RozloendokumentuChar"/>
    <w:uiPriority w:val="99"/>
    <w:semiHidden/>
    <w:rsid w:val="00FD45D8"/>
    <w:pPr>
      <w:shd w:val="clear" w:color="auto" w:fill="000080"/>
    </w:pPr>
    <w:rPr>
      <w:sz w:val="2"/>
    </w:rPr>
  </w:style>
  <w:style w:type="character" w:customStyle="1" w:styleId="RozloendokumentuChar">
    <w:name w:val="Rozložení dokumentu Char"/>
    <w:basedOn w:val="Standardnpsmoodstavce"/>
    <w:link w:val="Rozloendokumentu"/>
    <w:uiPriority w:val="99"/>
    <w:semiHidden/>
    <w:locked/>
    <w:rsid w:val="00525EE3"/>
    <w:rPr>
      <w:rFonts w:cs="Times New Roman"/>
      <w:sz w:val="2"/>
    </w:rPr>
  </w:style>
  <w:style w:type="paragraph" w:styleId="Zhlav">
    <w:name w:val="header"/>
    <w:basedOn w:val="Normln"/>
    <w:link w:val="ZhlavChar"/>
    <w:uiPriority w:val="99"/>
    <w:rsid w:val="003B6678"/>
    <w:pPr>
      <w:tabs>
        <w:tab w:val="center" w:pos="4536"/>
        <w:tab w:val="right" w:pos="9072"/>
      </w:tabs>
    </w:pPr>
  </w:style>
  <w:style w:type="character" w:customStyle="1" w:styleId="ZhlavChar">
    <w:name w:val="Záhlaví Char"/>
    <w:basedOn w:val="Standardnpsmoodstavce"/>
    <w:link w:val="Zhlav"/>
    <w:uiPriority w:val="99"/>
    <w:semiHidden/>
    <w:locked/>
    <w:rsid w:val="00525EE3"/>
    <w:rPr>
      <w:rFonts w:cs="Times New Roman"/>
      <w:sz w:val="20"/>
    </w:rPr>
  </w:style>
  <w:style w:type="paragraph" w:styleId="Zpat">
    <w:name w:val="footer"/>
    <w:basedOn w:val="Normln"/>
    <w:link w:val="ZpatChar"/>
    <w:uiPriority w:val="99"/>
    <w:rsid w:val="003B6678"/>
    <w:pPr>
      <w:tabs>
        <w:tab w:val="center" w:pos="4536"/>
        <w:tab w:val="right" w:pos="9072"/>
      </w:tabs>
    </w:pPr>
  </w:style>
  <w:style w:type="character" w:customStyle="1" w:styleId="ZpatChar">
    <w:name w:val="Zápatí Char"/>
    <w:basedOn w:val="Standardnpsmoodstavce"/>
    <w:link w:val="Zpat"/>
    <w:uiPriority w:val="99"/>
    <w:semiHidden/>
    <w:locked/>
    <w:rsid w:val="00525EE3"/>
    <w:rPr>
      <w:rFonts w:cs="Times New Roman"/>
      <w:sz w:val="20"/>
    </w:rPr>
  </w:style>
  <w:style w:type="character" w:styleId="Hypertextovodkaz">
    <w:name w:val="Hyperlink"/>
    <w:basedOn w:val="Standardnpsmoodstavce"/>
    <w:uiPriority w:val="99"/>
    <w:rsid w:val="003B6678"/>
    <w:rPr>
      <w:rFonts w:cs="Times New Roman"/>
      <w:color w:val="0000FF"/>
      <w:u w:val="single"/>
    </w:rPr>
  </w:style>
  <w:style w:type="paragraph" w:styleId="Textbubliny">
    <w:name w:val="Balloon Text"/>
    <w:basedOn w:val="Normln"/>
    <w:link w:val="TextbublinyChar"/>
    <w:uiPriority w:val="99"/>
    <w:semiHidden/>
    <w:rsid w:val="00152DA1"/>
    <w:rPr>
      <w:sz w:val="24"/>
    </w:rPr>
  </w:style>
  <w:style w:type="character" w:customStyle="1" w:styleId="TextbublinyChar">
    <w:name w:val="Text bubliny Char"/>
    <w:basedOn w:val="Standardnpsmoodstavce"/>
    <w:link w:val="Textbubliny"/>
    <w:uiPriority w:val="99"/>
    <w:semiHidden/>
    <w:locked/>
    <w:rsid w:val="00152DA1"/>
    <w:rPr>
      <w:sz w:val="24"/>
      <w:szCs w:val="20"/>
    </w:rPr>
  </w:style>
  <w:style w:type="paragraph" w:customStyle="1" w:styleId="Identifiktory">
    <w:name w:val="Identifikátory"/>
    <w:basedOn w:val="Normln"/>
    <w:qFormat/>
    <w:rsid w:val="00252AA9"/>
    <w:pPr>
      <w:tabs>
        <w:tab w:val="left" w:pos="5670"/>
        <w:tab w:val="left" w:pos="8222"/>
      </w:tabs>
    </w:pPr>
    <w:rPr>
      <w:rFonts w:ascii="Arial" w:hAnsi="Arial" w:cs="Arial"/>
    </w:rPr>
  </w:style>
  <w:style w:type="paragraph" w:customStyle="1" w:styleId="Datumdopisu">
    <w:name w:val="Datum dopisu"/>
    <w:basedOn w:val="Normln"/>
    <w:qFormat/>
    <w:rsid w:val="00252AA9"/>
    <w:pPr>
      <w:tabs>
        <w:tab w:val="left" w:pos="5670"/>
        <w:tab w:val="left" w:pos="8222"/>
      </w:tabs>
      <w:jc w:val="right"/>
    </w:pPr>
    <w:rPr>
      <w:rFonts w:ascii="Arial" w:hAnsi="Arial" w:cs="Arial"/>
      <w:sz w:val="24"/>
      <w:szCs w:val="24"/>
    </w:rPr>
  </w:style>
  <w:style w:type="paragraph" w:customStyle="1" w:styleId="Textdopisu">
    <w:name w:val="Text dopisu"/>
    <w:basedOn w:val="Normln"/>
    <w:qFormat/>
    <w:rsid w:val="00252AA9"/>
    <w:pPr>
      <w:spacing w:after="240"/>
      <w:jc w:val="both"/>
    </w:pPr>
    <w:rPr>
      <w:rFonts w:ascii="Arial" w:hAnsi="Arial" w:cs="Arial"/>
      <w:sz w:val="24"/>
    </w:rPr>
  </w:style>
  <w:style w:type="paragraph" w:customStyle="1" w:styleId="Adrest">
    <w:name w:val="Adresát"/>
    <w:basedOn w:val="Normln"/>
    <w:qFormat/>
    <w:rsid w:val="00661459"/>
    <w:pPr>
      <w:tabs>
        <w:tab w:val="left" w:pos="8272"/>
      </w:tabs>
      <w:jc w:val="both"/>
      <w:outlineLvl w:val="0"/>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89354">
      <w:marLeft w:val="0"/>
      <w:marRight w:val="0"/>
      <w:marTop w:val="0"/>
      <w:marBottom w:val="0"/>
      <w:divBdr>
        <w:top w:val="none" w:sz="0" w:space="0" w:color="auto"/>
        <w:left w:val="none" w:sz="0" w:space="0" w:color="auto"/>
        <w:bottom w:val="none" w:sz="0" w:space="0" w:color="auto"/>
        <w:right w:val="none" w:sz="0" w:space="0" w:color="auto"/>
      </w:divBdr>
    </w:div>
    <w:div w:id="650789362">
      <w:marLeft w:val="0"/>
      <w:marRight w:val="0"/>
      <w:marTop w:val="0"/>
      <w:marBottom w:val="0"/>
      <w:divBdr>
        <w:top w:val="none" w:sz="0" w:space="0" w:color="auto"/>
        <w:left w:val="none" w:sz="0" w:space="0" w:color="auto"/>
        <w:bottom w:val="none" w:sz="0" w:space="0" w:color="auto"/>
        <w:right w:val="none" w:sz="0" w:space="0" w:color="auto"/>
      </w:divBdr>
      <w:divsChild>
        <w:div w:id="650789356">
          <w:marLeft w:val="0"/>
          <w:marRight w:val="0"/>
          <w:marTop w:val="0"/>
          <w:marBottom w:val="0"/>
          <w:divBdr>
            <w:top w:val="none" w:sz="0" w:space="0" w:color="auto"/>
            <w:left w:val="none" w:sz="0" w:space="0" w:color="auto"/>
            <w:bottom w:val="none" w:sz="0" w:space="0" w:color="auto"/>
            <w:right w:val="none" w:sz="0" w:space="0" w:color="auto"/>
          </w:divBdr>
          <w:divsChild>
            <w:div w:id="650789361">
              <w:marLeft w:val="0"/>
              <w:marRight w:val="0"/>
              <w:marTop w:val="0"/>
              <w:marBottom w:val="0"/>
              <w:divBdr>
                <w:top w:val="none" w:sz="0" w:space="0" w:color="auto"/>
                <w:left w:val="none" w:sz="0" w:space="0" w:color="auto"/>
                <w:bottom w:val="none" w:sz="0" w:space="0" w:color="auto"/>
                <w:right w:val="none" w:sz="0" w:space="0" w:color="auto"/>
              </w:divBdr>
              <w:divsChild>
                <w:div w:id="650789355">
                  <w:marLeft w:val="0"/>
                  <w:marRight w:val="0"/>
                  <w:marTop w:val="0"/>
                  <w:marBottom w:val="0"/>
                  <w:divBdr>
                    <w:top w:val="none" w:sz="0" w:space="0" w:color="auto"/>
                    <w:left w:val="none" w:sz="0" w:space="0" w:color="auto"/>
                    <w:bottom w:val="none" w:sz="0" w:space="0" w:color="auto"/>
                    <w:right w:val="none" w:sz="0" w:space="0" w:color="auto"/>
                  </w:divBdr>
                  <w:divsChild>
                    <w:div w:id="650789358">
                      <w:marLeft w:val="0"/>
                      <w:marRight w:val="0"/>
                      <w:marTop w:val="0"/>
                      <w:marBottom w:val="0"/>
                      <w:divBdr>
                        <w:top w:val="none" w:sz="0" w:space="0" w:color="auto"/>
                        <w:left w:val="none" w:sz="0" w:space="0" w:color="auto"/>
                        <w:bottom w:val="none" w:sz="0" w:space="0" w:color="auto"/>
                        <w:right w:val="none" w:sz="0" w:space="0" w:color="auto"/>
                      </w:divBdr>
                      <w:divsChild>
                        <w:div w:id="650789360">
                          <w:marLeft w:val="0"/>
                          <w:marRight w:val="0"/>
                          <w:marTop w:val="0"/>
                          <w:marBottom w:val="0"/>
                          <w:divBdr>
                            <w:top w:val="none" w:sz="0" w:space="0" w:color="auto"/>
                            <w:left w:val="none" w:sz="0" w:space="0" w:color="auto"/>
                            <w:bottom w:val="none" w:sz="0" w:space="0" w:color="auto"/>
                            <w:right w:val="none" w:sz="0" w:space="0" w:color="auto"/>
                          </w:divBdr>
                          <w:divsChild>
                            <w:div w:id="650789357">
                              <w:marLeft w:val="0"/>
                              <w:marRight w:val="0"/>
                              <w:marTop w:val="0"/>
                              <w:marBottom w:val="0"/>
                              <w:divBdr>
                                <w:top w:val="none" w:sz="0" w:space="0" w:color="auto"/>
                                <w:left w:val="none" w:sz="0" w:space="0" w:color="auto"/>
                                <w:bottom w:val="none" w:sz="0" w:space="0" w:color="auto"/>
                                <w:right w:val="none" w:sz="0" w:space="0" w:color="auto"/>
                              </w:divBdr>
                              <w:divsChild>
                                <w:div w:id="650789359">
                                  <w:marLeft w:val="0"/>
                                  <w:marRight w:val="0"/>
                                  <w:marTop w:val="0"/>
                                  <w:marBottom w:val="0"/>
                                  <w:divBdr>
                                    <w:top w:val="none" w:sz="0" w:space="0" w:color="auto"/>
                                    <w:left w:val="single" w:sz="6" w:space="4" w:color="E7E7E7"/>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odatelna@mfcr.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2410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MFCR - Dopis_ministra_se_znakem_barevne</vt:lpstr>
    </vt:vector>
  </TitlesOfParts>
  <Company>MF - Spisová služba EPD</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MFCR - Dopis_ministra_se_znakem_barevne</dc:title>
  <dc:creator>Chocholová Zuzana Ing.</dc:creator>
  <cp:lastModifiedBy>Palečková Jana Mgr.</cp:lastModifiedBy>
  <cp:revision>10</cp:revision>
  <cp:lastPrinted>2023-12-28T14:31:00Z</cp:lastPrinted>
  <dcterms:created xsi:type="dcterms:W3CDTF">2020-02-07T09:51:00Z</dcterms:created>
  <dcterms:modified xsi:type="dcterms:W3CDTF">2023-12-28T14:31:00Z</dcterms:modified>
</cp:coreProperties>
</file>