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EDDB2" w14:textId="3E5CE988" w:rsidR="00FA55A0" w:rsidRPr="00FA55A0" w:rsidRDefault="00A91F00" w:rsidP="007837B1">
      <w:pPr>
        <w:spacing w:line="276" w:lineRule="auto"/>
        <w:jc w:val="right"/>
        <w:rPr>
          <w:rFonts w:ascii="Times New Roman" w:eastAsia="Calibri" w:hAnsi="Times New Roman" w:cs="Times New Roman"/>
          <w:b/>
          <w:bCs/>
          <w:sz w:val="24"/>
          <w:szCs w:val="24"/>
        </w:rPr>
      </w:pPr>
      <w:bookmarkStart w:id="0" w:name="_GoBack"/>
      <w:bookmarkEnd w:id="0"/>
      <w:r w:rsidRPr="00A91F00">
        <w:rPr>
          <w:rFonts w:ascii="Times New Roman" w:eastAsia="Calibri" w:hAnsi="Times New Roman" w:cs="Times New Roman"/>
          <w:b/>
          <w:bCs/>
          <w:sz w:val="24"/>
          <w:szCs w:val="24"/>
        </w:rPr>
        <w:t>V</w:t>
      </w:r>
      <w:r w:rsidR="00354DB1">
        <w:rPr>
          <w:rFonts w:ascii="Times New Roman" w:eastAsia="Calibri" w:hAnsi="Times New Roman" w:cs="Times New Roman"/>
          <w:b/>
          <w:bCs/>
          <w:sz w:val="24"/>
          <w:szCs w:val="24"/>
        </w:rPr>
        <w:t>I</w:t>
      </w:r>
      <w:r w:rsidRPr="00A91F00">
        <w:rPr>
          <w:rFonts w:ascii="Times New Roman" w:eastAsia="Calibri" w:hAnsi="Times New Roman" w:cs="Times New Roman"/>
          <w:b/>
          <w:bCs/>
          <w:sz w:val="24"/>
          <w:szCs w:val="24"/>
        </w:rPr>
        <w:t>.</w:t>
      </w:r>
      <w:bookmarkStart w:id="1" w:name="_Hlk100041622"/>
    </w:p>
    <w:p w14:paraId="6B5D6EB0" w14:textId="77777777" w:rsidR="007837B1" w:rsidRDefault="007837B1" w:rsidP="007837B1">
      <w:pPr>
        <w:jc w:val="both"/>
        <w:rPr>
          <w:rFonts w:ascii="Times New Roman" w:eastAsia="Calibri" w:hAnsi="Times New Roman" w:cs="Times New Roman"/>
          <w:b/>
          <w:sz w:val="24"/>
          <w:szCs w:val="24"/>
          <w:u w:val="single"/>
        </w:rPr>
      </w:pPr>
    </w:p>
    <w:p w14:paraId="5F4D4677" w14:textId="4BDBAB59" w:rsidR="00A91F00" w:rsidRDefault="00034921" w:rsidP="007837B1">
      <w:pPr>
        <w:jc w:val="both"/>
        <w:rPr>
          <w:rFonts w:ascii="Times New Roman" w:eastAsia="Calibri" w:hAnsi="Times New Roman" w:cs="Times New Roman"/>
          <w:b/>
          <w:sz w:val="24"/>
          <w:szCs w:val="24"/>
          <w:u w:val="single"/>
        </w:rPr>
      </w:pPr>
      <w:r w:rsidRPr="00034921">
        <w:rPr>
          <w:rFonts w:ascii="Times New Roman" w:eastAsia="Calibri" w:hAnsi="Times New Roman" w:cs="Times New Roman"/>
          <w:b/>
          <w:sz w:val="24"/>
          <w:szCs w:val="24"/>
          <w:u w:val="single"/>
        </w:rPr>
        <w:t xml:space="preserve">Platné znění příslušných ustanovení zákona č. </w:t>
      </w:r>
      <w:r w:rsidR="005260D4">
        <w:rPr>
          <w:rFonts w:ascii="Times New Roman" w:eastAsia="Calibri" w:hAnsi="Times New Roman" w:cs="Times New Roman"/>
          <w:b/>
          <w:sz w:val="24"/>
          <w:szCs w:val="24"/>
          <w:u w:val="single"/>
        </w:rPr>
        <w:t>108/2006</w:t>
      </w:r>
      <w:r w:rsidRPr="00034921">
        <w:rPr>
          <w:rFonts w:ascii="Times New Roman" w:eastAsia="Calibri" w:hAnsi="Times New Roman" w:cs="Times New Roman"/>
          <w:b/>
          <w:sz w:val="24"/>
          <w:szCs w:val="24"/>
          <w:u w:val="single"/>
        </w:rPr>
        <w:t xml:space="preserve"> Sb., o s</w:t>
      </w:r>
      <w:r w:rsidR="005260D4">
        <w:rPr>
          <w:rFonts w:ascii="Times New Roman" w:eastAsia="Calibri" w:hAnsi="Times New Roman" w:cs="Times New Roman"/>
          <w:b/>
          <w:sz w:val="24"/>
          <w:szCs w:val="24"/>
          <w:u w:val="single"/>
        </w:rPr>
        <w:t>ociálních službách</w:t>
      </w:r>
      <w:r w:rsidRPr="00034921">
        <w:rPr>
          <w:rFonts w:ascii="Times New Roman" w:eastAsia="Calibri" w:hAnsi="Times New Roman" w:cs="Times New Roman"/>
          <w:b/>
          <w:sz w:val="24"/>
          <w:szCs w:val="24"/>
          <w:u w:val="single"/>
        </w:rPr>
        <w:t>, ve</w:t>
      </w:r>
      <w:r w:rsidR="00490ACD">
        <w:rPr>
          <w:rFonts w:ascii="Times New Roman" w:eastAsia="Calibri" w:hAnsi="Times New Roman" w:cs="Times New Roman"/>
          <w:b/>
          <w:sz w:val="24"/>
          <w:szCs w:val="24"/>
          <w:u w:val="single"/>
        </w:rPr>
        <w:t> </w:t>
      </w:r>
      <w:r w:rsidRPr="00034921">
        <w:rPr>
          <w:rFonts w:ascii="Times New Roman" w:eastAsia="Calibri" w:hAnsi="Times New Roman" w:cs="Times New Roman"/>
          <w:b/>
          <w:sz w:val="24"/>
          <w:szCs w:val="24"/>
          <w:u w:val="single"/>
        </w:rPr>
        <w:t>znění pozdějších předpisů, s vyznačením navrhovaných změn</w:t>
      </w:r>
    </w:p>
    <w:p w14:paraId="0622B4D5" w14:textId="77777777" w:rsidR="007837B1" w:rsidRPr="007837B1" w:rsidRDefault="007837B1" w:rsidP="007837B1">
      <w:pPr>
        <w:jc w:val="both"/>
        <w:rPr>
          <w:rFonts w:ascii="Times New Roman" w:eastAsia="Calibri" w:hAnsi="Times New Roman" w:cs="Times New Roman"/>
          <w:b/>
          <w:sz w:val="24"/>
          <w:szCs w:val="24"/>
          <w:u w:val="single"/>
        </w:rPr>
      </w:pPr>
    </w:p>
    <w:bookmarkEnd w:id="1"/>
    <w:p w14:paraId="698CD010" w14:textId="03074FC7" w:rsidR="00A91F00" w:rsidRDefault="005260D4" w:rsidP="005260D4">
      <w:pPr>
        <w:widowControl w:val="0"/>
        <w:suppressAutoHyphens/>
        <w:spacing w:before="58" w:after="58" w:line="240" w:lineRule="auto"/>
        <w:jc w:val="center"/>
        <w:rPr>
          <w:rFonts w:ascii="Times New Roman" w:eastAsia="Noto Sans CJK SC Regular" w:hAnsi="Times New Roman" w:cs="Lohit Devanagari"/>
          <w:b/>
          <w:kern w:val="2"/>
          <w:sz w:val="36"/>
          <w:szCs w:val="36"/>
          <w:lang w:val="en-US" w:eastAsia="zh-CN" w:bidi="hi-IN"/>
        </w:rPr>
      </w:pPr>
      <w:r w:rsidRPr="005A0C6E">
        <w:rPr>
          <w:rFonts w:ascii="Times New Roman" w:eastAsia="Noto Sans CJK SC Regular" w:hAnsi="Times New Roman" w:cs="Lohit Devanagari"/>
          <w:b/>
          <w:kern w:val="2"/>
          <w:sz w:val="36"/>
          <w:szCs w:val="36"/>
          <w:lang w:val="en-US" w:eastAsia="zh-CN" w:bidi="hi-IN"/>
        </w:rPr>
        <w:t>* * * * * *</w:t>
      </w:r>
    </w:p>
    <w:p w14:paraId="01A40126" w14:textId="6BB2A5AF" w:rsidR="00783B2A" w:rsidRDefault="00783B2A" w:rsidP="00783B2A">
      <w:pPr>
        <w:pStyle w:val="Bezmezer"/>
        <w:jc w:val="center"/>
        <w:rPr>
          <w:rFonts w:ascii="Times New Roman" w:hAnsi="Times New Roman" w:cs="Times New Roman"/>
          <w:bCs/>
          <w:sz w:val="24"/>
          <w:szCs w:val="24"/>
          <w:lang w:eastAsia="cs-CZ"/>
        </w:rPr>
      </w:pPr>
      <w:r>
        <w:rPr>
          <w:rFonts w:ascii="Times New Roman" w:hAnsi="Times New Roman" w:cs="Times New Roman"/>
          <w:bCs/>
          <w:sz w:val="24"/>
          <w:szCs w:val="24"/>
          <w:lang w:eastAsia="cs-CZ"/>
        </w:rPr>
        <w:t>HLAVA II</w:t>
      </w:r>
    </w:p>
    <w:p w14:paraId="0BCCBDA3" w14:textId="77777777" w:rsidR="00783B2A" w:rsidRDefault="00783B2A" w:rsidP="00783B2A">
      <w:pPr>
        <w:pStyle w:val="Bezmezer"/>
        <w:jc w:val="center"/>
        <w:rPr>
          <w:rFonts w:ascii="Times New Roman" w:hAnsi="Times New Roman" w:cs="Times New Roman"/>
          <w:bCs/>
          <w:sz w:val="24"/>
          <w:szCs w:val="24"/>
          <w:lang w:eastAsia="cs-CZ"/>
        </w:rPr>
      </w:pPr>
    </w:p>
    <w:p w14:paraId="4893DDD9" w14:textId="587671E3" w:rsidR="00783B2A" w:rsidRDefault="00783B2A" w:rsidP="00783B2A">
      <w:pPr>
        <w:pStyle w:val="Bezmezer"/>
        <w:jc w:val="center"/>
        <w:rPr>
          <w:rFonts w:ascii="Times New Roman" w:hAnsi="Times New Roman" w:cs="Times New Roman"/>
          <w:bCs/>
          <w:sz w:val="24"/>
          <w:szCs w:val="24"/>
          <w:lang w:eastAsia="cs-CZ"/>
        </w:rPr>
      </w:pPr>
      <w:r>
        <w:rPr>
          <w:rFonts w:ascii="Times New Roman" w:hAnsi="Times New Roman" w:cs="Times New Roman"/>
          <w:bCs/>
          <w:sz w:val="24"/>
          <w:szCs w:val="24"/>
          <w:lang w:eastAsia="cs-CZ"/>
        </w:rPr>
        <w:t>VÝŠE PŘÍSPĚVKU</w:t>
      </w:r>
    </w:p>
    <w:p w14:paraId="52FBF74B" w14:textId="77777777" w:rsidR="00783B2A" w:rsidRDefault="00783B2A" w:rsidP="00783B2A">
      <w:pPr>
        <w:pStyle w:val="Bezmezer"/>
        <w:jc w:val="center"/>
        <w:rPr>
          <w:rFonts w:ascii="Times New Roman" w:hAnsi="Times New Roman" w:cs="Times New Roman"/>
          <w:bCs/>
          <w:sz w:val="24"/>
          <w:szCs w:val="24"/>
          <w:lang w:eastAsia="cs-CZ"/>
        </w:rPr>
      </w:pPr>
    </w:p>
    <w:p w14:paraId="75B23B85" w14:textId="363956B9" w:rsidR="00783B2A" w:rsidRDefault="00783B2A" w:rsidP="00783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r>
        <w:rPr>
          <w:rFonts w:ascii="Times New Roman" w:eastAsiaTheme="minorEastAsia" w:hAnsi="Times New Roman" w:cs="Times New Roman"/>
          <w:sz w:val="24"/>
          <w:szCs w:val="24"/>
          <w:lang w:eastAsia="cs-CZ"/>
        </w:rPr>
        <w:t>11</w:t>
      </w:r>
    </w:p>
    <w:p w14:paraId="51A24EC2" w14:textId="77777777" w:rsidR="00783B2A" w:rsidRPr="00A91F00" w:rsidRDefault="00783B2A" w:rsidP="00783B2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506C6E94" w14:textId="3436B8C6" w:rsidR="00783B2A" w:rsidRDefault="00783B2A" w:rsidP="00783B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r>
      <w:bookmarkStart w:id="2" w:name="_Hlk152843245"/>
      <w:r w:rsidRPr="00A91F00">
        <w:rPr>
          <w:rFonts w:ascii="Times New Roman" w:eastAsiaTheme="minorEastAsia" w:hAnsi="Times New Roman" w:cs="Times New Roman"/>
          <w:sz w:val="24"/>
          <w:szCs w:val="24"/>
          <w:lang w:eastAsia="cs-CZ"/>
        </w:rPr>
        <w:t>(</w:t>
      </w:r>
      <w:r>
        <w:rPr>
          <w:rFonts w:ascii="Times New Roman" w:eastAsiaTheme="minorEastAsia" w:hAnsi="Times New Roman" w:cs="Times New Roman"/>
          <w:sz w:val="24"/>
          <w:szCs w:val="24"/>
          <w:lang w:eastAsia="cs-CZ"/>
        </w:rPr>
        <w:t>1</w:t>
      </w:r>
      <w:r w:rsidRPr="00A91F00">
        <w:rPr>
          <w:rFonts w:ascii="Times New Roman" w:eastAsiaTheme="minorEastAsia" w:hAnsi="Times New Roman" w:cs="Times New Roman"/>
          <w:sz w:val="24"/>
          <w:szCs w:val="24"/>
          <w:lang w:eastAsia="cs-CZ"/>
        </w:rPr>
        <w:t xml:space="preserve">) </w:t>
      </w:r>
      <w:r w:rsidRPr="00783B2A">
        <w:rPr>
          <w:rFonts w:ascii="Times New Roman" w:eastAsiaTheme="minorEastAsia" w:hAnsi="Times New Roman" w:cs="Times New Roman"/>
          <w:sz w:val="24"/>
          <w:szCs w:val="24"/>
          <w:lang w:eastAsia="cs-CZ"/>
        </w:rPr>
        <w:t>Výše příspěvku pro osoby do 18 let věku činí za kalendářní měsíc</w:t>
      </w:r>
    </w:p>
    <w:p w14:paraId="325B5FB8" w14:textId="77777777" w:rsidR="00783B2A" w:rsidRDefault="00783B2A" w:rsidP="00783B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6ADB1308" w14:textId="6C47B1E9" w:rsidR="00783B2A" w:rsidRDefault="00783B2A" w:rsidP="00783B2A">
      <w:pPr>
        <w:widowControl w:val="0"/>
        <w:autoSpaceDE w:val="0"/>
        <w:autoSpaceDN w:val="0"/>
        <w:adjustRightInd w:val="0"/>
        <w:spacing w:after="0" w:line="276" w:lineRule="auto"/>
        <w:jc w:val="both"/>
        <w:rPr>
          <w:rFonts w:ascii="Times New Roman" w:hAnsi="Times New Roman" w:cs="Times New Roman"/>
          <w:sz w:val="24"/>
          <w:szCs w:val="24"/>
        </w:rPr>
      </w:pPr>
      <w:r w:rsidRPr="00FA55A0">
        <w:rPr>
          <w:rFonts w:ascii="Times New Roman" w:eastAsiaTheme="minorEastAsia" w:hAnsi="Times New Roman" w:cs="Times New Roman"/>
          <w:sz w:val="24"/>
          <w:szCs w:val="24"/>
          <w:lang w:eastAsia="cs-CZ"/>
        </w:rPr>
        <w:t xml:space="preserve">a) </w:t>
      </w:r>
      <w:r w:rsidRPr="00783B2A">
        <w:rPr>
          <w:rFonts w:ascii="Times New Roman" w:hAnsi="Times New Roman" w:cs="Times New Roman"/>
          <w:sz w:val="24"/>
          <w:szCs w:val="24"/>
        </w:rPr>
        <w:t>3 300 Kč, jde-li o stupeň I (lehká závislost),</w:t>
      </w:r>
    </w:p>
    <w:p w14:paraId="15811708" w14:textId="01378162" w:rsidR="00783B2A" w:rsidRDefault="00783B2A" w:rsidP="00783B2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83B2A">
        <w:rPr>
          <w:rFonts w:ascii="Times New Roman" w:hAnsi="Times New Roman" w:cs="Times New Roman"/>
          <w:sz w:val="24"/>
          <w:szCs w:val="24"/>
        </w:rPr>
        <w:t>6 600 Kč, jde-li o stupeň II (středně těžká závislost),</w:t>
      </w:r>
    </w:p>
    <w:p w14:paraId="496B3151" w14:textId="4C98D59F" w:rsidR="00783B2A" w:rsidRDefault="00783B2A" w:rsidP="00783B2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83B2A">
        <w:rPr>
          <w:rFonts w:ascii="Times New Roman" w:hAnsi="Times New Roman" w:cs="Times New Roman"/>
          <w:sz w:val="24"/>
          <w:szCs w:val="24"/>
        </w:rPr>
        <w:t>13 900 Kč, jde-li o stupeň III (těžká závislost),</w:t>
      </w:r>
    </w:p>
    <w:p w14:paraId="1E4814E6" w14:textId="0529CC77" w:rsidR="00783B2A" w:rsidRPr="00FA55A0" w:rsidRDefault="00783B2A" w:rsidP="00783B2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cs-CZ"/>
        </w:rPr>
      </w:pPr>
      <w:r>
        <w:rPr>
          <w:rFonts w:ascii="Times New Roman" w:hAnsi="Times New Roman" w:cs="Times New Roman"/>
          <w:sz w:val="24"/>
          <w:szCs w:val="24"/>
        </w:rPr>
        <w:t xml:space="preserve">d) </w:t>
      </w:r>
      <w:r w:rsidRPr="00783B2A">
        <w:rPr>
          <w:rFonts w:ascii="Times New Roman" w:hAnsi="Times New Roman" w:cs="Times New Roman"/>
          <w:sz w:val="24"/>
          <w:szCs w:val="24"/>
        </w:rPr>
        <w:t>19 200 Kč, jde-li o stupeň IV (úplná závislost).</w:t>
      </w:r>
    </w:p>
    <w:bookmarkEnd w:id="2"/>
    <w:p w14:paraId="71760FFE" w14:textId="487B1034" w:rsidR="00783B2A" w:rsidRDefault="00783B2A" w:rsidP="00783B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342979AD" w14:textId="2597FA2E" w:rsidR="00783B2A" w:rsidRPr="00783B2A" w:rsidRDefault="00783B2A" w:rsidP="00783B2A">
      <w:pPr>
        <w:pStyle w:val="Odstavecseseznamem"/>
        <w:spacing w:after="0"/>
        <w:ind w:left="0" w:firstLine="850"/>
        <w:jc w:val="both"/>
        <w:rPr>
          <w:rFonts w:ascii="Times New Roman" w:hAnsi="Times New Roman" w:cs="Times New Roman"/>
          <w:sz w:val="24"/>
          <w:szCs w:val="24"/>
        </w:rPr>
      </w:pPr>
      <w:r w:rsidRPr="000A066A">
        <w:rPr>
          <w:rFonts w:ascii="Times New Roman" w:hAnsi="Times New Roman" w:cs="Times New Roman"/>
          <w:sz w:val="24"/>
          <w:szCs w:val="24"/>
        </w:rPr>
        <w:t xml:space="preserve">(2) </w:t>
      </w:r>
      <w:r w:rsidR="00123229" w:rsidRPr="00783B2A">
        <w:rPr>
          <w:rFonts w:ascii="Times New Roman" w:eastAsiaTheme="minorEastAsia" w:hAnsi="Times New Roman" w:cs="Times New Roman"/>
          <w:sz w:val="24"/>
          <w:szCs w:val="24"/>
          <w:lang w:eastAsia="cs-CZ"/>
        </w:rPr>
        <w:t xml:space="preserve">Výše příspěvku pro osoby </w:t>
      </w:r>
      <w:r w:rsidR="00BB28B0">
        <w:rPr>
          <w:rFonts w:ascii="Times New Roman" w:eastAsiaTheme="minorEastAsia" w:hAnsi="Times New Roman" w:cs="Times New Roman"/>
          <w:sz w:val="24"/>
          <w:szCs w:val="24"/>
          <w:lang w:eastAsia="cs-CZ"/>
        </w:rPr>
        <w:t>starší</w:t>
      </w:r>
      <w:r w:rsidR="00123229" w:rsidRPr="00783B2A">
        <w:rPr>
          <w:rFonts w:ascii="Times New Roman" w:eastAsiaTheme="minorEastAsia" w:hAnsi="Times New Roman" w:cs="Times New Roman"/>
          <w:sz w:val="24"/>
          <w:szCs w:val="24"/>
          <w:lang w:eastAsia="cs-CZ"/>
        </w:rPr>
        <w:t xml:space="preserve"> 18 let činí za kalendářní měsíc</w:t>
      </w:r>
      <w:r w:rsidRPr="000A066A">
        <w:rPr>
          <w:rFonts w:ascii="Times New Roman" w:hAnsi="Times New Roman" w:cs="Times New Roman"/>
          <w:sz w:val="24"/>
          <w:szCs w:val="24"/>
        </w:rPr>
        <w:t>.</w:t>
      </w:r>
    </w:p>
    <w:p w14:paraId="28270AFD" w14:textId="77777777" w:rsidR="00123229" w:rsidRDefault="00123229" w:rsidP="00783B2A">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cs-CZ"/>
        </w:rPr>
      </w:pPr>
    </w:p>
    <w:p w14:paraId="113CB9AA" w14:textId="7069DBED" w:rsidR="00783B2A" w:rsidRDefault="00783B2A" w:rsidP="00783B2A">
      <w:pPr>
        <w:widowControl w:val="0"/>
        <w:autoSpaceDE w:val="0"/>
        <w:autoSpaceDN w:val="0"/>
        <w:adjustRightInd w:val="0"/>
        <w:spacing w:after="0" w:line="276" w:lineRule="auto"/>
        <w:jc w:val="both"/>
        <w:rPr>
          <w:rFonts w:ascii="Times New Roman" w:hAnsi="Times New Roman" w:cs="Times New Roman"/>
          <w:sz w:val="24"/>
          <w:szCs w:val="24"/>
        </w:rPr>
      </w:pPr>
      <w:r w:rsidRPr="00FA55A0">
        <w:rPr>
          <w:rFonts w:ascii="Times New Roman" w:eastAsiaTheme="minorEastAsia" w:hAnsi="Times New Roman" w:cs="Times New Roman"/>
          <w:sz w:val="24"/>
          <w:szCs w:val="24"/>
          <w:lang w:eastAsia="cs-CZ"/>
        </w:rPr>
        <w:t xml:space="preserve">a) </w:t>
      </w:r>
      <w:r w:rsidRPr="00783B2A">
        <w:rPr>
          <w:rFonts w:ascii="Times New Roman" w:hAnsi="Times New Roman" w:cs="Times New Roman"/>
          <w:sz w:val="24"/>
          <w:szCs w:val="24"/>
        </w:rPr>
        <w:t>880 Kč, jde-li o stupeň I (lehká závislost),</w:t>
      </w:r>
    </w:p>
    <w:p w14:paraId="61AB695A" w14:textId="0B31DB63" w:rsidR="00783B2A" w:rsidRDefault="00783B2A" w:rsidP="00783B2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83B2A">
        <w:rPr>
          <w:rFonts w:ascii="Times New Roman" w:hAnsi="Times New Roman" w:cs="Times New Roman"/>
          <w:sz w:val="24"/>
          <w:szCs w:val="24"/>
        </w:rPr>
        <w:t>4 400 Kč, jde-li o stupeň II (středně těžká závislost),</w:t>
      </w:r>
    </w:p>
    <w:p w14:paraId="68D3B1E7" w14:textId="77777777" w:rsidR="00783B2A" w:rsidRDefault="00783B2A" w:rsidP="00783B2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83B2A">
        <w:rPr>
          <w:rFonts w:ascii="Times New Roman" w:hAnsi="Times New Roman" w:cs="Times New Roman"/>
          <w:sz w:val="24"/>
          <w:szCs w:val="24"/>
        </w:rPr>
        <w:t>12 800 Kč, jde-li o stupeň III (těžká závislost),</w:t>
      </w:r>
    </w:p>
    <w:p w14:paraId="115AAB48" w14:textId="0C8C290F" w:rsidR="00783B2A" w:rsidRDefault="00783B2A" w:rsidP="00783B2A">
      <w:pPr>
        <w:widowControl w:val="0"/>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783B2A">
        <w:rPr>
          <w:rFonts w:ascii="Times New Roman" w:hAnsi="Times New Roman" w:cs="Times New Roman"/>
          <w:sz w:val="24"/>
          <w:szCs w:val="24"/>
        </w:rPr>
        <w:t>19 200 Kč, jde-li o stupeň IV (úplná závislost).</w:t>
      </w:r>
    </w:p>
    <w:p w14:paraId="780FD29A" w14:textId="120F59F4" w:rsidR="00783B2A" w:rsidRDefault="00783B2A" w:rsidP="00783B2A">
      <w:pPr>
        <w:widowControl w:val="0"/>
        <w:autoSpaceDE w:val="0"/>
        <w:autoSpaceDN w:val="0"/>
        <w:adjustRightInd w:val="0"/>
        <w:spacing w:after="0" w:line="276" w:lineRule="auto"/>
        <w:jc w:val="both"/>
        <w:rPr>
          <w:rFonts w:ascii="Times New Roman" w:hAnsi="Times New Roman" w:cs="Times New Roman"/>
          <w:sz w:val="24"/>
          <w:szCs w:val="24"/>
        </w:rPr>
      </w:pPr>
    </w:p>
    <w:p w14:paraId="54803829" w14:textId="6268B3C6" w:rsidR="00940B9B" w:rsidRDefault="00940B9B" w:rsidP="00940B9B">
      <w:pPr>
        <w:pStyle w:val="Odstavecseseznamem"/>
        <w:ind w:left="0" w:firstLine="850"/>
        <w:jc w:val="both"/>
        <w:rPr>
          <w:rFonts w:ascii="Times New Roman" w:eastAsiaTheme="minorEastAsia" w:hAnsi="Times New Roman"/>
          <w:b/>
          <w:bCs/>
          <w:sz w:val="24"/>
        </w:rPr>
      </w:pPr>
      <w:r w:rsidRPr="00940B9B">
        <w:rPr>
          <w:rFonts w:ascii="Times New Roman" w:hAnsi="Times New Roman"/>
          <w:b/>
          <w:bCs/>
          <w:sz w:val="24"/>
        </w:rPr>
        <w:t xml:space="preserve">(3) </w:t>
      </w:r>
      <w:r w:rsidRPr="00940B9B">
        <w:rPr>
          <w:rFonts w:ascii="Times New Roman" w:eastAsiaTheme="minorEastAsia" w:hAnsi="Times New Roman"/>
          <w:b/>
          <w:bCs/>
          <w:sz w:val="24"/>
        </w:rPr>
        <w:t xml:space="preserve">Částky příspěvku stanovené v odstavci 1 písm. a) až d) a odstavci 2 písm. a) až d) může vláda zvýšit nařízením, a to podle skutečného růstu nákladů na výživu a na ostatní základní osobní potřeby vyjádřeného růstem příslušného indexu spotřebitelských cen za domácnosti celkem (dále jen „příslušný index spotřebitelských cen“) za podmínky, že příslušný index spotřebitelských cen vzroste alespoň o 5 %, a to od prvního dne kalendářního měsíce, </w:t>
      </w:r>
      <w:r w:rsidR="005A6AE2" w:rsidRPr="005A6AE2">
        <w:rPr>
          <w:rFonts w:ascii="Times New Roman" w:eastAsiaTheme="minorEastAsia" w:hAnsi="Times New Roman"/>
          <w:b/>
          <w:bCs/>
          <w:sz w:val="24"/>
        </w:rPr>
        <w:t>kdy nabylo účinnosti poslední zvýšení těchto částek.</w:t>
      </w:r>
    </w:p>
    <w:p w14:paraId="7A694687" w14:textId="77777777" w:rsidR="00940B9B" w:rsidRPr="00940B9B" w:rsidRDefault="00940B9B" w:rsidP="00940B9B">
      <w:pPr>
        <w:pStyle w:val="Odstavecseseznamem"/>
        <w:ind w:left="0" w:firstLine="850"/>
        <w:jc w:val="both"/>
        <w:rPr>
          <w:rFonts w:ascii="Times New Roman" w:eastAsiaTheme="minorEastAsia" w:hAnsi="Times New Roman"/>
          <w:b/>
          <w:bCs/>
          <w:sz w:val="24"/>
        </w:rPr>
      </w:pPr>
    </w:p>
    <w:p w14:paraId="55F0A726" w14:textId="77777777" w:rsidR="007C55BC" w:rsidRPr="007C55BC" w:rsidRDefault="007C55BC" w:rsidP="007C55BC">
      <w:pPr>
        <w:pStyle w:val="Odstavecseseznamem"/>
        <w:ind w:left="0" w:firstLine="850"/>
        <w:jc w:val="both"/>
        <w:rPr>
          <w:rFonts w:ascii="Times New Roman" w:eastAsiaTheme="minorEastAsia" w:hAnsi="Times New Roman"/>
          <w:b/>
          <w:bCs/>
          <w:sz w:val="24"/>
        </w:rPr>
      </w:pPr>
      <w:r w:rsidRPr="007C55BC">
        <w:rPr>
          <w:rFonts w:ascii="Times New Roman" w:hAnsi="Times New Roman"/>
          <w:b/>
          <w:bCs/>
          <w:sz w:val="24"/>
        </w:rPr>
        <w:t>(4) Vláda může částky příspěvku zvýšit nařízením</w:t>
      </w:r>
      <w:r w:rsidRPr="007C55BC">
        <w:rPr>
          <w:rFonts w:ascii="Times New Roman" w:eastAsiaTheme="minorEastAsia" w:hAnsi="Times New Roman"/>
          <w:b/>
          <w:bCs/>
          <w:sz w:val="24"/>
        </w:rPr>
        <w:t xml:space="preserve"> pro každý jednotlivý stupeň závislosti zvlášť, popřípadě též odlišně podle způsobu zajištění péče. </w:t>
      </w:r>
    </w:p>
    <w:p w14:paraId="0C4948B4" w14:textId="77777777" w:rsidR="007C55BC" w:rsidRPr="007C55BC" w:rsidRDefault="007C55BC" w:rsidP="007C55BC">
      <w:pPr>
        <w:pStyle w:val="Odstavecseseznamem"/>
        <w:ind w:left="0" w:firstLine="850"/>
        <w:jc w:val="both"/>
        <w:rPr>
          <w:rFonts w:ascii="Times New Roman" w:eastAsiaTheme="minorEastAsia" w:hAnsi="Times New Roman"/>
          <w:b/>
          <w:bCs/>
          <w:sz w:val="24"/>
        </w:rPr>
      </w:pPr>
    </w:p>
    <w:p w14:paraId="7276EA71" w14:textId="199A2C8D" w:rsidR="007C55BC" w:rsidRPr="007C55BC" w:rsidRDefault="007C55BC" w:rsidP="007C55BC">
      <w:pPr>
        <w:pStyle w:val="Odstavecseseznamem"/>
        <w:ind w:left="0" w:firstLine="850"/>
        <w:jc w:val="both"/>
        <w:rPr>
          <w:rFonts w:ascii="Times New Roman" w:hAnsi="Times New Roman"/>
          <w:b/>
          <w:bCs/>
          <w:sz w:val="24"/>
        </w:rPr>
      </w:pPr>
      <w:r w:rsidRPr="007C55BC">
        <w:rPr>
          <w:rFonts w:ascii="Times New Roman" w:hAnsi="Times New Roman"/>
          <w:b/>
          <w:bCs/>
          <w:sz w:val="24"/>
        </w:rPr>
        <w:t xml:space="preserve">(5) </w:t>
      </w:r>
      <w:r w:rsidR="009D36E7" w:rsidRPr="009D36E7">
        <w:rPr>
          <w:rFonts w:ascii="Times New Roman" w:hAnsi="Times New Roman"/>
          <w:b/>
          <w:bCs/>
          <w:sz w:val="24"/>
        </w:rPr>
        <w:t>Částky příspěvku se zvyšují podle odstavce 3 a 4 vždy od prvního dne kalendářního měsíce následujícího po kalendářním měsíci, v němž bylo nařízení vlády publikováno ve Sbírce zákonů.</w:t>
      </w:r>
    </w:p>
    <w:p w14:paraId="45C7855F" w14:textId="77777777" w:rsidR="00940B9B" w:rsidRPr="00940B9B" w:rsidRDefault="00940B9B" w:rsidP="00940B9B">
      <w:pPr>
        <w:pStyle w:val="Odstavecseseznamem"/>
        <w:ind w:left="0" w:firstLine="850"/>
        <w:jc w:val="both"/>
        <w:rPr>
          <w:rFonts w:ascii="Times New Roman" w:hAnsi="Times New Roman"/>
          <w:b/>
          <w:bCs/>
          <w:sz w:val="24"/>
        </w:rPr>
      </w:pPr>
    </w:p>
    <w:p w14:paraId="3F7BE315" w14:textId="4B97B329" w:rsidR="00940B9B" w:rsidRPr="00940B9B" w:rsidRDefault="00940B9B" w:rsidP="00940B9B">
      <w:pPr>
        <w:pStyle w:val="Odstavecseseznamem"/>
        <w:ind w:left="0" w:firstLine="850"/>
        <w:jc w:val="both"/>
        <w:rPr>
          <w:rFonts w:ascii="Times New Roman" w:hAnsi="Times New Roman"/>
          <w:b/>
          <w:bCs/>
          <w:sz w:val="24"/>
        </w:rPr>
      </w:pPr>
      <w:r w:rsidRPr="00940B9B">
        <w:rPr>
          <w:rFonts w:ascii="Times New Roman" w:hAnsi="Times New Roman"/>
          <w:b/>
          <w:bCs/>
          <w:sz w:val="24"/>
        </w:rPr>
        <w:t xml:space="preserve">(6) </w:t>
      </w:r>
      <w:r w:rsidRPr="00940B9B">
        <w:rPr>
          <w:rFonts w:ascii="Times New Roman" w:hAnsi="Times New Roman"/>
          <w:b/>
          <w:bCs/>
          <w:sz w:val="24"/>
          <w:shd w:val="clear" w:color="auto" w:fill="FFFFFF"/>
        </w:rPr>
        <w:t>Růst příslušného indexu spotřebitelských cen se zjišťuje z údajů Českého statistického úřadu</w:t>
      </w:r>
      <w:r w:rsidRPr="00940B9B">
        <w:rPr>
          <w:rFonts w:ascii="Times New Roman" w:hAnsi="Times New Roman"/>
          <w:b/>
          <w:bCs/>
          <w:sz w:val="24"/>
        </w:rPr>
        <w:t>.</w:t>
      </w:r>
    </w:p>
    <w:p w14:paraId="0F93E8A6" w14:textId="77777777" w:rsidR="00783B2A" w:rsidRPr="00940B9B" w:rsidRDefault="00783B2A" w:rsidP="00940B9B">
      <w:pPr>
        <w:pStyle w:val="Odstavecseseznamem"/>
        <w:ind w:left="0" w:firstLine="850"/>
        <w:jc w:val="both"/>
        <w:rPr>
          <w:rFonts w:ascii="Times New Roman" w:hAnsi="Times New Roman"/>
          <w:b/>
          <w:bCs/>
          <w:sz w:val="24"/>
        </w:rPr>
      </w:pPr>
    </w:p>
    <w:p w14:paraId="4A8C40F0" w14:textId="2DD00A42" w:rsidR="00783B2A" w:rsidRPr="00940B9B" w:rsidRDefault="00783B2A" w:rsidP="00940B9B">
      <w:pPr>
        <w:pStyle w:val="Odstavecseseznamem"/>
        <w:spacing w:after="0"/>
        <w:ind w:left="0" w:firstLine="850"/>
        <w:jc w:val="both"/>
        <w:rPr>
          <w:rFonts w:ascii="Times New Roman" w:hAnsi="Times New Roman" w:cs="Times New Roman"/>
          <w:b/>
          <w:bCs/>
          <w:sz w:val="24"/>
          <w:szCs w:val="24"/>
        </w:rPr>
      </w:pPr>
      <w:r w:rsidRPr="005A6AE2">
        <w:rPr>
          <w:rFonts w:ascii="Times New Roman" w:hAnsi="Times New Roman" w:cs="Times New Roman"/>
          <w:strike/>
          <w:sz w:val="24"/>
          <w:szCs w:val="24"/>
        </w:rPr>
        <w:lastRenderedPageBreak/>
        <w:t>(3)</w:t>
      </w:r>
      <w:r w:rsidRPr="00940B9B">
        <w:rPr>
          <w:rFonts w:ascii="Times New Roman" w:hAnsi="Times New Roman" w:cs="Times New Roman"/>
          <w:b/>
          <w:bCs/>
          <w:sz w:val="24"/>
          <w:szCs w:val="24"/>
        </w:rPr>
        <w:t xml:space="preserve"> (7) </w:t>
      </w:r>
      <w:r w:rsidRPr="005A6AE2">
        <w:rPr>
          <w:rFonts w:ascii="Times New Roman" w:hAnsi="Times New Roman" w:cs="Times New Roman"/>
          <w:sz w:val="24"/>
          <w:szCs w:val="24"/>
        </w:rPr>
        <w:t xml:space="preserve">Částky příspěvku uvedené v odstavcích 1 a 2 </w:t>
      </w:r>
      <w:r w:rsidRPr="005A6AE2">
        <w:rPr>
          <w:rFonts w:ascii="Times New Roman" w:hAnsi="Times New Roman" w:cs="Times New Roman"/>
          <w:b/>
          <w:bCs/>
          <w:sz w:val="24"/>
          <w:szCs w:val="24"/>
        </w:rPr>
        <w:t xml:space="preserve">nebo stanovené podle odstavců 3 </w:t>
      </w:r>
      <w:r w:rsidR="000C6145" w:rsidRPr="005A6AE2">
        <w:rPr>
          <w:rFonts w:ascii="Times New Roman" w:hAnsi="Times New Roman" w:cs="Times New Roman"/>
          <w:b/>
          <w:bCs/>
          <w:sz w:val="24"/>
          <w:szCs w:val="24"/>
        </w:rPr>
        <w:t>až 5</w:t>
      </w:r>
      <w:r w:rsidR="00380A15" w:rsidRPr="005A6AE2">
        <w:rPr>
          <w:rFonts w:ascii="Times New Roman" w:hAnsi="Times New Roman" w:cs="Times New Roman"/>
          <w:b/>
          <w:bCs/>
          <w:sz w:val="24"/>
          <w:szCs w:val="24"/>
        </w:rPr>
        <w:t xml:space="preserve"> </w:t>
      </w:r>
      <w:r w:rsidR="00185937" w:rsidRPr="005A6AE2">
        <w:rPr>
          <w:rFonts w:ascii="Times New Roman" w:hAnsi="Times New Roman" w:cs="Times New Roman"/>
          <w:b/>
          <w:bCs/>
          <w:sz w:val="24"/>
          <w:szCs w:val="24"/>
        </w:rPr>
        <w:t>a</w:t>
      </w:r>
      <w:r w:rsidR="00380A15" w:rsidRPr="005A6AE2">
        <w:rPr>
          <w:rFonts w:ascii="Times New Roman" w:hAnsi="Times New Roman" w:cs="Times New Roman"/>
          <w:b/>
          <w:bCs/>
          <w:sz w:val="24"/>
          <w:szCs w:val="24"/>
        </w:rPr>
        <w:t xml:space="preserve">nebo </w:t>
      </w:r>
      <w:r w:rsidR="00185937" w:rsidRPr="005A6AE2">
        <w:rPr>
          <w:rFonts w:ascii="Times New Roman" w:hAnsi="Times New Roman" w:cs="Times New Roman"/>
          <w:b/>
          <w:bCs/>
          <w:sz w:val="24"/>
          <w:szCs w:val="24"/>
        </w:rPr>
        <w:t xml:space="preserve">podle </w:t>
      </w:r>
      <w:r w:rsidR="00380A15" w:rsidRPr="005A6AE2">
        <w:rPr>
          <w:rFonts w:ascii="Times New Roman" w:hAnsi="Times New Roman" w:cs="Times New Roman"/>
          <w:b/>
          <w:bCs/>
          <w:sz w:val="24"/>
          <w:szCs w:val="24"/>
        </w:rPr>
        <w:t>§ 11a</w:t>
      </w:r>
      <w:r w:rsidRPr="005A6AE2">
        <w:rPr>
          <w:rFonts w:ascii="Times New Roman" w:hAnsi="Times New Roman" w:cs="Times New Roman"/>
          <w:sz w:val="24"/>
          <w:szCs w:val="24"/>
        </w:rPr>
        <w:t xml:space="preserve"> se podle § 12 zvyšují o 2 000 Kč za kalendářní měsíc.</w:t>
      </w:r>
    </w:p>
    <w:p w14:paraId="212651A8" w14:textId="77777777" w:rsidR="00185937" w:rsidRDefault="00185937" w:rsidP="007A79A0">
      <w:pPr>
        <w:pStyle w:val="Odstavecseseznamem"/>
        <w:spacing w:after="0"/>
        <w:ind w:left="0" w:firstLine="850"/>
        <w:jc w:val="both"/>
        <w:rPr>
          <w:rFonts w:ascii="Times New Roman" w:hAnsi="Times New Roman" w:cs="Times New Roman"/>
          <w:sz w:val="24"/>
          <w:szCs w:val="24"/>
        </w:rPr>
      </w:pPr>
    </w:p>
    <w:p w14:paraId="6B3698FA" w14:textId="4CB42C5C" w:rsidR="00185937" w:rsidRPr="00185937" w:rsidRDefault="00185937" w:rsidP="00185937">
      <w:pPr>
        <w:pStyle w:val="Bezmezer"/>
        <w:tabs>
          <w:tab w:val="left" w:pos="142"/>
        </w:tabs>
        <w:jc w:val="center"/>
        <w:rPr>
          <w:rFonts w:ascii="Times New Roman" w:hAnsi="Times New Roman"/>
          <w:b/>
          <w:bCs/>
          <w:sz w:val="24"/>
        </w:rPr>
      </w:pPr>
      <w:r w:rsidRPr="00185937">
        <w:rPr>
          <w:rFonts w:ascii="Times New Roman" w:hAnsi="Times New Roman"/>
          <w:b/>
          <w:bCs/>
          <w:sz w:val="24"/>
        </w:rPr>
        <w:t>§ 11a</w:t>
      </w:r>
    </w:p>
    <w:p w14:paraId="28979C5C" w14:textId="77777777" w:rsidR="00185937" w:rsidRPr="00185937" w:rsidRDefault="00185937" w:rsidP="00185937">
      <w:pPr>
        <w:pStyle w:val="Bezmezer"/>
        <w:tabs>
          <w:tab w:val="left" w:pos="142"/>
        </w:tabs>
        <w:rPr>
          <w:rFonts w:ascii="Times New Roman" w:hAnsi="Times New Roman"/>
          <w:b/>
          <w:bCs/>
          <w:sz w:val="24"/>
        </w:rPr>
      </w:pPr>
    </w:p>
    <w:p w14:paraId="7605AEBD" w14:textId="546D1EEB" w:rsidR="007A79A0" w:rsidRDefault="00940B9B" w:rsidP="00185937">
      <w:pPr>
        <w:pStyle w:val="Odstavecseseznamem"/>
        <w:spacing w:after="0"/>
        <w:ind w:left="0" w:firstLine="850"/>
        <w:jc w:val="both"/>
        <w:rPr>
          <w:rFonts w:ascii="Times New Roman" w:eastAsiaTheme="minorEastAsia" w:hAnsi="Times New Roman"/>
          <w:b/>
          <w:bCs/>
          <w:sz w:val="24"/>
        </w:rPr>
      </w:pPr>
      <w:r w:rsidRPr="00940B9B">
        <w:rPr>
          <w:rFonts w:ascii="Times New Roman" w:eastAsiaTheme="minorEastAsia" w:hAnsi="Times New Roman"/>
          <w:b/>
          <w:bCs/>
          <w:sz w:val="24"/>
        </w:rPr>
        <w:t>Částky příspěvku stanovené v § 11 odst. 1 písm. a) až d) a § 11 odst. 2 písm. a) až d) vláda zvýší nařízením schváleným do 1 měsíce ode dne nabytí účinnosti tohoto ustanovení v případě, že je splněna podmínka, že příslušný index spotřebitelských cen od prvního dne kalendářního měsíce, kdy nabylo účinnosti poslední zvýšení těchto částek, vzrostl do dne předcházejícího d</w:t>
      </w:r>
      <w:r w:rsidR="007C55BC">
        <w:rPr>
          <w:rFonts w:ascii="Times New Roman" w:eastAsiaTheme="minorEastAsia" w:hAnsi="Times New Roman"/>
          <w:b/>
          <w:bCs/>
          <w:sz w:val="24"/>
        </w:rPr>
        <w:t>en</w:t>
      </w:r>
      <w:r w:rsidRPr="00940B9B">
        <w:rPr>
          <w:rFonts w:ascii="Times New Roman" w:eastAsiaTheme="minorEastAsia" w:hAnsi="Times New Roman"/>
          <w:b/>
          <w:bCs/>
          <w:sz w:val="24"/>
        </w:rPr>
        <w:t xml:space="preserve"> nabytí účinnosti tohoto ustanovení alespoň o 5 %. Pro způsob stanovení zvýšení částek příspěvku platí § 11 odst. 4 až 6 obdobně.</w:t>
      </w:r>
    </w:p>
    <w:p w14:paraId="4880005E" w14:textId="77777777" w:rsidR="00940B9B" w:rsidRPr="00185937" w:rsidRDefault="00940B9B" w:rsidP="00185937">
      <w:pPr>
        <w:pStyle w:val="Odstavecseseznamem"/>
        <w:spacing w:after="0"/>
        <w:ind w:left="0" w:firstLine="850"/>
        <w:jc w:val="both"/>
        <w:rPr>
          <w:rFonts w:ascii="Times New Roman" w:hAnsi="Times New Roman" w:cs="Times New Roman"/>
          <w:b/>
          <w:bCs/>
          <w:sz w:val="24"/>
          <w:szCs w:val="24"/>
        </w:rPr>
      </w:pPr>
    </w:p>
    <w:p w14:paraId="6DBD574A" w14:textId="76A3950F" w:rsidR="006B582A" w:rsidRDefault="006B582A" w:rsidP="006B582A">
      <w:pPr>
        <w:pStyle w:val="Bezmezer"/>
        <w:jc w:val="center"/>
        <w:rPr>
          <w:rFonts w:ascii="Times New Roman" w:hAnsi="Times New Roman" w:cs="Times New Roman"/>
          <w:bCs/>
          <w:sz w:val="24"/>
          <w:szCs w:val="24"/>
          <w:lang w:eastAsia="cs-CZ"/>
        </w:rPr>
      </w:pPr>
      <w:r>
        <w:rPr>
          <w:rFonts w:ascii="Times New Roman" w:hAnsi="Times New Roman" w:cs="Times New Roman"/>
          <w:bCs/>
          <w:sz w:val="24"/>
          <w:szCs w:val="24"/>
          <w:lang w:eastAsia="cs-CZ"/>
        </w:rPr>
        <w:t>HLAVA III</w:t>
      </w:r>
    </w:p>
    <w:p w14:paraId="13CAAE7E" w14:textId="77777777" w:rsidR="006B582A" w:rsidRDefault="006B582A" w:rsidP="006B582A">
      <w:pPr>
        <w:pStyle w:val="Bezmezer"/>
        <w:jc w:val="center"/>
        <w:rPr>
          <w:rFonts w:ascii="Times New Roman" w:hAnsi="Times New Roman" w:cs="Times New Roman"/>
          <w:bCs/>
          <w:sz w:val="24"/>
          <w:szCs w:val="24"/>
          <w:lang w:eastAsia="cs-CZ"/>
        </w:rPr>
      </w:pPr>
    </w:p>
    <w:p w14:paraId="6194CDF2" w14:textId="33BA9D9A" w:rsidR="006B582A" w:rsidRDefault="006B582A" w:rsidP="006B582A">
      <w:pPr>
        <w:pStyle w:val="Bezmezer"/>
        <w:jc w:val="center"/>
        <w:rPr>
          <w:rFonts w:ascii="Times New Roman" w:hAnsi="Times New Roman" w:cs="Times New Roman"/>
          <w:bCs/>
          <w:sz w:val="24"/>
          <w:szCs w:val="24"/>
          <w:lang w:eastAsia="cs-CZ"/>
        </w:rPr>
      </w:pPr>
      <w:r>
        <w:rPr>
          <w:rFonts w:ascii="Times New Roman" w:hAnsi="Times New Roman" w:cs="Times New Roman"/>
          <w:bCs/>
          <w:sz w:val="24"/>
          <w:szCs w:val="24"/>
          <w:lang w:eastAsia="cs-CZ"/>
        </w:rPr>
        <w:t>ZVÝŠENÍ PŘÍSPĚVKU</w:t>
      </w:r>
    </w:p>
    <w:p w14:paraId="3F279CF6" w14:textId="77777777" w:rsidR="006B582A" w:rsidRPr="005260D4" w:rsidRDefault="006B582A" w:rsidP="005260D4">
      <w:pPr>
        <w:widowControl w:val="0"/>
        <w:suppressAutoHyphens/>
        <w:spacing w:before="58" w:after="58" w:line="240" w:lineRule="auto"/>
        <w:jc w:val="center"/>
        <w:rPr>
          <w:rFonts w:ascii="Times New Roman" w:eastAsia="Noto Sans CJK SC Regular" w:hAnsi="Times New Roman" w:cs="Times New Roman"/>
          <w:b/>
          <w:strike/>
          <w:kern w:val="2"/>
          <w:sz w:val="24"/>
          <w:szCs w:val="24"/>
          <w:lang w:val="en-US" w:eastAsia="zh-CN" w:bidi="hi-IN"/>
        </w:rPr>
      </w:pPr>
    </w:p>
    <w:p w14:paraId="5A16ED3F" w14:textId="482FCDCF" w:rsidR="00A91F00" w:rsidRDefault="00A91F00"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 </w:t>
      </w:r>
      <w:r w:rsidR="005260D4">
        <w:rPr>
          <w:rFonts w:ascii="Times New Roman" w:eastAsiaTheme="minorEastAsia" w:hAnsi="Times New Roman" w:cs="Times New Roman"/>
          <w:sz w:val="24"/>
          <w:szCs w:val="24"/>
          <w:lang w:eastAsia="cs-CZ"/>
        </w:rPr>
        <w:t>12</w:t>
      </w:r>
      <w:r w:rsidRPr="00A91F00">
        <w:rPr>
          <w:rFonts w:ascii="Times New Roman" w:eastAsiaTheme="minorEastAsia" w:hAnsi="Times New Roman" w:cs="Times New Roman"/>
          <w:sz w:val="24"/>
          <w:szCs w:val="24"/>
          <w:lang w:eastAsia="cs-CZ"/>
        </w:rPr>
        <w:t xml:space="preserve"> </w:t>
      </w:r>
    </w:p>
    <w:p w14:paraId="6CF748FA" w14:textId="77777777" w:rsidR="000A066A" w:rsidRPr="00A91F00" w:rsidRDefault="000A066A" w:rsidP="00A91F0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p>
    <w:p w14:paraId="08C1A985" w14:textId="73BF1C85" w:rsidR="000A066A" w:rsidRDefault="000A066A" w:rsidP="000A0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ab/>
        <w:t>(</w:t>
      </w:r>
      <w:r>
        <w:rPr>
          <w:rFonts w:ascii="Times New Roman" w:eastAsiaTheme="minorEastAsia" w:hAnsi="Times New Roman" w:cs="Times New Roman"/>
          <w:sz w:val="24"/>
          <w:szCs w:val="24"/>
          <w:lang w:eastAsia="cs-CZ"/>
        </w:rPr>
        <w:t>1</w:t>
      </w:r>
      <w:r w:rsidRPr="00A91F00">
        <w:rPr>
          <w:rFonts w:ascii="Times New Roman" w:eastAsiaTheme="minorEastAsia" w:hAnsi="Times New Roman" w:cs="Times New Roman"/>
          <w:sz w:val="24"/>
          <w:szCs w:val="24"/>
          <w:lang w:eastAsia="cs-CZ"/>
        </w:rPr>
        <w:t xml:space="preserve">) </w:t>
      </w:r>
      <w:r w:rsidRPr="000A066A">
        <w:rPr>
          <w:rFonts w:ascii="Times New Roman" w:eastAsiaTheme="minorEastAsia" w:hAnsi="Times New Roman" w:cs="Times New Roman"/>
          <w:sz w:val="24"/>
          <w:szCs w:val="24"/>
          <w:lang w:eastAsia="cs-CZ"/>
        </w:rPr>
        <w:t xml:space="preserve">Zvýšení příspěvku podle § 11 odst. </w:t>
      </w:r>
      <w:r w:rsidRPr="00783B2A">
        <w:rPr>
          <w:rFonts w:ascii="Times New Roman" w:eastAsiaTheme="minorEastAsia" w:hAnsi="Times New Roman" w:cs="Times New Roman"/>
          <w:strike/>
          <w:sz w:val="24"/>
          <w:szCs w:val="24"/>
          <w:lang w:eastAsia="cs-CZ"/>
        </w:rPr>
        <w:t>3</w:t>
      </w:r>
      <w:r w:rsidR="00783B2A">
        <w:rPr>
          <w:rFonts w:ascii="Times New Roman" w:eastAsiaTheme="minorEastAsia" w:hAnsi="Times New Roman" w:cs="Times New Roman"/>
          <w:sz w:val="24"/>
          <w:szCs w:val="24"/>
          <w:lang w:eastAsia="cs-CZ"/>
        </w:rPr>
        <w:t xml:space="preserve"> </w:t>
      </w:r>
      <w:r w:rsidR="00783B2A" w:rsidRPr="00783B2A">
        <w:rPr>
          <w:rFonts w:ascii="Times New Roman" w:eastAsiaTheme="minorEastAsia" w:hAnsi="Times New Roman" w:cs="Times New Roman"/>
          <w:b/>
          <w:bCs/>
          <w:sz w:val="24"/>
          <w:szCs w:val="24"/>
          <w:lang w:eastAsia="cs-CZ"/>
        </w:rPr>
        <w:t>7</w:t>
      </w:r>
      <w:r w:rsidRPr="000A066A">
        <w:rPr>
          <w:rFonts w:ascii="Times New Roman" w:eastAsiaTheme="minorEastAsia" w:hAnsi="Times New Roman" w:cs="Times New Roman"/>
          <w:sz w:val="24"/>
          <w:szCs w:val="24"/>
          <w:lang w:eastAsia="cs-CZ"/>
        </w:rPr>
        <w:t xml:space="preserve"> náleží</w:t>
      </w:r>
    </w:p>
    <w:p w14:paraId="3E6B0F2B" w14:textId="77777777" w:rsidR="000A066A" w:rsidRDefault="000A066A" w:rsidP="000A0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6A722F42" w14:textId="51C54540" w:rsidR="000A066A" w:rsidRPr="00FA55A0" w:rsidRDefault="000A066A" w:rsidP="000A0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sidRPr="00FA55A0">
        <w:rPr>
          <w:rFonts w:ascii="Times New Roman" w:eastAsiaTheme="minorEastAsia" w:hAnsi="Times New Roman" w:cs="Times New Roman"/>
          <w:sz w:val="24"/>
          <w:szCs w:val="24"/>
          <w:lang w:eastAsia="cs-CZ"/>
        </w:rPr>
        <w:t xml:space="preserve">a) </w:t>
      </w:r>
      <w:r w:rsidRPr="00FA55A0">
        <w:rPr>
          <w:rFonts w:ascii="Times New Roman" w:hAnsi="Times New Roman" w:cs="Times New Roman"/>
          <w:sz w:val="24"/>
          <w:szCs w:val="24"/>
        </w:rPr>
        <w:t>nezaopatřenému dítěti</w:t>
      </w:r>
      <w:r w:rsidRPr="00FA55A0">
        <w:rPr>
          <w:rFonts w:ascii="Times New Roman" w:hAnsi="Times New Roman" w:cs="Times New Roman"/>
          <w:sz w:val="24"/>
          <w:szCs w:val="24"/>
          <w:vertAlign w:val="superscript"/>
        </w:rPr>
        <w:t>22)</w:t>
      </w:r>
      <w:r w:rsidRPr="00FA55A0">
        <w:rPr>
          <w:rFonts w:ascii="Times New Roman" w:hAnsi="Times New Roman" w:cs="Times New Roman"/>
          <w:sz w:val="24"/>
          <w:szCs w:val="24"/>
        </w:rPr>
        <w:t xml:space="preserve"> do 18 let věku, kterému náleží příspěvek, s výjimkou</w:t>
      </w:r>
    </w:p>
    <w:p w14:paraId="3B62B0D1" w14:textId="77777777" w:rsidR="000A066A" w:rsidRPr="00A91F00" w:rsidRDefault="000A066A" w:rsidP="000A0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398BE02D" w14:textId="1002B41E" w:rsidR="000A066A" w:rsidRPr="00A91F00" w:rsidRDefault="000A066A" w:rsidP="000A066A">
      <w:pPr>
        <w:widowControl w:val="0"/>
        <w:autoSpaceDE w:val="0"/>
        <w:autoSpaceDN w:val="0"/>
        <w:adjustRightInd w:val="0"/>
        <w:spacing w:after="0" w:line="240" w:lineRule="auto"/>
        <w:ind w:left="567" w:hanging="283"/>
        <w:jc w:val="both"/>
        <w:rPr>
          <w:rFonts w:ascii="Times New Roman" w:eastAsiaTheme="minorEastAsia" w:hAnsi="Times New Roman" w:cs="Times New Roman"/>
          <w:b/>
          <w:bCs/>
          <w:sz w:val="24"/>
          <w:szCs w:val="24"/>
          <w:lang w:eastAsia="cs-CZ"/>
        </w:rPr>
      </w:pPr>
      <w:r w:rsidRPr="00A91F00">
        <w:rPr>
          <w:rFonts w:ascii="Times New Roman" w:eastAsiaTheme="minorEastAsia" w:hAnsi="Times New Roman" w:cs="Times New Roman"/>
          <w:sz w:val="24"/>
          <w:szCs w:val="24"/>
          <w:lang w:eastAsia="cs-CZ"/>
        </w:rPr>
        <w:t xml:space="preserve">1. </w:t>
      </w:r>
      <w:r w:rsidRPr="000A066A">
        <w:rPr>
          <w:rFonts w:ascii="Times New Roman" w:eastAsiaTheme="minorEastAsia" w:hAnsi="Times New Roman" w:cs="Times New Roman"/>
          <w:sz w:val="24"/>
          <w:szCs w:val="24"/>
          <w:lang w:eastAsia="cs-CZ"/>
        </w:rPr>
        <w:t>dítěte, kterému náleží příspěvek na úhradu potřeb dítěte ze systému dávek pěstounské péče podle zákona o sociálně-právní ochraně dětí,</w:t>
      </w:r>
    </w:p>
    <w:p w14:paraId="4623F916" w14:textId="0AAAD6A4" w:rsidR="000A066A" w:rsidRPr="00A91F00" w:rsidRDefault="000A066A" w:rsidP="000A066A">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2. </w:t>
      </w:r>
      <w:r w:rsidRPr="000A066A">
        <w:rPr>
          <w:rFonts w:ascii="Times New Roman" w:eastAsiaTheme="minorEastAsia" w:hAnsi="Times New Roman" w:cs="Times New Roman"/>
          <w:sz w:val="24"/>
          <w:szCs w:val="24"/>
          <w:lang w:eastAsia="cs-CZ"/>
        </w:rPr>
        <w:t>dítěte, jemuž nenáleží příspěvek na úhradu potřeb dítěte ze systému dávek pěstounské péče proto, že požívá důchod z důchodového pojištění, který je stejný nebo vyšší než tento příspěvek,</w:t>
      </w:r>
    </w:p>
    <w:p w14:paraId="45EA570C" w14:textId="2A43A819" w:rsidR="000A066A" w:rsidRDefault="000A066A" w:rsidP="000A066A">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r w:rsidRPr="00A91F00">
        <w:rPr>
          <w:rFonts w:ascii="Times New Roman" w:eastAsiaTheme="minorEastAsia" w:hAnsi="Times New Roman" w:cs="Times New Roman"/>
          <w:sz w:val="24"/>
          <w:szCs w:val="24"/>
          <w:lang w:eastAsia="cs-CZ"/>
        </w:rPr>
        <w:t xml:space="preserve">3. </w:t>
      </w:r>
      <w:r w:rsidRPr="000A066A">
        <w:rPr>
          <w:rFonts w:ascii="Times New Roman" w:eastAsiaTheme="minorEastAsia" w:hAnsi="Times New Roman" w:cs="Times New Roman"/>
          <w:sz w:val="24"/>
          <w:szCs w:val="24"/>
          <w:lang w:eastAsia="cs-CZ"/>
        </w:rPr>
        <w:t>dítěte, které je v plném přímém zaopatření zařízení pro péči o děti nebo mládež, a</w:t>
      </w:r>
    </w:p>
    <w:p w14:paraId="00949CBB" w14:textId="77777777" w:rsidR="000A066A" w:rsidRPr="00A91F00" w:rsidRDefault="000A066A" w:rsidP="000A066A">
      <w:pPr>
        <w:widowControl w:val="0"/>
        <w:autoSpaceDE w:val="0"/>
        <w:autoSpaceDN w:val="0"/>
        <w:adjustRightInd w:val="0"/>
        <w:spacing w:after="0" w:line="240" w:lineRule="auto"/>
        <w:ind w:left="567" w:hanging="283"/>
        <w:jc w:val="both"/>
        <w:rPr>
          <w:rFonts w:ascii="Times New Roman" w:eastAsiaTheme="minorEastAsia" w:hAnsi="Times New Roman" w:cs="Times New Roman"/>
          <w:sz w:val="24"/>
          <w:szCs w:val="24"/>
          <w:lang w:eastAsia="cs-CZ"/>
        </w:rPr>
      </w:pPr>
    </w:p>
    <w:p w14:paraId="6A9D8635" w14:textId="060DF063" w:rsidR="000A066A" w:rsidRPr="00A91F00" w:rsidRDefault="000A066A" w:rsidP="006B582A">
      <w:pPr>
        <w:widowControl w:val="0"/>
        <w:autoSpaceDE w:val="0"/>
        <w:autoSpaceDN w:val="0"/>
        <w:adjustRightInd w:val="0"/>
        <w:spacing w:after="0" w:line="240" w:lineRule="auto"/>
        <w:ind w:left="284" w:hanging="284"/>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b</w:t>
      </w:r>
      <w:r w:rsidRPr="00A91F00">
        <w:rPr>
          <w:rFonts w:ascii="Times New Roman" w:eastAsiaTheme="minorEastAsia" w:hAnsi="Times New Roman" w:cs="Times New Roman"/>
          <w:sz w:val="24"/>
          <w:szCs w:val="24"/>
          <w:lang w:eastAsia="cs-CZ"/>
        </w:rPr>
        <w:t xml:space="preserve">) </w:t>
      </w:r>
      <w:r w:rsidRPr="000A066A">
        <w:rPr>
          <w:rFonts w:ascii="Times New Roman" w:eastAsiaTheme="minorEastAsia" w:hAnsi="Times New Roman" w:cs="Times New Roman"/>
          <w:sz w:val="24"/>
          <w:szCs w:val="24"/>
          <w:lang w:eastAsia="cs-CZ"/>
        </w:rPr>
        <w:t>rodiči, kterému náleží příspěvek, a který pečuje o nezaopatřené dítě do 18 let věku,</w:t>
      </w:r>
      <w:r w:rsidR="006B582A">
        <w:rPr>
          <w:rFonts w:ascii="Times New Roman" w:eastAsiaTheme="minorEastAsia" w:hAnsi="Times New Roman" w:cs="Times New Roman"/>
          <w:sz w:val="24"/>
          <w:szCs w:val="24"/>
          <w:lang w:eastAsia="cs-CZ"/>
        </w:rPr>
        <w:t xml:space="preserve"> </w:t>
      </w:r>
      <w:r w:rsidRPr="000A066A">
        <w:rPr>
          <w:rFonts w:ascii="Times New Roman" w:eastAsiaTheme="minorEastAsia" w:hAnsi="Times New Roman" w:cs="Times New Roman"/>
          <w:sz w:val="24"/>
          <w:szCs w:val="24"/>
          <w:lang w:eastAsia="cs-CZ"/>
        </w:rPr>
        <w:t>jestliže rozhodný příjem oprávněné osoby a osob s ní společně posuzovaných je nižší než dvojnásobek částky životního minima oprávněné osoby a osob s ní společně posuzovaných podle zákona o životním a existenčním minimu</w:t>
      </w:r>
      <w:r w:rsidRPr="000A066A">
        <w:rPr>
          <w:rFonts w:ascii="Times New Roman" w:eastAsiaTheme="minorEastAsia" w:hAnsi="Times New Roman" w:cs="Times New Roman"/>
          <w:sz w:val="24"/>
          <w:szCs w:val="24"/>
          <w:vertAlign w:val="superscript"/>
          <w:lang w:eastAsia="cs-CZ"/>
        </w:rPr>
        <w:t>27)</w:t>
      </w:r>
      <w:r w:rsidRPr="000A066A">
        <w:rPr>
          <w:rFonts w:ascii="Times New Roman" w:eastAsiaTheme="minorEastAsia" w:hAnsi="Times New Roman" w:cs="Times New Roman"/>
          <w:sz w:val="24"/>
          <w:szCs w:val="24"/>
          <w:lang w:eastAsia="cs-CZ"/>
        </w:rPr>
        <w:t>.</w:t>
      </w:r>
    </w:p>
    <w:p w14:paraId="1B81823B" w14:textId="03EC4617" w:rsidR="00A91F00" w:rsidRPr="000A066A" w:rsidRDefault="00A91F00" w:rsidP="000A0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7DE5595E" w14:textId="0A84ACF0" w:rsidR="000A066A" w:rsidRDefault="000A066A" w:rsidP="000A066A">
      <w:pPr>
        <w:pStyle w:val="Odstavecseseznamem"/>
        <w:spacing w:after="0"/>
        <w:ind w:left="0" w:firstLine="850"/>
        <w:jc w:val="both"/>
        <w:rPr>
          <w:rFonts w:ascii="Times New Roman" w:hAnsi="Times New Roman" w:cs="Times New Roman"/>
          <w:sz w:val="24"/>
          <w:szCs w:val="24"/>
        </w:rPr>
      </w:pPr>
      <w:r w:rsidRPr="000A066A">
        <w:rPr>
          <w:rFonts w:ascii="Times New Roman" w:hAnsi="Times New Roman" w:cs="Times New Roman"/>
          <w:sz w:val="24"/>
          <w:szCs w:val="24"/>
        </w:rPr>
        <w:t>(2) Zvýšení příspěvku náleží v kalendářním měsíci, v němž se vyplácí příspěvek.</w:t>
      </w:r>
    </w:p>
    <w:p w14:paraId="1EEB2A56" w14:textId="3EC3F318" w:rsidR="000A066A" w:rsidRDefault="000A066A" w:rsidP="000A066A">
      <w:pPr>
        <w:pStyle w:val="Odstavecseseznamem"/>
        <w:spacing w:after="0"/>
        <w:ind w:left="0" w:firstLine="850"/>
        <w:jc w:val="both"/>
        <w:rPr>
          <w:rFonts w:ascii="Times New Roman" w:hAnsi="Times New Roman" w:cs="Times New Roman"/>
          <w:sz w:val="24"/>
          <w:szCs w:val="24"/>
        </w:rPr>
      </w:pPr>
    </w:p>
    <w:p w14:paraId="1EB326DC" w14:textId="6DAA0408" w:rsidR="000A066A" w:rsidRDefault="000A066A" w:rsidP="000A066A">
      <w:pPr>
        <w:pStyle w:val="Odstavecseseznamem"/>
        <w:spacing w:after="0"/>
        <w:ind w:left="0" w:firstLine="850"/>
        <w:jc w:val="both"/>
        <w:rPr>
          <w:rFonts w:ascii="Times New Roman" w:hAnsi="Times New Roman" w:cs="Times New Roman"/>
          <w:sz w:val="24"/>
          <w:szCs w:val="24"/>
        </w:rPr>
      </w:pPr>
      <w:r w:rsidRPr="000A066A">
        <w:rPr>
          <w:rFonts w:ascii="Times New Roman" w:hAnsi="Times New Roman" w:cs="Times New Roman"/>
          <w:sz w:val="24"/>
          <w:szCs w:val="24"/>
        </w:rPr>
        <w:t>(</w:t>
      </w:r>
      <w:r>
        <w:rPr>
          <w:rFonts w:ascii="Times New Roman" w:hAnsi="Times New Roman" w:cs="Times New Roman"/>
          <w:sz w:val="24"/>
          <w:szCs w:val="24"/>
        </w:rPr>
        <w:t>3</w:t>
      </w:r>
      <w:r w:rsidRPr="000A066A">
        <w:rPr>
          <w:rFonts w:ascii="Times New Roman" w:hAnsi="Times New Roman" w:cs="Times New Roman"/>
          <w:sz w:val="24"/>
          <w:szCs w:val="24"/>
        </w:rPr>
        <w:t>) Plné přímé zaopatření v zařízení pro péči o děti nebo mládež se posuzuje podle § 7 odst. 4 zákona o státní sociální podpoře. Pro účely nároku na zvýšení příspěvku podle odstavce 1 se příjmem oprávněné osoby nebo společně posuzovaných osob rozumí příjmy podle § 5 zákona o státní sociální podpoře. Rozhodným obdobím, za které se zjišťuje příjem, je období kalendářního čtvrtletí, předcházejícího kalendářnímu čtvrtletí, na které se nárok na výplatu zvýšení příspěvku prokazuje, popřípadě nárok na zvýšení příspěvku uplatňuje. Okruh společně posuzovaných osob se posuzuje podle zákona o státní sociální podpoře, s výjimkou ustanovení o společně posuzovaných osobách pro účely příspěvku na bydlení.</w:t>
      </w:r>
    </w:p>
    <w:p w14:paraId="2E69979A" w14:textId="23E9A99E" w:rsidR="000A066A" w:rsidRDefault="000A066A" w:rsidP="000A066A">
      <w:pPr>
        <w:pStyle w:val="Odstavecseseznamem"/>
        <w:spacing w:after="0"/>
        <w:ind w:left="0" w:firstLine="850"/>
        <w:jc w:val="both"/>
        <w:rPr>
          <w:rFonts w:ascii="Times New Roman" w:hAnsi="Times New Roman" w:cs="Times New Roman"/>
          <w:sz w:val="24"/>
          <w:szCs w:val="24"/>
        </w:rPr>
      </w:pPr>
    </w:p>
    <w:p w14:paraId="561CCE7D" w14:textId="17D5ABC0" w:rsidR="000A066A" w:rsidRDefault="000A066A" w:rsidP="000A066A">
      <w:pPr>
        <w:pStyle w:val="Odstavecseseznamem"/>
        <w:spacing w:after="0"/>
        <w:ind w:left="0" w:firstLine="850"/>
        <w:jc w:val="both"/>
        <w:rPr>
          <w:rFonts w:ascii="Times New Roman" w:hAnsi="Times New Roman" w:cs="Times New Roman"/>
          <w:sz w:val="24"/>
          <w:szCs w:val="24"/>
        </w:rPr>
      </w:pPr>
      <w:r w:rsidRPr="000A066A">
        <w:rPr>
          <w:rFonts w:ascii="Times New Roman" w:hAnsi="Times New Roman" w:cs="Times New Roman"/>
          <w:sz w:val="24"/>
          <w:szCs w:val="24"/>
        </w:rPr>
        <w:t>(</w:t>
      </w:r>
      <w:r>
        <w:rPr>
          <w:rFonts w:ascii="Times New Roman" w:hAnsi="Times New Roman" w:cs="Times New Roman"/>
          <w:sz w:val="24"/>
          <w:szCs w:val="24"/>
        </w:rPr>
        <w:t>4</w:t>
      </w:r>
      <w:r w:rsidRPr="000A066A">
        <w:rPr>
          <w:rFonts w:ascii="Times New Roman" w:hAnsi="Times New Roman" w:cs="Times New Roman"/>
          <w:sz w:val="24"/>
          <w:szCs w:val="24"/>
        </w:rPr>
        <w:t xml:space="preserve">) Neprokáže-li oprávněná osoba rozhodný příjem podle § 21 odst. 2 písm. e), zastaví se výplata zvýšení příspěvku od splátky náležející za kalendářní měsíc, do jehož konce je třeba prokázat výši příjmů pro výplatu zvýšení příspěvku na následující kalendářní čtvrtletí. </w:t>
      </w:r>
      <w:r w:rsidRPr="000A066A">
        <w:rPr>
          <w:rFonts w:ascii="Times New Roman" w:hAnsi="Times New Roman" w:cs="Times New Roman"/>
          <w:sz w:val="24"/>
          <w:szCs w:val="24"/>
        </w:rPr>
        <w:lastRenderedPageBreak/>
        <w:t>Neprokáže-li se rozhodný příjem ani do konce kalendářního čtvrtletí, za které by se mělo uvedené zvýšení příspěvku vyplácet, nárok na zvýšení příspěvku zaniká.</w:t>
      </w:r>
    </w:p>
    <w:p w14:paraId="7B2AA556" w14:textId="2E15CF9D" w:rsidR="006B582A" w:rsidRDefault="006B582A" w:rsidP="000A066A">
      <w:pPr>
        <w:pStyle w:val="Odstavecseseznamem"/>
        <w:spacing w:after="0"/>
        <w:ind w:left="0" w:firstLine="850"/>
        <w:jc w:val="both"/>
        <w:rPr>
          <w:rFonts w:ascii="Times New Roman" w:hAnsi="Times New Roman" w:cs="Times New Roman"/>
          <w:sz w:val="24"/>
          <w:szCs w:val="24"/>
        </w:rPr>
      </w:pPr>
    </w:p>
    <w:p w14:paraId="1525263E" w14:textId="77777777" w:rsidR="006B582A" w:rsidRDefault="006B582A" w:rsidP="006B58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_________</w:t>
      </w:r>
    </w:p>
    <w:p w14:paraId="4D38DB95" w14:textId="6AA307E9" w:rsidR="006B582A" w:rsidRDefault="006B582A" w:rsidP="006B582A">
      <w:pPr>
        <w:widowControl w:val="0"/>
        <w:autoSpaceDE w:val="0"/>
        <w:autoSpaceDN w:val="0"/>
        <w:adjustRightInd w:val="0"/>
        <w:spacing w:after="0" w:line="240" w:lineRule="auto"/>
        <w:contextualSpacing/>
        <w:jc w:val="both"/>
        <w:rPr>
          <w:rFonts w:ascii="Times New Roman" w:eastAsiaTheme="minorEastAsia" w:hAnsi="Times New Roman" w:cs="Times New Roman"/>
          <w:sz w:val="20"/>
          <w:szCs w:val="20"/>
          <w:lang w:eastAsia="cs-CZ"/>
        </w:rPr>
      </w:pPr>
      <w:r w:rsidRPr="006B582A">
        <w:rPr>
          <w:rFonts w:ascii="Times New Roman" w:eastAsiaTheme="minorEastAsia" w:hAnsi="Times New Roman" w:cs="Times New Roman"/>
          <w:sz w:val="20"/>
          <w:szCs w:val="20"/>
          <w:vertAlign w:val="superscript"/>
          <w:lang w:eastAsia="cs-CZ"/>
        </w:rPr>
        <w:t>22)</w:t>
      </w:r>
      <w:r w:rsidRPr="006B582A">
        <w:rPr>
          <w:rFonts w:ascii="Times New Roman" w:eastAsiaTheme="minorEastAsia" w:hAnsi="Times New Roman" w:cs="Times New Roman"/>
          <w:sz w:val="20"/>
          <w:szCs w:val="20"/>
          <w:lang w:eastAsia="cs-CZ"/>
        </w:rPr>
        <w:t xml:space="preserve"> § 11 až 16 zákona č. 117/1995 Sb.</w:t>
      </w:r>
    </w:p>
    <w:p w14:paraId="0B736F2F" w14:textId="3447342A" w:rsidR="006B582A" w:rsidRPr="006B582A" w:rsidRDefault="006B582A" w:rsidP="006B582A">
      <w:pPr>
        <w:widowControl w:val="0"/>
        <w:autoSpaceDE w:val="0"/>
        <w:autoSpaceDN w:val="0"/>
        <w:adjustRightInd w:val="0"/>
        <w:spacing w:after="0" w:line="240" w:lineRule="auto"/>
        <w:contextualSpacing/>
        <w:jc w:val="both"/>
        <w:rPr>
          <w:rFonts w:ascii="Times New Roman" w:eastAsiaTheme="minorEastAsia" w:hAnsi="Times New Roman" w:cs="Times New Roman"/>
          <w:sz w:val="20"/>
          <w:szCs w:val="20"/>
          <w:vertAlign w:val="superscript"/>
          <w:lang w:eastAsia="cs-CZ"/>
        </w:rPr>
      </w:pPr>
      <w:r w:rsidRPr="006B582A">
        <w:rPr>
          <w:rFonts w:ascii="Times New Roman" w:eastAsiaTheme="minorEastAsia" w:hAnsi="Times New Roman" w:cs="Times New Roman"/>
          <w:sz w:val="20"/>
          <w:szCs w:val="20"/>
          <w:vertAlign w:val="superscript"/>
          <w:lang w:eastAsia="cs-CZ"/>
        </w:rPr>
        <w:t>27)</w:t>
      </w:r>
      <w:r>
        <w:rPr>
          <w:rFonts w:ascii="Times New Roman" w:eastAsiaTheme="minorEastAsia" w:hAnsi="Times New Roman" w:cs="Times New Roman"/>
          <w:sz w:val="20"/>
          <w:szCs w:val="20"/>
          <w:vertAlign w:val="superscript"/>
          <w:lang w:eastAsia="cs-CZ"/>
        </w:rPr>
        <w:t xml:space="preserve"> </w:t>
      </w:r>
      <w:r w:rsidRPr="006B582A">
        <w:rPr>
          <w:rFonts w:ascii="Times New Roman" w:eastAsiaTheme="minorEastAsia" w:hAnsi="Times New Roman" w:cs="Times New Roman"/>
          <w:sz w:val="20"/>
          <w:szCs w:val="20"/>
          <w:lang w:eastAsia="cs-CZ"/>
        </w:rPr>
        <w:t>Zákon č. 110/2006 Sb., o životním a existenčním minimu.</w:t>
      </w:r>
      <w:r>
        <w:rPr>
          <w:rFonts w:ascii="Times New Roman" w:eastAsiaTheme="minorEastAsia" w:hAnsi="Times New Roman" w:cs="Times New Roman"/>
          <w:sz w:val="20"/>
          <w:szCs w:val="20"/>
          <w:vertAlign w:val="superscript"/>
          <w:lang w:eastAsia="cs-CZ"/>
        </w:rPr>
        <w:t xml:space="preserve"> </w:t>
      </w:r>
    </w:p>
    <w:p w14:paraId="47E40C15" w14:textId="77777777" w:rsidR="000A066A" w:rsidRPr="00123229" w:rsidRDefault="000A066A" w:rsidP="00123229">
      <w:pPr>
        <w:spacing w:after="0"/>
        <w:jc w:val="both"/>
        <w:rPr>
          <w:rFonts w:ascii="Times New Roman" w:hAnsi="Times New Roman" w:cs="Times New Roman"/>
          <w:sz w:val="24"/>
          <w:szCs w:val="24"/>
        </w:rPr>
      </w:pPr>
    </w:p>
    <w:p w14:paraId="269EFE13" w14:textId="77777777" w:rsidR="004575FB" w:rsidRPr="007837B1" w:rsidRDefault="004575FB" w:rsidP="004575FB">
      <w:pPr>
        <w:pStyle w:val="Bezmezer"/>
        <w:jc w:val="center"/>
        <w:rPr>
          <w:rFonts w:ascii="Times New Roman" w:hAnsi="Times New Roman" w:cs="Times New Roman"/>
          <w:b/>
          <w:bCs/>
          <w:sz w:val="32"/>
          <w:szCs w:val="32"/>
        </w:rPr>
      </w:pPr>
      <w:r w:rsidRPr="007837B1">
        <w:rPr>
          <w:rFonts w:ascii="Times New Roman" w:hAnsi="Times New Roman" w:cs="Times New Roman"/>
          <w:b/>
          <w:bCs/>
          <w:sz w:val="32"/>
          <w:szCs w:val="32"/>
        </w:rPr>
        <w:t>* * * * * *</w:t>
      </w:r>
    </w:p>
    <w:p w14:paraId="7E51AEFD" w14:textId="77777777" w:rsidR="000A066A" w:rsidRPr="00BC50DC" w:rsidRDefault="000A066A" w:rsidP="00BC50DC">
      <w:pPr>
        <w:spacing w:after="0"/>
        <w:jc w:val="both"/>
        <w:rPr>
          <w:rFonts w:ascii="Times New Roman" w:hAnsi="Times New Roman" w:cs="Times New Roman"/>
          <w:sz w:val="24"/>
          <w:szCs w:val="24"/>
        </w:rPr>
      </w:pPr>
    </w:p>
    <w:p w14:paraId="7EABFD47" w14:textId="54836DEF" w:rsidR="00BC50DC" w:rsidRPr="00BC50DC" w:rsidRDefault="00BC50DC" w:rsidP="00BC50D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BC50DC">
        <w:rPr>
          <w:rFonts w:ascii="Times New Roman" w:eastAsiaTheme="minorEastAsia" w:hAnsi="Times New Roman" w:cs="Times New Roman"/>
          <w:sz w:val="24"/>
          <w:szCs w:val="24"/>
          <w:lang w:eastAsia="cs-CZ"/>
        </w:rPr>
        <w:t>§ 26a</w:t>
      </w:r>
    </w:p>
    <w:p w14:paraId="2720905E" w14:textId="77777777" w:rsidR="00BC50DC" w:rsidRDefault="00BC50DC" w:rsidP="00BC50DC">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p>
    <w:p w14:paraId="274F3E7E" w14:textId="04F0FE82" w:rsidR="00BC50DC" w:rsidRDefault="00BC50DC" w:rsidP="00BC50DC">
      <w:pPr>
        <w:pStyle w:val="Odstavecseseznamem"/>
        <w:spacing w:after="0"/>
        <w:ind w:left="0" w:firstLine="850"/>
        <w:jc w:val="both"/>
        <w:rPr>
          <w:rFonts w:ascii="Times New Roman" w:eastAsiaTheme="minorEastAsia" w:hAnsi="Times New Roman" w:cs="Times New Roman"/>
          <w:sz w:val="24"/>
          <w:szCs w:val="24"/>
          <w:lang w:eastAsia="cs-CZ"/>
        </w:rPr>
      </w:pPr>
      <w:r w:rsidRPr="00BC50DC">
        <w:rPr>
          <w:rFonts w:ascii="Times New Roman" w:hAnsi="Times New Roman"/>
          <w:sz w:val="24"/>
        </w:rPr>
        <w:t>(</w:t>
      </w:r>
      <w:r w:rsidRPr="00BC50DC">
        <w:rPr>
          <w:rFonts w:ascii="Times New Roman" w:hAnsi="Times New Roman" w:cs="Times New Roman"/>
          <w:sz w:val="24"/>
          <w:szCs w:val="24"/>
        </w:rPr>
        <w:t xml:space="preserve">1) </w:t>
      </w:r>
      <w:r w:rsidRPr="00BC50DC">
        <w:rPr>
          <w:rFonts w:ascii="Times New Roman" w:eastAsiaTheme="minorEastAsia" w:hAnsi="Times New Roman" w:cs="Times New Roman"/>
          <w:sz w:val="24"/>
          <w:szCs w:val="24"/>
          <w:lang w:eastAsia="cs-CZ"/>
        </w:rPr>
        <w:t>Řízení se nevede, jestliže krajská pobočka Úřadu práce zastaví výplatu příspěvku podle § 14a odst. 1, § 18 odst. 5 nebo § 21 odst. 4 anebo podle § 14a odst. 2 věty první změní výši vypláceného příspěvku. V těchto případech je krajská pobočka Úřadu práce povinna doručit příjemci příspěvku písemné oznámení o zastavení výplaty příspěvku nebo o změně jeho výše. Písemné oznámení se nedoručuje do vlastních rukou.</w:t>
      </w:r>
    </w:p>
    <w:p w14:paraId="2C6082CA" w14:textId="0D8656C1" w:rsidR="00931305" w:rsidRDefault="00931305" w:rsidP="00BC50DC">
      <w:pPr>
        <w:pStyle w:val="Odstavecseseznamem"/>
        <w:spacing w:after="0"/>
        <w:ind w:left="0" w:firstLine="850"/>
        <w:jc w:val="both"/>
        <w:rPr>
          <w:rFonts w:ascii="Times New Roman" w:eastAsiaTheme="minorEastAsia" w:hAnsi="Times New Roman" w:cs="Times New Roman"/>
          <w:sz w:val="24"/>
          <w:szCs w:val="24"/>
          <w:lang w:eastAsia="cs-CZ"/>
        </w:rPr>
      </w:pPr>
    </w:p>
    <w:p w14:paraId="1BA3093D" w14:textId="720753EC" w:rsidR="00931305" w:rsidRPr="00931305" w:rsidRDefault="00931305" w:rsidP="00931305">
      <w:pPr>
        <w:pStyle w:val="Odstavecseseznamem"/>
        <w:spacing w:after="0"/>
        <w:ind w:left="0" w:firstLine="850"/>
        <w:jc w:val="both"/>
        <w:rPr>
          <w:rFonts w:ascii="Times New Roman" w:hAnsi="Times New Roman" w:cs="Times New Roman"/>
          <w:b/>
          <w:bCs/>
          <w:sz w:val="24"/>
          <w:szCs w:val="24"/>
        </w:rPr>
      </w:pPr>
      <w:r w:rsidRPr="00931305">
        <w:rPr>
          <w:rFonts w:ascii="Times New Roman" w:hAnsi="Times New Roman"/>
          <w:b/>
          <w:bCs/>
          <w:sz w:val="24"/>
        </w:rPr>
        <w:t>(</w:t>
      </w:r>
      <w:r w:rsidRPr="00931305">
        <w:rPr>
          <w:rFonts w:ascii="Times New Roman" w:hAnsi="Times New Roman" w:cs="Times New Roman"/>
          <w:b/>
          <w:bCs/>
          <w:sz w:val="24"/>
          <w:szCs w:val="24"/>
        </w:rPr>
        <w:t xml:space="preserve">2) </w:t>
      </w:r>
      <w:r w:rsidR="00123229" w:rsidRPr="00123229">
        <w:rPr>
          <w:rFonts w:ascii="Times New Roman" w:hAnsi="Times New Roman"/>
          <w:b/>
          <w:bCs/>
          <w:sz w:val="24"/>
        </w:rPr>
        <w:t xml:space="preserve">Písemné oznámení o změně výše příspěvku se nedoručuje, dojde-li ke změně z důvodu jeho zvýšení na základě nařízení vlády podle § 11 odst. 3 </w:t>
      </w:r>
      <w:r w:rsidR="00380A15">
        <w:rPr>
          <w:rFonts w:ascii="Times New Roman" w:hAnsi="Times New Roman"/>
          <w:b/>
          <w:bCs/>
          <w:sz w:val="24"/>
        </w:rPr>
        <w:t>až</w:t>
      </w:r>
      <w:r w:rsidR="00123229" w:rsidRPr="00123229">
        <w:rPr>
          <w:rFonts w:ascii="Times New Roman" w:hAnsi="Times New Roman"/>
          <w:b/>
          <w:bCs/>
          <w:sz w:val="24"/>
        </w:rPr>
        <w:t xml:space="preserve"> </w:t>
      </w:r>
      <w:r w:rsidR="00380A15">
        <w:rPr>
          <w:rFonts w:ascii="Times New Roman" w:hAnsi="Times New Roman"/>
          <w:b/>
          <w:bCs/>
          <w:sz w:val="24"/>
        </w:rPr>
        <w:t>5 nebo § 11a</w:t>
      </w:r>
      <w:r w:rsidR="00123229" w:rsidRPr="00123229">
        <w:rPr>
          <w:rFonts w:ascii="Times New Roman" w:hAnsi="Times New Roman"/>
          <w:b/>
          <w:bCs/>
          <w:sz w:val="24"/>
        </w:rPr>
        <w:t>.</w:t>
      </w:r>
    </w:p>
    <w:p w14:paraId="261D212C" w14:textId="77777777" w:rsidR="00BC50DC" w:rsidRPr="00BC50DC" w:rsidRDefault="00BC50DC" w:rsidP="00BC50DC">
      <w:pPr>
        <w:spacing w:after="0"/>
        <w:jc w:val="both"/>
        <w:rPr>
          <w:rFonts w:ascii="Times New Roman" w:hAnsi="Times New Roman" w:cs="Times New Roman"/>
          <w:sz w:val="24"/>
          <w:szCs w:val="24"/>
        </w:rPr>
      </w:pPr>
    </w:p>
    <w:p w14:paraId="468E4DB4" w14:textId="707E13E1" w:rsidR="00BC50DC" w:rsidRPr="00BC50DC" w:rsidRDefault="00BC50DC" w:rsidP="00BC50DC">
      <w:pPr>
        <w:pStyle w:val="Odstavecseseznamem"/>
        <w:spacing w:after="0"/>
        <w:ind w:left="0" w:firstLine="850"/>
        <w:jc w:val="both"/>
        <w:rPr>
          <w:rFonts w:ascii="Times New Roman" w:hAnsi="Times New Roman"/>
          <w:sz w:val="24"/>
        </w:rPr>
      </w:pPr>
      <w:r w:rsidRPr="00931305">
        <w:rPr>
          <w:rFonts w:ascii="Times New Roman" w:hAnsi="Times New Roman" w:cs="Times New Roman"/>
          <w:strike/>
          <w:sz w:val="24"/>
          <w:szCs w:val="24"/>
        </w:rPr>
        <w:t>(2)</w:t>
      </w:r>
      <w:r w:rsidR="00931305">
        <w:rPr>
          <w:rFonts w:ascii="Times New Roman" w:hAnsi="Times New Roman" w:cs="Times New Roman"/>
          <w:sz w:val="24"/>
          <w:szCs w:val="24"/>
        </w:rPr>
        <w:t xml:space="preserve"> </w:t>
      </w:r>
      <w:r w:rsidR="00931305" w:rsidRPr="00931305">
        <w:rPr>
          <w:rFonts w:ascii="Times New Roman" w:hAnsi="Times New Roman" w:cs="Times New Roman"/>
          <w:b/>
          <w:bCs/>
          <w:sz w:val="24"/>
          <w:szCs w:val="24"/>
        </w:rPr>
        <w:t>(3)</w:t>
      </w:r>
      <w:r w:rsidRPr="00BC50DC">
        <w:rPr>
          <w:rFonts w:ascii="Times New Roman" w:hAnsi="Times New Roman" w:cs="Times New Roman"/>
          <w:sz w:val="24"/>
          <w:szCs w:val="24"/>
        </w:rPr>
        <w:t xml:space="preserve"> Proti postupu uvedenému v odstavci 1</w:t>
      </w:r>
      <w:r w:rsidR="00931305">
        <w:rPr>
          <w:rFonts w:ascii="Times New Roman" w:hAnsi="Times New Roman" w:cs="Times New Roman"/>
          <w:sz w:val="24"/>
          <w:szCs w:val="24"/>
        </w:rPr>
        <w:t xml:space="preserve"> </w:t>
      </w:r>
      <w:r w:rsidR="00931305" w:rsidRPr="00931305">
        <w:rPr>
          <w:rFonts w:ascii="Times New Roman" w:hAnsi="Times New Roman" w:cs="Times New Roman"/>
          <w:b/>
          <w:bCs/>
          <w:sz w:val="24"/>
          <w:szCs w:val="24"/>
        </w:rPr>
        <w:t>nebo 2</w:t>
      </w:r>
      <w:r w:rsidRPr="00BC50DC">
        <w:rPr>
          <w:rFonts w:ascii="Times New Roman" w:hAnsi="Times New Roman" w:cs="Times New Roman"/>
          <w:sz w:val="24"/>
          <w:szCs w:val="24"/>
        </w:rPr>
        <w:t xml:space="preserve"> lze uplatnit námitky nejpozději do 15 dnů od posledního dne kalendářního měsíce, ve kterém byla výplata příspěvku zastavena nebo ve kterém došlo ke změně jeho výše.</w:t>
      </w:r>
    </w:p>
    <w:p w14:paraId="5C47DF7C" w14:textId="77777777" w:rsidR="00BC50DC" w:rsidRPr="00BC50DC" w:rsidRDefault="00BC50DC" w:rsidP="00BC50DC">
      <w:pPr>
        <w:pStyle w:val="Odstavecseseznamem"/>
        <w:spacing w:after="0"/>
        <w:ind w:left="0" w:firstLine="850"/>
        <w:jc w:val="both"/>
        <w:rPr>
          <w:rFonts w:ascii="Times New Roman" w:hAnsi="Times New Roman" w:cs="Times New Roman"/>
          <w:sz w:val="24"/>
          <w:szCs w:val="24"/>
        </w:rPr>
      </w:pPr>
    </w:p>
    <w:p w14:paraId="62A25FA9" w14:textId="2B51DB6C" w:rsidR="000A066A" w:rsidRDefault="00BC50DC" w:rsidP="00931305">
      <w:pPr>
        <w:pStyle w:val="Odstavecseseznamem"/>
        <w:spacing w:after="0"/>
        <w:ind w:left="0" w:firstLine="850"/>
        <w:jc w:val="both"/>
        <w:rPr>
          <w:rFonts w:ascii="Times New Roman" w:hAnsi="Times New Roman" w:cs="Times New Roman"/>
          <w:sz w:val="24"/>
          <w:szCs w:val="24"/>
        </w:rPr>
      </w:pPr>
      <w:r w:rsidRPr="00931305">
        <w:rPr>
          <w:rFonts w:ascii="Times New Roman" w:hAnsi="Times New Roman" w:cs="Times New Roman"/>
          <w:strike/>
          <w:sz w:val="24"/>
          <w:szCs w:val="24"/>
        </w:rPr>
        <w:t>(3)</w:t>
      </w:r>
      <w:r w:rsidR="00931305">
        <w:rPr>
          <w:rFonts w:ascii="Times New Roman" w:hAnsi="Times New Roman" w:cs="Times New Roman"/>
          <w:sz w:val="24"/>
          <w:szCs w:val="24"/>
        </w:rPr>
        <w:t xml:space="preserve"> </w:t>
      </w:r>
      <w:r w:rsidR="00931305" w:rsidRPr="00931305">
        <w:rPr>
          <w:rFonts w:ascii="Times New Roman" w:hAnsi="Times New Roman" w:cs="Times New Roman"/>
          <w:b/>
          <w:bCs/>
          <w:sz w:val="24"/>
          <w:szCs w:val="24"/>
        </w:rPr>
        <w:t>(4)</w:t>
      </w:r>
      <w:r w:rsidRPr="00BC50DC">
        <w:rPr>
          <w:rFonts w:ascii="Times New Roman" w:hAnsi="Times New Roman" w:cs="Times New Roman"/>
          <w:sz w:val="24"/>
          <w:szCs w:val="24"/>
        </w:rPr>
        <w:t xml:space="preserve"> Námitky se podávají písemně u příslušné krajské pobočky Úřadu práce. Tato krajská pobočka Úřadu práce vydá do 30 dnů ode dne, kdy jí námitky došly, rozhodnutí o</w:t>
      </w:r>
      <w:r w:rsidR="00490ACD">
        <w:rPr>
          <w:rFonts w:ascii="Times New Roman" w:hAnsi="Times New Roman" w:cs="Times New Roman"/>
          <w:sz w:val="24"/>
          <w:szCs w:val="24"/>
        </w:rPr>
        <w:t> </w:t>
      </w:r>
      <w:r w:rsidRPr="00BC50DC">
        <w:rPr>
          <w:rFonts w:ascii="Times New Roman" w:hAnsi="Times New Roman" w:cs="Times New Roman"/>
          <w:sz w:val="24"/>
          <w:szCs w:val="24"/>
        </w:rPr>
        <w:t>zastavení výplaty příspěvku nebo o změně jeho výše.</w:t>
      </w:r>
    </w:p>
    <w:p w14:paraId="09992762" w14:textId="77777777" w:rsidR="00931305" w:rsidRPr="00BC50DC" w:rsidRDefault="00931305" w:rsidP="00931305">
      <w:pPr>
        <w:pStyle w:val="Odstavecseseznamem"/>
        <w:spacing w:after="0"/>
        <w:ind w:left="0" w:firstLine="850"/>
        <w:jc w:val="both"/>
        <w:rPr>
          <w:rFonts w:ascii="Times New Roman" w:hAnsi="Times New Roman" w:cs="Times New Roman"/>
          <w:sz w:val="24"/>
          <w:szCs w:val="24"/>
        </w:rPr>
      </w:pPr>
    </w:p>
    <w:p w14:paraId="3483D820" w14:textId="77777777" w:rsidR="00BC50DC" w:rsidRPr="007837B1" w:rsidRDefault="00BC50DC" w:rsidP="00BC50DC">
      <w:pPr>
        <w:pStyle w:val="Bezmezer"/>
        <w:jc w:val="center"/>
        <w:rPr>
          <w:rFonts w:ascii="Times New Roman" w:hAnsi="Times New Roman" w:cs="Times New Roman"/>
          <w:b/>
          <w:bCs/>
          <w:sz w:val="32"/>
          <w:szCs w:val="32"/>
        </w:rPr>
      </w:pPr>
      <w:r w:rsidRPr="007837B1">
        <w:rPr>
          <w:rFonts w:ascii="Times New Roman" w:hAnsi="Times New Roman" w:cs="Times New Roman"/>
          <w:b/>
          <w:bCs/>
          <w:sz w:val="32"/>
          <w:szCs w:val="32"/>
        </w:rPr>
        <w:t>* * * * * *</w:t>
      </w:r>
    </w:p>
    <w:p w14:paraId="5994FFE4" w14:textId="77777777" w:rsidR="00A91F00" w:rsidRPr="00A91F00" w:rsidRDefault="00A91F00" w:rsidP="00A91F00">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p>
    <w:sectPr w:rsidR="00A91F00" w:rsidRPr="00A91F00">
      <w:headerReference w:type="default" r:id="rId8"/>
      <w:footerReference w:type="default" r:id="rId9"/>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B33E" w14:textId="77777777" w:rsidR="005571CE" w:rsidRDefault="005571CE" w:rsidP="00264E68">
      <w:pPr>
        <w:spacing w:after="0" w:line="240" w:lineRule="auto"/>
      </w:pPr>
      <w:r>
        <w:separator/>
      </w:r>
    </w:p>
  </w:endnote>
  <w:endnote w:type="continuationSeparator" w:id="0">
    <w:p w14:paraId="009DB8A1" w14:textId="77777777" w:rsidR="005571CE" w:rsidRDefault="005571CE" w:rsidP="0026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CJK SC Regular">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565896"/>
      <w:docPartObj>
        <w:docPartGallery w:val="Page Numbers (Bottom of Page)"/>
        <w:docPartUnique/>
      </w:docPartObj>
    </w:sdtPr>
    <w:sdtEndPr/>
    <w:sdtContent>
      <w:p w14:paraId="70FF22DB" w14:textId="3888DD73" w:rsidR="00264E68" w:rsidRDefault="00264E68">
        <w:pPr>
          <w:pStyle w:val="Zpat"/>
          <w:jc w:val="center"/>
        </w:pPr>
        <w:r>
          <w:fldChar w:fldCharType="begin"/>
        </w:r>
        <w:r>
          <w:instrText>PAGE   \* MERGEFORMAT</w:instrText>
        </w:r>
        <w:r>
          <w:fldChar w:fldCharType="separate"/>
        </w:r>
        <w:r>
          <w:t>2</w:t>
        </w:r>
        <w:r>
          <w:fldChar w:fldCharType="end"/>
        </w:r>
      </w:p>
    </w:sdtContent>
  </w:sdt>
  <w:p w14:paraId="396002F9" w14:textId="77777777" w:rsidR="00264E68" w:rsidRDefault="00264E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8EB48" w14:textId="77777777" w:rsidR="005571CE" w:rsidRDefault="005571CE" w:rsidP="00264E68">
      <w:pPr>
        <w:spacing w:after="0" w:line="240" w:lineRule="auto"/>
      </w:pPr>
      <w:r>
        <w:separator/>
      </w:r>
    </w:p>
  </w:footnote>
  <w:footnote w:type="continuationSeparator" w:id="0">
    <w:p w14:paraId="0B1CA346" w14:textId="77777777" w:rsidR="005571CE" w:rsidRDefault="005571CE" w:rsidP="0026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EF74" w14:textId="3417187F" w:rsidR="002642ED" w:rsidRDefault="002642ED">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69F"/>
    <w:multiLevelType w:val="hybridMultilevel"/>
    <w:tmpl w:val="765AC0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F65ACB"/>
    <w:multiLevelType w:val="hybridMultilevel"/>
    <w:tmpl w:val="0FCEA840"/>
    <w:lvl w:ilvl="0" w:tplc="48E4CAE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2A0E25D7"/>
    <w:multiLevelType w:val="hybridMultilevel"/>
    <w:tmpl w:val="B6EABCB6"/>
    <w:lvl w:ilvl="0" w:tplc="6BFE715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2B2738D3"/>
    <w:multiLevelType w:val="hybridMultilevel"/>
    <w:tmpl w:val="076AD2FA"/>
    <w:lvl w:ilvl="0" w:tplc="31CCC2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61154E"/>
    <w:multiLevelType w:val="hybridMultilevel"/>
    <w:tmpl w:val="419EAD36"/>
    <w:lvl w:ilvl="0" w:tplc="E70C6F1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32787578"/>
    <w:multiLevelType w:val="hybridMultilevel"/>
    <w:tmpl w:val="AF886A32"/>
    <w:lvl w:ilvl="0" w:tplc="EE9EC262">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2982B73"/>
    <w:multiLevelType w:val="hybridMultilevel"/>
    <w:tmpl w:val="B60C8C84"/>
    <w:lvl w:ilvl="0" w:tplc="4BEAA780">
      <w:start w:val="9"/>
      <w:numFmt w:val="decimal"/>
      <w:lvlText w:val="%1."/>
      <w:lvlJc w:val="left"/>
      <w:pPr>
        <w:ind w:left="2062" w:hanging="360"/>
      </w:pPr>
      <w:rPr>
        <w:b w:val="0"/>
        <w:bCs w:val="0"/>
        <w:i w:val="0"/>
        <w:iCs w:val="0"/>
        <w:sz w:val="24"/>
        <w:szCs w:val="24"/>
      </w:rPr>
    </w:lvl>
    <w:lvl w:ilvl="1" w:tplc="04050019">
      <w:start w:val="1"/>
      <w:numFmt w:val="lowerLetter"/>
      <w:lvlText w:val="%2."/>
      <w:lvlJc w:val="left"/>
      <w:pPr>
        <w:ind w:left="1440" w:hanging="360"/>
      </w:pPr>
    </w:lvl>
    <w:lvl w:ilvl="2" w:tplc="CD1E7064">
      <w:start w:val="1"/>
      <w:numFmt w:val="lowerLetter"/>
      <w:lvlText w:val="%3)"/>
      <w:lvlJc w:val="right"/>
      <w:pPr>
        <w:ind w:left="2160" w:hanging="180"/>
      </w:pPr>
      <w:rPr>
        <w:rFonts w:ascii="Times New Roman" w:eastAsia="Calibri" w:hAnsi="Times New Roman" w:cs="Times New Roman"/>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5CAB65D2"/>
    <w:multiLevelType w:val="hybridMultilevel"/>
    <w:tmpl w:val="0644D666"/>
    <w:lvl w:ilvl="0" w:tplc="3806A23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C55D49"/>
    <w:multiLevelType w:val="hybridMultilevel"/>
    <w:tmpl w:val="28D04272"/>
    <w:lvl w:ilvl="0" w:tplc="7E1217EA">
      <w:start w:val="2"/>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CE5ADC"/>
    <w:multiLevelType w:val="hybridMultilevel"/>
    <w:tmpl w:val="68FE73B8"/>
    <w:lvl w:ilvl="0" w:tplc="9ED010F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72451406"/>
    <w:multiLevelType w:val="hybridMultilevel"/>
    <w:tmpl w:val="03842224"/>
    <w:lvl w:ilvl="0" w:tplc="270E9C9C">
      <w:start w:val="1"/>
      <w:numFmt w:val="decimal"/>
      <w:lvlText w:val="(%1)"/>
      <w:lvlJc w:val="left"/>
      <w:pPr>
        <w:ind w:left="1065" w:hanging="360"/>
      </w:pPr>
      <w:rPr>
        <w:rFonts w:hint="default"/>
        <w:strike/>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78AE0F30"/>
    <w:multiLevelType w:val="hybridMultilevel"/>
    <w:tmpl w:val="8A06ABF0"/>
    <w:lvl w:ilvl="0" w:tplc="136EE2C4">
      <w:start w:val="1"/>
      <w:numFmt w:val="decimal"/>
      <w:lvlText w:val="%1."/>
      <w:lvlJc w:val="left"/>
      <w:pPr>
        <w:ind w:left="2062" w:hanging="360"/>
      </w:pPr>
      <w:rPr>
        <w:b w:val="0"/>
        <w:bCs w:val="0"/>
        <w:sz w:val="24"/>
        <w:szCs w:val="24"/>
      </w:rPr>
    </w:lvl>
    <w:lvl w:ilvl="1" w:tplc="87986702">
      <w:start w:val="36"/>
      <w:numFmt w:val="decimal"/>
      <w:lvlText w:val="%2."/>
      <w:lvlJc w:val="left"/>
      <w:pPr>
        <w:ind w:left="786" w:hanging="360"/>
      </w:pPr>
    </w:lvl>
    <w:lvl w:ilvl="2" w:tplc="44223350">
      <w:start w:val="1"/>
      <w:numFmt w:val="lowerLetter"/>
      <w:lvlText w:val="%3)"/>
      <w:lvlJc w:val="left"/>
      <w:pPr>
        <w:ind w:left="1980" w:hanging="36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num>
  <w:num w:numId="2">
    <w:abstractNumId w:val="5"/>
  </w:num>
  <w:num w:numId="3">
    <w:abstractNumId w:val="9"/>
  </w:num>
  <w:num w:numId="4">
    <w:abstractNumId w:val="11"/>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
  </w:num>
  <w:num w:numId="8">
    <w:abstractNumId w:val="7"/>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00"/>
    <w:rsid w:val="0000372C"/>
    <w:rsid w:val="000074C1"/>
    <w:rsid w:val="000206D0"/>
    <w:rsid w:val="000212A3"/>
    <w:rsid w:val="000331B5"/>
    <w:rsid w:val="00034921"/>
    <w:rsid w:val="00060086"/>
    <w:rsid w:val="000621D5"/>
    <w:rsid w:val="000722B6"/>
    <w:rsid w:val="00077154"/>
    <w:rsid w:val="00077691"/>
    <w:rsid w:val="0008211A"/>
    <w:rsid w:val="000822C6"/>
    <w:rsid w:val="00090F45"/>
    <w:rsid w:val="000A066A"/>
    <w:rsid w:val="000A3D9C"/>
    <w:rsid w:val="000B1DB8"/>
    <w:rsid w:val="000B2CA2"/>
    <w:rsid w:val="000C6145"/>
    <w:rsid w:val="000E0E6F"/>
    <w:rsid w:val="000E1922"/>
    <w:rsid w:val="000F1550"/>
    <w:rsid w:val="000F1E49"/>
    <w:rsid w:val="000F2396"/>
    <w:rsid w:val="00110350"/>
    <w:rsid w:val="0011214C"/>
    <w:rsid w:val="00112ADC"/>
    <w:rsid w:val="0011329D"/>
    <w:rsid w:val="00122D57"/>
    <w:rsid w:val="00123229"/>
    <w:rsid w:val="00125576"/>
    <w:rsid w:val="00125CA8"/>
    <w:rsid w:val="001360BC"/>
    <w:rsid w:val="00136C5F"/>
    <w:rsid w:val="00144C39"/>
    <w:rsid w:val="00145165"/>
    <w:rsid w:val="001523FD"/>
    <w:rsid w:val="00170C7E"/>
    <w:rsid w:val="00175343"/>
    <w:rsid w:val="00182649"/>
    <w:rsid w:val="00183590"/>
    <w:rsid w:val="00185937"/>
    <w:rsid w:val="001960A4"/>
    <w:rsid w:val="001C592E"/>
    <w:rsid w:val="001D0344"/>
    <w:rsid w:val="001D3969"/>
    <w:rsid w:val="001D45ED"/>
    <w:rsid w:val="001F1159"/>
    <w:rsid w:val="001F5999"/>
    <w:rsid w:val="001F6A64"/>
    <w:rsid w:val="00205EDE"/>
    <w:rsid w:val="00216497"/>
    <w:rsid w:val="00222B16"/>
    <w:rsid w:val="0023267E"/>
    <w:rsid w:val="00235F55"/>
    <w:rsid w:val="00244EB8"/>
    <w:rsid w:val="00260DEE"/>
    <w:rsid w:val="002642ED"/>
    <w:rsid w:val="00264E68"/>
    <w:rsid w:val="002810A6"/>
    <w:rsid w:val="00284E6A"/>
    <w:rsid w:val="00291C71"/>
    <w:rsid w:val="00294644"/>
    <w:rsid w:val="002B2071"/>
    <w:rsid w:val="002C29A1"/>
    <w:rsid w:val="002C35A2"/>
    <w:rsid w:val="002D76EF"/>
    <w:rsid w:val="002E0D02"/>
    <w:rsid w:val="002E3521"/>
    <w:rsid w:val="002E5A13"/>
    <w:rsid w:val="002F64A0"/>
    <w:rsid w:val="002F7EC5"/>
    <w:rsid w:val="00303767"/>
    <w:rsid w:val="003041A3"/>
    <w:rsid w:val="0030668D"/>
    <w:rsid w:val="003075F7"/>
    <w:rsid w:val="003118B1"/>
    <w:rsid w:val="00322409"/>
    <w:rsid w:val="00324357"/>
    <w:rsid w:val="00325807"/>
    <w:rsid w:val="00346570"/>
    <w:rsid w:val="003509CE"/>
    <w:rsid w:val="00354DB1"/>
    <w:rsid w:val="00354EC4"/>
    <w:rsid w:val="0037574E"/>
    <w:rsid w:val="00380A15"/>
    <w:rsid w:val="00382AEA"/>
    <w:rsid w:val="0038307B"/>
    <w:rsid w:val="003878A2"/>
    <w:rsid w:val="00395EC6"/>
    <w:rsid w:val="00397C12"/>
    <w:rsid w:val="003B6B81"/>
    <w:rsid w:val="003C0822"/>
    <w:rsid w:val="003C0EE1"/>
    <w:rsid w:val="003C7571"/>
    <w:rsid w:val="003E0D9E"/>
    <w:rsid w:val="004002DA"/>
    <w:rsid w:val="00421495"/>
    <w:rsid w:val="004273C4"/>
    <w:rsid w:val="0044035F"/>
    <w:rsid w:val="00444090"/>
    <w:rsid w:val="004567A7"/>
    <w:rsid w:val="004575FB"/>
    <w:rsid w:val="004660B3"/>
    <w:rsid w:val="00467693"/>
    <w:rsid w:val="004740CF"/>
    <w:rsid w:val="00474989"/>
    <w:rsid w:val="00475B48"/>
    <w:rsid w:val="004802E1"/>
    <w:rsid w:val="004810EF"/>
    <w:rsid w:val="00490ACD"/>
    <w:rsid w:val="004915D6"/>
    <w:rsid w:val="0049556A"/>
    <w:rsid w:val="004A23BD"/>
    <w:rsid w:val="004A4AAB"/>
    <w:rsid w:val="004A5CB2"/>
    <w:rsid w:val="004A68F2"/>
    <w:rsid w:val="004A6B42"/>
    <w:rsid w:val="004A77BB"/>
    <w:rsid w:val="004B2D32"/>
    <w:rsid w:val="004B4777"/>
    <w:rsid w:val="004B63AD"/>
    <w:rsid w:val="004C0E9F"/>
    <w:rsid w:val="004C777B"/>
    <w:rsid w:val="004D11A2"/>
    <w:rsid w:val="004D2180"/>
    <w:rsid w:val="004E2377"/>
    <w:rsid w:val="004F3958"/>
    <w:rsid w:val="00500347"/>
    <w:rsid w:val="00500D42"/>
    <w:rsid w:val="00511F33"/>
    <w:rsid w:val="0051270D"/>
    <w:rsid w:val="0051429D"/>
    <w:rsid w:val="00515503"/>
    <w:rsid w:val="005171D2"/>
    <w:rsid w:val="00517CF3"/>
    <w:rsid w:val="00523DEB"/>
    <w:rsid w:val="005260D4"/>
    <w:rsid w:val="005366E5"/>
    <w:rsid w:val="00545C86"/>
    <w:rsid w:val="00552D9E"/>
    <w:rsid w:val="00554F8F"/>
    <w:rsid w:val="00555BEF"/>
    <w:rsid w:val="005571CE"/>
    <w:rsid w:val="00561B79"/>
    <w:rsid w:val="005628B6"/>
    <w:rsid w:val="00584A55"/>
    <w:rsid w:val="00594645"/>
    <w:rsid w:val="00595F20"/>
    <w:rsid w:val="0059623C"/>
    <w:rsid w:val="005A2874"/>
    <w:rsid w:val="005A410B"/>
    <w:rsid w:val="005A6AE2"/>
    <w:rsid w:val="005B3CC6"/>
    <w:rsid w:val="005B7207"/>
    <w:rsid w:val="005D0021"/>
    <w:rsid w:val="005D15AE"/>
    <w:rsid w:val="005D1729"/>
    <w:rsid w:val="005E3C10"/>
    <w:rsid w:val="005F0258"/>
    <w:rsid w:val="005F1B96"/>
    <w:rsid w:val="005F4652"/>
    <w:rsid w:val="00602493"/>
    <w:rsid w:val="00612278"/>
    <w:rsid w:val="00616827"/>
    <w:rsid w:val="006240F2"/>
    <w:rsid w:val="006308A2"/>
    <w:rsid w:val="006329B3"/>
    <w:rsid w:val="00633851"/>
    <w:rsid w:val="0063600A"/>
    <w:rsid w:val="00642AE6"/>
    <w:rsid w:val="0065516A"/>
    <w:rsid w:val="00655F80"/>
    <w:rsid w:val="0066184A"/>
    <w:rsid w:val="006639D4"/>
    <w:rsid w:val="00676B61"/>
    <w:rsid w:val="00676DE1"/>
    <w:rsid w:val="00680003"/>
    <w:rsid w:val="0069614D"/>
    <w:rsid w:val="006A1213"/>
    <w:rsid w:val="006A171E"/>
    <w:rsid w:val="006A528B"/>
    <w:rsid w:val="006B0516"/>
    <w:rsid w:val="006B22F9"/>
    <w:rsid w:val="006B582A"/>
    <w:rsid w:val="006C6C30"/>
    <w:rsid w:val="006D3921"/>
    <w:rsid w:val="006E04CC"/>
    <w:rsid w:val="006E157C"/>
    <w:rsid w:val="006F0559"/>
    <w:rsid w:val="006F6237"/>
    <w:rsid w:val="006F7ED1"/>
    <w:rsid w:val="0070577E"/>
    <w:rsid w:val="0070658C"/>
    <w:rsid w:val="00706885"/>
    <w:rsid w:val="00707730"/>
    <w:rsid w:val="00712272"/>
    <w:rsid w:val="00727ABE"/>
    <w:rsid w:val="00742265"/>
    <w:rsid w:val="00750437"/>
    <w:rsid w:val="007619AE"/>
    <w:rsid w:val="0076255C"/>
    <w:rsid w:val="00765BD9"/>
    <w:rsid w:val="007663E4"/>
    <w:rsid w:val="00767273"/>
    <w:rsid w:val="007701DE"/>
    <w:rsid w:val="00770B8C"/>
    <w:rsid w:val="00771C6E"/>
    <w:rsid w:val="007837B1"/>
    <w:rsid w:val="00783B2A"/>
    <w:rsid w:val="00785E62"/>
    <w:rsid w:val="0079032D"/>
    <w:rsid w:val="00790B3A"/>
    <w:rsid w:val="00791C01"/>
    <w:rsid w:val="00793111"/>
    <w:rsid w:val="007934B6"/>
    <w:rsid w:val="00794AF4"/>
    <w:rsid w:val="00794DC0"/>
    <w:rsid w:val="007A1D4A"/>
    <w:rsid w:val="007A52A4"/>
    <w:rsid w:val="007A74D5"/>
    <w:rsid w:val="007A79A0"/>
    <w:rsid w:val="007B7B23"/>
    <w:rsid w:val="007C55BC"/>
    <w:rsid w:val="007C7FEA"/>
    <w:rsid w:val="007D2FB1"/>
    <w:rsid w:val="007E4564"/>
    <w:rsid w:val="007E4B3F"/>
    <w:rsid w:val="007F571F"/>
    <w:rsid w:val="00802135"/>
    <w:rsid w:val="00802F23"/>
    <w:rsid w:val="00825DE8"/>
    <w:rsid w:val="00837EB0"/>
    <w:rsid w:val="0084584D"/>
    <w:rsid w:val="00853142"/>
    <w:rsid w:val="00857140"/>
    <w:rsid w:val="008600B6"/>
    <w:rsid w:val="0086334C"/>
    <w:rsid w:val="00866306"/>
    <w:rsid w:val="00874F53"/>
    <w:rsid w:val="00876747"/>
    <w:rsid w:val="00880783"/>
    <w:rsid w:val="00883B05"/>
    <w:rsid w:val="008A0AEF"/>
    <w:rsid w:val="008B5533"/>
    <w:rsid w:val="008C3025"/>
    <w:rsid w:val="008C3365"/>
    <w:rsid w:val="008C5A81"/>
    <w:rsid w:val="008D127F"/>
    <w:rsid w:val="008D26D1"/>
    <w:rsid w:val="008E52BF"/>
    <w:rsid w:val="008E703B"/>
    <w:rsid w:val="008F4097"/>
    <w:rsid w:val="009057A7"/>
    <w:rsid w:val="009115F5"/>
    <w:rsid w:val="00911C8C"/>
    <w:rsid w:val="00924B14"/>
    <w:rsid w:val="00931305"/>
    <w:rsid w:val="00936B6F"/>
    <w:rsid w:val="00940B9B"/>
    <w:rsid w:val="00943F39"/>
    <w:rsid w:val="00946776"/>
    <w:rsid w:val="0094735B"/>
    <w:rsid w:val="009546D7"/>
    <w:rsid w:val="00966C60"/>
    <w:rsid w:val="00970DB2"/>
    <w:rsid w:val="009751B7"/>
    <w:rsid w:val="00981D0B"/>
    <w:rsid w:val="00986923"/>
    <w:rsid w:val="00990DE6"/>
    <w:rsid w:val="009A3CA1"/>
    <w:rsid w:val="009A4268"/>
    <w:rsid w:val="009B2607"/>
    <w:rsid w:val="009B2D23"/>
    <w:rsid w:val="009C0072"/>
    <w:rsid w:val="009C148E"/>
    <w:rsid w:val="009D358A"/>
    <w:rsid w:val="009D36E7"/>
    <w:rsid w:val="009E6C9E"/>
    <w:rsid w:val="009E6E5E"/>
    <w:rsid w:val="009E7DF4"/>
    <w:rsid w:val="00A129D5"/>
    <w:rsid w:val="00A155DE"/>
    <w:rsid w:val="00A159B6"/>
    <w:rsid w:val="00A21D14"/>
    <w:rsid w:val="00A25084"/>
    <w:rsid w:val="00A32B53"/>
    <w:rsid w:val="00A41B55"/>
    <w:rsid w:val="00A466F3"/>
    <w:rsid w:val="00A528D1"/>
    <w:rsid w:val="00A54CEC"/>
    <w:rsid w:val="00A556C2"/>
    <w:rsid w:val="00A578E1"/>
    <w:rsid w:val="00A73202"/>
    <w:rsid w:val="00A81226"/>
    <w:rsid w:val="00A90AF0"/>
    <w:rsid w:val="00A91F00"/>
    <w:rsid w:val="00A92E28"/>
    <w:rsid w:val="00A972FA"/>
    <w:rsid w:val="00AB0DDF"/>
    <w:rsid w:val="00AB6F73"/>
    <w:rsid w:val="00AC2032"/>
    <w:rsid w:val="00AC522E"/>
    <w:rsid w:val="00AC557A"/>
    <w:rsid w:val="00AD61B8"/>
    <w:rsid w:val="00AD7380"/>
    <w:rsid w:val="00AE3328"/>
    <w:rsid w:val="00AE6E21"/>
    <w:rsid w:val="00AE7975"/>
    <w:rsid w:val="00AF3C71"/>
    <w:rsid w:val="00AF4571"/>
    <w:rsid w:val="00B02045"/>
    <w:rsid w:val="00B072A7"/>
    <w:rsid w:val="00B1160D"/>
    <w:rsid w:val="00B16529"/>
    <w:rsid w:val="00B23C59"/>
    <w:rsid w:val="00B262BE"/>
    <w:rsid w:val="00B3736F"/>
    <w:rsid w:val="00B42063"/>
    <w:rsid w:val="00B42F20"/>
    <w:rsid w:val="00B50FC7"/>
    <w:rsid w:val="00B60EF7"/>
    <w:rsid w:val="00B776B7"/>
    <w:rsid w:val="00B919F9"/>
    <w:rsid w:val="00BA5C35"/>
    <w:rsid w:val="00BA7946"/>
    <w:rsid w:val="00BB28B0"/>
    <w:rsid w:val="00BB2C6B"/>
    <w:rsid w:val="00BC0D5D"/>
    <w:rsid w:val="00BC50DC"/>
    <w:rsid w:val="00BD314A"/>
    <w:rsid w:val="00BE3134"/>
    <w:rsid w:val="00BF0986"/>
    <w:rsid w:val="00BF3E0C"/>
    <w:rsid w:val="00C05230"/>
    <w:rsid w:val="00C060BB"/>
    <w:rsid w:val="00C11124"/>
    <w:rsid w:val="00C11719"/>
    <w:rsid w:val="00C27A3A"/>
    <w:rsid w:val="00C40539"/>
    <w:rsid w:val="00C426BC"/>
    <w:rsid w:val="00C43DDB"/>
    <w:rsid w:val="00C44B8E"/>
    <w:rsid w:val="00C773C8"/>
    <w:rsid w:val="00C80C8F"/>
    <w:rsid w:val="00C85BB6"/>
    <w:rsid w:val="00C85FFE"/>
    <w:rsid w:val="00C87634"/>
    <w:rsid w:val="00CB2B48"/>
    <w:rsid w:val="00CB3792"/>
    <w:rsid w:val="00CD02CC"/>
    <w:rsid w:val="00CE248B"/>
    <w:rsid w:val="00CF7124"/>
    <w:rsid w:val="00CF790E"/>
    <w:rsid w:val="00D0260E"/>
    <w:rsid w:val="00D207A6"/>
    <w:rsid w:val="00D22ED5"/>
    <w:rsid w:val="00D232F5"/>
    <w:rsid w:val="00D35390"/>
    <w:rsid w:val="00D36744"/>
    <w:rsid w:val="00D410C7"/>
    <w:rsid w:val="00D41315"/>
    <w:rsid w:val="00D41A3F"/>
    <w:rsid w:val="00D65AD8"/>
    <w:rsid w:val="00D77229"/>
    <w:rsid w:val="00D77BD3"/>
    <w:rsid w:val="00D8308E"/>
    <w:rsid w:val="00D8758F"/>
    <w:rsid w:val="00D97B1D"/>
    <w:rsid w:val="00DA60BB"/>
    <w:rsid w:val="00DB0587"/>
    <w:rsid w:val="00DB475E"/>
    <w:rsid w:val="00DC5574"/>
    <w:rsid w:val="00DC6E00"/>
    <w:rsid w:val="00DE53D3"/>
    <w:rsid w:val="00DF0ED7"/>
    <w:rsid w:val="00DF1781"/>
    <w:rsid w:val="00E07CA0"/>
    <w:rsid w:val="00E124B8"/>
    <w:rsid w:val="00E163C1"/>
    <w:rsid w:val="00E20E5B"/>
    <w:rsid w:val="00E21C20"/>
    <w:rsid w:val="00E3797C"/>
    <w:rsid w:val="00E41AF5"/>
    <w:rsid w:val="00E44D84"/>
    <w:rsid w:val="00E47243"/>
    <w:rsid w:val="00E52CCC"/>
    <w:rsid w:val="00E62D9D"/>
    <w:rsid w:val="00E763D4"/>
    <w:rsid w:val="00E76DF5"/>
    <w:rsid w:val="00E83FB8"/>
    <w:rsid w:val="00E84B8E"/>
    <w:rsid w:val="00E876E8"/>
    <w:rsid w:val="00E9033A"/>
    <w:rsid w:val="00E9376F"/>
    <w:rsid w:val="00E958DE"/>
    <w:rsid w:val="00E969F0"/>
    <w:rsid w:val="00EA2CBC"/>
    <w:rsid w:val="00EB2981"/>
    <w:rsid w:val="00EB347A"/>
    <w:rsid w:val="00EB4F0D"/>
    <w:rsid w:val="00EB50F3"/>
    <w:rsid w:val="00EB64CF"/>
    <w:rsid w:val="00EC55FC"/>
    <w:rsid w:val="00EC5840"/>
    <w:rsid w:val="00ED5C59"/>
    <w:rsid w:val="00ED7431"/>
    <w:rsid w:val="00EF79DE"/>
    <w:rsid w:val="00F02227"/>
    <w:rsid w:val="00F12843"/>
    <w:rsid w:val="00F13431"/>
    <w:rsid w:val="00F15BF3"/>
    <w:rsid w:val="00F16BB1"/>
    <w:rsid w:val="00F239E6"/>
    <w:rsid w:val="00F34DB8"/>
    <w:rsid w:val="00F34DEF"/>
    <w:rsid w:val="00F35951"/>
    <w:rsid w:val="00F35F39"/>
    <w:rsid w:val="00F36588"/>
    <w:rsid w:val="00F43BC6"/>
    <w:rsid w:val="00F54CDA"/>
    <w:rsid w:val="00F54FB9"/>
    <w:rsid w:val="00F5628C"/>
    <w:rsid w:val="00F61B1F"/>
    <w:rsid w:val="00F7224D"/>
    <w:rsid w:val="00F72761"/>
    <w:rsid w:val="00F8548A"/>
    <w:rsid w:val="00F92279"/>
    <w:rsid w:val="00F97B94"/>
    <w:rsid w:val="00FA55A0"/>
    <w:rsid w:val="00FA6756"/>
    <w:rsid w:val="00FD7DA1"/>
    <w:rsid w:val="00FE497E"/>
    <w:rsid w:val="00FF6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A44E"/>
  <w15:docId w15:val="{B9FB220E-85A8-42D5-9DFB-366072C6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A91F00"/>
  </w:style>
  <w:style w:type="character" w:styleId="Odkaznakoment">
    <w:name w:val="annotation reference"/>
    <w:basedOn w:val="Standardnpsmoodstavce"/>
    <w:uiPriority w:val="99"/>
    <w:semiHidden/>
    <w:unhideWhenUsed/>
    <w:rsid w:val="00A91F00"/>
    <w:rPr>
      <w:sz w:val="16"/>
      <w:szCs w:val="16"/>
    </w:rPr>
  </w:style>
  <w:style w:type="paragraph" w:styleId="Textkomente">
    <w:name w:val="annotation text"/>
    <w:basedOn w:val="Normln"/>
    <w:link w:val="TextkomenteChar"/>
    <w:uiPriority w:val="99"/>
    <w:unhideWhenUsed/>
    <w:rsid w:val="00A91F00"/>
    <w:pPr>
      <w:spacing w:line="240" w:lineRule="auto"/>
    </w:pPr>
    <w:rPr>
      <w:sz w:val="20"/>
      <w:szCs w:val="20"/>
    </w:rPr>
  </w:style>
  <w:style w:type="character" w:customStyle="1" w:styleId="TextkomenteChar">
    <w:name w:val="Text komentáře Char"/>
    <w:basedOn w:val="Standardnpsmoodstavce"/>
    <w:link w:val="Textkomente"/>
    <w:uiPriority w:val="99"/>
    <w:rsid w:val="00A91F00"/>
    <w:rPr>
      <w:sz w:val="20"/>
      <w:szCs w:val="20"/>
    </w:rPr>
  </w:style>
  <w:style w:type="paragraph" w:styleId="Pedmtkomente">
    <w:name w:val="annotation subject"/>
    <w:basedOn w:val="Textkomente"/>
    <w:next w:val="Textkomente"/>
    <w:link w:val="PedmtkomenteChar"/>
    <w:uiPriority w:val="99"/>
    <w:semiHidden/>
    <w:unhideWhenUsed/>
    <w:rsid w:val="00A91F00"/>
    <w:rPr>
      <w:rFonts w:eastAsiaTheme="minorEastAsia"/>
      <w:b/>
      <w:bCs/>
      <w:lang w:eastAsia="cs-CZ"/>
    </w:rPr>
  </w:style>
  <w:style w:type="character" w:customStyle="1" w:styleId="PedmtkomenteChar">
    <w:name w:val="Předmět komentáře Char"/>
    <w:basedOn w:val="TextkomenteChar"/>
    <w:link w:val="Pedmtkomente"/>
    <w:uiPriority w:val="99"/>
    <w:semiHidden/>
    <w:rsid w:val="00A91F00"/>
    <w:rPr>
      <w:rFonts w:eastAsiaTheme="minorEastAsia"/>
      <w:b/>
      <w:bCs/>
      <w:sz w:val="20"/>
      <w:szCs w:val="20"/>
      <w:lang w:eastAsia="cs-CZ"/>
    </w:rPr>
  </w:style>
  <w:style w:type="paragraph" w:styleId="Odstavecseseznamem">
    <w:name w:val="List Paragraph"/>
    <w:aliases w:val="Odstavec_muj,Nad,List Paragraph (Czech Tourism),List Paragraph,A-Odrážky1,_Odstavec se seznamem,Odstavec_muj1,Odstavec_muj2,Odstavec_muj3,Nad1,List Paragraph1,Odstavec_muj4,Nad2,List Paragraph2,Odstavec_muj5,Odstavec_muj6,References"/>
    <w:basedOn w:val="Normln"/>
    <w:link w:val="OdstavecseseznamemChar"/>
    <w:uiPriority w:val="34"/>
    <w:qFormat/>
    <w:rsid w:val="00A91F00"/>
    <w:pPr>
      <w:ind w:left="720"/>
      <w:contextualSpacing/>
    </w:pPr>
  </w:style>
  <w:style w:type="character" w:customStyle="1" w:styleId="OdstavecseseznamemChar">
    <w:name w:val="Odstavec se seznamem Char"/>
    <w:aliases w:val="Odstavec_muj Char,Nad Char,List Paragraph (Czech Tourism) Char,List Paragraph Char,A-Odrážky1 Char,_Odstavec se seznamem Char,Odstavec_muj1 Char,Odstavec_muj2 Char,Odstavec_muj3 Char,Nad1 Char,List Paragraph1 Char,Nad2 Char"/>
    <w:basedOn w:val="Standardnpsmoodstavce"/>
    <w:link w:val="Odstavecseseznamem"/>
    <w:uiPriority w:val="34"/>
    <w:qFormat/>
    <w:rsid w:val="00A91F00"/>
  </w:style>
  <w:style w:type="character" w:styleId="Hypertextovodkaz">
    <w:name w:val="Hyperlink"/>
    <w:basedOn w:val="Standardnpsmoodstavce"/>
    <w:uiPriority w:val="99"/>
    <w:unhideWhenUsed/>
    <w:rsid w:val="00A91F00"/>
    <w:rPr>
      <w:color w:val="0563C1" w:themeColor="hyperlink"/>
      <w:u w:val="single"/>
    </w:rPr>
  </w:style>
  <w:style w:type="character" w:styleId="Nevyeenzmnka">
    <w:name w:val="Unresolved Mention"/>
    <w:basedOn w:val="Standardnpsmoodstavce"/>
    <w:uiPriority w:val="99"/>
    <w:semiHidden/>
    <w:unhideWhenUsed/>
    <w:rsid w:val="00A91F00"/>
    <w:rPr>
      <w:color w:val="605E5C"/>
      <w:shd w:val="clear" w:color="auto" w:fill="E1DFDD"/>
    </w:rPr>
  </w:style>
  <w:style w:type="paragraph" w:styleId="Zhlav">
    <w:name w:val="header"/>
    <w:basedOn w:val="Normln"/>
    <w:link w:val="ZhlavChar"/>
    <w:uiPriority w:val="99"/>
    <w:unhideWhenUsed/>
    <w:rsid w:val="00A91F00"/>
    <w:pPr>
      <w:tabs>
        <w:tab w:val="center" w:pos="4536"/>
        <w:tab w:val="right" w:pos="9072"/>
      </w:tabs>
      <w:spacing w:after="0" w:line="240" w:lineRule="auto"/>
    </w:pPr>
    <w:rPr>
      <w:rFonts w:eastAsiaTheme="minorEastAsia"/>
      <w:lang w:eastAsia="cs-CZ"/>
    </w:rPr>
  </w:style>
  <w:style w:type="character" w:customStyle="1" w:styleId="ZhlavChar">
    <w:name w:val="Záhlaví Char"/>
    <w:basedOn w:val="Standardnpsmoodstavce"/>
    <w:link w:val="Zhlav"/>
    <w:uiPriority w:val="99"/>
    <w:rsid w:val="00A91F00"/>
    <w:rPr>
      <w:rFonts w:eastAsiaTheme="minorEastAsia"/>
      <w:lang w:eastAsia="cs-CZ"/>
    </w:rPr>
  </w:style>
  <w:style w:type="paragraph" w:styleId="Zpat">
    <w:name w:val="footer"/>
    <w:basedOn w:val="Normln"/>
    <w:link w:val="ZpatChar"/>
    <w:uiPriority w:val="99"/>
    <w:unhideWhenUsed/>
    <w:rsid w:val="00A91F00"/>
    <w:pPr>
      <w:tabs>
        <w:tab w:val="center" w:pos="4536"/>
        <w:tab w:val="right" w:pos="9072"/>
      </w:tabs>
      <w:spacing w:after="0" w:line="240" w:lineRule="auto"/>
    </w:pPr>
    <w:rPr>
      <w:rFonts w:eastAsiaTheme="minorEastAsia"/>
      <w:lang w:eastAsia="cs-CZ"/>
    </w:rPr>
  </w:style>
  <w:style w:type="character" w:customStyle="1" w:styleId="ZpatChar">
    <w:name w:val="Zápatí Char"/>
    <w:basedOn w:val="Standardnpsmoodstavce"/>
    <w:link w:val="Zpat"/>
    <w:uiPriority w:val="99"/>
    <w:rsid w:val="00A91F00"/>
    <w:rPr>
      <w:rFonts w:eastAsiaTheme="minorEastAsia"/>
      <w:lang w:eastAsia="cs-CZ"/>
    </w:rPr>
  </w:style>
  <w:style w:type="paragraph" w:styleId="Textpoznpodarou">
    <w:name w:val="footnote text"/>
    <w:basedOn w:val="Normln"/>
    <w:link w:val="TextpoznpodarouChar"/>
    <w:uiPriority w:val="99"/>
    <w:semiHidden/>
    <w:unhideWhenUsed/>
    <w:rsid w:val="004273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273C4"/>
    <w:rPr>
      <w:sz w:val="20"/>
      <w:szCs w:val="20"/>
    </w:rPr>
  </w:style>
  <w:style w:type="character" w:styleId="Znakapoznpodarou">
    <w:name w:val="footnote reference"/>
    <w:basedOn w:val="Standardnpsmoodstavce"/>
    <w:uiPriority w:val="99"/>
    <w:semiHidden/>
    <w:unhideWhenUsed/>
    <w:rsid w:val="004273C4"/>
    <w:rPr>
      <w:vertAlign w:val="superscript"/>
    </w:rPr>
  </w:style>
  <w:style w:type="character" w:customStyle="1" w:styleId="s1w072d6">
    <w:name w:val="s1w072d6"/>
    <w:basedOn w:val="Standardnpsmoodstavce"/>
    <w:rsid w:val="006A1213"/>
  </w:style>
  <w:style w:type="paragraph" w:customStyle="1" w:styleId="p2">
    <w:name w:val="p2"/>
    <w:basedOn w:val="Normln"/>
    <w:rsid w:val="006B58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ighlight">
    <w:name w:val="highlight"/>
    <w:basedOn w:val="Standardnpsmoodstavce"/>
    <w:rsid w:val="006B582A"/>
  </w:style>
  <w:style w:type="paragraph" w:styleId="Bezmezer">
    <w:name w:val="No Spacing"/>
    <w:link w:val="BezmezerChar"/>
    <w:uiPriority w:val="1"/>
    <w:qFormat/>
    <w:rsid w:val="006B582A"/>
    <w:pPr>
      <w:spacing w:after="0" w:line="240" w:lineRule="auto"/>
    </w:pPr>
  </w:style>
  <w:style w:type="character" w:customStyle="1" w:styleId="BezmezerChar">
    <w:name w:val="Bez mezer Char"/>
    <w:link w:val="Bezmezer"/>
    <w:uiPriority w:val="1"/>
    <w:locked/>
    <w:rsid w:val="006B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7568">
      <w:bodyDiv w:val="1"/>
      <w:marLeft w:val="0"/>
      <w:marRight w:val="0"/>
      <w:marTop w:val="0"/>
      <w:marBottom w:val="0"/>
      <w:divBdr>
        <w:top w:val="none" w:sz="0" w:space="0" w:color="auto"/>
        <w:left w:val="none" w:sz="0" w:space="0" w:color="auto"/>
        <w:bottom w:val="none" w:sz="0" w:space="0" w:color="auto"/>
        <w:right w:val="none" w:sz="0" w:space="0" w:color="auto"/>
      </w:divBdr>
    </w:div>
    <w:div w:id="262997534">
      <w:bodyDiv w:val="1"/>
      <w:marLeft w:val="0"/>
      <w:marRight w:val="0"/>
      <w:marTop w:val="0"/>
      <w:marBottom w:val="0"/>
      <w:divBdr>
        <w:top w:val="none" w:sz="0" w:space="0" w:color="auto"/>
        <w:left w:val="none" w:sz="0" w:space="0" w:color="auto"/>
        <w:bottom w:val="none" w:sz="0" w:space="0" w:color="auto"/>
        <w:right w:val="none" w:sz="0" w:space="0" w:color="auto"/>
      </w:divBdr>
    </w:div>
    <w:div w:id="562527635">
      <w:bodyDiv w:val="1"/>
      <w:marLeft w:val="0"/>
      <w:marRight w:val="0"/>
      <w:marTop w:val="0"/>
      <w:marBottom w:val="0"/>
      <w:divBdr>
        <w:top w:val="none" w:sz="0" w:space="0" w:color="auto"/>
        <w:left w:val="none" w:sz="0" w:space="0" w:color="auto"/>
        <w:bottom w:val="none" w:sz="0" w:space="0" w:color="auto"/>
        <w:right w:val="none" w:sz="0" w:space="0" w:color="auto"/>
      </w:divBdr>
    </w:div>
    <w:div w:id="683943500">
      <w:bodyDiv w:val="1"/>
      <w:marLeft w:val="0"/>
      <w:marRight w:val="0"/>
      <w:marTop w:val="0"/>
      <w:marBottom w:val="0"/>
      <w:divBdr>
        <w:top w:val="none" w:sz="0" w:space="0" w:color="auto"/>
        <w:left w:val="none" w:sz="0" w:space="0" w:color="auto"/>
        <w:bottom w:val="none" w:sz="0" w:space="0" w:color="auto"/>
        <w:right w:val="none" w:sz="0" w:space="0" w:color="auto"/>
      </w:divBdr>
    </w:div>
    <w:div w:id="824783776">
      <w:bodyDiv w:val="1"/>
      <w:marLeft w:val="0"/>
      <w:marRight w:val="0"/>
      <w:marTop w:val="0"/>
      <w:marBottom w:val="0"/>
      <w:divBdr>
        <w:top w:val="none" w:sz="0" w:space="0" w:color="auto"/>
        <w:left w:val="none" w:sz="0" w:space="0" w:color="auto"/>
        <w:bottom w:val="none" w:sz="0" w:space="0" w:color="auto"/>
        <w:right w:val="none" w:sz="0" w:space="0" w:color="auto"/>
      </w:divBdr>
    </w:div>
    <w:div w:id="920139020">
      <w:bodyDiv w:val="1"/>
      <w:marLeft w:val="0"/>
      <w:marRight w:val="0"/>
      <w:marTop w:val="0"/>
      <w:marBottom w:val="0"/>
      <w:divBdr>
        <w:top w:val="none" w:sz="0" w:space="0" w:color="auto"/>
        <w:left w:val="none" w:sz="0" w:space="0" w:color="auto"/>
        <w:bottom w:val="none" w:sz="0" w:space="0" w:color="auto"/>
        <w:right w:val="none" w:sz="0" w:space="0" w:color="auto"/>
      </w:divBdr>
    </w:div>
    <w:div w:id="982390661">
      <w:bodyDiv w:val="1"/>
      <w:marLeft w:val="0"/>
      <w:marRight w:val="0"/>
      <w:marTop w:val="0"/>
      <w:marBottom w:val="0"/>
      <w:divBdr>
        <w:top w:val="none" w:sz="0" w:space="0" w:color="auto"/>
        <w:left w:val="none" w:sz="0" w:space="0" w:color="auto"/>
        <w:bottom w:val="none" w:sz="0" w:space="0" w:color="auto"/>
        <w:right w:val="none" w:sz="0" w:space="0" w:color="auto"/>
      </w:divBdr>
    </w:div>
    <w:div w:id="1103837078">
      <w:bodyDiv w:val="1"/>
      <w:marLeft w:val="0"/>
      <w:marRight w:val="0"/>
      <w:marTop w:val="0"/>
      <w:marBottom w:val="0"/>
      <w:divBdr>
        <w:top w:val="none" w:sz="0" w:space="0" w:color="auto"/>
        <w:left w:val="none" w:sz="0" w:space="0" w:color="auto"/>
        <w:bottom w:val="none" w:sz="0" w:space="0" w:color="auto"/>
        <w:right w:val="none" w:sz="0" w:space="0" w:color="auto"/>
      </w:divBdr>
    </w:div>
    <w:div w:id="1267347205">
      <w:bodyDiv w:val="1"/>
      <w:marLeft w:val="0"/>
      <w:marRight w:val="0"/>
      <w:marTop w:val="0"/>
      <w:marBottom w:val="0"/>
      <w:divBdr>
        <w:top w:val="none" w:sz="0" w:space="0" w:color="auto"/>
        <w:left w:val="none" w:sz="0" w:space="0" w:color="auto"/>
        <w:bottom w:val="none" w:sz="0" w:space="0" w:color="auto"/>
        <w:right w:val="none" w:sz="0" w:space="0" w:color="auto"/>
      </w:divBdr>
    </w:div>
    <w:div w:id="1492914549">
      <w:bodyDiv w:val="1"/>
      <w:marLeft w:val="0"/>
      <w:marRight w:val="0"/>
      <w:marTop w:val="0"/>
      <w:marBottom w:val="0"/>
      <w:divBdr>
        <w:top w:val="none" w:sz="0" w:space="0" w:color="auto"/>
        <w:left w:val="none" w:sz="0" w:space="0" w:color="auto"/>
        <w:bottom w:val="none" w:sz="0" w:space="0" w:color="auto"/>
        <w:right w:val="none" w:sz="0" w:space="0" w:color="auto"/>
      </w:divBdr>
    </w:div>
    <w:div w:id="1633250387">
      <w:bodyDiv w:val="1"/>
      <w:marLeft w:val="0"/>
      <w:marRight w:val="0"/>
      <w:marTop w:val="0"/>
      <w:marBottom w:val="0"/>
      <w:divBdr>
        <w:top w:val="none" w:sz="0" w:space="0" w:color="auto"/>
        <w:left w:val="none" w:sz="0" w:space="0" w:color="auto"/>
        <w:bottom w:val="none" w:sz="0" w:space="0" w:color="auto"/>
        <w:right w:val="none" w:sz="0" w:space="0" w:color="auto"/>
      </w:divBdr>
    </w:div>
    <w:div w:id="1686862988">
      <w:bodyDiv w:val="1"/>
      <w:marLeft w:val="0"/>
      <w:marRight w:val="0"/>
      <w:marTop w:val="0"/>
      <w:marBottom w:val="0"/>
      <w:divBdr>
        <w:top w:val="none" w:sz="0" w:space="0" w:color="auto"/>
        <w:left w:val="none" w:sz="0" w:space="0" w:color="auto"/>
        <w:bottom w:val="none" w:sz="0" w:space="0" w:color="auto"/>
        <w:right w:val="none" w:sz="0" w:space="0" w:color="auto"/>
      </w:divBdr>
    </w:div>
    <w:div w:id="1813867957">
      <w:bodyDiv w:val="1"/>
      <w:marLeft w:val="0"/>
      <w:marRight w:val="0"/>
      <w:marTop w:val="0"/>
      <w:marBottom w:val="0"/>
      <w:divBdr>
        <w:top w:val="none" w:sz="0" w:space="0" w:color="auto"/>
        <w:left w:val="none" w:sz="0" w:space="0" w:color="auto"/>
        <w:bottom w:val="none" w:sz="0" w:space="0" w:color="auto"/>
        <w:right w:val="none" w:sz="0" w:space="0" w:color="auto"/>
      </w:divBdr>
    </w:div>
    <w:div w:id="204586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2F5E4-82B7-4F63-9BD9-6AC68DA1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4827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Riedlová Jurková Jana JUDr. (MPSV)</dc:creator>
  <cp:keywords/>
  <dc:description/>
  <cp:lastModifiedBy>Václav Krása</cp:lastModifiedBy>
  <cp:revision>2</cp:revision>
  <cp:lastPrinted>2023-12-06T11:34:00Z</cp:lastPrinted>
  <dcterms:created xsi:type="dcterms:W3CDTF">2023-12-21T08:41:00Z</dcterms:created>
  <dcterms:modified xsi:type="dcterms:W3CDTF">2023-12-21T08:41:00Z</dcterms:modified>
</cp:coreProperties>
</file>