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8"/>
        <w:gridCol w:w="656"/>
        <w:gridCol w:w="1837"/>
        <w:gridCol w:w="8724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06CA022B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Připomínka včetně </w:t>
            </w:r>
            <w:r w:rsidRPr="000F3372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>odůvodnění</w:t>
            </w:r>
            <w:r w:rsidR="0074223C">
              <w:rPr>
                <w:rFonts w:ascii="Liberation Sans" w:eastAsia="Times New Roman" w:hAnsi="Liberation Sans" w:cs="Calibri"/>
                <w:b/>
                <w:bCs/>
                <w:color w:val="000000"/>
                <w:u w:val="single"/>
                <w:lang w:eastAsia="cs-CZ"/>
              </w:rPr>
              <w:t xml:space="preserve"> k návrhu zákona, kterým se mění zákon č. 155/1995 Sb., o důchodovém pojištění – Za NRZP ČR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7C59DB38" w14:textId="43774B99" w:rsidR="00882C07" w:rsidRDefault="00882C07">
            <w:r>
              <w:t>1.</w:t>
            </w:r>
          </w:p>
        </w:tc>
        <w:tc>
          <w:tcPr>
            <w:tcW w:w="1709" w:type="dxa"/>
          </w:tcPr>
          <w:p w14:paraId="1E3BFAF7" w14:textId="01366CE6" w:rsidR="00882C07" w:rsidRDefault="007E3088">
            <w:r>
              <w:t>NRZP ČR</w:t>
            </w:r>
          </w:p>
        </w:tc>
        <w:tc>
          <w:tcPr>
            <w:tcW w:w="571" w:type="dxa"/>
          </w:tcPr>
          <w:p w14:paraId="7E17A6E0" w14:textId="1FFC71BF" w:rsidR="00882C07" w:rsidRDefault="007E3088">
            <w:r>
              <w:t>z</w:t>
            </w:r>
          </w:p>
        </w:tc>
        <w:tc>
          <w:tcPr>
            <w:tcW w:w="1842" w:type="dxa"/>
          </w:tcPr>
          <w:p w14:paraId="6C69D4B6" w14:textId="5B282F9F" w:rsidR="00882C07" w:rsidRDefault="007E3088">
            <w:r>
              <w:t xml:space="preserve">Obecná </w:t>
            </w:r>
          </w:p>
        </w:tc>
        <w:tc>
          <w:tcPr>
            <w:tcW w:w="8803" w:type="dxa"/>
          </w:tcPr>
          <w:p w14:paraId="184C118A" w14:textId="77777777" w:rsidR="00CF1658" w:rsidRDefault="00CF1658" w:rsidP="00CF1658">
            <w:pPr>
              <w:pStyle w:val="Bezmezer"/>
              <w:rPr>
                <w:rFonts w:cs="Arial"/>
                <w:b/>
                <w:color w:val="auto"/>
                <w:szCs w:val="22"/>
                <w:u w:val="single"/>
              </w:rPr>
            </w:pPr>
            <w:r>
              <w:rPr>
                <w:rFonts w:cs="Arial"/>
                <w:b/>
                <w:color w:val="auto"/>
                <w:szCs w:val="22"/>
                <w:u w:val="single"/>
              </w:rPr>
              <w:t>Původní text:</w:t>
            </w:r>
          </w:p>
          <w:p w14:paraId="3949AA2F" w14:textId="77777777" w:rsidR="00CF1658" w:rsidRDefault="00CF1658" w:rsidP="00CF1658">
            <w:pPr>
              <w:pStyle w:val="Bezmezer"/>
              <w:rPr>
                <w:rFonts w:cs="Arial"/>
                <w:b/>
                <w:color w:val="auto"/>
                <w:szCs w:val="22"/>
                <w:u w:val="single"/>
              </w:rPr>
            </w:pPr>
          </w:p>
          <w:p w14:paraId="5A1298C0" w14:textId="77777777" w:rsidR="00CF1658" w:rsidRDefault="00CF1658" w:rsidP="00CF1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Návrh změny</w:t>
            </w:r>
            <w:r>
              <w:rPr>
                <w:rFonts w:ascii="Arial" w:hAnsi="Arial" w:cs="Arial"/>
              </w:rPr>
              <w:t xml:space="preserve">: </w:t>
            </w:r>
          </w:p>
          <w:p w14:paraId="167AE920" w14:textId="77777777" w:rsidR="00CF1658" w:rsidRDefault="00CF1658" w:rsidP="00CF1658">
            <w:pPr>
              <w:jc w:val="both"/>
              <w:rPr>
                <w:rFonts w:ascii="Arial" w:hAnsi="Arial" w:cs="Arial"/>
              </w:rPr>
            </w:pPr>
          </w:p>
          <w:p w14:paraId="244F920C" w14:textId="77777777" w:rsidR="007E3088" w:rsidRDefault="00CF1658" w:rsidP="007E3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Zdůvodnění</w:t>
            </w:r>
            <w:r>
              <w:rPr>
                <w:rFonts w:ascii="Arial" w:hAnsi="Arial" w:cs="Arial"/>
              </w:rPr>
              <w:t xml:space="preserve">: </w:t>
            </w:r>
          </w:p>
          <w:p w14:paraId="6C65E073" w14:textId="62656FE8" w:rsid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Nejedná se o důchodovou reformu, jak je často v médiích návrh novely zákona představován. </w:t>
            </w:r>
            <w:r w:rsidRPr="007E4D1A">
              <w:rPr>
                <w:rFonts w:ascii="Times New Roman" w:hAnsi="Times New Roman" w:cs="Times New Roman"/>
                <w:sz w:val="24"/>
                <w:szCs w:val="24"/>
              </w:rPr>
              <w:t xml:space="preserve">      Návrh zákona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souborem opatření, která</w:t>
            </w:r>
            <w:r w:rsidRPr="007E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mají přinést do</w:t>
            </w:r>
            <w:r w:rsidRPr="007E4D1A">
              <w:rPr>
                <w:rFonts w:ascii="Times New Roman" w:hAnsi="Times New Roman" w:cs="Times New Roman"/>
                <w:sz w:val="24"/>
                <w:szCs w:val="24"/>
              </w:rPr>
              <w:t xml:space="preserve"> důchodového pojištění zásadní parametrické úpravy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je uvedeno v důvodové zprávě, </w:t>
            </w:r>
            <w:r w:rsidRPr="007E4D1A">
              <w:rPr>
                <w:rFonts w:ascii="Times New Roman" w:hAnsi="Times New Roman" w:cs="Times New Roman"/>
                <w:sz w:val="24"/>
                <w:szCs w:val="24"/>
              </w:rPr>
              <w:t>jejich účelem je posílení finanční a sociální udržitelnosti základního důchodového pojištění.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Jedná se vesměs o úsporná opatření restriktivního charakteru, které se nepříjemně dotknou všech budoucích žadatelů o starobní a invalidní důchody. Domníváme se, že restriktivní opatření nemohou sami o sobě zajistit udržitelnost důchodového systému. Je nezbytné, aby vláda výrazně podpořila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pronatalitní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politiku. Jedinou skutečnou změnou, která zajistí udržitelnost důchodového pojištění je, že bude více dětí, budoucích plátců do systému. Vláda i MPSV ČR by měly vzít v úvahu, že rodiny s dětmi platí stejné důchodové pojištění, jako jednotlivci a páry, které nemají děti. Výdaje na výchovu jednoho dítěte do 18 let se pohybují v řádu milionů a toto dítě bude poté novým plátcem do systému. U rodin s více dětmi, je tento nepoměr mezi výdaji u párů s dětmi oproti bezdětným jednotlivcům či párům mnohamilionový, bez zachování či zvýšení počtu budoucích plátců.   </w:t>
            </w:r>
          </w:p>
          <w:p w14:paraId="044E2F45" w14:textId="77777777" w:rsidR="00CF1658" w:rsidRDefault="00CF1658" w:rsidP="00CF1658">
            <w:pPr>
              <w:jc w:val="both"/>
              <w:rPr>
                <w:rFonts w:ascii="Arial" w:hAnsi="Arial" w:cs="Arial"/>
              </w:rPr>
            </w:pPr>
          </w:p>
          <w:p w14:paraId="33123557" w14:textId="77777777" w:rsidR="00882C07" w:rsidRDefault="00882C07"/>
        </w:tc>
      </w:tr>
      <w:tr w:rsidR="00882C07" w14:paraId="5C4F31D1" w14:textId="77777777" w:rsidTr="00882C07">
        <w:tc>
          <w:tcPr>
            <w:tcW w:w="1402" w:type="dxa"/>
          </w:tcPr>
          <w:p w14:paraId="603C7FBD" w14:textId="3868E4C0" w:rsidR="00882C07" w:rsidRDefault="007E3088">
            <w:r>
              <w:t xml:space="preserve">2. </w:t>
            </w:r>
          </w:p>
        </w:tc>
        <w:tc>
          <w:tcPr>
            <w:tcW w:w="1709" w:type="dxa"/>
          </w:tcPr>
          <w:p w14:paraId="0BFD7052" w14:textId="161E09BC" w:rsidR="00882C07" w:rsidRDefault="007E3088">
            <w:r>
              <w:t>NRZP ČR</w:t>
            </w:r>
          </w:p>
        </w:tc>
        <w:tc>
          <w:tcPr>
            <w:tcW w:w="571" w:type="dxa"/>
          </w:tcPr>
          <w:p w14:paraId="14CABA88" w14:textId="1968346F" w:rsidR="00882C07" w:rsidRDefault="007E3088">
            <w:r>
              <w:t>Z</w:t>
            </w:r>
          </w:p>
        </w:tc>
        <w:tc>
          <w:tcPr>
            <w:tcW w:w="1842" w:type="dxa"/>
          </w:tcPr>
          <w:p w14:paraId="4062A47C" w14:textId="1488395F" w:rsidR="00882C07" w:rsidRDefault="007E3088">
            <w:r>
              <w:t>K bodům 2 až 4.</w:t>
            </w:r>
          </w:p>
        </w:tc>
        <w:tc>
          <w:tcPr>
            <w:tcW w:w="8803" w:type="dxa"/>
          </w:tcPr>
          <w:p w14:paraId="49741B8A" w14:textId="600C2A9A" w:rsidR="007E3088" w:rsidRP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3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Návrh změny:</w:t>
            </w:r>
          </w:p>
          <w:p w14:paraId="54991BE5" w14:textId="1BA2A3D6" w:rsid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Varianta I. Navrhujeme body 2) až 4) vypustit.</w:t>
            </w:r>
          </w:p>
          <w:p w14:paraId="10CFF28A" w14:textId="352E6817" w:rsid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Varianta II. Navrhujeme v novém odst. 3), písm. a), § 15 vložit na konec novou větu tohoto znění: </w:t>
            </w:r>
            <w:r w:rsidRPr="001A0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„To neplatí pro invalidní důchody vypočítávané dle § 41 a § 42, u kterých se do částky první redukční hranice počítá 100 %.“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05C097B" w14:textId="75E48654" w:rsid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2BC4" w14:textId="27AB39C9" w:rsidR="007E3088" w:rsidRDefault="007E3088" w:rsidP="007E3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3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Zdůvodnění:</w:t>
            </w:r>
          </w:p>
          <w:p w14:paraId="6C1C70C3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Obecně nesouhlasíme s postupnou redukcí hranice při výpočtu osobního vyměřovacího základu. Nejvíce postiženou skupinou budou lidé, kteří mají nižší příjmy ze svojí ekonomické činnosti a nejsou objektivně schopni si našetřit dostatečné zdroje na stáří. </w:t>
            </w:r>
          </w:p>
          <w:p w14:paraId="1A1ECFB8" w14:textId="77777777" w:rsidR="00FA0576" w:rsidRPr="004F5037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Tato změna se, 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našeho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názoru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dotkne 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nejvíce lidí, kterým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byl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přiznán invalidní důchod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invaliditu z mládí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nebo invalidní důchod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lidí 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mlad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ších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ročníků, kteří nejsou schopni dlouhodobé ekonomické činnosti. 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>Tyto osoby zcela jistě nebudou mít naspořen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žádné částky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například 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 doplňkovém penzijním spoření a lze pochybovat o tom, že by byly pojištěné pro případ invalidity.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Připomínáme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že invalidní důchod z mládí se přiznává osobám, u kterých vznikla invalidita před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>okem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často se jedná o zdravotní stav od narození.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Jen výjimečně jsou tyto osoby schopné dlouhodobé ekonomické aktivity.</w:t>
            </w:r>
          </w:p>
          <w:p w14:paraId="2B138875" w14:textId="77777777" w:rsidR="00FA0576" w:rsidRDefault="00FA0576" w:rsidP="00FA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>U invalidních důchodů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přiznaných 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>mlad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ším osobám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nelze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také předpokládat, že by měly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vysoké částky naspořené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příklad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doplňkovém penzijním spoření. Pravděpodobnost pojištění pro případ vzniku invalidity je u těchto osob vyšší, ale ani tady není nijak vysoká.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141E">
              <w:rPr>
                <w:rFonts w:ascii="Times New Roman" w:eastAsia="Calibri" w:hAnsi="Times New Roman" w:cs="Times New Roman"/>
                <w:sz w:val="24"/>
                <w:szCs w:val="24"/>
              </w:rPr>
              <w:t>Jinými slovy tyto osoby jsou často výhradně závislé na příjmech z invalidního důchodu.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 nezbytné dodat, že tyto osoby žijí s nižšími příjmy mnoho desetiletí, a tudíž snižování výpočtového základu je nepřijatelné.</w:t>
            </w:r>
          </w:p>
          <w:p w14:paraId="2766B657" w14:textId="77777777" w:rsidR="00FA0576" w:rsidRPr="00CF141E" w:rsidRDefault="00FA0576" w:rsidP="00FA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DE62C" w14:textId="77777777" w:rsidR="00FA0576" w:rsidRPr="000A623F" w:rsidRDefault="00FA0576" w:rsidP="00FA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3F">
              <w:rPr>
                <w:rFonts w:ascii="Times New Roman" w:eastAsia="Calibri" w:hAnsi="Times New Roman" w:cs="Times New Roman"/>
                <w:sz w:val="24"/>
                <w:szCs w:val="24"/>
              </w:rPr>
              <w:t>Modelový výpočet</w:t>
            </w:r>
          </w:p>
          <w:p w14:paraId="5523F329" w14:textId="77777777" w:rsidR="00FA0576" w:rsidRPr="000A623F" w:rsidRDefault="00FA0576" w:rsidP="00FA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23F">
              <w:rPr>
                <w:rFonts w:ascii="Times New Roman" w:eastAsia="Calibri" w:hAnsi="Times New Roman" w:cs="Times New Roman"/>
                <w:sz w:val="24"/>
                <w:szCs w:val="24"/>
              </w:rPr>
              <w:t>Současná úprava</w:t>
            </w:r>
          </w:p>
          <w:p w14:paraId="5F34492E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Všeobecný vyměřovací základ pro rok 2021 je 38294 Kč / měsíc.</w:t>
            </w:r>
          </w:p>
          <w:p w14:paraId="73E84904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Přepočítací koeficient je pro rok 2021 1.0530.</w:t>
            </w:r>
          </w:p>
          <w:p w14:paraId="31462074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38294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1,0530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40323,582</w:t>
            </w:r>
          </w:p>
          <w:p w14:paraId="6A57E1AC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Redukční hranice pro rok 2023 je 17743. Tato částka se tedy započte celá.</w:t>
            </w:r>
          </w:p>
          <w:p w14:paraId="48797407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Redukční hranice je 161296. Tam je zahrnuta částka 40323,582 -17743 =22580,582, ze které se započte 26 %, tj. 5870,8</w:t>
            </w:r>
          </w:p>
          <w:p w14:paraId="766503A3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Výpočtový základ tedy bude 23613,8. Pro výpočet invalidního důchodu z mládí je procentní výměra ve výši 45 % výpočtového základu, tj. 10626,21.</w:t>
            </w:r>
          </w:p>
          <w:p w14:paraId="1C496EEA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0D3A9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7E">
              <w:rPr>
                <w:rFonts w:ascii="Times New Roman" w:hAnsi="Times New Roman" w:cs="Times New Roman"/>
                <w:sz w:val="24"/>
                <w:szCs w:val="24"/>
              </w:rPr>
              <w:t>Navrhovaná úprava</w:t>
            </w:r>
          </w:p>
          <w:p w14:paraId="1434CD45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Vycházím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hned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 konečného stavu, tedy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 xml:space="preserve"> že z částky do první redukční hranice se započte 90 %, tj. 15968,7</w:t>
            </w:r>
          </w:p>
          <w:p w14:paraId="48B37F7F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Změny se netýkají druhé redukční hranice, tj. zde se pracuje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e stejnou částkou jako za stávající úpravy.</w:t>
            </w:r>
          </w:p>
          <w:p w14:paraId="292F0427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Výpočtový základ bude tedy 21839,5.</w:t>
            </w:r>
          </w:p>
          <w:p w14:paraId="0BBF1DEB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1E">
              <w:rPr>
                <w:rFonts w:ascii="Times New Roman" w:hAnsi="Times New Roman" w:cs="Times New Roman"/>
                <w:sz w:val="24"/>
                <w:szCs w:val="24"/>
              </w:rPr>
              <w:t>Výše procentní výměry bude stejně 45 % výpočtového základu, tj. 9827,775</w:t>
            </w:r>
          </w:p>
          <w:p w14:paraId="3DEB7A5E" w14:textId="77777777" w:rsidR="00FA0576" w:rsidRPr="00CF141E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znamená, že dojde k výraznému poklesu výše invalidního důchodu. Samozřejmě, že není známa výše průměrné mzdy v roce 2035, ale také neznáme míru inflace a tím životní úroveň.  </w:t>
            </w:r>
          </w:p>
          <w:p w14:paraId="0DC23242" w14:textId="77777777" w:rsidR="00FA0576" w:rsidRPr="00B5401E" w:rsidRDefault="00FA0576" w:rsidP="00FA0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0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Tím, že se navrhovaná úprava vztahuje i na invalidní důchody, a to zejména na invalidní důchody počítané dle § 42, dochází tím k porušení čl. 28 Úmluvy o právech osob se zdravotním postižením. Tento článek státům, které Úmluvu ratifikovaly, což je i Česká republika, ukládá, aby takovým osobám zajistily přiměřenou životní úroveň. Tímto opatřením však dojde přesně k opačnému jevu.</w:t>
            </w:r>
          </w:p>
          <w:p w14:paraId="6ED4931B" w14:textId="77777777" w:rsidR="00FA0576" w:rsidRPr="007E3088" w:rsidRDefault="00FA0576" w:rsidP="007E30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34D01EA" w14:textId="77777777" w:rsidR="00882C07" w:rsidRDefault="00882C07"/>
        </w:tc>
      </w:tr>
      <w:tr w:rsidR="00882C07" w14:paraId="7FD9AF06" w14:textId="77777777" w:rsidTr="00882C07">
        <w:tc>
          <w:tcPr>
            <w:tcW w:w="1402" w:type="dxa"/>
          </w:tcPr>
          <w:p w14:paraId="65370786" w14:textId="4512487B" w:rsidR="00882C07" w:rsidRDefault="00FA0576">
            <w:r>
              <w:lastRenderedPageBreak/>
              <w:t>3.</w:t>
            </w:r>
          </w:p>
        </w:tc>
        <w:tc>
          <w:tcPr>
            <w:tcW w:w="1709" w:type="dxa"/>
          </w:tcPr>
          <w:p w14:paraId="0B288F67" w14:textId="768CC987" w:rsidR="00882C07" w:rsidRDefault="00FA0576">
            <w:r>
              <w:t>NRZP ČR</w:t>
            </w:r>
          </w:p>
        </w:tc>
        <w:tc>
          <w:tcPr>
            <w:tcW w:w="571" w:type="dxa"/>
          </w:tcPr>
          <w:p w14:paraId="2E120F3A" w14:textId="121C2C3E" w:rsidR="00882C07" w:rsidRDefault="00FA0576">
            <w:r>
              <w:t>z</w:t>
            </w:r>
          </w:p>
        </w:tc>
        <w:tc>
          <w:tcPr>
            <w:tcW w:w="1842" w:type="dxa"/>
          </w:tcPr>
          <w:p w14:paraId="05DEEF61" w14:textId="206308BE" w:rsidR="00882C07" w:rsidRDefault="00FA0576">
            <w:r>
              <w:t>K BODU 10.</w:t>
            </w:r>
          </w:p>
        </w:tc>
        <w:tc>
          <w:tcPr>
            <w:tcW w:w="8803" w:type="dxa"/>
          </w:tcPr>
          <w:p w14:paraId="6BBD4C3B" w14:textId="77777777" w:rsidR="00882C07" w:rsidRDefault="00FA0576">
            <w:pPr>
              <w:rPr>
                <w:u w:val="single"/>
              </w:rPr>
            </w:pPr>
            <w:r w:rsidRPr="00FA0576">
              <w:rPr>
                <w:u w:val="single"/>
              </w:rPr>
              <w:t>Návrh změny:</w:t>
            </w:r>
          </w:p>
          <w:p w14:paraId="39F7E5C7" w14:textId="77777777" w:rsidR="00FA0576" w:rsidRDefault="00FA0576">
            <w:pPr>
              <w:rPr>
                <w:u w:val="single"/>
              </w:rPr>
            </w:pPr>
          </w:p>
          <w:p w14:paraId="7636CD9E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sz w:val="24"/>
                <w:szCs w:val="24"/>
              </w:rPr>
              <w:t>Žádáme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úpravu znění § 18a odst. 4 tak, aby bylo možné uzavřít společný </w:t>
            </w:r>
            <w:r w:rsidRPr="001A0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vyměřovací základ manželů i při stanovení invalidního důchodu.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stupně.</w:t>
            </w:r>
          </w:p>
          <w:p w14:paraId="2398A747" w14:textId="77777777" w:rsidR="00FA0576" w:rsidRDefault="00FA0576">
            <w:pPr>
              <w:rPr>
                <w:u w:val="single"/>
              </w:rPr>
            </w:pPr>
          </w:p>
          <w:p w14:paraId="468A406C" w14:textId="77777777" w:rsidR="00FA0576" w:rsidRDefault="00FA0576">
            <w:pPr>
              <w:rPr>
                <w:u w:val="single"/>
              </w:rPr>
            </w:pPr>
            <w:r>
              <w:rPr>
                <w:u w:val="single"/>
              </w:rPr>
              <w:t>Odůvodnění:</w:t>
            </w:r>
          </w:p>
          <w:p w14:paraId="763D00E7" w14:textId="77777777" w:rsidR="00FA0576" w:rsidRDefault="00FA0576">
            <w:pPr>
              <w:rPr>
                <w:u w:val="single"/>
              </w:rPr>
            </w:pPr>
          </w:p>
          <w:p w14:paraId="425EC0A3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1">
              <w:rPr>
                <w:rFonts w:ascii="Times New Roman" w:hAnsi="Times New Roman" w:cs="Times New Roman"/>
                <w:sz w:val="24"/>
                <w:szCs w:val="24"/>
              </w:rPr>
              <w:t xml:space="preserve">Dle navrhovaného znění § 18a odst. 4 nepůjde uzavřít dohodu o sdílení vyměřovacích základů s poživatelem invalidního důchodu. Pokud taková dohoda bude uzavřena a v průběhu let se jeden </w:t>
            </w:r>
            <w:proofErr w:type="gramStart"/>
            <w:r w:rsidRPr="00C872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C872F1">
              <w:rPr>
                <w:rFonts w:ascii="Times New Roman" w:hAnsi="Times New Roman" w:cs="Times New Roman"/>
                <w:sz w:val="24"/>
                <w:szCs w:val="24"/>
              </w:rPr>
              <w:t> manželů stane poživatelem invalidního důchodu, dohoda na období pobírání invalidního důchodu pozbývá platnosti.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Ustanovení považujeme za diskriminační.</w:t>
            </w:r>
          </w:p>
          <w:p w14:paraId="4810F406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Jestliže poživatel invalidního důchodu pracuje, získává pravidelně roční osobní vyměřovací základy pro výpočet starobního důchodu, není žádný důvod, proč by neměl mít možnost využít možnosti sdíleného vyměřovacího základu manželů.</w:t>
            </w:r>
          </w:p>
          <w:p w14:paraId="5491FE68" w14:textId="40D63F09" w:rsidR="00FA0576" w:rsidRPr="00FA0576" w:rsidRDefault="00FA0576">
            <w:pPr>
              <w:rPr>
                <w:u w:val="single"/>
              </w:rPr>
            </w:pPr>
          </w:p>
        </w:tc>
      </w:tr>
      <w:tr w:rsidR="00882C07" w14:paraId="596475CA" w14:textId="77777777" w:rsidTr="00882C07">
        <w:tc>
          <w:tcPr>
            <w:tcW w:w="1402" w:type="dxa"/>
          </w:tcPr>
          <w:p w14:paraId="5D1C71D0" w14:textId="1CFD5CA4" w:rsidR="00882C07" w:rsidRDefault="00FA0576">
            <w:r>
              <w:t>4.</w:t>
            </w:r>
          </w:p>
        </w:tc>
        <w:tc>
          <w:tcPr>
            <w:tcW w:w="1709" w:type="dxa"/>
          </w:tcPr>
          <w:p w14:paraId="2747237D" w14:textId="1CA435C3" w:rsidR="00882C07" w:rsidRDefault="00FA0576">
            <w:r>
              <w:t>NRZP ČR</w:t>
            </w:r>
          </w:p>
        </w:tc>
        <w:tc>
          <w:tcPr>
            <w:tcW w:w="571" w:type="dxa"/>
          </w:tcPr>
          <w:p w14:paraId="6F292D9A" w14:textId="62AF2A04" w:rsidR="00882C07" w:rsidRDefault="00FA0576">
            <w:r>
              <w:t>Z</w:t>
            </w:r>
          </w:p>
        </w:tc>
        <w:tc>
          <w:tcPr>
            <w:tcW w:w="1842" w:type="dxa"/>
          </w:tcPr>
          <w:p w14:paraId="19C759D2" w14:textId="0275FC16" w:rsidR="00882C07" w:rsidRDefault="00FA0576">
            <w:r>
              <w:t>K bodu 18.</w:t>
            </w:r>
          </w:p>
        </w:tc>
        <w:tc>
          <w:tcPr>
            <w:tcW w:w="8803" w:type="dxa"/>
          </w:tcPr>
          <w:p w14:paraId="6EE2BFC0" w14:textId="77777777" w:rsidR="00882C07" w:rsidRPr="00FA0576" w:rsidRDefault="00FA0576">
            <w:pPr>
              <w:rPr>
                <w:u w:val="single"/>
              </w:rPr>
            </w:pPr>
            <w:r w:rsidRPr="00FA0576">
              <w:rPr>
                <w:u w:val="single"/>
              </w:rPr>
              <w:t>Návrh změny:</w:t>
            </w:r>
          </w:p>
          <w:p w14:paraId="2540B382" w14:textId="77777777" w:rsidR="00FA0576" w:rsidRDefault="00FA0576"/>
          <w:p w14:paraId="5119DDFD" w14:textId="5FC367E2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 18 a další ustanovení, která na něj navazují se vypouští.</w:t>
            </w:r>
          </w:p>
          <w:p w14:paraId="66753406" w14:textId="77777777" w:rsidR="00FA0576" w:rsidRP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6CA4" w14:textId="455818B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FA05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důvodnění:</w:t>
            </w:r>
          </w:p>
          <w:p w14:paraId="34A8721C" w14:textId="3D2E7C3B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B43E7D" w14:textId="77777777" w:rsid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NRZP ČR se shoduje se stanovisky, které poukazují na skutečnost, že nelze neustále prodlužovat věk odchodu do starobního důchodu, protože populace ve věku nad 65 let není v takovém zdravotním stavu, aby byla schopna podat potřebný pracovní výkon i v dalších letech.  </w:t>
            </w:r>
          </w:p>
          <w:p w14:paraId="3B60B807" w14:textId="77777777" w:rsidR="00FA0576" w:rsidRPr="00FA0576" w:rsidRDefault="00FA0576" w:rsidP="00FA05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CD7DEC" w14:textId="2B576500" w:rsidR="00FA0576" w:rsidRDefault="00FA0576" w:rsidP="00FA0576"/>
        </w:tc>
      </w:tr>
      <w:tr w:rsidR="00882C07" w14:paraId="38CD2EE3" w14:textId="77777777" w:rsidTr="00882C07">
        <w:tc>
          <w:tcPr>
            <w:tcW w:w="1402" w:type="dxa"/>
          </w:tcPr>
          <w:p w14:paraId="7E07A2EA" w14:textId="384B67C6" w:rsidR="00882C07" w:rsidRDefault="00FA0576">
            <w:r>
              <w:lastRenderedPageBreak/>
              <w:t>5.</w:t>
            </w:r>
          </w:p>
        </w:tc>
        <w:tc>
          <w:tcPr>
            <w:tcW w:w="1709" w:type="dxa"/>
          </w:tcPr>
          <w:p w14:paraId="0601F7BA" w14:textId="696A79B5" w:rsidR="00882C07" w:rsidRDefault="00FA0576">
            <w:r>
              <w:t>NRZP ČR</w:t>
            </w:r>
          </w:p>
        </w:tc>
        <w:tc>
          <w:tcPr>
            <w:tcW w:w="571" w:type="dxa"/>
          </w:tcPr>
          <w:p w14:paraId="148952D8" w14:textId="2F7D9D4C" w:rsidR="00882C07" w:rsidRDefault="00FA0576">
            <w:r>
              <w:t xml:space="preserve">Z           </w:t>
            </w:r>
          </w:p>
        </w:tc>
        <w:tc>
          <w:tcPr>
            <w:tcW w:w="1842" w:type="dxa"/>
          </w:tcPr>
          <w:p w14:paraId="733BEBC0" w14:textId="0303B479" w:rsidR="00882C07" w:rsidRDefault="00FA0576">
            <w:r>
              <w:t>K bodu 20</w:t>
            </w:r>
          </w:p>
        </w:tc>
        <w:tc>
          <w:tcPr>
            <w:tcW w:w="8803" w:type="dxa"/>
          </w:tcPr>
          <w:p w14:paraId="61A7D1D8" w14:textId="77777777" w:rsidR="00882C07" w:rsidRPr="006A1DDC" w:rsidRDefault="006A1D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Návrh změny:</w:t>
            </w:r>
          </w:p>
          <w:p w14:paraId="324D94B7" w14:textId="77777777" w:rsidR="006A1DDC" w:rsidRDefault="006A1DDC"/>
          <w:p w14:paraId="09A24B9B" w14:textId="77777777" w:rsidR="006A1DDC" w:rsidRPr="00032B26" w:rsidRDefault="006A1DDC" w:rsidP="006A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>Varianta I. Navrhujeme bod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>) vypustit.</w:t>
            </w:r>
          </w:p>
          <w:p w14:paraId="323B2153" w14:textId="77777777" w:rsidR="006A1DDC" w:rsidRPr="00A877C9" w:rsidRDefault="006A1DDC" w:rsidP="006A1D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>Varianta II. Navrhujeme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novém znění</w:t>
            </w: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 xml:space="preserve"> odst.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32B26">
              <w:rPr>
                <w:rFonts w:ascii="Times New Roman" w:hAnsi="Times New Roman" w:cs="Times New Roman"/>
                <w:sz w:val="24"/>
                <w:szCs w:val="24"/>
              </w:rPr>
              <w:t xml:space="preserve"> vložit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konec odstavce následující větu: </w:t>
            </w:r>
            <w:r w:rsidRPr="00A87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„V případě výpočtu invalidního důchodu dle § 41 se vždy postupuje dle písm. a).“ </w:t>
            </w:r>
          </w:p>
          <w:p w14:paraId="68AEEEBD" w14:textId="77777777" w:rsidR="006A1DDC" w:rsidRDefault="006A1DDC"/>
          <w:p w14:paraId="7B7B921C" w14:textId="77777777" w:rsidR="006A1DDC" w:rsidRDefault="006A1D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Odůvodnění‘:</w:t>
            </w:r>
          </w:p>
          <w:p w14:paraId="18235CD1" w14:textId="77777777" w:rsidR="006A1DDC" w:rsidRDefault="006A1D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0E69F8" w14:textId="77777777" w:rsidR="006A1DDC" w:rsidRDefault="006A1DDC" w:rsidP="006A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09">
              <w:rPr>
                <w:rFonts w:ascii="Times New Roman" w:hAnsi="Times New Roman" w:cs="Times New Roman"/>
                <w:sz w:val="24"/>
                <w:szCs w:val="24"/>
              </w:rPr>
              <w:t xml:space="preserve">Obecně nesouhlasíme s postupnou redukcí procentní výměry starobního důchodu a invalidního důchodu, </w:t>
            </w:r>
            <w:r w:rsidRPr="00807509">
              <w:rPr>
                <w:rFonts w:eastAsia="Arial"/>
                <w:sz w:val="24"/>
              </w:rPr>
              <w:t>na který vznikl nárok podle § 29 odst. 1 až 3, činí za každý celý rok doby pojištění získané do vzniku nároku na tento důchod.</w:t>
            </w:r>
            <w:r w:rsidRPr="00807509">
              <w:rPr>
                <w:rFonts w:ascii="Times New Roman" w:hAnsi="Times New Roman" w:cs="Times New Roman"/>
                <w:sz w:val="24"/>
                <w:szCs w:val="24"/>
              </w:rPr>
              <w:t xml:space="preserve"> Nejvíce postiženou skupinou budou lidé, kteří mají nižší příjmy ze svojí ekonomické činnosti a nejsou objektivně schopni si našetřit dostatečné zdroje na stáří. </w:t>
            </w:r>
          </w:p>
          <w:p w14:paraId="31041FCB" w14:textId="77777777" w:rsidR="006A1DDC" w:rsidRPr="00807509" w:rsidRDefault="006A1DDC" w:rsidP="006A1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509">
              <w:rPr>
                <w:rFonts w:ascii="Times New Roman" w:eastAsia="Calibri" w:hAnsi="Times New Roman" w:cs="Times New Roman"/>
                <w:sz w:val="24"/>
                <w:szCs w:val="24"/>
              </w:rPr>
              <w:t>U invalidních důchodů přiznaných mladším osobám nelze také předpokládat, že by měly vysoké částky naspořené například doplňkovém penzijním spoření. Pravděpodobnost pojištění pro případ vzniku invalidity je u těchto osob vyšší, ale ani tady není nijak vysoká. Jinými slovy tyto osoby jsou často výhradně závislé na příjmech z invalidního důchodu. Je nezbytné dodat, že tyto osoby žijí s nižšími příjmy mnoho desetiletí, a tudíž snižování výpočtového základu je nepřijatelné.</w:t>
            </w:r>
          </w:p>
          <w:p w14:paraId="5CD0294C" w14:textId="4EA12C0A" w:rsidR="006A1DDC" w:rsidRPr="006A1DDC" w:rsidRDefault="006A1D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</w:tbl>
    <w:p w14:paraId="3FFB884B" w14:textId="2B6502D6" w:rsidR="00DD795B" w:rsidRDefault="00DD795B"/>
    <w:p w14:paraId="5D2A9937" w14:textId="3F54F5CA" w:rsidR="00182BAE" w:rsidRDefault="006A1D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 NRZP ČR: Mgr. Václav Krása</w:t>
      </w:r>
    </w:p>
    <w:p w14:paraId="396616EE" w14:textId="0C924178" w:rsidR="006A1DDC" w:rsidRPr="006A1DDC" w:rsidRDefault="006A1D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Předseda NRZP ČR</w:t>
      </w:r>
    </w:p>
    <w:sectPr w:rsidR="006A1DDC" w:rsidRPr="006A1DDC" w:rsidSect="00882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7"/>
    <w:rsid w:val="000F3372"/>
    <w:rsid w:val="00182BAE"/>
    <w:rsid w:val="006A1DDC"/>
    <w:rsid w:val="0074223C"/>
    <w:rsid w:val="007E3088"/>
    <w:rsid w:val="00882C07"/>
    <w:rsid w:val="00CF1658"/>
    <w:rsid w:val="00DD795B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  <w15:chartTrackingRefBased/>
  <w15:docId w15:val="{58F77AF5-02CE-409C-977D-84D070E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BFC2-B86E-43DA-B1BD-3675D90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2</cp:revision>
  <dcterms:created xsi:type="dcterms:W3CDTF">2023-12-05T13:11:00Z</dcterms:created>
  <dcterms:modified xsi:type="dcterms:W3CDTF">2023-12-05T13:11:00Z</dcterms:modified>
</cp:coreProperties>
</file>