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6602" w14:textId="20B1AC8B" w:rsidR="00E61343" w:rsidRPr="00E61343" w:rsidRDefault="00E61343" w:rsidP="00E61343">
      <w:pPr>
        <w:jc w:val="right"/>
        <w:rPr>
          <w:rFonts w:ascii="Arial" w:hAnsi="Arial" w:cs="Arial"/>
        </w:rPr>
      </w:pPr>
      <w:r w:rsidRPr="00E61343">
        <w:rPr>
          <w:rFonts w:ascii="Arial" w:hAnsi="Arial" w:cs="Arial"/>
        </w:rPr>
        <w:t>3.</w:t>
      </w:r>
    </w:p>
    <w:p w14:paraId="01C224E6" w14:textId="77777777" w:rsidR="00E61343" w:rsidRDefault="00E61343"/>
    <w:tbl>
      <w:tblPr>
        <w:tblW w:w="10065" w:type="dxa"/>
        <w:tblLook w:val="01E0" w:firstRow="1" w:lastRow="1" w:firstColumn="1" w:lastColumn="1" w:noHBand="0" w:noVBand="0"/>
      </w:tblPr>
      <w:tblGrid>
        <w:gridCol w:w="1564"/>
        <w:gridCol w:w="3315"/>
        <w:gridCol w:w="1244"/>
        <w:gridCol w:w="3942"/>
      </w:tblGrid>
      <w:tr w:rsidR="00C11C55" w:rsidRPr="00C3033E" w14:paraId="64074DDB" w14:textId="77777777" w:rsidTr="00B15E45">
        <w:tc>
          <w:tcPr>
            <w:tcW w:w="1564" w:type="dxa"/>
            <w:hideMark/>
          </w:tcPr>
          <w:p w14:paraId="4F2E0760" w14:textId="77777777" w:rsidR="00C11C55" w:rsidRPr="00C3033E" w:rsidRDefault="00C11C55" w:rsidP="00C3033E">
            <w:pPr>
              <w:rPr>
                <w:rFonts w:ascii="Arial" w:hAnsi="Arial" w:cs="Arial"/>
                <w:b/>
                <w:bCs/>
                <w:lang w:eastAsia="en-US"/>
              </w:rPr>
            </w:pPr>
            <w:r w:rsidRPr="00C3033E">
              <w:rPr>
                <w:rFonts w:ascii="Arial" w:hAnsi="Arial" w:cs="Arial"/>
                <w:b/>
                <w:bCs/>
                <w:lang w:eastAsia="en-US"/>
              </w:rPr>
              <w:t>Gestor:</w:t>
            </w:r>
          </w:p>
        </w:tc>
        <w:tc>
          <w:tcPr>
            <w:tcW w:w="3315" w:type="dxa"/>
          </w:tcPr>
          <w:p w14:paraId="33DDD102" w14:textId="4E943153" w:rsidR="00C11C55" w:rsidRPr="00C3033E" w:rsidRDefault="00C11C55" w:rsidP="00C3033E">
            <w:pPr>
              <w:rPr>
                <w:rFonts w:ascii="Arial" w:hAnsi="Arial" w:cs="Arial"/>
                <w:iCs/>
                <w:lang w:eastAsia="en-US"/>
              </w:rPr>
            </w:pPr>
            <w:r w:rsidRPr="00C3033E">
              <w:rPr>
                <w:rFonts w:ascii="Arial" w:hAnsi="Arial" w:cs="Arial"/>
                <w:iCs/>
                <w:lang w:eastAsia="en-US"/>
              </w:rPr>
              <w:t>Ministerstvo práce a</w:t>
            </w:r>
            <w:r w:rsidR="000D04AE" w:rsidRPr="00C3033E">
              <w:rPr>
                <w:rFonts w:ascii="Arial" w:hAnsi="Arial" w:cs="Arial"/>
                <w:iCs/>
                <w:lang w:eastAsia="en-US"/>
              </w:rPr>
              <w:t> </w:t>
            </w:r>
            <w:r w:rsidRPr="00C3033E">
              <w:rPr>
                <w:rFonts w:ascii="Arial" w:hAnsi="Arial" w:cs="Arial"/>
                <w:iCs/>
                <w:lang w:eastAsia="en-US"/>
              </w:rPr>
              <w:t>sociálních věcí (</w:t>
            </w:r>
            <w:r w:rsidRPr="00C3033E">
              <w:rPr>
                <w:rFonts w:ascii="Arial" w:hAnsi="Arial" w:cs="Arial"/>
                <w:iCs/>
              </w:rPr>
              <w:t>O</w:t>
            </w:r>
            <w:r w:rsidRPr="00C3033E">
              <w:rPr>
                <w:rFonts w:ascii="Arial" w:hAnsi="Arial" w:cs="Arial"/>
              </w:rPr>
              <w:t>dbor nepojistných sociálních a</w:t>
            </w:r>
            <w:r w:rsidR="000D04AE" w:rsidRPr="00C3033E">
              <w:rPr>
                <w:rFonts w:ascii="Arial" w:hAnsi="Arial" w:cs="Arial"/>
              </w:rPr>
              <w:t> </w:t>
            </w:r>
            <w:r w:rsidRPr="00C3033E">
              <w:rPr>
                <w:rFonts w:ascii="Arial" w:hAnsi="Arial" w:cs="Arial"/>
              </w:rPr>
              <w:t>rodinných dávek</w:t>
            </w:r>
            <w:r w:rsidRPr="00C3033E">
              <w:rPr>
                <w:rFonts w:ascii="Arial" w:hAnsi="Arial" w:cs="Arial"/>
                <w:iCs/>
                <w:lang w:eastAsia="en-US"/>
              </w:rPr>
              <w:t>)</w:t>
            </w:r>
          </w:p>
          <w:p w14:paraId="5FA7F91D" w14:textId="77777777" w:rsidR="00C11C55" w:rsidRPr="00C3033E" w:rsidRDefault="00C11C55" w:rsidP="00C3033E">
            <w:pPr>
              <w:rPr>
                <w:rFonts w:ascii="Arial" w:hAnsi="Arial" w:cs="Arial"/>
                <w:iCs/>
                <w:lang w:eastAsia="en-US"/>
              </w:rPr>
            </w:pPr>
          </w:p>
        </w:tc>
        <w:tc>
          <w:tcPr>
            <w:tcW w:w="1244" w:type="dxa"/>
            <w:hideMark/>
          </w:tcPr>
          <w:p w14:paraId="4A0CC100" w14:textId="69E125FA" w:rsidR="00C11C55" w:rsidRPr="00C3033E" w:rsidRDefault="00C11C55" w:rsidP="00C3033E">
            <w:pPr>
              <w:rPr>
                <w:rFonts w:ascii="Arial" w:hAnsi="Arial" w:cs="Arial"/>
                <w:lang w:eastAsia="en-US"/>
              </w:rPr>
            </w:pPr>
            <w:r w:rsidRPr="00C3033E">
              <w:rPr>
                <w:rFonts w:ascii="Arial" w:hAnsi="Arial" w:cs="Arial"/>
                <w:b/>
                <w:bCs/>
                <w:lang w:eastAsia="en-US"/>
              </w:rPr>
              <w:t>Schválil</w:t>
            </w:r>
            <w:r w:rsidRPr="00C3033E">
              <w:rPr>
                <w:rFonts w:ascii="Arial" w:hAnsi="Arial" w:cs="Arial"/>
                <w:lang w:eastAsia="en-US"/>
              </w:rPr>
              <w:t>:</w:t>
            </w:r>
          </w:p>
        </w:tc>
        <w:tc>
          <w:tcPr>
            <w:tcW w:w="3942" w:type="dxa"/>
            <w:hideMark/>
          </w:tcPr>
          <w:p w14:paraId="70114578" w14:textId="0F25BE5B" w:rsidR="00862F8F" w:rsidRPr="00C3033E" w:rsidRDefault="00AC5902" w:rsidP="00C3033E">
            <w:pPr>
              <w:rPr>
                <w:rFonts w:ascii="Arial" w:hAnsi="Arial" w:cs="Arial"/>
                <w:iCs/>
                <w:lang w:eastAsia="en-US"/>
              </w:rPr>
            </w:pPr>
            <w:r w:rsidRPr="00C3033E">
              <w:rPr>
                <w:rFonts w:ascii="Arial" w:hAnsi="Arial" w:cs="Arial"/>
                <w:iCs/>
                <w:lang w:eastAsia="en-US"/>
              </w:rPr>
              <w:t xml:space="preserve">JUDr. Miroslav Fuchs, </w:t>
            </w:r>
            <w:r w:rsidR="00862F8F" w:rsidRPr="00C3033E">
              <w:rPr>
                <w:rFonts w:ascii="Arial" w:hAnsi="Arial" w:cs="Arial"/>
                <w:iCs/>
                <w:lang w:eastAsia="en-US"/>
              </w:rPr>
              <w:t xml:space="preserve">ředitel odboru EU a mezinárodní spolupráce </w:t>
            </w:r>
          </w:p>
          <w:p w14:paraId="43DA0D05" w14:textId="4A428EBA" w:rsidR="00862F8F" w:rsidRPr="00C3033E" w:rsidRDefault="00862F8F" w:rsidP="00C3033E">
            <w:pPr>
              <w:rPr>
                <w:rFonts w:ascii="Arial" w:hAnsi="Arial" w:cs="Arial"/>
                <w:iCs/>
                <w:lang w:eastAsia="en-US"/>
              </w:rPr>
            </w:pPr>
            <w:r w:rsidRPr="00C3033E">
              <w:rPr>
                <w:rFonts w:ascii="Arial" w:hAnsi="Arial" w:cs="Arial"/>
                <w:iCs/>
                <w:lang w:eastAsia="en-US"/>
              </w:rPr>
              <w:t xml:space="preserve">tel.: </w:t>
            </w:r>
            <w:r w:rsidR="00AC5902" w:rsidRPr="00C3033E">
              <w:rPr>
                <w:rFonts w:ascii="Arial" w:hAnsi="Arial" w:cs="Arial"/>
                <w:iCs/>
                <w:lang w:eastAsia="en-US"/>
              </w:rPr>
              <w:t>+420 606 627 237</w:t>
            </w:r>
            <w:r w:rsidRPr="00C3033E">
              <w:rPr>
                <w:rFonts w:ascii="Arial" w:hAnsi="Arial" w:cs="Arial"/>
                <w:iCs/>
                <w:lang w:eastAsia="en-US"/>
              </w:rPr>
              <w:t xml:space="preserve"> </w:t>
            </w:r>
          </w:p>
          <w:p w14:paraId="6654F351" w14:textId="61C9D25E" w:rsidR="00C11C55" w:rsidRPr="00C3033E" w:rsidRDefault="00862F8F" w:rsidP="00C3033E">
            <w:pPr>
              <w:rPr>
                <w:rFonts w:ascii="Arial" w:hAnsi="Arial" w:cs="Arial"/>
                <w:iCs/>
                <w:lang w:eastAsia="en-US"/>
              </w:rPr>
            </w:pPr>
            <w:proofErr w:type="gramStart"/>
            <w:r w:rsidRPr="00C3033E">
              <w:rPr>
                <w:rFonts w:ascii="Arial" w:hAnsi="Arial" w:cs="Arial"/>
                <w:iCs/>
                <w:lang w:eastAsia="en-US"/>
              </w:rPr>
              <w:t>email:</w:t>
            </w:r>
            <w:r w:rsidR="00AC5902" w:rsidRPr="00C3033E">
              <w:rPr>
                <w:rFonts w:ascii="Arial" w:hAnsi="Arial" w:cs="Arial"/>
                <w:iCs/>
                <w:lang w:eastAsia="en-US"/>
              </w:rPr>
              <w:t>miroslav.fuchs</w:t>
            </w:r>
            <w:r w:rsidRPr="00C3033E">
              <w:rPr>
                <w:rFonts w:ascii="Arial" w:hAnsi="Arial" w:cs="Arial"/>
                <w:iCs/>
                <w:lang w:eastAsia="en-US"/>
              </w:rPr>
              <w:t>@mpsv.cz</w:t>
            </w:r>
            <w:proofErr w:type="gramEnd"/>
          </w:p>
        </w:tc>
      </w:tr>
      <w:tr w:rsidR="00C11C55" w:rsidRPr="00C3033E" w14:paraId="086525CB" w14:textId="77777777" w:rsidTr="00AC5902">
        <w:tc>
          <w:tcPr>
            <w:tcW w:w="1564" w:type="dxa"/>
            <w:hideMark/>
          </w:tcPr>
          <w:p w14:paraId="0742A5D3" w14:textId="7D7AC88D" w:rsidR="00C11C55" w:rsidRPr="00C3033E" w:rsidRDefault="00C11C55" w:rsidP="00C3033E">
            <w:pPr>
              <w:rPr>
                <w:rFonts w:ascii="Arial" w:hAnsi="Arial" w:cs="Arial"/>
                <w:b/>
                <w:bCs/>
                <w:lang w:eastAsia="en-US"/>
              </w:rPr>
            </w:pPr>
            <w:r w:rsidRPr="00C3033E">
              <w:rPr>
                <w:rFonts w:ascii="Arial" w:hAnsi="Arial" w:cs="Arial"/>
                <w:b/>
                <w:bCs/>
                <w:lang w:eastAsia="en-US"/>
              </w:rPr>
              <w:t>Zpracoval:</w:t>
            </w:r>
          </w:p>
        </w:tc>
        <w:tc>
          <w:tcPr>
            <w:tcW w:w="3315" w:type="dxa"/>
          </w:tcPr>
          <w:p w14:paraId="73188FEB" w14:textId="77777777" w:rsidR="008F3E49" w:rsidRPr="00C3033E" w:rsidRDefault="009D052A" w:rsidP="00C3033E">
            <w:pPr>
              <w:rPr>
                <w:rFonts w:ascii="Arial" w:hAnsi="Arial" w:cs="Arial"/>
                <w:iCs/>
                <w:lang w:eastAsia="en-US"/>
              </w:rPr>
            </w:pPr>
            <w:r w:rsidRPr="00C3033E">
              <w:rPr>
                <w:rFonts w:ascii="Arial" w:hAnsi="Arial" w:cs="Arial"/>
                <w:iCs/>
                <w:lang w:eastAsia="en-US"/>
              </w:rPr>
              <w:t>Mgr. Dana Hacaperková</w:t>
            </w:r>
          </w:p>
          <w:p w14:paraId="6AA7E244" w14:textId="77777777" w:rsidR="008F3E49" w:rsidRPr="00C3033E" w:rsidRDefault="009D052A" w:rsidP="00C3033E">
            <w:pPr>
              <w:rPr>
                <w:rFonts w:ascii="Arial" w:hAnsi="Arial" w:cs="Arial"/>
                <w:iCs/>
                <w:lang w:eastAsia="en-US"/>
              </w:rPr>
            </w:pPr>
            <w:r w:rsidRPr="00C3033E">
              <w:rPr>
                <w:rFonts w:ascii="Arial" w:hAnsi="Arial" w:cs="Arial"/>
                <w:iCs/>
                <w:lang w:eastAsia="en-US"/>
              </w:rPr>
              <w:t>tel: +420 724 319</w:t>
            </w:r>
            <w:r w:rsidR="008F3E49" w:rsidRPr="00C3033E">
              <w:rPr>
                <w:rFonts w:ascii="Arial" w:hAnsi="Arial" w:cs="Arial"/>
                <w:iCs/>
                <w:lang w:eastAsia="en-US"/>
              </w:rPr>
              <w:t> </w:t>
            </w:r>
            <w:r w:rsidRPr="00C3033E">
              <w:rPr>
                <w:rFonts w:ascii="Arial" w:hAnsi="Arial" w:cs="Arial"/>
                <w:iCs/>
                <w:lang w:eastAsia="en-US"/>
              </w:rPr>
              <w:t xml:space="preserve">281 </w:t>
            </w:r>
          </w:p>
          <w:p w14:paraId="2B918BFC" w14:textId="469C063B" w:rsidR="00C11C55" w:rsidRPr="00C3033E" w:rsidRDefault="009D052A" w:rsidP="00C3033E">
            <w:pPr>
              <w:rPr>
                <w:rFonts w:ascii="Arial" w:hAnsi="Arial" w:cs="Arial"/>
                <w:iCs/>
                <w:lang w:eastAsia="en-US"/>
              </w:rPr>
            </w:pPr>
            <w:r w:rsidRPr="00C3033E">
              <w:rPr>
                <w:rFonts w:ascii="Arial" w:hAnsi="Arial" w:cs="Arial"/>
                <w:iCs/>
                <w:lang w:eastAsia="en-US"/>
              </w:rPr>
              <w:t xml:space="preserve">e-mail: </w:t>
            </w:r>
            <w:hyperlink r:id="rId8" w:history="1">
              <w:r w:rsidRPr="00C3033E">
                <w:rPr>
                  <w:rStyle w:val="Hypertextovodkaz"/>
                  <w:rFonts w:ascii="Arial" w:hAnsi="Arial" w:cs="Arial"/>
                  <w:iCs/>
                  <w:lang w:eastAsia="en-US"/>
                </w:rPr>
                <w:t>dana.hacaperkova@mpsv.cz</w:t>
              </w:r>
            </w:hyperlink>
          </w:p>
          <w:p w14:paraId="2640868D" w14:textId="77777777" w:rsidR="009D052A" w:rsidRPr="00C3033E" w:rsidRDefault="009D052A" w:rsidP="00C3033E">
            <w:pPr>
              <w:rPr>
                <w:rFonts w:ascii="Arial" w:hAnsi="Arial" w:cs="Arial"/>
                <w:iCs/>
                <w:lang w:eastAsia="en-US"/>
              </w:rPr>
            </w:pPr>
          </w:p>
          <w:p w14:paraId="1E4CF950" w14:textId="1895BBB4" w:rsidR="00C11C55" w:rsidRPr="00C3033E" w:rsidRDefault="00C11C55" w:rsidP="00C3033E">
            <w:pPr>
              <w:rPr>
                <w:rFonts w:ascii="Arial" w:hAnsi="Arial" w:cs="Arial"/>
                <w:iCs/>
                <w:lang w:eastAsia="en-US"/>
              </w:rPr>
            </w:pPr>
          </w:p>
        </w:tc>
        <w:tc>
          <w:tcPr>
            <w:tcW w:w="1244" w:type="dxa"/>
            <w:hideMark/>
          </w:tcPr>
          <w:p w14:paraId="0A0546BC" w14:textId="77777777" w:rsidR="00C11C55" w:rsidRPr="00C3033E" w:rsidRDefault="00C11C55" w:rsidP="00C3033E">
            <w:pPr>
              <w:rPr>
                <w:rFonts w:ascii="Arial" w:hAnsi="Arial" w:cs="Arial"/>
                <w:lang w:eastAsia="en-US"/>
              </w:rPr>
            </w:pPr>
            <w:r w:rsidRPr="00C3033E">
              <w:rPr>
                <w:rFonts w:ascii="Arial" w:hAnsi="Arial" w:cs="Arial"/>
                <w:b/>
                <w:bCs/>
                <w:lang w:eastAsia="en-US"/>
              </w:rPr>
              <w:t>Datum</w:t>
            </w:r>
            <w:r w:rsidRPr="00C3033E">
              <w:rPr>
                <w:rFonts w:ascii="Arial" w:hAnsi="Arial" w:cs="Arial"/>
                <w:lang w:eastAsia="en-US"/>
              </w:rPr>
              <w:t xml:space="preserve">: </w:t>
            </w:r>
          </w:p>
        </w:tc>
        <w:tc>
          <w:tcPr>
            <w:tcW w:w="3942" w:type="dxa"/>
          </w:tcPr>
          <w:p w14:paraId="07775784" w14:textId="16984022" w:rsidR="00C11C55" w:rsidRPr="00C3033E" w:rsidRDefault="00C11C55" w:rsidP="00C3033E">
            <w:pPr>
              <w:rPr>
                <w:rFonts w:ascii="Arial" w:hAnsi="Arial" w:cs="Arial"/>
                <w:iCs/>
                <w:lang w:eastAsia="en-US"/>
              </w:rPr>
            </w:pPr>
          </w:p>
        </w:tc>
      </w:tr>
      <w:tr w:rsidR="00C11C55" w:rsidRPr="00C3033E" w14:paraId="2CB46FAB" w14:textId="77777777" w:rsidTr="00B15E45">
        <w:tc>
          <w:tcPr>
            <w:tcW w:w="1564" w:type="dxa"/>
          </w:tcPr>
          <w:p w14:paraId="2B67911F" w14:textId="77777777" w:rsidR="00C11C55" w:rsidRPr="00C3033E" w:rsidRDefault="00C11C55" w:rsidP="00C3033E">
            <w:pPr>
              <w:rPr>
                <w:rFonts w:ascii="Arial" w:hAnsi="Arial" w:cs="Arial"/>
                <w:lang w:eastAsia="en-US"/>
              </w:rPr>
            </w:pPr>
          </w:p>
        </w:tc>
        <w:tc>
          <w:tcPr>
            <w:tcW w:w="3315" w:type="dxa"/>
          </w:tcPr>
          <w:p w14:paraId="3F372AD4" w14:textId="77777777" w:rsidR="00C11C55" w:rsidRPr="00C3033E" w:rsidRDefault="00C11C55" w:rsidP="00C3033E">
            <w:pPr>
              <w:rPr>
                <w:rFonts w:ascii="Arial" w:hAnsi="Arial" w:cs="Arial"/>
                <w:i/>
                <w:lang w:eastAsia="en-US"/>
              </w:rPr>
            </w:pPr>
          </w:p>
          <w:p w14:paraId="4272D551" w14:textId="77777777" w:rsidR="00C11C55" w:rsidRPr="00C3033E" w:rsidRDefault="00C11C55" w:rsidP="00C3033E">
            <w:pPr>
              <w:rPr>
                <w:rFonts w:ascii="Arial" w:hAnsi="Arial" w:cs="Arial"/>
                <w:i/>
                <w:lang w:eastAsia="en-US"/>
              </w:rPr>
            </w:pPr>
          </w:p>
          <w:p w14:paraId="4A6E5725" w14:textId="77777777" w:rsidR="00C11C55" w:rsidRPr="00C3033E" w:rsidRDefault="00C11C55" w:rsidP="00C3033E">
            <w:pPr>
              <w:rPr>
                <w:rFonts w:ascii="Arial" w:hAnsi="Arial" w:cs="Arial"/>
                <w:i/>
                <w:lang w:eastAsia="en-US"/>
              </w:rPr>
            </w:pPr>
          </w:p>
        </w:tc>
        <w:tc>
          <w:tcPr>
            <w:tcW w:w="1244" w:type="dxa"/>
            <w:hideMark/>
          </w:tcPr>
          <w:p w14:paraId="061214AA" w14:textId="4D222234" w:rsidR="00C11C55" w:rsidRPr="00C3033E" w:rsidRDefault="00C11C55" w:rsidP="00C3033E">
            <w:pPr>
              <w:rPr>
                <w:rFonts w:ascii="Arial" w:hAnsi="Arial" w:cs="Arial"/>
                <w:lang w:eastAsia="en-US"/>
              </w:rPr>
            </w:pPr>
            <w:r w:rsidRPr="00C3033E">
              <w:rPr>
                <w:rFonts w:ascii="Arial" w:hAnsi="Arial" w:cs="Arial"/>
                <w:lang w:eastAsia="en-US"/>
              </w:rPr>
              <w:t xml:space="preserve">Verze: </w:t>
            </w:r>
            <w:r w:rsidR="007B0EC2">
              <w:rPr>
                <w:rFonts w:ascii="Arial" w:hAnsi="Arial" w:cs="Arial"/>
                <w:lang w:eastAsia="en-US"/>
              </w:rPr>
              <w:t>2</w:t>
            </w:r>
          </w:p>
        </w:tc>
        <w:tc>
          <w:tcPr>
            <w:tcW w:w="3942" w:type="dxa"/>
            <w:hideMark/>
          </w:tcPr>
          <w:p w14:paraId="7EAF78A6" w14:textId="71CCC0B0" w:rsidR="00C11C55" w:rsidRPr="00C3033E" w:rsidRDefault="00C11C55" w:rsidP="00C3033E">
            <w:pPr>
              <w:rPr>
                <w:rFonts w:ascii="Arial" w:hAnsi="Arial" w:cs="Arial"/>
                <w:iCs/>
                <w:lang w:eastAsia="en-US"/>
              </w:rPr>
            </w:pPr>
          </w:p>
        </w:tc>
      </w:tr>
    </w:tbl>
    <w:p w14:paraId="212CB43C" w14:textId="77777777" w:rsidR="00C11C55" w:rsidRPr="00C3033E" w:rsidRDefault="00C11C55" w:rsidP="00C3033E">
      <w:pPr>
        <w:rPr>
          <w:rFonts w:ascii="Arial" w:hAnsi="Arial" w:cs="Arial"/>
        </w:rPr>
      </w:pPr>
    </w:p>
    <w:p w14:paraId="389EA756" w14:textId="77777777" w:rsidR="00901ABE" w:rsidRPr="00C3033E" w:rsidRDefault="00901ABE" w:rsidP="008C767A">
      <w:pPr>
        <w:jc w:val="center"/>
        <w:rPr>
          <w:rFonts w:ascii="Arial" w:hAnsi="Arial" w:cs="Arial"/>
          <w:b/>
          <w:sz w:val="28"/>
          <w:szCs w:val="28"/>
        </w:rPr>
      </w:pPr>
      <w:r w:rsidRPr="00C3033E">
        <w:rPr>
          <w:rFonts w:ascii="Arial" w:hAnsi="Arial" w:cs="Arial"/>
          <w:b/>
          <w:sz w:val="28"/>
          <w:szCs w:val="28"/>
        </w:rPr>
        <w:t>Rámcová pozice</w:t>
      </w:r>
    </w:p>
    <w:p w14:paraId="39866370" w14:textId="77777777" w:rsidR="00901ABE" w:rsidRPr="00C3033E" w:rsidRDefault="00901ABE" w:rsidP="008C767A">
      <w:pPr>
        <w:jc w:val="center"/>
        <w:rPr>
          <w:rFonts w:ascii="Arial" w:hAnsi="Arial" w:cs="Arial"/>
        </w:rPr>
      </w:pPr>
      <w:r w:rsidRPr="00C3033E">
        <w:rPr>
          <w:rFonts w:ascii="Arial" w:hAnsi="Arial" w:cs="Arial"/>
        </w:rPr>
        <w:t xml:space="preserve">(Stanovisko pro </w:t>
      </w:r>
      <w:r w:rsidR="00CE032C" w:rsidRPr="00C3033E">
        <w:rPr>
          <w:rFonts w:ascii="Arial" w:hAnsi="Arial" w:cs="Arial"/>
        </w:rPr>
        <w:t>Parlament</w:t>
      </w:r>
      <w:r w:rsidR="004A0D87" w:rsidRPr="00C3033E">
        <w:rPr>
          <w:rFonts w:ascii="Arial" w:hAnsi="Arial" w:cs="Arial"/>
        </w:rPr>
        <w:t xml:space="preserve"> ČR)</w:t>
      </w:r>
    </w:p>
    <w:p w14:paraId="73A18751" w14:textId="77777777" w:rsidR="00CD43E9" w:rsidRPr="00C3033E" w:rsidRDefault="00CD43E9" w:rsidP="008C767A">
      <w:pPr>
        <w:jc w:val="center"/>
        <w:rPr>
          <w:rFonts w:ascii="Arial" w:hAnsi="Arial" w:cs="Arial"/>
          <w:b/>
        </w:rPr>
      </w:pPr>
    </w:p>
    <w:p w14:paraId="7B27CAE7" w14:textId="6A6CB62B" w:rsidR="00CC295B" w:rsidRPr="00C3033E" w:rsidRDefault="00901ABE" w:rsidP="008C767A">
      <w:pPr>
        <w:tabs>
          <w:tab w:val="left" w:pos="2402"/>
        </w:tabs>
        <w:jc w:val="both"/>
        <w:rPr>
          <w:rFonts w:ascii="Arial" w:hAnsi="Arial" w:cs="Arial"/>
          <w:sz w:val="23"/>
        </w:rPr>
      </w:pPr>
      <w:r w:rsidRPr="00C3033E">
        <w:rPr>
          <w:rFonts w:ascii="Arial" w:hAnsi="Arial" w:cs="Arial"/>
          <w:b/>
        </w:rPr>
        <w:t xml:space="preserve">Projednávaná věc: </w:t>
      </w:r>
      <w:r w:rsidR="00CC295B" w:rsidRPr="00C3033E">
        <w:rPr>
          <w:rFonts w:ascii="Arial" w:hAnsi="Arial" w:cs="Arial"/>
          <w:bCs/>
        </w:rPr>
        <w:t xml:space="preserve">Návrh </w:t>
      </w:r>
      <w:r w:rsidR="000B736A" w:rsidRPr="00C3033E">
        <w:rPr>
          <w:rFonts w:ascii="Arial" w:hAnsi="Arial" w:cs="Arial"/>
          <w:bCs/>
        </w:rPr>
        <w:t>Směrnice Evropského parlamentu a Rady o zavedení Evropského průkazu osoby se zdravotním postižením a Evropského pa</w:t>
      </w:r>
      <w:r w:rsidR="00AC5902" w:rsidRPr="00C3033E">
        <w:rPr>
          <w:rFonts w:ascii="Arial" w:hAnsi="Arial" w:cs="Arial"/>
          <w:bCs/>
        </w:rPr>
        <w:t>r</w:t>
      </w:r>
      <w:r w:rsidR="000B736A" w:rsidRPr="00C3033E">
        <w:rPr>
          <w:rFonts w:ascii="Arial" w:hAnsi="Arial" w:cs="Arial"/>
          <w:bCs/>
        </w:rPr>
        <w:t xml:space="preserve">kovacího průkazu pro osoby se zdravotním postižením </w:t>
      </w:r>
      <w:r w:rsidR="00852FA2" w:rsidRPr="00C3033E">
        <w:rPr>
          <w:rFonts w:ascii="Arial" w:hAnsi="Arial" w:cs="Arial"/>
          <w:bCs/>
        </w:rPr>
        <w:t xml:space="preserve"> </w:t>
      </w:r>
    </w:p>
    <w:p w14:paraId="6FF13F83" w14:textId="40A0072A" w:rsidR="00901ABE" w:rsidRPr="00C3033E" w:rsidRDefault="00901ABE" w:rsidP="008C767A">
      <w:pPr>
        <w:jc w:val="both"/>
        <w:rPr>
          <w:rFonts w:ascii="Arial" w:hAnsi="Arial" w:cs="Arial"/>
          <w:snapToGrid w:val="0"/>
        </w:rPr>
      </w:pPr>
    </w:p>
    <w:p w14:paraId="4C01F249" w14:textId="2A71CB57" w:rsidR="00901ABE" w:rsidRPr="00C3033E" w:rsidRDefault="00901ABE" w:rsidP="008C767A">
      <w:pPr>
        <w:jc w:val="both"/>
        <w:rPr>
          <w:rFonts w:ascii="Arial" w:hAnsi="Arial" w:cs="Arial"/>
        </w:rPr>
      </w:pPr>
      <w:r w:rsidRPr="00C3033E">
        <w:rPr>
          <w:rFonts w:ascii="Arial" w:hAnsi="Arial" w:cs="Arial"/>
          <w:b/>
        </w:rPr>
        <w:t>Přípravný orgán Rady:</w:t>
      </w:r>
      <w:r w:rsidRPr="00C3033E">
        <w:rPr>
          <w:rFonts w:ascii="Arial" w:hAnsi="Arial" w:cs="Arial"/>
          <w:b/>
        </w:rPr>
        <w:tab/>
      </w:r>
      <w:r w:rsidR="009A11EB" w:rsidRPr="00C3033E">
        <w:rPr>
          <w:rFonts w:ascii="Arial" w:hAnsi="Arial" w:cs="Arial"/>
          <w:bCs/>
        </w:rPr>
        <w:t xml:space="preserve">Pracovní skupina pro sociální otázky </w:t>
      </w:r>
    </w:p>
    <w:p w14:paraId="01B8C8AB" w14:textId="77777777" w:rsidR="006608A7" w:rsidRPr="00C3033E" w:rsidRDefault="006608A7" w:rsidP="008C767A">
      <w:pPr>
        <w:jc w:val="both"/>
        <w:rPr>
          <w:rFonts w:ascii="Arial" w:hAnsi="Arial" w:cs="Arial"/>
        </w:rPr>
      </w:pPr>
    </w:p>
    <w:p w14:paraId="0F76B4AA" w14:textId="3C4CA5CD" w:rsidR="00CC295B" w:rsidRPr="00C3033E" w:rsidRDefault="00901ABE" w:rsidP="008C767A">
      <w:pPr>
        <w:pStyle w:val="NormalConseil"/>
        <w:jc w:val="both"/>
        <w:outlineLvl w:val="0"/>
        <w:rPr>
          <w:rFonts w:ascii="Arial" w:hAnsi="Arial" w:cs="Arial"/>
          <w:b/>
          <w:bCs/>
          <w:lang w:val="cs-CZ"/>
        </w:rPr>
      </w:pPr>
      <w:r w:rsidRPr="00C3033E">
        <w:rPr>
          <w:rFonts w:ascii="Arial" w:hAnsi="Arial" w:cs="Arial"/>
          <w:b/>
          <w:lang w:val="cs-CZ"/>
        </w:rPr>
        <w:t>Identifikační čísla dokumentů:</w:t>
      </w:r>
      <w:r w:rsidRPr="00C3033E">
        <w:rPr>
          <w:rFonts w:ascii="Arial" w:hAnsi="Arial" w:cs="Arial"/>
          <w:b/>
          <w:lang w:val="cs-CZ"/>
        </w:rPr>
        <w:tab/>
      </w:r>
      <w:r w:rsidR="00F26949" w:rsidRPr="00C3033E">
        <w:rPr>
          <w:rFonts w:ascii="Arial" w:hAnsi="Arial" w:cs="Arial"/>
          <w:lang w:val="cs-CZ"/>
        </w:rPr>
        <w:t>12755/23, 12755/23 ADD 1, 12755/23 ADD 2, 12755/23 ADD 3, 12755/23 ADD 4, 12755/23 ADD 5</w:t>
      </w:r>
    </w:p>
    <w:p w14:paraId="28F6FC0C" w14:textId="57FD8E16" w:rsidR="00901ABE" w:rsidRPr="00C3033E" w:rsidRDefault="00901ABE" w:rsidP="008C767A">
      <w:pPr>
        <w:jc w:val="both"/>
        <w:rPr>
          <w:rFonts w:ascii="Arial" w:hAnsi="Arial" w:cs="Arial"/>
          <w:bCs/>
        </w:rPr>
      </w:pPr>
    </w:p>
    <w:p w14:paraId="214D9F5A" w14:textId="7D90CF11" w:rsidR="005F6BA9" w:rsidRPr="00C3033E" w:rsidRDefault="00901ABE" w:rsidP="008C767A">
      <w:pPr>
        <w:rPr>
          <w:rFonts w:ascii="Arial" w:hAnsi="Arial" w:cs="Arial"/>
          <w:sz w:val="20"/>
          <w:szCs w:val="20"/>
        </w:rPr>
      </w:pPr>
      <w:r w:rsidRPr="00C3033E">
        <w:rPr>
          <w:rFonts w:ascii="Arial" w:hAnsi="Arial" w:cs="Arial"/>
          <w:b/>
        </w:rPr>
        <w:t>Stupeň priority pro ČR:</w:t>
      </w:r>
      <w:r w:rsidR="00543840" w:rsidRPr="00C3033E">
        <w:rPr>
          <w:rFonts w:ascii="Arial" w:hAnsi="Arial" w:cs="Arial"/>
        </w:rPr>
        <w:t xml:space="preserve"> </w:t>
      </w:r>
      <w:r w:rsidR="009A11EB" w:rsidRPr="00C3033E">
        <w:rPr>
          <w:rFonts w:ascii="Arial" w:hAnsi="Arial" w:cs="Arial"/>
        </w:rPr>
        <w:t>Důležitá problematika</w:t>
      </w:r>
    </w:p>
    <w:p w14:paraId="39E7071A" w14:textId="77777777" w:rsidR="00901ABE" w:rsidRPr="00C3033E" w:rsidRDefault="00901ABE" w:rsidP="008C767A">
      <w:pPr>
        <w:rPr>
          <w:rFonts w:ascii="Arial" w:hAnsi="Arial" w:cs="Arial"/>
        </w:rPr>
      </w:pPr>
    </w:p>
    <w:p w14:paraId="2CAEFD57" w14:textId="71F1D6F2" w:rsidR="00E23F7F" w:rsidRPr="00C3033E" w:rsidRDefault="00955A76" w:rsidP="008C767A">
      <w:pPr>
        <w:jc w:val="both"/>
        <w:rPr>
          <w:rFonts w:ascii="Arial" w:hAnsi="Arial" w:cs="Arial"/>
          <w:i/>
        </w:rPr>
      </w:pPr>
      <w:r w:rsidRPr="00C3033E">
        <w:rPr>
          <w:rFonts w:ascii="Arial" w:hAnsi="Arial" w:cs="Arial"/>
          <w:b/>
        </w:rPr>
        <w:t xml:space="preserve">1) </w:t>
      </w:r>
      <w:r w:rsidR="00901ABE" w:rsidRPr="00C3033E">
        <w:rPr>
          <w:rFonts w:ascii="Arial" w:hAnsi="Arial" w:cs="Arial"/>
          <w:b/>
        </w:rPr>
        <w:t>Popis problematiky,</w:t>
      </w:r>
      <w:r w:rsidR="00901ABE" w:rsidRPr="00C3033E">
        <w:rPr>
          <w:rFonts w:ascii="Arial" w:hAnsi="Arial" w:cs="Arial"/>
        </w:rPr>
        <w:t xml:space="preserve"> </w:t>
      </w:r>
      <w:r w:rsidR="00901ABE" w:rsidRPr="00C3033E">
        <w:rPr>
          <w:rFonts w:ascii="Arial" w:hAnsi="Arial" w:cs="Arial"/>
          <w:b/>
        </w:rPr>
        <w:t>včetně stadia projednávání:</w:t>
      </w:r>
    </w:p>
    <w:p w14:paraId="75343841" w14:textId="768D90B3" w:rsidR="00CC295B" w:rsidRPr="00C3033E" w:rsidRDefault="00CC295B" w:rsidP="008C767A">
      <w:pPr>
        <w:jc w:val="both"/>
        <w:rPr>
          <w:rFonts w:ascii="Arial" w:hAnsi="Arial" w:cs="Arial"/>
          <w:i/>
        </w:rPr>
      </w:pPr>
    </w:p>
    <w:p w14:paraId="07D8F8D9" w14:textId="77777777" w:rsidR="00794D15" w:rsidRPr="00C3033E" w:rsidRDefault="00794D15" w:rsidP="008C767A">
      <w:pPr>
        <w:tabs>
          <w:tab w:val="left" w:pos="2402"/>
        </w:tabs>
        <w:jc w:val="both"/>
        <w:rPr>
          <w:rFonts w:ascii="Arial" w:hAnsi="Arial" w:cs="Arial"/>
          <w:bCs/>
          <w:iCs/>
        </w:rPr>
      </w:pPr>
      <w:bookmarkStart w:id="0" w:name="_Hlk145068293"/>
    </w:p>
    <w:p w14:paraId="028ACE2C" w14:textId="7D5BBA24" w:rsidR="007F572C" w:rsidRPr="00C3033E" w:rsidRDefault="00AB12C2" w:rsidP="008C767A">
      <w:pPr>
        <w:jc w:val="both"/>
        <w:rPr>
          <w:rFonts w:ascii="Arial" w:hAnsi="Arial" w:cs="Arial"/>
        </w:rPr>
      </w:pPr>
      <w:r w:rsidRPr="00C3033E">
        <w:rPr>
          <w:rFonts w:ascii="Arial" w:hAnsi="Arial" w:cs="Arial"/>
        </w:rPr>
        <w:t>Č</w:t>
      </w:r>
      <w:r w:rsidR="00216793">
        <w:rPr>
          <w:rFonts w:ascii="Arial" w:hAnsi="Arial" w:cs="Arial"/>
        </w:rPr>
        <w:t xml:space="preserve">lenské státy (ČS) </w:t>
      </w:r>
      <w:r w:rsidR="00216793" w:rsidRPr="00C3033E">
        <w:rPr>
          <w:rFonts w:ascii="Arial" w:hAnsi="Arial" w:cs="Arial"/>
        </w:rPr>
        <w:t>vydávají</w:t>
      </w:r>
      <w:r w:rsidRPr="00C3033E">
        <w:rPr>
          <w:rFonts w:ascii="Arial" w:hAnsi="Arial" w:cs="Arial"/>
        </w:rPr>
        <w:t xml:space="preserve"> osobám se zdravotním postižením průkazy, které jim umožňují čerpat speciální podmínky/zvýhodněná zacházení</w:t>
      </w:r>
      <w:r w:rsidR="00B73FE0" w:rsidRPr="00C3033E">
        <w:rPr>
          <w:rFonts w:ascii="Arial" w:hAnsi="Arial" w:cs="Arial"/>
        </w:rPr>
        <w:t>. Může jít o</w:t>
      </w:r>
      <w:r w:rsidR="00216793">
        <w:rPr>
          <w:rFonts w:ascii="Arial" w:hAnsi="Arial" w:cs="Arial"/>
        </w:rPr>
        <w:t> </w:t>
      </w:r>
      <w:r w:rsidRPr="00C3033E">
        <w:rPr>
          <w:rFonts w:ascii="Arial" w:hAnsi="Arial" w:cs="Arial"/>
        </w:rPr>
        <w:t>finanční/nefinanční, dobrovoln</w:t>
      </w:r>
      <w:r w:rsidR="00381A04" w:rsidRPr="00C3033E">
        <w:rPr>
          <w:rFonts w:ascii="Arial" w:hAnsi="Arial" w:cs="Arial"/>
        </w:rPr>
        <w:t xml:space="preserve">á/povinná zvýhodnění, která se často týkají i jejich průvodců. </w:t>
      </w:r>
      <w:r w:rsidRPr="00C3033E">
        <w:rPr>
          <w:rFonts w:ascii="Arial" w:hAnsi="Arial" w:cs="Arial"/>
        </w:rPr>
        <w:t xml:space="preserve">Typicky jde </w:t>
      </w:r>
      <w:r w:rsidR="000D59AA" w:rsidRPr="00C3033E">
        <w:rPr>
          <w:rFonts w:ascii="Arial" w:hAnsi="Arial" w:cs="Arial"/>
        </w:rPr>
        <w:t>např. o slevy na vstupném</w:t>
      </w:r>
      <w:r w:rsidR="00B73FE0" w:rsidRPr="00C3033E">
        <w:rPr>
          <w:rFonts w:ascii="Arial" w:hAnsi="Arial" w:cs="Arial"/>
        </w:rPr>
        <w:t xml:space="preserve">, </w:t>
      </w:r>
      <w:r w:rsidR="000D59AA" w:rsidRPr="00C3033E">
        <w:rPr>
          <w:rFonts w:ascii="Arial" w:hAnsi="Arial" w:cs="Arial"/>
        </w:rPr>
        <w:t>volné vstupy, benefity v hromadné dopravě, poskytování audio průvodců či průvodců v braillském písmu, vyhrazená parkovací místa</w:t>
      </w:r>
      <w:r w:rsidR="00381A04" w:rsidRPr="00C3033E">
        <w:rPr>
          <w:rFonts w:ascii="Arial" w:hAnsi="Arial" w:cs="Arial"/>
        </w:rPr>
        <w:t xml:space="preserve">. </w:t>
      </w:r>
      <w:r w:rsidR="007F572C" w:rsidRPr="00C3033E">
        <w:rPr>
          <w:rFonts w:ascii="Arial" w:hAnsi="Arial" w:cs="Arial"/>
        </w:rPr>
        <w:t>ČS tyto průkazy vzájemně neuznávají</w:t>
      </w:r>
      <w:r w:rsidR="00381A04" w:rsidRPr="00C3033E">
        <w:rPr>
          <w:rFonts w:ascii="Arial" w:hAnsi="Arial" w:cs="Arial"/>
        </w:rPr>
        <w:t xml:space="preserve">, </w:t>
      </w:r>
      <w:r w:rsidR="00B73FE0" w:rsidRPr="00C3033E">
        <w:rPr>
          <w:rFonts w:ascii="Arial" w:hAnsi="Arial" w:cs="Arial"/>
        </w:rPr>
        <w:t xml:space="preserve">resp. uznávají </w:t>
      </w:r>
      <w:r w:rsidR="00381A04" w:rsidRPr="00C3033E">
        <w:rPr>
          <w:rFonts w:ascii="Arial" w:hAnsi="Arial" w:cs="Arial"/>
        </w:rPr>
        <w:t xml:space="preserve">je </w:t>
      </w:r>
      <w:r w:rsidR="00B73FE0" w:rsidRPr="00C3033E">
        <w:rPr>
          <w:rFonts w:ascii="Arial" w:hAnsi="Arial" w:cs="Arial"/>
        </w:rPr>
        <w:t>na dobrovolné bázi. To </w:t>
      </w:r>
      <w:r w:rsidR="007F572C" w:rsidRPr="00C3033E">
        <w:rPr>
          <w:rFonts w:ascii="Arial" w:hAnsi="Arial" w:cs="Arial"/>
        </w:rPr>
        <w:t>osobám se</w:t>
      </w:r>
      <w:r w:rsidR="008A42C6" w:rsidRPr="00C3033E">
        <w:rPr>
          <w:rFonts w:ascii="Arial" w:hAnsi="Arial" w:cs="Arial"/>
        </w:rPr>
        <w:t> </w:t>
      </w:r>
      <w:r w:rsidR="007F572C" w:rsidRPr="00C3033E">
        <w:rPr>
          <w:rFonts w:ascii="Arial" w:hAnsi="Arial" w:cs="Arial"/>
        </w:rPr>
        <w:t xml:space="preserve">zdravotním postižením přináší problémy při jejich </w:t>
      </w:r>
      <w:r w:rsidR="00381A04" w:rsidRPr="00C3033E">
        <w:rPr>
          <w:rFonts w:ascii="Arial" w:hAnsi="Arial" w:cs="Arial"/>
        </w:rPr>
        <w:t>cestách – krátkodobých</w:t>
      </w:r>
      <w:r w:rsidR="007F572C" w:rsidRPr="00C3033E">
        <w:rPr>
          <w:rFonts w:ascii="Arial" w:hAnsi="Arial" w:cs="Arial"/>
        </w:rPr>
        <w:t xml:space="preserve"> pobytech v jiných ČS. Vedle fyzických a</w:t>
      </w:r>
      <w:r w:rsidR="00E62D72" w:rsidRPr="00C3033E">
        <w:rPr>
          <w:rFonts w:ascii="Arial" w:hAnsi="Arial" w:cs="Arial"/>
        </w:rPr>
        <w:t> </w:t>
      </w:r>
      <w:r w:rsidR="007F572C" w:rsidRPr="00C3033E">
        <w:rPr>
          <w:rFonts w:ascii="Arial" w:hAnsi="Arial" w:cs="Arial"/>
        </w:rPr>
        <w:t>dalších bariér ve</w:t>
      </w:r>
      <w:r w:rsidR="00216793">
        <w:rPr>
          <w:rFonts w:ascii="Arial" w:hAnsi="Arial" w:cs="Arial"/>
        </w:rPr>
        <w:t> </w:t>
      </w:r>
      <w:r w:rsidR="007F572C" w:rsidRPr="00C3033E">
        <w:rPr>
          <w:rFonts w:ascii="Arial" w:hAnsi="Arial" w:cs="Arial"/>
        </w:rPr>
        <w:t>veřejném a</w:t>
      </w:r>
      <w:r w:rsidR="00B73FE0" w:rsidRPr="00C3033E">
        <w:rPr>
          <w:rFonts w:ascii="Arial" w:hAnsi="Arial" w:cs="Arial"/>
        </w:rPr>
        <w:t> </w:t>
      </w:r>
      <w:r w:rsidR="007F572C" w:rsidRPr="00C3033E">
        <w:rPr>
          <w:rFonts w:ascii="Arial" w:hAnsi="Arial" w:cs="Arial"/>
        </w:rPr>
        <w:t>soukromém sektoru odrazují mnohé osoby se</w:t>
      </w:r>
      <w:r w:rsidR="00E62D72" w:rsidRPr="00C3033E">
        <w:rPr>
          <w:rFonts w:ascii="Arial" w:hAnsi="Arial" w:cs="Arial"/>
        </w:rPr>
        <w:t> </w:t>
      </w:r>
      <w:r w:rsidR="007F572C" w:rsidRPr="00C3033E">
        <w:rPr>
          <w:rFonts w:ascii="Arial" w:hAnsi="Arial" w:cs="Arial"/>
        </w:rPr>
        <w:t>zdravotním postiž</w:t>
      </w:r>
      <w:r w:rsidR="00E62D72" w:rsidRPr="00C3033E">
        <w:rPr>
          <w:rFonts w:ascii="Arial" w:hAnsi="Arial" w:cs="Arial"/>
        </w:rPr>
        <w:t>e</w:t>
      </w:r>
      <w:r w:rsidR="007F572C" w:rsidRPr="00C3033E">
        <w:rPr>
          <w:rFonts w:ascii="Arial" w:hAnsi="Arial" w:cs="Arial"/>
        </w:rPr>
        <w:t xml:space="preserve">ním od cestování právě vysoké náklady na cestování. </w:t>
      </w:r>
      <w:proofErr w:type="spellStart"/>
      <w:r w:rsidR="007F572C" w:rsidRPr="00C3033E">
        <w:rPr>
          <w:rFonts w:ascii="Arial" w:hAnsi="Arial" w:cs="Arial"/>
        </w:rPr>
        <w:t>Eurostat</w:t>
      </w:r>
      <w:proofErr w:type="spellEnd"/>
      <w:r w:rsidR="007F572C" w:rsidRPr="00C3033E">
        <w:rPr>
          <w:rFonts w:ascii="Arial" w:hAnsi="Arial" w:cs="Arial"/>
        </w:rPr>
        <w:t xml:space="preserve"> uv</w:t>
      </w:r>
      <w:r w:rsidR="00E62D72" w:rsidRPr="00C3033E">
        <w:rPr>
          <w:rFonts w:ascii="Arial" w:hAnsi="Arial" w:cs="Arial"/>
        </w:rPr>
        <w:t>á</w:t>
      </w:r>
      <w:r w:rsidR="007F572C" w:rsidRPr="00C3033E">
        <w:rPr>
          <w:rFonts w:ascii="Arial" w:hAnsi="Arial" w:cs="Arial"/>
        </w:rPr>
        <w:t>dí jako klíčový důvod necestování důvody finanční. Zhruba 45 % z celkové populace necestuje z finančních důvodů, přičemž osoby se zdravotním postižením mají vyšší míru ohrožení chudobou než</w:t>
      </w:r>
      <w:r w:rsidR="00B73FE0" w:rsidRPr="00C3033E">
        <w:rPr>
          <w:rFonts w:ascii="Arial" w:hAnsi="Arial" w:cs="Arial"/>
        </w:rPr>
        <w:t> </w:t>
      </w:r>
      <w:r w:rsidR="007F572C" w:rsidRPr="00C3033E">
        <w:rPr>
          <w:rFonts w:ascii="Arial" w:hAnsi="Arial" w:cs="Arial"/>
        </w:rPr>
        <w:t xml:space="preserve">osoby bez postižení. Právní nejistota uznání průkazu a potenciální dodatečné náklady vyplývající ze specifik zdravotního postižení </w:t>
      </w:r>
      <w:r w:rsidR="00E62D72" w:rsidRPr="00C3033E">
        <w:rPr>
          <w:rFonts w:ascii="Arial" w:hAnsi="Arial" w:cs="Arial"/>
        </w:rPr>
        <w:t>mohou</w:t>
      </w:r>
      <w:r w:rsidR="007F572C" w:rsidRPr="00C3033E">
        <w:rPr>
          <w:rFonts w:ascii="Arial" w:hAnsi="Arial" w:cs="Arial"/>
        </w:rPr>
        <w:t xml:space="preserve"> odrazovat od cestování a</w:t>
      </w:r>
      <w:r w:rsidR="00B73FE0" w:rsidRPr="00C3033E">
        <w:rPr>
          <w:rFonts w:ascii="Arial" w:hAnsi="Arial" w:cs="Arial"/>
        </w:rPr>
        <w:t> </w:t>
      </w:r>
      <w:r w:rsidR="007F572C" w:rsidRPr="00C3033E">
        <w:rPr>
          <w:rFonts w:ascii="Arial" w:hAnsi="Arial" w:cs="Arial"/>
        </w:rPr>
        <w:t>snižovat</w:t>
      </w:r>
      <w:r w:rsidR="009D102C" w:rsidRPr="00C3033E">
        <w:rPr>
          <w:rFonts w:ascii="Arial" w:hAnsi="Arial" w:cs="Arial"/>
        </w:rPr>
        <w:t xml:space="preserve"> </w:t>
      </w:r>
      <w:r w:rsidR="00B73FE0" w:rsidRPr="00C3033E">
        <w:rPr>
          <w:rFonts w:ascii="Arial" w:hAnsi="Arial" w:cs="Arial"/>
        </w:rPr>
        <w:t xml:space="preserve">tak </w:t>
      </w:r>
      <w:r w:rsidR="009D102C" w:rsidRPr="00C3033E">
        <w:rPr>
          <w:rFonts w:ascii="Arial" w:hAnsi="Arial" w:cs="Arial"/>
        </w:rPr>
        <w:t xml:space="preserve">plnou participaci osob se zdravotním postižením. </w:t>
      </w:r>
    </w:p>
    <w:p w14:paraId="3B39D440" w14:textId="0A425563" w:rsidR="008C4857" w:rsidRDefault="008C4857" w:rsidP="008C767A">
      <w:pPr>
        <w:jc w:val="both"/>
        <w:rPr>
          <w:rFonts w:ascii="Arial" w:hAnsi="Arial" w:cs="Arial"/>
        </w:rPr>
      </w:pPr>
    </w:p>
    <w:p w14:paraId="024DF40E" w14:textId="12006563" w:rsidR="000D04AE" w:rsidRPr="00C3033E" w:rsidRDefault="00190151" w:rsidP="008C767A">
      <w:pPr>
        <w:jc w:val="both"/>
        <w:rPr>
          <w:rFonts w:ascii="Arial" w:hAnsi="Arial" w:cs="Arial"/>
          <w:i/>
          <w:iCs/>
        </w:rPr>
      </w:pPr>
      <w:r w:rsidRPr="00C3033E">
        <w:rPr>
          <w:rFonts w:ascii="Arial" w:hAnsi="Arial" w:cs="Arial"/>
        </w:rPr>
        <w:lastRenderedPageBreak/>
        <w:t>Jednou ze stěžejních iniciativ</w:t>
      </w:r>
      <w:r w:rsidR="00491739" w:rsidRPr="00C3033E">
        <w:rPr>
          <w:rFonts w:ascii="Arial" w:hAnsi="Arial" w:cs="Arial"/>
        </w:rPr>
        <w:t xml:space="preserve"> evropské</w:t>
      </w:r>
      <w:r w:rsidRPr="00C3033E">
        <w:rPr>
          <w:rFonts w:ascii="Arial" w:hAnsi="Arial" w:cs="Arial"/>
        </w:rPr>
        <w:t xml:space="preserve"> Strategie práv osob se zdravotním postižením 2021–2023 je: </w:t>
      </w:r>
      <w:r w:rsidRPr="00C3033E">
        <w:rPr>
          <w:rFonts w:ascii="Arial" w:hAnsi="Arial" w:cs="Arial"/>
          <w:i/>
          <w:iCs/>
        </w:rPr>
        <w:t>Komise do konce roku 2023 navrhne vytvoření evropského průkazu osob se zdravotním postižením za účelem jeho uznávání všemi členskými státy. Bude vycházet ze zkušeností z</w:t>
      </w:r>
      <w:r w:rsidR="00974E06" w:rsidRPr="00C3033E">
        <w:rPr>
          <w:rFonts w:ascii="Arial" w:hAnsi="Arial" w:cs="Arial"/>
          <w:i/>
          <w:iCs/>
        </w:rPr>
        <w:t> </w:t>
      </w:r>
      <w:r w:rsidRPr="00C3033E">
        <w:rPr>
          <w:rFonts w:ascii="Arial" w:hAnsi="Arial" w:cs="Arial"/>
          <w:i/>
          <w:iCs/>
        </w:rPr>
        <w:t>probí</w:t>
      </w:r>
      <w:r w:rsidR="00974E06" w:rsidRPr="00C3033E">
        <w:rPr>
          <w:rFonts w:ascii="Arial" w:hAnsi="Arial" w:cs="Arial"/>
          <w:i/>
          <w:iCs/>
        </w:rPr>
        <w:t xml:space="preserve">hajícího </w:t>
      </w:r>
      <w:r w:rsidRPr="00C3033E">
        <w:rPr>
          <w:rFonts w:ascii="Arial" w:hAnsi="Arial" w:cs="Arial"/>
          <w:i/>
          <w:iCs/>
        </w:rPr>
        <w:t>pilotního projektu týkajícího se evropského průkazu osob se zdravotním postižením v osmi členských státech a ze zkušeností týkajících se evropské parkovací karty pro osoby se zdravotní</w:t>
      </w:r>
      <w:r w:rsidR="00BB49C3" w:rsidRPr="00C3033E">
        <w:rPr>
          <w:rFonts w:ascii="Arial" w:hAnsi="Arial" w:cs="Arial"/>
          <w:i/>
          <w:iCs/>
        </w:rPr>
        <w:t>m</w:t>
      </w:r>
      <w:r w:rsidRPr="00C3033E">
        <w:rPr>
          <w:rFonts w:ascii="Arial" w:hAnsi="Arial" w:cs="Arial"/>
          <w:i/>
          <w:iCs/>
        </w:rPr>
        <w:t xml:space="preserve"> postižením. </w:t>
      </w:r>
    </w:p>
    <w:p w14:paraId="0C6D7B9C" w14:textId="77777777" w:rsidR="000D04AE" w:rsidRPr="00C3033E" w:rsidRDefault="000D04AE" w:rsidP="008C767A">
      <w:pPr>
        <w:jc w:val="both"/>
        <w:rPr>
          <w:rFonts w:ascii="Arial" w:hAnsi="Arial" w:cs="Arial"/>
          <w:i/>
          <w:iCs/>
        </w:rPr>
      </w:pPr>
    </w:p>
    <w:p w14:paraId="5C174D21" w14:textId="27792869" w:rsidR="00811CAA" w:rsidRPr="00C3033E" w:rsidRDefault="00C7555D" w:rsidP="008C767A">
      <w:pPr>
        <w:jc w:val="both"/>
        <w:rPr>
          <w:rFonts w:ascii="Arial" w:hAnsi="Arial" w:cs="Arial"/>
        </w:rPr>
      </w:pPr>
      <w:r w:rsidRPr="00C3033E">
        <w:rPr>
          <w:rFonts w:ascii="Arial" w:hAnsi="Arial" w:cs="Arial"/>
        </w:rPr>
        <w:t>Návrh směrnice</w:t>
      </w:r>
      <w:r w:rsidR="00491739" w:rsidRPr="00C3033E">
        <w:rPr>
          <w:rFonts w:ascii="Arial" w:hAnsi="Arial" w:cs="Arial"/>
        </w:rPr>
        <w:t xml:space="preserve">, který </w:t>
      </w:r>
      <w:r w:rsidR="00EF5EE2">
        <w:rPr>
          <w:rFonts w:ascii="Arial" w:hAnsi="Arial" w:cs="Arial"/>
        </w:rPr>
        <w:t>Evropská komise (</w:t>
      </w:r>
      <w:r w:rsidR="00216793">
        <w:rPr>
          <w:rFonts w:ascii="Arial" w:hAnsi="Arial" w:cs="Arial"/>
        </w:rPr>
        <w:t>EK</w:t>
      </w:r>
      <w:r w:rsidR="00EF5EE2">
        <w:rPr>
          <w:rFonts w:ascii="Arial" w:hAnsi="Arial" w:cs="Arial"/>
        </w:rPr>
        <w:t>)</w:t>
      </w:r>
      <w:r w:rsidR="00216793">
        <w:rPr>
          <w:rFonts w:ascii="Arial" w:hAnsi="Arial" w:cs="Arial"/>
        </w:rPr>
        <w:t xml:space="preserve"> p</w:t>
      </w:r>
      <w:r w:rsidR="00491739" w:rsidRPr="00C3033E">
        <w:rPr>
          <w:rFonts w:ascii="Arial" w:hAnsi="Arial" w:cs="Arial"/>
          <w:iCs/>
        </w:rPr>
        <w:t xml:space="preserve">ublikovala </w:t>
      </w:r>
      <w:r w:rsidR="00216793">
        <w:rPr>
          <w:rFonts w:ascii="Arial" w:hAnsi="Arial" w:cs="Arial"/>
          <w:iCs/>
        </w:rPr>
        <w:t>d</w:t>
      </w:r>
      <w:r w:rsidR="00491739" w:rsidRPr="00C3033E">
        <w:rPr>
          <w:rFonts w:ascii="Arial" w:hAnsi="Arial" w:cs="Arial"/>
          <w:iCs/>
        </w:rPr>
        <w:t>ne 6. 9. 2023,</w:t>
      </w:r>
      <w:r w:rsidR="00EF5EE2">
        <w:rPr>
          <w:rFonts w:ascii="Arial" w:hAnsi="Arial" w:cs="Arial"/>
          <w:iCs/>
        </w:rPr>
        <w:t xml:space="preserve"> </w:t>
      </w:r>
      <w:r w:rsidRPr="00C3033E">
        <w:rPr>
          <w:rFonts w:ascii="Arial" w:hAnsi="Arial" w:cs="Arial"/>
        </w:rPr>
        <w:t>vychází ze</w:t>
      </w:r>
      <w:r w:rsidR="00EF5EE2">
        <w:rPr>
          <w:rFonts w:ascii="Arial" w:hAnsi="Arial" w:cs="Arial"/>
        </w:rPr>
        <w:t> </w:t>
      </w:r>
      <w:r w:rsidRPr="00C3033E">
        <w:rPr>
          <w:rFonts w:ascii="Arial" w:hAnsi="Arial" w:cs="Arial"/>
        </w:rPr>
        <w:t>dvou „instrumentů“, a</w:t>
      </w:r>
      <w:r w:rsidR="00216793">
        <w:rPr>
          <w:rFonts w:ascii="Arial" w:hAnsi="Arial" w:cs="Arial"/>
        </w:rPr>
        <w:t> </w:t>
      </w:r>
      <w:r w:rsidRPr="00C3033E">
        <w:rPr>
          <w:rFonts w:ascii="Arial" w:hAnsi="Arial" w:cs="Arial"/>
        </w:rPr>
        <w:t>to z pilotního projektu</w:t>
      </w:r>
      <w:r w:rsidR="006D36B5" w:rsidRPr="00C3033E">
        <w:rPr>
          <w:rFonts w:ascii="Arial" w:hAnsi="Arial" w:cs="Arial"/>
        </w:rPr>
        <w:t xml:space="preserve"> z let 2016-2018</w:t>
      </w:r>
      <w:r w:rsidR="006D36B5" w:rsidRPr="00C3033E">
        <w:rPr>
          <w:rStyle w:val="Znakapoznpodarou"/>
          <w:rFonts w:ascii="Arial" w:hAnsi="Arial" w:cs="Arial"/>
        </w:rPr>
        <w:footnoteReference w:id="1"/>
      </w:r>
      <w:r w:rsidR="006D36B5" w:rsidRPr="00C3033E">
        <w:rPr>
          <w:rFonts w:ascii="Arial" w:hAnsi="Arial" w:cs="Arial"/>
        </w:rPr>
        <w:t xml:space="preserve">, který fungoval na ryze dobrovolném principu, </w:t>
      </w:r>
      <w:r w:rsidRPr="00C3033E">
        <w:rPr>
          <w:rFonts w:ascii="Arial" w:hAnsi="Arial" w:cs="Arial"/>
        </w:rPr>
        <w:t xml:space="preserve">a </w:t>
      </w:r>
      <w:r w:rsidR="00491739" w:rsidRPr="00C3033E">
        <w:rPr>
          <w:rFonts w:ascii="Arial" w:hAnsi="Arial" w:cs="Arial"/>
        </w:rPr>
        <w:t xml:space="preserve">z </w:t>
      </w:r>
      <w:r w:rsidR="000D04AE" w:rsidRPr="00C3033E">
        <w:rPr>
          <w:rFonts w:ascii="Arial" w:hAnsi="Arial" w:cs="Arial"/>
        </w:rPr>
        <w:t>e</w:t>
      </w:r>
      <w:r w:rsidRPr="00C3033E">
        <w:rPr>
          <w:rFonts w:ascii="Arial" w:hAnsi="Arial" w:cs="Arial"/>
        </w:rPr>
        <w:t>vropské parkovací karty</w:t>
      </w:r>
      <w:r w:rsidR="00F77188" w:rsidRPr="00C3033E">
        <w:rPr>
          <w:rFonts w:ascii="Arial" w:hAnsi="Arial" w:cs="Arial"/>
        </w:rPr>
        <w:t xml:space="preserve"> (doporučení </w:t>
      </w:r>
      <w:r w:rsidR="00491739" w:rsidRPr="00C3033E">
        <w:rPr>
          <w:rFonts w:ascii="Arial" w:hAnsi="Arial" w:cs="Arial"/>
        </w:rPr>
        <w:t xml:space="preserve">Rady </w:t>
      </w:r>
      <w:r w:rsidR="00F77188" w:rsidRPr="00C3033E">
        <w:rPr>
          <w:rFonts w:ascii="Arial" w:hAnsi="Arial" w:cs="Arial"/>
        </w:rPr>
        <w:t>98/376/E</w:t>
      </w:r>
      <w:r w:rsidR="000D04AE" w:rsidRPr="00C3033E">
        <w:rPr>
          <w:rFonts w:ascii="Arial" w:hAnsi="Arial" w:cs="Arial"/>
        </w:rPr>
        <w:t>S</w:t>
      </w:r>
      <w:r w:rsidR="00491739" w:rsidRPr="00C3033E">
        <w:rPr>
          <w:rFonts w:ascii="Arial" w:hAnsi="Arial" w:cs="Arial"/>
        </w:rPr>
        <w:t xml:space="preserve"> ze</w:t>
      </w:r>
      <w:r w:rsidR="008C767A">
        <w:rPr>
          <w:rFonts w:ascii="Arial" w:hAnsi="Arial" w:cs="Arial"/>
        </w:rPr>
        <w:t> </w:t>
      </w:r>
      <w:r w:rsidR="00491739" w:rsidRPr="00C3033E">
        <w:rPr>
          <w:rFonts w:ascii="Arial" w:hAnsi="Arial" w:cs="Arial"/>
        </w:rPr>
        <w:t>4.</w:t>
      </w:r>
      <w:r w:rsidR="008C767A">
        <w:rPr>
          <w:rFonts w:ascii="Arial" w:hAnsi="Arial" w:cs="Arial"/>
        </w:rPr>
        <w:t> </w:t>
      </w:r>
      <w:r w:rsidR="00491739" w:rsidRPr="00C3033E">
        <w:rPr>
          <w:rFonts w:ascii="Arial" w:hAnsi="Arial" w:cs="Arial"/>
        </w:rPr>
        <w:t>června 1998</w:t>
      </w:r>
      <w:r w:rsidR="00F77188" w:rsidRPr="00C3033E">
        <w:rPr>
          <w:rFonts w:ascii="Arial" w:hAnsi="Arial" w:cs="Arial"/>
        </w:rPr>
        <w:t>)</w:t>
      </w:r>
      <w:r w:rsidR="00510556" w:rsidRPr="00C3033E">
        <w:rPr>
          <w:rFonts w:ascii="Arial" w:hAnsi="Arial" w:cs="Arial"/>
        </w:rPr>
        <w:t xml:space="preserve">. </w:t>
      </w:r>
      <w:r w:rsidR="00381A04" w:rsidRPr="00C3033E">
        <w:rPr>
          <w:rFonts w:ascii="Arial" w:hAnsi="Arial" w:cs="Arial"/>
        </w:rPr>
        <w:t>Návrh doplňuje předchozí právní akty, jako je např. s</w:t>
      </w:r>
      <w:r w:rsidR="00811CAA" w:rsidRPr="00C3033E">
        <w:rPr>
          <w:rFonts w:ascii="Arial" w:hAnsi="Arial" w:cs="Arial"/>
        </w:rPr>
        <w:t>měrnic</w:t>
      </w:r>
      <w:r w:rsidR="00381A04" w:rsidRPr="00C3033E">
        <w:rPr>
          <w:rFonts w:ascii="Arial" w:hAnsi="Arial" w:cs="Arial"/>
        </w:rPr>
        <w:t>e</w:t>
      </w:r>
      <w:r w:rsidR="00811CAA" w:rsidRPr="00C3033E">
        <w:rPr>
          <w:rFonts w:ascii="Arial" w:hAnsi="Arial" w:cs="Arial"/>
        </w:rPr>
        <w:t xml:space="preserve"> o</w:t>
      </w:r>
      <w:r w:rsidR="00381A04" w:rsidRPr="00C3033E">
        <w:rPr>
          <w:rFonts w:ascii="Arial" w:hAnsi="Arial" w:cs="Arial"/>
        </w:rPr>
        <w:t> </w:t>
      </w:r>
      <w:r w:rsidR="00811CAA" w:rsidRPr="00C3033E">
        <w:rPr>
          <w:rFonts w:ascii="Arial" w:hAnsi="Arial" w:cs="Arial"/>
        </w:rPr>
        <w:t xml:space="preserve">službách </w:t>
      </w:r>
      <w:r w:rsidR="00491739" w:rsidRPr="00C3033E">
        <w:rPr>
          <w:rFonts w:ascii="Arial" w:hAnsi="Arial" w:cs="Arial"/>
        </w:rPr>
        <w:t xml:space="preserve">na </w:t>
      </w:r>
      <w:r w:rsidR="00811CAA" w:rsidRPr="00C3033E">
        <w:rPr>
          <w:rFonts w:ascii="Arial" w:hAnsi="Arial" w:cs="Arial"/>
        </w:rPr>
        <w:t>vnitřní</w:t>
      </w:r>
      <w:r w:rsidR="00491739" w:rsidRPr="00C3033E">
        <w:rPr>
          <w:rFonts w:ascii="Arial" w:hAnsi="Arial" w:cs="Arial"/>
        </w:rPr>
        <w:t xml:space="preserve">m </w:t>
      </w:r>
      <w:r w:rsidR="00811CAA" w:rsidRPr="00C3033E">
        <w:rPr>
          <w:rFonts w:ascii="Arial" w:hAnsi="Arial" w:cs="Arial"/>
        </w:rPr>
        <w:t xml:space="preserve">trhu, </w:t>
      </w:r>
      <w:r w:rsidR="00491739" w:rsidRPr="00C3033E">
        <w:rPr>
          <w:rFonts w:ascii="Arial" w:hAnsi="Arial" w:cs="Arial"/>
        </w:rPr>
        <w:t>Evropský akt o přístupnosti (</w:t>
      </w:r>
      <w:proofErr w:type="spellStart"/>
      <w:r w:rsidR="00811CAA" w:rsidRPr="00C3033E">
        <w:rPr>
          <w:rFonts w:ascii="Arial" w:hAnsi="Arial" w:cs="Arial"/>
        </w:rPr>
        <w:t>European</w:t>
      </w:r>
      <w:proofErr w:type="spellEnd"/>
      <w:r w:rsidR="00811CAA" w:rsidRPr="00C3033E">
        <w:rPr>
          <w:rFonts w:ascii="Arial" w:hAnsi="Arial" w:cs="Arial"/>
        </w:rPr>
        <w:t xml:space="preserve"> </w:t>
      </w:r>
      <w:proofErr w:type="spellStart"/>
      <w:r w:rsidR="00811CAA" w:rsidRPr="00C3033E">
        <w:rPr>
          <w:rFonts w:ascii="Arial" w:hAnsi="Arial" w:cs="Arial"/>
        </w:rPr>
        <w:t>Accessibility</w:t>
      </w:r>
      <w:proofErr w:type="spellEnd"/>
      <w:r w:rsidR="00811CAA" w:rsidRPr="00C3033E">
        <w:rPr>
          <w:rFonts w:ascii="Arial" w:hAnsi="Arial" w:cs="Arial"/>
        </w:rPr>
        <w:t xml:space="preserve"> </w:t>
      </w:r>
      <w:proofErr w:type="spellStart"/>
      <w:r w:rsidR="00811CAA" w:rsidRPr="00C3033E">
        <w:rPr>
          <w:rFonts w:ascii="Arial" w:hAnsi="Arial" w:cs="Arial"/>
        </w:rPr>
        <w:t>Act</w:t>
      </w:r>
      <w:proofErr w:type="spellEnd"/>
      <w:r w:rsidR="00491739" w:rsidRPr="00C3033E">
        <w:rPr>
          <w:rFonts w:ascii="Arial" w:hAnsi="Arial" w:cs="Arial"/>
        </w:rPr>
        <w:t>)</w:t>
      </w:r>
      <w:r w:rsidR="00381A04" w:rsidRPr="00C3033E">
        <w:rPr>
          <w:rFonts w:ascii="Arial" w:hAnsi="Arial" w:cs="Arial"/>
        </w:rPr>
        <w:t>,</w:t>
      </w:r>
      <w:r w:rsidR="00491739" w:rsidRPr="00C3033E">
        <w:rPr>
          <w:rFonts w:ascii="Arial" w:hAnsi="Arial" w:cs="Arial"/>
        </w:rPr>
        <w:t xml:space="preserve"> směrnice 2016/2102/EU o</w:t>
      </w:r>
      <w:r w:rsidR="00216793">
        <w:rPr>
          <w:rFonts w:ascii="Arial" w:hAnsi="Arial" w:cs="Arial"/>
        </w:rPr>
        <w:t> </w:t>
      </w:r>
      <w:r w:rsidR="00491739" w:rsidRPr="00C3033E">
        <w:rPr>
          <w:rFonts w:ascii="Arial" w:hAnsi="Arial" w:cs="Arial"/>
        </w:rPr>
        <w:t>přístupnosti webových stránek a mobilních aplikací subjektů veřejného sektoru</w:t>
      </w:r>
      <w:r w:rsidR="00381A04" w:rsidRPr="00C3033E">
        <w:rPr>
          <w:rFonts w:ascii="Arial" w:hAnsi="Arial" w:cs="Arial"/>
        </w:rPr>
        <w:t xml:space="preserve"> </w:t>
      </w:r>
      <w:r w:rsidR="00491739" w:rsidRPr="00C3033E">
        <w:rPr>
          <w:rFonts w:ascii="Arial" w:hAnsi="Arial" w:cs="Arial"/>
        </w:rPr>
        <w:t>(</w:t>
      </w:r>
      <w:r w:rsidR="000C0812" w:rsidRPr="00C3033E">
        <w:rPr>
          <w:rFonts w:ascii="Arial" w:hAnsi="Arial" w:cs="Arial"/>
        </w:rPr>
        <w:t>W</w:t>
      </w:r>
      <w:r w:rsidR="00811CAA" w:rsidRPr="00C3033E">
        <w:rPr>
          <w:rFonts w:ascii="Arial" w:hAnsi="Arial" w:cs="Arial"/>
        </w:rPr>
        <w:t xml:space="preserve">eb </w:t>
      </w:r>
      <w:proofErr w:type="spellStart"/>
      <w:r w:rsidR="000D04AE" w:rsidRPr="00C3033E">
        <w:rPr>
          <w:rFonts w:ascii="Arial" w:hAnsi="Arial" w:cs="Arial"/>
        </w:rPr>
        <w:t>A</w:t>
      </w:r>
      <w:r w:rsidR="00811CAA" w:rsidRPr="00C3033E">
        <w:rPr>
          <w:rFonts w:ascii="Arial" w:hAnsi="Arial" w:cs="Arial"/>
        </w:rPr>
        <w:t>ccessibility</w:t>
      </w:r>
      <w:proofErr w:type="spellEnd"/>
      <w:r w:rsidR="00811CAA" w:rsidRPr="00C3033E">
        <w:rPr>
          <w:rFonts w:ascii="Arial" w:hAnsi="Arial" w:cs="Arial"/>
        </w:rPr>
        <w:t xml:space="preserve"> </w:t>
      </w:r>
      <w:proofErr w:type="spellStart"/>
      <w:r w:rsidR="00811CAA" w:rsidRPr="00C3033E">
        <w:rPr>
          <w:rFonts w:ascii="Arial" w:hAnsi="Arial" w:cs="Arial"/>
        </w:rPr>
        <w:t>Directive</w:t>
      </w:r>
      <w:proofErr w:type="spellEnd"/>
      <w:r w:rsidR="00491739" w:rsidRPr="00C3033E">
        <w:rPr>
          <w:rFonts w:ascii="Arial" w:hAnsi="Arial" w:cs="Arial"/>
        </w:rPr>
        <w:t>)</w:t>
      </w:r>
      <w:r w:rsidR="00811CAA" w:rsidRPr="00C3033E">
        <w:rPr>
          <w:rFonts w:ascii="Arial" w:hAnsi="Arial" w:cs="Arial"/>
        </w:rPr>
        <w:t xml:space="preserve">. </w:t>
      </w:r>
      <w:r w:rsidR="000C0812" w:rsidRPr="00C3033E">
        <w:rPr>
          <w:rFonts w:ascii="Arial" w:hAnsi="Arial" w:cs="Arial"/>
        </w:rPr>
        <w:t>Doplňuje nebo </w:t>
      </w:r>
      <w:r w:rsidR="00811CAA" w:rsidRPr="00C3033E">
        <w:rPr>
          <w:rFonts w:ascii="Arial" w:hAnsi="Arial" w:cs="Arial"/>
        </w:rPr>
        <w:t>usnadňuje naplňování legislativ</w:t>
      </w:r>
      <w:r w:rsidR="00F77188" w:rsidRPr="00C3033E">
        <w:rPr>
          <w:rFonts w:ascii="Arial" w:hAnsi="Arial" w:cs="Arial"/>
        </w:rPr>
        <w:t>y</w:t>
      </w:r>
      <w:r w:rsidR="00811CAA" w:rsidRPr="00C3033E">
        <w:rPr>
          <w:rFonts w:ascii="Arial" w:hAnsi="Arial" w:cs="Arial"/>
        </w:rPr>
        <w:t xml:space="preserve"> na</w:t>
      </w:r>
      <w:r w:rsidR="00657E6D" w:rsidRPr="00C3033E">
        <w:rPr>
          <w:rFonts w:ascii="Arial" w:hAnsi="Arial" w:cs="Arial"/>
        </w:rPr>
        <w:t> </w:t>
      </w:r>
      <w:r w:rsidR="00811CAA" w:rsidRPr="00C3033E">
        <w:rPr>
          <w:rFonts w:ascii="Arial" w:hAnsi="Arial" w:cs="Arial"/>
        </w:rPr>
        <w:t xml:space="preserve">ochranu práv cestujících přijatou mezi lety 2004 až 2021, která garantuje osobám se zdravotním postižením a s omezenou mobilitou nediskriminační přístup k dopravním službám a </w:t>
      </w:r>
      <w:r w:rsidR="00F77188" w:rsidRPr="00C3033E">
        <w:rPr>
          <w:rFonts w:ascii="Arial" w:hAnsi="Arial" w:cs="Arial"/>
        </w:rPr>
        <w:t xml:space="preserve">umožňuje jim </w:t>
      </w:r>
      <w:r w:rsidR="00811CAA" w:rsidRPr="00C3033E">
        <w:rPr>
          <w:rFonts w:ascii="Arial" w:hAnsi="Arial" w:cs="Arial"/>
        </w:rPr>
        <w:t>využívat dopravní služby jako ostatní</w:t>
      </w:r>
      <w:r w:rsidR="00026EE4" w:rsidRPr="00C3033E">
        <w:rPr>
          <w:rFonts w:ascii="Arial" w:hAnsi="Arial" w:cs="Arial"/>
        </w:rPr>
        <w:t>m</w:t>
      </w:r>
      <w:r w:rsidR="00811CAA" w:rsidRPr="00C3033E">
        <w:rPr>
          <w:rFonts w:ascii="Arial" w:hAnsi="Arial" w:cs="Arial"/>
        </w:rPr>
        <w:t xml:space="preserve"> občan</w:t>
      </w:r>
      <w:r w:rsidR="00026EE4" w:rsidRPr="00C3033E">
        <w:rPr>
          <w:rFonts w:ascii="Arial" w:hAnsi="Arial" w:cs="Arial"/>
        </w:rPr>
        <w:t>ům</w:t>
      </w:r>
      <w:r w:rsidR="00811CAA" w:rsidRPr="00C3033E">
        <w:rPr>
          <w:rFonts w:ascii="Arial" w:hAnsi="Arial" w:cs="Arial"/>
        </w:rPr>
        <w:t xml:space="preserve">. </w:t>
      </w:r>
      <w:r w:rsidR="00381A04" w:rsidRPr="00C3033E">
        <w:rPr>
          <w:rFonts w:ascii="Arial" w:hAnsi="Arial" w:cs="Arial"/>
        </w:rPr>
        <w:t xml:space="preserve">Návrh směrnice je rovněž v souladu se směrnicí </w:t>
      </w:r>
      <w:r w:rsidR="00811CAA" w:rsidRPr="00C3033E">
        <w:rPr>
          <w:rFonts w:ascii="Arial" w:hAnsi="Arial" w:cs="Arial"/>
        </w:rPr>
        <w:t>2022/362</w:t>
      </w:r>
      <w:r w:rsidR="00491739" w:rsidRPr="00C3033E">
        <w:rPr>
          <w:rFonts w:ascii="Arial" w:hAnsi="Arial" w:cs="Arial"/>
        </w:rPr>
        <w:t xml:space="preserve"> </w:t>
      </w:r>
      <w:r w:rsidR="00491739" w:rsidRPr="00C3033E">
        <w:rPr>
          <w:rFonts w:ascii="Arial" w:hAnsi="Arial" w:cs="Arial"/>
          <w:color w:val="333333"/>
          <w:shd w:val="clear" w:color="auto" w:fill="FFFFFF"/>
        </w:rPr>
        <w:t>ze</w:t>
      </w:r>
      <w:r w:rsidR="008C767A">
        <w:rPr>
          <w:rFonts w:ascii="Arial" w:hAnsi="Arial" w:cs="Arial"/>
          <w:color w:val="333333"/>
          <w:shd w:val="clear" w:color="auto" w:fill="FFFFFF"/>
        </w:rPr>
        <w:t> </w:t>
      </w:r>
      <w:r w:rsidR="00491739" w:rsidRPr="00C3033E">
        <w:rPr>
          <w:rFonts w:ascii="Arial" w:hAnsi="Arial" w:cs="Arial"/>
          <w:color w:val="333333"/>
          <w:shd w:val="clear" w:color="auto" w:fill="FFFFFF"/>
        </w:rPr>
        <w:t>dne 24. února 2022, kterou se mění směrnice 1999/62/ES, 1999/37/ES a (EU) 2019/520, pokud jde o výběr poplatků pro vozidla za užívání určitých pozemních komunikací</w:t>
      </w:r>
      <w:r w:rsidR="001732DC" w:rsidRPr="00C3033E">
        <w:rPr>
          <w:rFonts w:ascii="Arial" w:hAnsi="Arial" w:cs="Arial"/>
        </w:rPr>
        <w:t xml:space="preserve">. </w:t>
      </w:r>
      <w:r w:rsidR="00811CAA" w:rsidRPr="00C3033E">
        <w:rPr>
          <w:rFonts w:ascii="Arial" w:hAnsi="Arial" w:cs="Arial"/>
        </w:rPr>
        <w:t xml:space="preserve"> </w:t>
      </w:r>
    </w:p>
    <w:p w14:paraId="13E270A5" w14:textId="7108268E" w:rsidR="00811CAA" w:rsidRPr="00C3033E" w:rsidRDefault="00811CAA" w:rsidP="008C767A">
      <w:pPr>
        <w:jc w:val="both"/>
        <w:rPr>
          <w:rFonts w:ascii="Arial" w:hAnsi="Arial" w:cs="Arial"/>
        </w:rPr>
      </w:pPr>
    </w:p>
    <w:p w14:paraId="1B30EB61" w14:textId="71268CA3" w:rsidR="00E61343" w:rsidRDefault="00F26949" w:rsidP="008C767A">
      <w:pPr>
        <w:jc w:val="both"/>
        <w:rPr>
          <w:rFonts w:ascii="Arial" w:hAnsi="Arial" w:cs="Arial"/>
        </w:rPr>
      </w:pPr>
      <w:r w:rsidRPr="00C3033E">
        <w:rPr>
          <w:rFonts w:ascii="Arial" w:hAnsi="Arial" w:cs="Arial"/>
        </w:rPr>
        <w:t>Odůvodnění n</w:t>
      </w:r>
      <w:r w:rsidR="00811CAA" w:rsidRPr="00C3033E">
        <w:rPr>
          <w:rFonts w:ascii="Arial" w:hAnsi="Arial" w:cs="Arial"/>
        </w:rPr>
        <w:t>ávrh</w:t>
      </w:r>
      <w:r w:rsidRPr="00C3033E">
        <w:rPr>
          <w:rFonts w:ascii="Arial" w:hAnsi="Arial" w:cs="Arial"/>
        </w:rPr>
        <w:t>u</w:t>
      </w:r>
      <w:r w:rsidR="00811CAA" w:rsidRPr="00C3033E">
        <w:rPr>
          <w:rFonts w:ascii="Arial" w:hAnsi="Arial" w:cs="Arial"/>
        </w:rPr>
        <w:t xml:space="preserve"> </w:t>
      </w:r>
      <w:r w:rsidR="0026661A" w:rsidRPr="00C3033E">
        <w:rPr>
          <w:rFonts w:ascii="Arial" w:hAnsi="Arial" w:cs="Arial"/>
        </w:rPr>
        <w:t xml:space="preserve">směrnice </w:t>
      </w:r>
      <w:r w:rsidR="00513319" w:rsidRPr="00C3033E">
        <w:rPr>
          <w:rFonts w:ascii="Arial" w:hAnsi="Arial" w:cs="Arial"/>
        </w:rPr>
        <w:t xml:space="preserve">deklaruje, že </w:t>
      </w:r>
      <w:r w:rsidR="00811CAA" w:rsidRPr="00C3033E">
        <w:rPr>
          <w:rFonts w:ascii="Arial" w:hAnsi="Arial" w:cs="Arial"/>
        </w:rPr>
        <w:t>respektuje princip subsidiarity</w:t>
      </w:r>
      <w:r w:rsidR="00513319" w:rsidRPr="00C3033E">
        <w:rPr>
          <w:rFonts w:ascii="Arial" w:hAnsi="Arial" w:cs="Arial"/>
        </w:rPr>
        <w:t xml:space="preserve"> a</w:t>
      </w:r>
      <w:r w:rsidR="008C767A">
        <w:rPr>
          <w:rFonts w:ascii="Arial" w:hAnsi="Arial" w:cs="Arial"/>
        </w:rPr>
        <w:t> </w:t>
      </w:r>
      <w:r w:rsidR="00513319" w:rsidRPr="00C3033E">
        <w:rPr>
          <w:rFonts w:ascii="Arial" w:hAnsi="Arial" w:cs="Arial"/>
        </w:rPr>
        <w:t>že</w:t>
      </w:r>
      <w:r w:rsidR="008C767A">
        <w:rPr>
          <w:rFonts w:ascii="Arial" w:hAnsi="Arial" w:cs="Arial"/>
        </w:rPr>
        <w:t> </w:t>
      </w:r>
      <w:r w:rsidR="00A64418" w:rsidRPr="00C3033E">
        <w:rPr>
          <w:rFonts w:ascii="Arial" w:hAnsi="Arial" w:cs="Arial"/>
        </w:rPr>
        <w:t>se</w:t>
      </w:r>
      <w:r w:rsidR="008C767A">
        <w:rPr>
          <w:rFonts w:ascii="Arial" w:hAnsi="Arial" w:cs="Arial"/>
        </w:rPr>
        <w:t> </w:t>
      </w:r>
      <w:proofErr w:type="gramStart"/>
      <w:r w:rsidR="00A64418" w:rsidRPr="00C3033E">
        <w:rPr>
          <w:rFonts w:ascii="Arial" w:hAnsi="Arial" w:cs="Arial"/>
        </w:rPr>
        <w:t>nesnaží</w:t>
      </w:r>
      <w:proofErr w:type="gramEnd"/>
      <w:r w:rsidR="00A64418" w:rsidRPr="00C3033E">
        <w:rPr>
          <w:rFonts w:ascii="Arial" w:hAnsi="Arial" w:cs="Arial"/>
        </w:rPr>
        <w:t xml:space="preserve"> harmonizovat kritéria způsobilosti, podmínky nebo postupy hodnocení za účelem získání statutu zdravotního postižení. Návrhem nejsou dotčeny pravomoc</w:t>
      </w:r>
      <w:r w:rsidR="00491739" w:rsidRPr="00C3033E">
        <w:rPr>
          <w:rFonts w:ascii="Arial" w:hAnsi="Arial" w:cs="Arial"/>
        </w:rPr>
        <w:t>i</w:t>
      </w:r>
      <w:r w:rsidR="00A64418" w:rsidRPr="00C3033E">
        <w:rPr>
          <w:rFonts w:ascii="Arial" w:hAnsi="Arial" w:cs="Arial"/>
        </w:rPr>
        <w:t xml:space="preserve"> ČS určovat podmínky a postupy při posuzování statusu zdravotního postižení pro</w:t>
      </w:r>
      <w:r w:rsidR="008C767A">
        <w:rPr>
          <w:rFonts w:ascii="Arial" w:hAnsi="Arial" w:cs="Arial"/>
        </w:rPr>
        <w:t> </w:t>
      </w:r>
      <w:r w:rsidR="00A64418" w:rsidRPr="00C3033E">
        <w:rPr>
          <w:rFonts w:ascii="Arial" w:hAnsi="Arial" w:cs="Arial"/>
        </w:rPr>
        <w:t>účely udělení (vydání) evropského průkazu pro osoby se zdravotním postižením (EDC) a evropského a</w:t>
      </w:r>
      <w:r w:rsidR="00996CBB" w:rsidRPr="00C3033E">
        <w:rPr>
          <w:rFonts w:ascii="Arial" w:hAnsi="Arial" w:cs="Arial"/>
        </w:rPr>
        <w:t xml:space="preserve"> evropského parkovacího průkazu pro osoby se zdravotním postižením (EPC). </w:t>
      </w:r>
    </w:p>
    <w:p w14:paraId="4D075431" w14:textId="77777777" w:rsidR="00E61343" w:rsidRDefault="00E61343" w:rsidP="008C767A">
      <w:pPr>
        <w:jc w:val="both"/>
        <w:rPr>
          <w:rFonts w:ascii="Arial" w:hAnsi="Arial" w:cs="Arial"/>
        </w:rPr>
      </w:pPr>
    </w:p>
    <w:p w14:paraId="6473F9BA" w14:textId="5B0EFC50" w:rsidR="00C2259C" w:rsidRPr="00EF5EE2" w:rsidRDefault="00996CBB" w:rsidP="008C767A">
      <w:pPr>
        <w:jc w:val="both"/>
        <w:rPr>
          <w:rFonts w:ascii="Arial" w:hAnsi="Arial" w:cs="Arial"/>
          <w:u w:val="single"/>
        </w:rPr>
      </w:pPr>
      <w:r w:rsidRPr="00C3033E">
        <w:rPr>
          <w:rFonts w:ascii="Arial" w:hAnsi="Arial" w:cs="Arial"/>
          <w:u w:val="single"/>
        </w:rPr>
        <w:t>Stanovení daných podmínek zůstává nadále v kompetenci ČS. Na ČS je také, zda</w:t>
      </w:r>
      <w:r w:rsidR="00216793">
        <w:rPr>
          <w:rFonts w:ascii="Arial" w:hAnsi="Arial" w:cs="Arial"/>
          <w:u w:val="single"/>
        </w:rPr>
        <w:t> </w:t>
      </w:r>
      <w:r w:rsidRPr="00C3033E">
        <w:rPr>
          <w:rFonts w:ascii="Arial" w:hAnsi="Arial" w:cs="Arial"/>
          <w:u w:val="single"/>
        </w:rPr>
        <w:t xml:space="preserve">budou vydávat pouze průkaz ve formátu dle přílohy </w:t>
      </w:r>
      <w:r w:rsidR="008A42C6" w:rsidRPr="00C3033E">
        <w:rPr>
          <w:rFonts w:ascii="Arial" w:hAnsi="Arial" w:cs="Arial"/>
          <w:u w:val="single"/>
        </w:rPr>
        <w:t xml:space="preserve">směrnice </w:t>
      </w:r>
      <w:r w:rsidRPr="00C3033E">
        <w:rPr>
          <w:rFonts w:ascii="Arial" w:hAnsi="Arial" w:cs="Arial"/>
          <w:u w:val="single"/>
        </w:rPr>
        <w:t>nebo zachovají i</w:t>
      </w:r>
      <w:r w:rsidR="008A42C6" w:rsidRPr="00C3033E">
        <w:rPr>
          <w:rFonts w:ascii="Arial" w:hAnsi="Arial" w:cs="Arial"/>
          <w:u w:val="single"/>
        </w:rPr>
        <w:t> </w:t>
      </w:r>
      <w:r w:rsidRPr="00C3033E">
        <w:rPr>
          <w:rFonts w:ascii="Arial" w:hAnsi="Arial" w:cs="Arial"/>
          <w:u w:val="single"/>
        </w:rPr>
        <w:t>průkazy ve</w:t>
      </w:r>
      <w:r w:rsidR="00A64418" w:rsidRPr="00C3033E">
        <w:rPr>
          <w:rFonts w:ascii="Arial" w:hAnsi="Arial" w:cs="Arial"/>
          <w:u w:val="single"/>
        </w:rPr>
        <w:t> </w:t>
      </w:r>
      <w:r w:rsidRPr="00C3033E">
        <w:rPr>
          <w:rFonts w:ascii="Arial" w:hAnsi="Arial" w:cs="Arial"/>
          <w:u w:val="single"/>
        </w:rPr>
        <w:t>svých národních či</w:t>
      </w:r>
      <w:r w:rsidR="0031160E" w:rsidRPr="00C3033E">
        <w:rPr>
          <w:rFonts w:ascii="Arial" w:hAnsi="Arial" w:cs="Arial"/>
          <w:u w:val="single"/>
        </w:rPr>
        <w:t> </w:t>
      </w:r>
      <w:r w:rsidRPr="00C3033E">
        <w:rPr>
          <w:rFonts w:ascii="Arial" w:hAnsi="Arial" w:cs="Arial"/>
          <w:u w:val="single"/>
        </w:rPr>
        <w:t xml:space="preserve">lokálních podobách. </w:t>
      </w:r>
      <w:r w:rsidR="00513319" w:rsidRPr="00C3033E">
        <w:rPr>
          <w:rFonts w:ascii="Arial" w:hAnsi="Arial" w:cs="Arial"/>
          <w:u w:val="single"/>
        </w:rPr>
        <w:t>Návrh směrnice n</w:t>
      </w:r>
      <w:r w:rsidR="005A3056" w:rsidRPr="00C3033E">
        <w:rPr>
          <w:rFonts w:ascii="Arial" w:hAnsi="Arial" w:cs="Arial"/>
          <w:u w:val="single"/>
        </w:rPr>
        <w:t>ezasahuje do pravomoci ČS stanovit rozsah a</w:t>
      </w:r>
      <w:r w:rsidR="00381A04" w:rsidRPr="00C3033E">
        <w:rPr>
          <w:rFonts w:ascii="Arial" w:hAnsi="Arial" w:cs="Arial"/>
          <w:u w:val="single"/>
        </w:rPr>
        <w:t> </w:t>
      </w:r>
      <w:r w:rsidR="005A3056" w:rsidRPr="00C3033E">
        <w:rPr>
          <w:rFonts w:ascii="Arial" w:hAnsi="Arial" w:cs="Arial"/>
          <w:u w:val="single"/>
        </w:rPr>
        <w:t>obsah benefitů a</w:t>
      </w:r>
      <w:r w:rsidR="005A0162" w:rsidRPr="00C3033E">
        <w:rPr>
          <w:rFonts w:ascii="Arial" w:hAnsi="Arial" w:cs="Arial"/>
          <w:u w:val="single"/>
        </w:rPr>
        <w:t> </w:t>
      </w:r>
      <w:r w:rsidR="005A3056" w:rsidRPr="00C3033E">
        <w:rPr>
          <w:rFonts w:ascii="Arial" w:hAnsi="Arial" w:cs="Arial"/>
          <w:u w:val="single"/>
        </w:rPr>
        <w:t xml:space="preserve">nestanoví povinnost </w:t>
      </w:r>
      <w:r w:rsidR="00F77188" w:rsidRPr="00C3033E">
        <w:rPr>
          <w:rFonts w:ascii="Arial" w:hAnsi="Arial" w:cs="Arial"/>
          <w:u w:val="single"/>
        </w:rPr>
        <w:t>(např.</w:t>
      </w:r>
      <w:r w:rsidR="00216793">
        <w:rPr>
          <w:rFonts w:ascii="Arial" w:hAnsi="Arial" w:cs="Arial"/>
          <w:u w:val="single"/>
        </w:rPr>
        <w:t> </w:t>
      </w:r>
      <w:r w:rsidR="00F77188" w:rsidRPr="00C3033E">
        <w:rPr>
          <w:rFonts w:ascii="Arial" w:hAnsi="Arial" w:cs="Arial"/>
          <w:u w:val="single"/>
        </w:rPr>
        <w:t xml:space="preserve">soukromým subjektům) </w:t>
      </w:r>
      <w:r w:rsidR="005A3056" w:rsidRPr="00C3033E">
        <w:rPr>
          <w:rFonts w:ascii="Arial" w:hAnsi="Arial" w:cs="Arial"/>
          <w:u w:val="single"/>
        </w:rPr>
        <w:t>benefity poskytovat</w:t>
      </w:r>
      <w:r w:rsidR="005A3056" w:rsidRPr="00EF5EE2">
        <w:rPr>
          <w:rFonts w:ascii="Arial" w:hAnsi="Arial" w:cs="Arial"/>
          <w:u w:val="single"/>
        </w:rPr>
        <w:t>. Existují-li však</w:t>
      </w:r>
      <w:r w:rsidR="00F77188" w:rsidRPr="00EF5EE2">
        <w:rPr>
          <w:rFonts w:ascii="Arial" w:hAnsi="Arial" w:cs="Arial"/>
          <w:u w:val="single"/>
        </w:rPr>
        <w:t>,</w:t>
      </w:r>
      <w:r w:rsidR="005A3056" w:rsidRPr="00EF5EE2">
        <w:rPr>
          <w:rFonts w:ascii="Arial" w:hAnsi="Arial" w:cs="Arial"/>
          <w:u w:val="single"/>
        </w:rPr>
        <w:t xml:space="preserve"> musí být poskytovány </w:t>
      </w:r>
      <w:r w:rsidRPr="00EF5EE2">
        <w:rPr>
          <w:rFonts w:ascii="Arial" w:hAnsi="Arial" w:cs="Arial"/>
          <w:u w:val="single"/>
        </w:rPr>
        <w:t>i</w:t>
      </w:r>
      <w:r w:rsidR="008A42C6" w:rsidRPr="00EF5EE2">
        <w:rPr>
          <w:rFonts w:ascii="Arial" w:hAnsi="Arial" w:cs="Arial"/>
          <w:u w:val="single"/>
        </w:rPr>
        <w:t> </w:t>
      </w:r>
      <w:r w:rsidRPr="00EF5EE2">
        <w:rPr>
          <w:rFonts w:ascii="Arial" w:hAnsi="Arial" w:cs="Arial"/>
          <w:u w:val="single"/>
        </w:rPr>
        <w:t>držitelům průkazu EDC a EPC vydaného jiným ČS. EDC má sloužit jako doklad o</w:t>
      </w:r>
      <w:r w:rsidR="008A42C6" w:rsidRPr="00EF5EE2">
        <w:rPr>
          <w:rFonts w:ascii="Arial" w:hAnsi="Arial" w:cs="Arial"/>
          <w:u w:val="single"/>
        </w:rPr>
        <w:t> </w:t>
      </w:r>
      <w:r w:rsidRPr="00EF5EE2">
        <w:rPr>
          <w:rFonts w:ascii="Arial" w:hAnsi="Arial" w:cs="Arial"/>
          <w:u w:val="single"/>
        </w:rPr>
        <w:t>přiznání statusu zdravotního postižení určité osobě a EPC jako doklad o</w:t>
      </w:r>
      <w:r w:rsidR="00216793" w:rsidRPr="00EF5EE2">
        <w:rPr>
          <w:rFonts w:ascii="Arial" w:hAnsi="Arial" w:cs="Arial"/>
          <w:u w:val="single"/>
        </w:rPr>
        <w:t> </w:t>
      </w:r>
      <w:r w:rsidRPr="00EF5EE2">
        <w:rPr>
          <w:rFonts w:ascii="Arial" w:hAnsi="Arial" w:cs="Arial"/>
          <w:u w:val="single"/>
        </w:rPr>
        <w:t>přiznání práva na</w:t>
      </w:r>
      <w:r w:rsidR="008C767A" w:rsidRPr="00EF5EE2">
        <w:rPr>
          <w:rFonts w:ascii="Arial" w:hAnsi="Arial" w:cs="Arial"/>
          <w:u w:val="single"/>
        </w:rPr>
        <w:t> </w:t>
      </w:r>
      <w:r w:rsidR="0031160E" w:rsidRPr="00EF5EE2">
        <w:rPr>
          <w:rFonts w:ascii="Arial" w:hAnsi="Arial" w:cs="Arial"/>
          <w:u w:val="single"/>
        </w:rPr>
        <w:t>podmínky parkování a využívání zařízení a vybavení určených pro</w:t>
      </w:r>
      <w:r w:rsidR="00216793" w:rsidRPr="00EF5EE2">
        <w:rPr>
          <w:rFonts w:ascii="Arial" w:hAnsi="Arial" w:cs="Arial"/>
          <w:u w:val="single"/>
        </w:rPr>
        <w:t> </w:t>
      </w:r>
      <w:r w:rsidR="0031160E" w:rsidRPr="00EF5EE2">
        <w:rPr>
          <w:rFonts w:ascii="Arial" w:hAnsi="Arial" w:cs="Arial"/>
          <w:u w:val="single"/>
        </w:rPr>
        <w:t>osoby se</w:t>
      </w:r>
      <w:r w:rsidR="008A42C6" w:rsidRPr="00EF5EE2">
        <w:rPr>
          <w:rFonts w:ascii="Arial" w:hAnsi="Arial" w:cs="Arial"/>
          <w:u w:val="single"/>
        </w:rPr>
        <w:t> </w:t>
      </w:r>
      <w:r w:rsidR="0031160E" w:rsidRPr="00EF5EE2">
        <w:rPr>
          <w:rFonts w:ascii="Arial" w:hAnsi="Arial" w:cs="Arial"/>
          <w:u w:val="single"/>
        </w:rPr>
        <w:t xml:space="preserve">zdravotním postižením (parkovací práva/parking </w:t>
      </w:r>
      <w:proofErr w:type="spellStart"/>
      <w:r w:rsidR="0031160E" w:rsidRPr="00EF5EE2">
        <w:rPr>
          <w:rFonts w:ascii="Arial" w:hAnsi="Arial" w:cs="Arial"/>
          <w:u w:val="single"/>
        </w:rPr>
        <w:t>rights</w:t>
      </w:r>
      <w:proofErr w:type="spellEnd"/>
      <w:r w:rsidR="0031160E" w:rsidRPr="00EF5EE2">
        <w:rPr>
          <w:rFonts w:ascii="Arial" w:hAnsi="Arial" w:cs="Arial"/>
          <w:u w:val="single"/>
        </w:rPr>
        <w:t>).</w:t>
      </w:r>
      <w:r w:rsidR="005A3056" w:rsidRPr="00EF5EE2">
        <w:rPr>
          <w:rFonts w:ascii="Arial" w:hAnsi="Arial" w:cs="Arial"/>
          <w:u w:val="single"/>
        </w:rPr>
        <w:t xml:space="preserve"> </w:t>
      </w:r>
    </w:p>
    <w:p w14:paraId="4176D2C0" w14:textId="77777777" w:rsidR="005A0162" w:rsidRPr="00C3033E" w:rsidRDefault="005A0162" w:rsidP="008C767A">
      <w:pPr>
        <w:jc w:val="both"/>
        <w:rPr>
          <w:rFonts w:ascii="Arial" w:hAnsi="Arial" w:cs="Arial"/>
        </w:rPr>
      </w:pPr>
    </w:p>
    <w:p w14:paraId="54636A22" w14:textId="5087724E" w:rsidR="00251B58" w:rsidRPr="00C3033E" w:rsidRDefault="00A64773" w:rsidP="008C767A">
      <w:pPr>
        <w:jc w:val="both"/>
        <w:rPr>
          <w:rFonts w:ascii="Arial" w:hAnsi="Arial" w:cs="Arial"/>
          <w:noProof/>
        </w:rPr>
      </w:pPr>
      <w:r w:rsidRPr="00C3033E">
        <w:rPr>
          <w:rFonts w:ascii="Arial" w:hAnsi="Arial" w:cs="Arial"/>
          <w:b/>
          <w:bCs/>
          <w:noProof/>
        </w:rPr>
        <w:t>Článek 1</w:t>
      </w:r>
      <w:r w:rsidRPr="00C3033E">
        <w:rPr>
          <w:rFonts w:ascii="Arial" w:hAnsi="Arial" w:cs="Arial"/>
          <w:noProof/>
        </w:rPr>
        <w:t xml:space="preserve"> </w:t>
      </w:r>
      <w:r w:rsidR="00251B58" w:rsidRPr="00C3033E">
        <w:rPr>
          <w:rFonts w:ascii="Arial" w:hAnsi="Arial" w:cs="Arial"/>
          <w:noProof/>
        </w:rPr>
        <w:t xml:space="preserve">uvádí </w:t>
      </w:r>
      <w:r w:rsidR="00441BA5" w:rsidRPr="00C3033E">
        <w:rPr>
          <w:rFonts w:ascii="Arial" w:hAnsi="Arial" w:cs="Arial"/>
          <w:noProof/>
        </w:rPr>
        <w:t>předmět směrnice</w:t>
      </w:r>
      <w:r w:rsidR="00917594" w:rsidRPr="00C3033E">
        <w:rPr>
          <w:rFonts w:ascii="Arial" w:hAnsi="Arial" w:cs="Arial"/>
          <w:noProof/>
        </w:rPr>
        <w:t>, tj. a) stanovení pravidel pro vydávání EDC a EPC jako důkazu o statusu zdravotního postižení nebo o právu na parkovací podmínky a</w:t>
      </w:r>
      <w:r w:rsidR="008C767A">
        <w:rPr>
          <w:rFonts w:ascii="Arial" w:hAnsi="Arial" w:cs="Arial"/>
          <w:noProof/>
        </w:rPr>
        <w:t> </w:t>
      </w:r>
      <w:r w:rsidR="00917594" w:rsidRPr="00C3033E">
        <w:rPr>
          <w:rFonts w:ascii="Arial" w:hAnsi="Arial" w:cs="Arial"/>
          <w:noProof/>
        </w:rPr>
        <w:t>zařízení vyhrazená pro osoby se zdravotním postižením s cílem usnadnit krátkodobé pobyty osob se zdravotním postižením v jiném členském státě, než je stát, jehož jsou dotčené osoby rezidenty, tím, že jim umožní přístup k jakýmkoli zvláštním podmínkám nebo preferenčnímu zacházení, a b) společné vzory pro EDC a EPC.</w:t>
      </w:r>
    </w:p>
    <w:p w14:paraId="5FB4F76D" w14:textId="77777777" w:rsidR="00026EE4" w:rsidRPr="00C3033E" w:rsidRDefault="00026EE4" w:rsidP="008C767A">
      <w:pPr>
        <w:jc w:val="both"/>
        <w:rPr>
          <w:rFonts w:ascii="Arial" w:hAnsi="Arial" w:cs="Arial"/>
          <w:noProof/>
        </w:rPr>
      </w:pPr>
    </w:p>
    <w:p w14:paraId="301AF73A" w14:textId="77777777" w:rsidR="00E61343" w:rsidRDefault="00E61343" w:rsidP="008C767A">
      <w:pPr>
        <w:pBdr>
          <w:top w:val="nil"/>
          <w:left w:val="nil"/>
          <w:bottom w:val="nil"/>
          <w:right w:val="nil"/>
          <w:between w:val="nil"/>
          <w:bar w:val="nil"/>
        </w:pBdr>
        <w:jc w:val="both"/>
        <w:rPr>
          <w:rFonts w:ascii="Arial" w:hAnsi="Arial" w:cs="Arial"/>
          <w:b/>
          <w:bCs/>
          <w:noProof/>
        </w:rPr>
      </w:pPr>
    </w:p>
    <w:p w14:paraId="60171255" w14:textId="0B1E9C31" w:rsidR="00B862EF" w:rsidRPr="00C3033E" w:rsidRDefault="00A64773" w:rsidP="00EF5EE2">
      <w:pPr>
        <w:pBdr>
          <w:top w:val="nil"/>
          <w:left w:val="nil"/>
          <w:bottom w:val="nil"/>
          <w:right w:val="nil"/>
          <w:between w:val="nil"/>
          <w:bar w:val="nil"/>
        </w:pBdr>
        <w:jc w:val="both"/>
        <w:rPr>
          <w:rFonts w:ascii="Arial" w:hAnsi="Arial" w:cs="Arial"/>
          <w:lang w:val="cs"/>
        </w:rPr>
      </w:pPr>
      <w:r w:rsidRPr="00C3033E">
        <w:rPr>
          <w:rFonts w:ascii="Arial" w:hAnsi="Arial" w:cs="Arial"/>
          <w:b/>
          <w:bCs/>
          <w:noProof/>
        </w:rPr>
        <w:lastRenderedPageBreak/>
        <w:t>Článek 2</w:t>
      </w:r>
      <w:r w:rsidRPr="00C3033E">
        <w:rPr>
          <w:rFonts w:ascii="Arial" w:hAnsi="Arial" w:cs="Arial"/>
          <w:noProof/>
        </w:rPr>
        <w:t xml:space="preserve"> </w:t>
      </w:r>
      <w:r w:rsidR="00251B58" w:rsidRPr="00C3033E">
        <w:rPr>
          <w:rFonts w:ascii="Arial" w:hAnsi="Arial" w:cs="Arial"/>
          <w:noProof/>
        </w:rPr>
        <w:t xml:space="preserve">vymezuje </w:t>
      </w:r>
      <w:r w:rsidR="00917594" w:rsidRPr="00C3033E">
        <w:rPr>
          <w:rFonts w:ascii="Arial" w:hAnsi="Arial" w:cs="Arial"/>
          <w:noProof/>
        </w:rPr>
        <w:t>působnost směrnice. Směrnice se má vztahovat na parkovací podmínky a zařízení a na všechny situace, kdy soukromí provozovatelé nebo veřejné orgány osobám se zdravotním postižením nabízejí zvláštní podmínky nebo preferenční zacházení, pokud jde o přístup ke službám ve smyslu článku 57 SFEU,</w:t>
      </w:r>
      <w:r w:rsidR="00781D27" w:rsidRPr="00C3033E">
        <w:rPr>
          <w:rFonts w:ascii="Arial" w:hAnsi="Arial" w:cs="Arial"/>
          <w:noProof/>
        </w:rPr>
        <w:t xml:space="preserve"> služby </w:t>
      </w:r>
      <w:r w:rsidR="00917594" w:rsidRPr="00C3033E">
        <w:rPr>
          <w:rFonts w:ascii="Arial" w:hAnsi="Arial" w:cs="Arial"/>
          <w:noProof/>
        </w:rPr>
        <w:t>v přepravě cestujících</w:t>
      </w:r>
      <w:r w:rsidR="00781D27" w:rsidRPr="00C3033E">
        <w:rPr>
          <w:rFonts w:ascii="Arial" w:hAnsi="Arial" w:cs="Arial"/>
          <w:noProof/>
        </w:rPr>
        <w:t xml:space="preserve"> a </w:t>
      </w:r>
      <w:r w:rsidR="00917594" w:rsidRPr="00C3033E">
        <w:rPr>
          <w:rFonts w:ascii="Arial" w:hAnsi="Arial" w:cs="Arial"/>
          <w:noProof/>
        </w:rPr>
        <w:t xml:space="preserve">další činnosti a zařízení, včetně případů, kdy nejsou poskytovány za </w:t>
      </w:r>
      <w:r w:rsidR="00917594" w:rsidRPr="00EF5EE2">
        <w:rPr>
          <w:rFonts w:ascii="Arial" w:hAnsi="Arial" w:cs="Arial"/>
          <w:noProof/>
        </w:rPr>
        <w:t>úplatu.</w:t>
      </w:r>
      <w:r w:rsidR="009D102C" w:rsidRPr="00EF5EE2">
        <w:rPr>
          <w:rFonts w:ascii="Arial" w:hAnsi="Arial" w:cs="Arial"/>
          <w:noProof/>
        </w:rPr>
        <w:t xml:space="preserve"> </w:t>
      </w:r>
      <w:r w:rsidR="00B862EF" w:rsidRPr="00EF5EE2">
        <w:rPr>
          <w:rFonts w:ascii="Arial" w:hAnsi="Arial" w:cs="Arial"/>
          <w:noProof/>
        </w:rPr>
        <w:t>Směrnice</w:t>
      </w:r>
      <w:r w:rsidR="00B862EF" w:rsidRPr="00C3033E">
        <w:rPr>
          <w:rFonts w:ascii="Arial" w:hAnsi="Arial" w:cs="Arial"/>
          <w:noProof/>
        </w:rPr>
        <w:t xml:space="preserve"> se nemá vztahovat na dávky v oblasti sociálního zabezpečení podle nařízení (ES)  883/2004 a (ES) č. 987/2009 na zvláštní příspěvkové nebo nepříspěvkové</w:t>
      </w:r>
      <w:r w:rsidR="00B862EF" w:rsidRPr="00C3033E">
        <w:rPr>
          <w:rFonts w:ascii="Arial" w:hAnsi="Arial" w:cs="Arial"/>
        </w:rPr>
        <w:t xml:space="preserve"> peněžité dávky nebo věcné dávky v oblasti sociálního zabezpečení, sociální ochrany nebo zaměstnání, a na sociální pomoc podle čl. 24 odst. 2 směrnice 2004/38/ES.</w:t>
      </w:r>
      <w:r w:rsidR="00EF5EE2">
        <w:rPr>
          <w:rFonts w:ascii="Arial" w:hAnsi="Arial" w:cs="Arial"/>
        </w:rPr>
        <w:t xml:space="preserve"> </w:t>
      </w:r>
      <w:r w:rsidR="00B862EF" w:rsidRPr="00C3033E">
        <w:rPr>
          <w:rFonts w:ascii="Arial" w:hAnsi="Arial" w:cs="Arial"/>
        </w:rPr>
        <w:t xml:space="preserve">Navrhovanou směrnicí není dotčena pravomoc </w:t>
      </w:r>
      <w:r w:rsidR="00216793">
        <w:rPr>
          <w:rFonts w:ascii="Arial" w:hAnsi="Arial" w:cs="Arial"/>
        </w:rPr>
        <w:t xml:space="preserve">ČS </w:t>
      </w:r>
      <w:r w:rsidR="00B862EF" w:rsidRPr="00C3033E">
        <w:rPr>
          <w:rFonts w:ascii="Arial" w:hAnsi="Arial" w:cs="Arial"/>
        </w:rPr>
        <w:t>stanovit podmínky pro</w:t>
      </w:r>
      <w:r w:rsidR="008C767A">
        <w:rPr>
          <w:rFonts w:ascii="Arial" w:hAnsi="Arial" w:cs="Arial"/>
        </w:rPr>
        <w:t> </w:t>
      </w:r>
      <w:r w:rsidR="00B862EF" w:rsidRPr="00C3033E">
        <w:rPr>
          <w:rFonts w:ascii="Arial" w:hAnsi="Arial" w:cs="Arial"/>
        </w:rPr>
        <w:t>posuzování a uznávání zdravotního postižení nebo právo na parkovací podmínky a zařízení vyhrazená osobám se zdravotním postižením.</w:t>
      </w:r>
      <w:r w:rsidR="00C25B6E" w:rsidRPr="00C3033E">
        <w:rPr>
          <w:rFonts w:ascii="Arial" w:hAnsi="Arial" w:cs="Arial"/>
        </w:rPr>
        <w:t xml:space="preserve"> Směrnice nemá zasahovat </w:t>
      </w:r>
      <w:r w:rsidR="00B862EF" w:rsidRPr="00C3033E">
        <w:rPr>
          <w:rFonts w:ascii="Arial" w:hAnsi="Arial" w:cs="Arial"/>
        </w:rPr>
        <w:t>do</w:t>
      </w:r>
      <w:r w:rsidR="00216793">
        <w:rPr>
          <w:rFonts w:ascii="Arial" w:hAnsi="Arial" w:cs="Arial"/>
        </w:rPr>
        <w:t> </w:t>
      </w:r>
      <w:r w:rsidR="00B862EF" w:rsidRPr="00C3033E">
        <w:rPr>
          <w:rFonts w:ascii="Arial" w:hAnsi="Arial" w:cs="Arial"/>
        </w:rPr>
        <w:t>vnitrostátních pravomocí poskytovat nebo vyžadovat poskytnutí zvláštních dávek nebo zvláštních preferenčních podmínek, jako je volný přístup, snížené sazby nebo preferenční zacházení pro osoby se zdravotním postižením</w:t>
      </w:r>
      <w:r w:rsidR="00C918CD" w:rsidRPr="00C3033E">
        <w:rPr>
          <w:rFonts w:ascii="Arial" w:hAnsi="Arial" w:cs="Arial"/>
        </w:rPr>
        <w:t>.</w:t>
      </w:r>
      <w:r w:rsidR="00EF5EE2">
        <w:rPr>
          <w:rFonts w:ascii="Arial" w:hAnsi="Arial" w:cs="Arial"/>
        </w:rPr>
        <w:t xml:space="preserve"> </w:t>
      </w:r>
      <w:r w:rsidR="00C25B6E" w:rsidRPr="00C3033E">
        <w:rPr>
          <w:rFonts w:ascii="Arial" w:hAnsi="Arial" w:cs="Arial"/>
        </w:rPr>
        <w:t xml:space="preserve">Směrnicí nemají být </w:t>
      </w:r>
      <w:r w:rsidR="00B862EF" w:rsidRPr="00C3033E">
        <w:rPr>
          <w:rFonts w:ascii="Arial" w:hAnsi="Arial" w:cs="Arial"/>
        </w:rPr>
        <w:t>dotčena práva, která osob</w:t>
      </w:r>
      <w:r w:rsidR="00C918CD" w:rsidRPr="00C3033E">
        <w:rPr>
          <w:rFonts w:ascii="Arial" w:hAnsi="Arial" w:cs="Arial"/>
        </w:rPr>
        <w:t>ám</w:t>
      </w:r>
      <w:r w:rsidR="00B862EF" w:rsidRPr="00C3033E">
        <w:rPr>
          <w:rFonts w:ascii="Arial" w:hAnsi="Arial" w:cs="Arial"/>
        </w:rPr>
        <w:t xml:space="preserve"> se zdravotním postižením nebo </w:t>
      </w:r>
      <w:bookmarkStart w:id="1" w:name="_Hlk141981425"/>
      <w:r w:rsidR="00B862EF" w:rsidRPr="00C3033E">
        <w:rPr>
          <w:rFonts w:ascii="Arial" w:hAnsi="Arial" w:cs="Arial"/>
        </w:rPr>
        <w:t>osob</w:t>
      </w:r>
      <w:r w:rsidR="00C918CD" w:rsidRPr="00C3033E">
        <w:rPr>
          <w:rFonts w:ascii="Arial" w:hAnsi="Arial" w:cs="Arial"/>
        </w:rPr>
        <w:t>ám</w:t>
      </w:r>
      <w:r w:rsidR="00B862EF" w:rsidRPr="00C3033E">
        <w:rPr>
          <w:rFonts w:ascii="Arial" w:hAnsi="Arial" w:cs="Arial"/>
        </w:rPr>
        <w:t xml:space="preserve">, které je doprovázejí nebo jim pomáhají, </w:t>
      </w:r>
      <w:bookmarkEnd w:id="1"/>
      <w:r w:rsidR="00B862EF" w:rsidRPr="00C3033E">
        <w:rPr>
          <w:rFonts w:ascii="Arial" w:hAnsi="Arial" w:cs="Arial"/>
        </w:rPr>
        <w:t>mohou vyplývat z</w:t>
      </w:r>
      <w:r w:rsidR="00EF5EE2">
        <w:rPr>
          <w:rFonts w:ascii="Arial" w:hAnsi="Arial" w:cs="Arial"/>
        </w:rPr>
        <w:t> </w:t>
      </w:r>
      <w:r w:rsidR="00B862EF" w:rsidRPr="00C3033E">
        <w:rPr>
          <w:rFonts w:ascii="Arial" w:hAnsi="Arial" w:cs="Arial"/>
        </w:rPr>
        <w:t>jiných ustanovení práva Unie</w:t>
      </w:r>
      <w:r w:rsidR="00E178BD" w:rsidRPr="00C3033E">
        <w:rPr>
          <w:rFonts w:ascii="Arial" w:hAnsi="Arial" w:cs="Arial"/>
        </w:rPr>
        <w:t>.</w:t>
      </w:r>
    </w:p>
    <w:p w14:paraId="4348C8A6" w14:textId="77777777" w:rsidR="00B862EF" w:rsidRPr="00C3033E" w:rsidRDefault="00B862EF" w:rsidP="008C767A">
      <w:pPr>
        <w:pBdr>
          <w:top w:val="nil"/>
          <w:left w:val="nil"/>
          <w:bottom w:val="nil"/>
          <w:right w:val="nil"/>
          <w:between w:val="nil"/>
          <w:bar w:val="nil"/>
        </w:pBdr>
        <w:jc w:val="both"/>
        <w:rPr>
          <w:rFonts w:ascii="Arial" w:hAnsi="Arial" w:cs="Arial"/>
          <w:noProof/>
          <w:highlight w:val="yellow"/>
        </w:rPr>
      </w:pPr>
    </w:p>
    <w:p w14:paraId="7A03635C" w14:textId="4D1C43D6" w:rsidR="00251B58" w:rsidRPr="00C3033E" w:rsidRDefault="00A64773"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t>Člán</w:t>
      </w:r>
      <w:r w:rsidR="00251B58" w:rsidRPr="00C3033E">
        <w:rPr>
          <w:rFonts w:ascii="Arial" w:hAnsi="Arial" w:cs="Arial"/>
          <w:b/>
          <w:bCs/>
          <w:noProof/>
        </w:rPr>
        <w:t>e</w:t>
      </w:r>
      <w:r w:rsidR="00AB6FBB" w:rsidRPr="00C3033E">
        <w:rPr>
          <w:rFonts w:ascii="Arial" w:hAnsi="Arial" w:cs="Arial"/>
          <w:b/>
          <w:bCs/>
          <w:noProof/>
        </w:rPr>
        <w:t>k</w:t>
      </w:r>
      <w:r w:rsidR="00251B58" w:rsidRPr="00C3033E">
        <w:rPr>
          <w:rFonts w:ascii="Arial" w:hAnsi="Arial" w:cs="Arial"/>
          <w:b/>
          <w:bCs/>
          <w:noProof/>
        </w:rPr>
        <w:t xml:space="preserve"> 3 </w:t>
      </w:r>
      <w:r w:rsidR="00251B58" w:rsidRPr="00C3033E">
        <w:rPr>
          <w:rFonts w:ascii="Arial" w:hAnsi="Arial" w:cs="Arial"/>
          <w:noProof/>
        </w:rPr>
        <w:t>obsahuje definice</w:t>
      </w:r>
      <w:r w:rsidR="00510556" w:rsidRPr="00C3033E">
        <w:rPr>
          <w:rFonts w:ascii="Arial" w:hAnsi="Arial" w:cs="Arial"/>
          <w:noProof/>
        </w:rPr>
        <w:t>, tj. vym</w:t>
      </w:r>
      <w:r w:rsidR="00441BA5" w:rsidRPr="00C3033E">
        <w:rPr>
          <w:rFonts w:ascii="Arial" w:hAnsi="Arial" w:cs="Arial"/>
          <w:noProof/>
        </w:rPr>
        <w:t xml:space="preserve">ezuje </w:t>
      </w:r>
      <w:r w:rsidR="00E53C33" w:rsidRPr="00C3033E">
        <w:rPr>
          <w:rFonts w:ascii="Arial" w:hAnsi="Arial" w:cs="Arial"/>
          <w:noProof/>
        </w:rPr>
        <w:t xml:space="preserve">pro účely směrnice </w:t>
      </w:r>
      <w:r w:rsidR="00441BA5" w:rsidRPr="00C3033E">
        <w:rPr>
          <w:rFonts w:ascii="Arial" w:hAnsi="Arial" w:cs="Arial"/>
          <w:noProof/>
        </w:rPr>
        <w:t xml:space="preserve">pojmy občan Unie, </w:t>
      </w:r>
      <w:r w:rsidR="00E53C33" w:rsidRPr="00C3033E">
        <w:rPr>
          <w:rFonts w:ascii="Arial" w:hAnsi="Arial" w:cs="Arial"/>
          <w:noProof/>
        </w:rPr>
        <w:t xml:space="preserve">rodinný příslušník občana Unie, </w:t>
      </w:r>
      <w:r w:rsidR="00441BA5" w:rsidRPr="00C3033E">
        <w:rPr>
          <w:rFonts w:ascii="Arial" w:hAnsi="Arial" w:cs="Arial"/>
          <w:noProof/>
        </w:rPr>
        <w:t>osoba se zdravotním postižením, osobní asistent, speciální podmínky a zv</w:t>
      </w:r>
      <w:r w:rsidR="00510556" w:rsidRPr="00C3033E">
        <w:rPr>
          <w:rFonts w:ascii="Arial" w:hAnsi="Arial" w:cs="Arial"/>
          <w:noProof/>
        </w:rPr>
        <w:t>ý</w:t>
      </w:r>
      <w:r w:rsidR="00441BA5" w:rsidRPr="00C3033E">
        <w:rPr>
          <w:rFonts w:ascii="Arial" w:hAnsi="Arial" w:cs="Arial"/>
          <w:noProof/>
        </w:rPr>
        <w:t xml:space="preserve">hodněné zacházení a parkovací podmínky a zařízení. </w:t>
      </w:r>
    </w:p>
    <w:p w14:paraId="50635876" w14:textId="77777777" w:rsidR="00E53C33" w:rsidRPr="00C3033E" w:rsidRDefault="00E53C33" w:rsidP="008C767A">
      <w:pPr>
        <w:pBdr>
          <w:top w:val="nil"/>
          <w:left w:val="nil"/>
          <w:bottom w:val="nil"/>
          <w:right w:val="nil"/>
          <w:between w:val="nil"/>
          <w:bar w:val="nil"/>
        </w:pBdr>
        <w:jc w:val="both"/>
        <w:rPr>
          <w:rFonts w:ascii="Arial" w:hAnsi="Arial" w:cs="Arial"/>
          <w:noProof/>
        </w:rPr>
      </w:pPr>
    </w:p>
    <w:p w14:paraId="78A5A0B1" w14:textId="6706E8E3" w:rsidR="00E53C33" w:rsidRPr="00C3033E" w:rsidRDefault="00441BA5" w:rsidP="008C767A">
      <w:pPr>
        <w:pStyle w:val="Point1"/>
        <w:spacing w:before="0" w:after="0"/>
        <w:ind w:left="0" w:firstLine="0"/>
        <w:rPr>
          <w:rFonts w:ascii="Arial" w:hAnsi="Arial" w:cs="Arial"/>
        </w:rPr>
      </w:pPr>
      <w:r w:rsidRPr="00C3033E">
        <w:rPr>
          <w:rFonts w:ascii="Arial" w:hAnsi="Arial" w:cs="Arial"/>
          <w:b/>
          <w:bCs/>
          <w:noProof/>
        </w:rPr>
        <w:t>Článek 4</w:t>
      </w:r>
      <w:r w:rsidR="009D417A" w:rsidRPr="00C3033E">
        <w:rPr>
          <w:rFonts w:ascii="Arial" w:hAnsi="Arial" w:cs="Arial"/>
          <w:b/>
          <w:bCs/>
          <w:noProof/>
        </w:rPr>
        <w:t xml:space="preserve"> </w:t>
      </w:r>
      <w:r w:rsidR="009D417A" w:rsidRPr="00C3033E">
        <w:rPr>
          <w:rFonts w:ascii="Arial" w:hAnsi="Arial" w:cs="Arial"/>
          <w:noProof/>
        </w:rPr>
        <w:t>uvádí oprávn</w:t>
      </w:r>
      <w:r w:rsidR="005A3056" w:rsidRPr="00C3033E">
        <w:rPr>
          <w:rFonts w:ascii="Arial" w:hAnsi="Arial" w:cs="Arial"/>
          <w:noProof/>
        </w:rPr>
        <w:t>ě</w:t>
      </w:r>
      <w:r w:rsidR="009D417A" w:rsidRPr="00C3033E">
        <w:rPr>
          <w:rFonts w:ascii="Arial" w:hAnsi="Arial" w:cs="Arial"/>
          <w:noProof/>
        </w:rPr>
        <w:t>né osoby</w:t>
      </w:r>
      <w:r w:rsidR="00E53C33" w:rsidRPr="00C3033E">
        <w:rPr>
          <w:rFonts w:ascii="Arial" w:hAnsi="Arial" w:cs="Arial"/>
          <w:noProof/>
        </w:rPr>
        <w:t xml:space="preserve">, kterými jsou </w:t>
      </w:r>
      <w:r w:rsidR="00E53C33" w:rsidRPr="00C3033E">
        <w:rPr>
          <w:rFonts w:ascii="Arial" w:hAnsi="Arial" w:cs="Arial"/>
        </w:rPr>
        <w:t xml:space="preserve">občané Unie </w:t>
      </w:r>
      <w:bookmarkStart w:id="2" w:name="_Hlk140135470"/>
      <w:r w:rsidR="00E53C33" w:rsidRPr="00C3033E">
        <w:rPr>
          <w:rFonts w:ascii="Arial" w:hAnsi="Arial" w:cs="Arial"/>
        </w:rPr>
        <w:t>a rodinní příslušníci občanů Unie, jejichž status zdravotního postižení uznávají příslušné orgány</w:t>
      </w:r>
      <w:r w:rsidR="00EF5EE2">
        <w:rPr>
          <w:rFonts w:ascii="Arial" w:hAnsi="Arial" w:cs="Arial"/>
        </w:rPr>
        <w:t xml:space="preserve"> ČS </w:t>
      </w:r>
      <w:r w:rsidR="00E53C33" w:rsidRPr="00C3033E">
        <w:rPr>
          <w:rFonts w:ascii="Arial" w:hAnsi="Arial" w:cs="Arial"/>
        </w:rPr>
        <w:t xml:space="preserve">jejich bydliště prostřednictvím </w:t>
      </w:r>
      <w:bookmarkStart w:id="3" w:name="_Hlk133525874"/>
      <w:r w:rsidR="00E53C33" w:rsidRPr="00C3033E">
        <w:rPr>
          <w:rFonts w:ascii="Arial" w:hAnsi="Arial" w:cs="Arial"/>
        </w:rPr>
        <w:t xml:space="preserve">osvědčení, průkazu </w:t>
      </w:r>
      <w:bookmarkStart w:id="4" w:name="_Hlk140335699"/>
      <w:r w:rsidR="00E53C33" w:rsidRPr="00C3033E">
        <w:rPr>
          <w:rFonts w:ascii="Arial" w:hAnsi="Arial" w:cs="Arial"/>
        </w:rPr>
        <w:t>nebo jiného formálního dokladu</w:t>
      </w:r>
      <w:bookmarkEnd w:id="3"/>
      <w:bookmarkEnd w:id="4"/>
      <w:r w:rsidR="00E53C33" w:rsidRPr="00C3033E">
        <w:rPr>
          <w:rFonts w:ascii="Arial" w:hAnsi="Arial" w:cs="Arial"/>
        </w:rPr>
        <w:t>, jakož</w:t>
      </w:r>
      <w:r w:rsidR="00EF5EE2">
        <w:rPr>
          <w:rFonts w:ascii="Arial" w:hAnsi="Arial" w:cs="Arial"/>
        </w:rPr>
        <w:t> </w:t>
      </w:r>
      <w:r w:rsidR="00E53C33" w:rsidRPr="00C3033E">
        <w:rPr>
          <w:rFonts w:ascii="Arial" w:hAnsi="Arial" w:cs="Arial"/>
        </w:rPr>
        <w:t>i</w:t>
      </w:r>
      <w:r w:rsidR="00EF5EE2">
        <w:rPr>
          <w:rFonts w:ascii="Arial" w:hAnsi="Arial" w:cs="Arial"/>
        </w:rPr>
        <w:t> </w:t>
      </w:r>
      <w:r w:rsidR="00E53C33" w:rsidRPr="00C3033E">
        <w:rPr>
          <w:rFonts w:ascii="Arial" w:hAnsi="Arial" w:cs="Arial"/>
        </w:rPr>
        <w:t xml:space="preserve">případně osoby, které je doprovázejí nebo jim pomáhají, </w:t>
      </w:r>
      <w:bookmarkEnd w:id="2"/>
      <w:r w:rsidR="00E53C33" w:rsidRPr="00C3033E">
        <w:rPr>
          <w:rFonts w:ascii="Arial" w:hAnsi="Arial" w:cs="Arial"/>
        </w:rPr>
        <w:t>a dále  občané Unie a rodinní příslušníci občanů Unie, jejichž práva na parkovací podmínky a</w:t>
      </w:r>
      <w:r w:rsidR="008C767A">
        <w:rPr>
          <w:rFonts w:ascii="Arial" w:hAnsi="Arial" w:cs="Arial"/>
        </w:rPr>
        <w:t> </w:t>
      </w:r>
      <w:r w:rsidR="00E53C33" w:rsidRPr="00C3033E">
        <w:rPr>
          <w:rFonts w:ascii="Arial" w:hAnsi="Arial" w:cs="Arial"/>
        </w:rPr>
        <w:t>zařízení vyhrazená osobám se zdravotním postižením jsou uznána v</w:t>
      </w:r>
      <w:r w:rsidR="00EF5EE2">
        <w:rPr>
          <w:rFonts w:ascii="Arial" w:hAnsi="Arial" w:cs="Arial"/>
        </w:rPr>
        <w:t xml:space="preserve"> ČS </w:t>
      </w:r>
      <w:r w:rsidR="00E53C33" w:rsidRPr="00C3033E">
        <w:rPr>
          <w:rFonts w:ascii="Arial" w:hAnsi="Arial" w:cs="Arial"/>
        </w:rPr>
        <w:t>jejich bydliště prostřednictvím parkovací karty nebo jiného dokladu, jakož i případně osoby, které je doprovázejí nebo jim pomáhají</w:t>
      </w:r>
      <w:r w:rsidR="008C767A">
        <w:rPr>
          <w:rFonts w:ascii="Arial" w:hAnsi="Arial" w:cs="Arial"/>
        </w:rPr>
        <w:t>.</w:t>
      </w:r>
    </w:p>
    <w:p w14:paraId="2205C998" w14:textId="0FD6760A" w:rsidR="009D417A" w:rsidRPr="00C3033E" w:rsidRDefault="009D417A" w:rsidP="008C767A">
      <w:pPr>
        <w:pBdr>
          <w:top w:val="nil"/>
          <w:left w:val="nil"/>
          <w:bottom w:val="nil"/>
          <w:right w:val="nil"/>
          <w:between w:val="nil"/>
          <w:bar w:val="nil"/>
        </w:pBdr>
        <w:jc w:val="both"/>
        <w:rPr>
          <w:rFonts w:ascii="Arial" w:hAnsi="Arial" w:cs="Arial"/>
          <w:noProof/>
        </w:rPr>
      </w:pPr>
    </w:p>
    <w:p w14:paraId="6E664342" w14:textId="27E1B6E6" w:rsidR="008C04BC" w:rsidRPr="00C3033E" w:rsidRDefault="00441BA5" w:rsidP="008C767A">
      <w:pPr>
        <w:pBdr>
          <w:top w:val="nil"/>
          <w:left w:val="nil"/>
          <w:bottom w:val="nil"/>
          <w:right w:val="nil"/>
          <w:between w:val="nil"/>
          <w:bar w:val="nil"/>
        </w:pBdr>
        <w:jc w:val="both"/>
        <w:rPr>
          <w:rFonts w:ascii="Arial" w:hAnsi="Arial" w:cs="Arial"/>
        </w:rPr>
      </w:pPr>
      <w:r w:rsidRPr="00C3033E">
        <w:rPr>
          <w:rFonts w:ascii="Arial" w:hAnsi="Arial" w:cs="Arial"/>
          <w:b/>
          <w:bCs/>
          <w:noProof/>
        </w:rPr>
        <w:t>Článek 5</w:t>
      </w:r>
      <w:r w:rsidR="009D102C" w:rsidRPr="00C3033E">
        <w:rPr>
          <w:rFonts w:ascii="Arial" w:hAnsi="Arial" w:cs="Arial"/>
          <w:b/>
          <w:bCs/>
          <w:noProof/>
        </w:rPr>
        <w:t xml:space="preserve"> </w:t>
      </w:r>
      <w:r w:rsidR="009D102C" w:rsidRPr="00C3033E">
        <w:rPr>
          <w:rFonts w:ascii="Arial" w:hAnsi="Arial" w:cs="Arial"/>
          <w:noProof/>
        </w:rPr>
        <w:t xml:space="preserve">upravuje rovný přístup osob se zdravotním postižením k speciálním podmínkám nebo zvýhodněnému zacházení a k parkovacím podmínkám. </w:t>
      </w:r>
      <w:r w:rsidR="008C04BC" w:rsidRPr="00C3033E">
        <w:rPr>
          <w:rFonts w:ascii="Arial" w:hAnsi="Arial" w:cs="Arial"/>
        </w:rPr>
        <w:t>Č</w:t>
      </w:r>
      <w:r w:rsidR="00216793">
        <w:rPr>
          <w:rFonts w:ascii="Arial" w:hAnsi="Arial" w:cs="Arial"/>
        </w:rPr>
        <w:t xml:space="preserve">S </w:t>
      </w:r>
      <w:r w:rsidR="008C04BC" w:rsidRPr="00C3033E">
        <w:rPr>
          <w:rFonts w:ascii="Arial" w:hAnsi="Arial" w:cs="Arial"/>
        </w:rPr>
        <w:t xml:space="preserve">mají přijmout nezbytná opatření k zajištění toho, aby držitelům </w:t>
      </w:r>
      <w:bookmarkStart w:id="5" w:name="_Hlk139897750"/>
      <w:r w:rsidR="008C04BC" w:rsidRPr="00C3033E">
        <w:rPr>
          <w:rFonts w:ascii="Arial" w:hAnsi="Arial" w:cs="Arial"/>
        </w:rPr>
        <w:t>EDC a EPC při</w:t>
      </w:r>
      <w:r w:rsidR="008C767A">
        <w:rPr>
          <w:rFonts w:ascii="Arial" w:hAnsi="Arial" w:cs="Arial"/>
        </w:rPr>
        <w:t> </w:t>
      </w:r>
      <w:r w:rsidR="008C04BC" w:rsidRPr="00C3033E">
        <w:rPr>
          <w:rFonts w:ascii="Arial" w:hAnsi="Arial" w:cs="Arial"/>
        </w:rPr>
        <w:t>cestách do</w:t>
      </w:r>
      <w:r w:rsidR="00216793">
        <w:rPr>
          <w:rFonts w:ascii="Arial" w:hAnsi="Arial" w:cs="Arial"/>
        </w:rPr>
        <w:t> </w:t>
      </w:r>
      <w:r w:rsidR="008C04BC" w:rsidRPr="00C3033E">
        <w:rPr>
          <w:rFonts w:ascii="Arial" w:hAnsi="Arial" w:cs="Arial"/>
        </w:rPr>
        <w:t>jiného členského státu, než je stát, jehož jsou rezidenty, nebo</w:t>
      </w:r>
      <w:r w:rsidR="00216793">
        <w:rPr>
          <w:rFonts w:ascii="Arial" w:hAnsi="Arial" w:cs="Arial"/>
        </w:rPr>
        <w:t> </w:t>
      </w:r>
      <w:r w:rsidR="008C04BC" w:rsidRPr="00C3033E">
        <w:rPr>
          <w:rFonts w:ascii="Arial" w:hAnsi="Arial" w:cs="Arial"/>
        </w:rPr>
        <w:t>při</w:t>
      </w:r>
      <w:r w:rsidR="00216793">
        <w:rPr>
          <w:rFonts w:ascii="Arial" w:hAnsi="Arial" w:cs="Arial"/>
        </w:rPr>
        <w:t> </w:t>
      </w:r>
      <w:r w:rsidR="008C04BC" w:rsidRPr="00C3033E">
        <w:rPr>
          <w:rFonts w:ascii="Arial" w:hAnsi="Arial" w:cs="Arial"/>
        </w:rPr>
        <w:t xml:space="preserve">návštěvě tohoto </w:t>
      </w:r>
      <w:r w:rsidR="00216793">
        <w:rPr>
          <w:rFonts w:ascii="Arial" w:hAnsi="Arial" w:cs="Arial"/>
        </w:rPr>
        <w:t xml:space="preserve">ČS </w:t>
      </w:r>
      <w:r w:rsidR="008C04BC" w:rsidRPr="00C3033E">
        <w:rPr>
          <w:rFonts w:ascii="Arial" w:hAnsi="Arial" w:cs="Arial"/>
        </w:rPr>
        <w:t>byl umožněn přístup ke všem</w:t>
      </w:r>
      <w:bookmarkEnd w:id="5"/>
      <w:r w:rsidR="008C04BC" w:rsidRPr="00C3033E">
        <w:rPr>
          <w:rFonts w:ascii="Arial" w:hAnsi="Arial" w:cs="Arial"/>
        </w:rPr>
        <w:t xml:space="preserve"> zvláštním podmínkám nebo preferenčnímu zacházení, resp. k parkovacím podmínkám za</w:t>
      </w:r>
      <w:r w:rsidR="00216793">
        <w:rPr>
          <w:rFonts w:ascii="Arial" w:hAnsi="Arial" w:cs="Arial"/>
        </w:rPr>
        <w:t> </w:t>
      </w:r>
      <w:r w:rsidR="008C04BC" w:rsidRPr="00C3033E">
        <w:rPr>
          <w:rFonts w:ascii="Arial" w:hAnsi="Arial" w:cs="Arial"/>
        </w:rPr>
        <w:t xml:space="preserve">stejných podmínek, jaké jsou stanoveny v tomto </w:t>
      </w:r>
      <w:r w:rsidR="00216793">
        <w:rPr>
          <w:rFonts w:ascii="Arial" w:hAnsi="Arial" w:cs="Arial"/>
        </w:rPr>
        <w:t xml:space="preserve">ČS. </w:t>
      </w:r>
    </w:p>
    <w:p w14:paraId="1D2858F1" w14:textId="77777777" w:rsidR="008C04BC" w:rsidRPr="00C3033E" w:rsidRDefault="008C04BC" w:rsidP="008C767A">
      <w:pPr>
        <w:pBdr>
          <w:top w:val="nil"/>
          <w:left w:val="nil"/>
          <w:bottom w:val="nil"/>
          <w:right w:val="nil"/>
          <w:between w:val="nil"/>
          <w:bar w:val="nil"/>
        </w:pBdr>
        <w:jc w:val="both"/>
        <w:rPr>
          <w:rFonts w:ascii="Arial" w:hAnsi="Arial" w:cs="Arial"/>
          <w:noProof/>
        </w:rPr>
      </w:pPr>
    </w:p>
    <w:p w14:paraId="72E44601" w14:textId="6C083E41" w:rsidR="00441BA5" w:rsidRPr="00C3033E" w:rsidRDefault="00441BA5"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t>Člán</w:t>
      </w:r>
      <w:r w:rsidR="009D417A" w:rsidRPr="00C3033E">
        <w:rPr>
          <w:rFonts w:ascii="Arial" w:hAnsi="Arial" w:cs="Arial"/>
          <w:b/>
          <w:bCs/>
          <w:noProof/>
        </w:rPr>
        <w:t xml:space="preserve">ky 6 a 7 </w:t>
      </w:r>
      <w:r w:rsidR="009D417A" w:rsidRPr="00C3033E">
        <w:rPr>
          <w:rFonts w:ascii="Arial" w:hAnsi="Arial" w:cs="Arial"/>
          <w:noProof/>
        </w:rPr>
        <w:t>s</w:t>
      </w:r>
      <w:r w:rsidRPr="00C3033E">
        <w:rPr>
          <w:rFonts w:ascii="Arial" w:hAnsi="Arial" w:cs="Arial"/>
          <w:noProof/>
        </w:rPr>
        <w:t>e zabýv</w:t>
      </w:r>
      <w:r w:rsidR="009D417A" w:rsidRPr="00C3033E">
        <w:rPr>
          <w:rFonts w:ascii="Arial" w:hAnsi="Arial" w:cs="Arial"/>
          <w:noProof/>
        </w:rPr>
        <w:t>ají f</w:t>
      </w:r>
      <w:r w:rsidRPr="00C3033E">
        <w:rPr>
          <w:rFonts w:ascii="Arial" w:hAnsi="Arial" w:cs="Arial"/>
          <w:noProof/>
        </w:rPr>
        <w:t xml:space="preserve">ormátem, </w:t>
      </w:r>
      <w:r w:rsidR="008C04BC" w:rsidRPr="00C3033E">
        <w:rPr>
          <w:rFonts w:ascii="Arial" w:hAnsi="Arial" w:cs="Arial"/>
          <w:noProof/>
        </w:rPr>
        <w:t xml:space="preserve">vzájemným uznáváním, vydáváním a platností EDC a EPC. Průkazy mají být zavedeny ve standardizované formě uvedené v příloze směrnice. </w:t>
      </w:r>
      <w:r w:rsidR="008C04BC" w:rsidRPr="00C3033E">
        <w:rPr>
          <w:rFonts w:ascii="Arial" w:hAnsi="Arial" w:cs="Arial"/>
        </w:rPr>
        <w:t xml:space="preserve">Průkazy vydává nebo obnovuje </w:t>
      </w:r>
      <w:r w:rsidR="00216793">
        <w:rPr>
          <w:rFonts w:ascii="Arial" w:hAnsi="Arial" w:cs="Arial"/>
        </w:rPr>
        <w:t>ČS</w:t>
      </w:r>
      <w:r w:rsidR="008C04BC" w:rsidRPr="00C3033E">
        <w:rPr>
          <w:rFonts w:ascii="Arial" w:hAnsi="Arial" w:cs="Arial"/>
        </w:rPr>
        <w:t xml:space="preserve"> bydliště přímo nebo na žádost osoby se</w:t>
      </w:r>
      <w:r w:rsidR="00216793">
        <w:rPr>
          <w:rFonts w:ascii="Arial" w:hAnsi="Arial" w:cs="Arial"/>
        </w:rPr>
        <w:t> </w:t>
      </w:r>
      <w:r w:rsidR="008C04BC" w:rsidRPr="00C3033E">
        <w:rPr>
          <w:rFonts w:ascii="Arial" w:hAnsi="Arial" w:cs="Arial"/>
        </w:rPr>
        <w:t xml:space="preserve">zdravotním postižením. Průkaz se vydává jako fyzická karta </w:t>
      </w:r>
      <w:r w:rsidR="00684704" w:rsidRPr="00C3033E">
        <w:rPr>
          <w:rFonts w:ascii="Arial" w:hAnsi="Arial" w:cs="Arial"/>
        </w:rPr>
        <w:t xml:space="preserve">doplněná digitálním formátem. </w:t>
      </w:r>
      <w:r w:rsidR="009D417A" w:rsidRPr="00C3033E">
        <w:rPr>
          <w:rFonts w:ascii="Arial" w:hAnsi="Arial" w:cs="Arial"/>
          <w:noProof/>
        </w:rPr>
        <w:t xml:space="preserve">Oba články zmocňují EK přijmout </w:t>
      </w:r>
      <w:r w:rsidR="001732DC" w:rsidRPr="00C3033E">
        <w:rPr>
          <w:rFonts w:ascii="Arial" w:hAnsi="Arial" w:cs="Arial"/>
          <w:noProof/>
        </w:rPr>
        <w:t xml:space="preserve">akt v přenesené </w:t>
      </w:r>
      <w:r w:rsidR="00684704" w:rsidRPr="00C3033E">
        <w:rPr>
          <w:rFonts w:ascii="Arial" w:hAnsi="Arial" w:cs="Arial"/>
          <w:noProof/>
        </w:rPr>
        <w:t xml:space="preserve">pravomoci </w:t>
      </w:r>
      <w:r w:rsidR="001732DC" w:rsidRPr="00C3033E">
        <w:rPr>
          <w:rFonts w:ascii="Arial" w:hAnsi="Arial" w:cs="Arial"/>
          <w:noProof/>
        </w:rPr>
        <w:t xml:space="preserve">k detailní úpravě digitalizace obou průkazů. </w:t>
      </w:r>
      <w:r w:rsidR="009E62B5" w:rsidRPr="00C3033E">
        <w:rPr>
          <w:rFonts w:ascii="Arial" w:hAnsi="Arial" w:cs="Arial"/>
          <w:noProof/>
        </w:rPr>
        <w:t xml:space="preserve"> </w:t>
      </w:r>
    </w:p>
    <w:p w14:paraId="2B993759" w14:textId="77777777" w:rsidR="005577E8" w:rsidRPr="00C3033E" w:rsidRDefault="005577E8" w:rsidP="008C767A">
      <w:pPr>
        <w:pBdr>
          <w:top w:val="nil"/>
          <w:left w:val="nil"/>
          <w:bottom w:val="nil"/>
          <w:right w:val="nil"/>
          <w:between w:val="nil"/>
          <w:bar w:val="nil"/>
        </w:pBdr>
        <w:jc w:val="both"/>
        <w:rPr>
          <w:rFonts w:ascii="Arial" w:hAnsi="Arial" w:cs="Arial"/>
          <w:noProof/>
        </w:rPr>
      </w:pPr>
    </w:p>
    <w:p w14:paraId="6A45B85D" w14:textId="72572A93" w:rsidR="009E62B5" w:rsidRPr="00C3033E" w:rsidRDefault="00441BA5"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t>Článek 8</w:t>
      </w:r>
      <w:r w:rsidR="009E62B5" w:rsidRPr="00C3033E">
        <w:rPr>
          <w:rFonts w:ascii="Arial" w:hAnsi="Arial" w:cs="Arial"/>
          <w:b/>
          <w:bCs/>
          <w:noProof/>
        </w:rPr>
        <w:t xml:space="preserve"> </w:t>
      </w:r>
      <w:r w:rsidR="009E62B5" w:rsidRPr="00C3033E">
        <w:rPr>
          <w:rFonts w:ascii="Arial" w:hAnsi="Arial" w:cs="Arial"/>
          <w:noProof/>
        </w:rPr>
        <w:t>stanoví</w:t>
      </w:r>
      <w:r w:rsidR="00684704" w:rsidRPr="00C3033E">
        <w:rPr>
          <w:rFonts w:ascii="Arial" w:hAnsi="Arial" w:cs="Arial"/>
          <w:noProof/>
        </w:rPr>
        <w:t xml:space="preserve">, že </w:t>
      </w:r>
      <w:r w:rsidR="00216793">
        <w:rPr>
          <w:rFonts w:ascii="Arial" w:hAnsi="Arial" w:cs="Arial"/>
          <w:noProof/>
        </w:rPr>
        <w:t xml:space="preserve">EK </w:t>
      </w:r>
      <w:r w:rsidR="00684704" w:rsidRPr="00C3033E">
        <w:rPr>
          <w:rFonts w:ascii="Arial" w:hAnsi="Arial" w:cs="Arial"/>
        </w:rPr>
        <w:t xml:space="preserve">prováděcí akty, kterými stanoví společné technické specifikace pro další upřesnění formátů průkazů. </w:t>
      </w:r>
      <w:r w:rsidR="009E62B5" w:rsidRPr="00C3033E">
        <w:rPr>
          <w:rFonts w:ascii="Arial" w:hAnsi="Arial" w:cs="Arial"/>
          <w:noProof/>
        </w:rPr>
        <w:t xml:space="preserve"> </w:t>
      </w:r>
    </w:p>
    <w:p w14:paraId="6F72FB43" w14:textId="77777777" w:rsidR="005577E8" w:rsidRPr="00EC1AC2" w:rsidRDefault="005577E8" w:rsidP="008C767A">
      <w:pPr>
        <w:pBdr>
          <w:top w:val="nil"/>
          <w:left w:val="nil"/>
          <w:bottom w:val="nil"/>
          <w:right w:val="nil"/>
          <w:between w:val="nil"/>
          <w:bar w:val="nil"/>
        </w:pBdr>
        <w:jc w:val="both"/>
        <w:rPr>
          <w:rFonts w:ascii="Arial" w:hAnsi="Arial" w:cs="Arial"/>
          <w:noProof/>
          <w:sz w:val="16"/>
          <w:szCs w:val="16"/>
        </w:rPr>
      </w:pPr>
    </w:p>
    <w:p w14:paraId="20A9448A" w14:textId="293BD3E0" w:rsidR="00441BA5" w:rsidRPr="00C3033E" w:rsidRDefault="00441BA5"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lastRenderedPageBreak/>
        <w:t>Článek 9</w:t>
      </w:r>
      <w:r w:rsidR="009E62B5" w:rsidRPr="00C3033E">
        <w:rPr>
          <w:rFonts w:ascii="Arial" w:hAnsi="Arial" w:cs="Arial"/>
          <w:b/>
          <w:bCs/>
          <w:noProof/>
        </w:rPr>
        <w:t xml:space="preserve"> </w:t>
      </w:r>
      <w:r w:rsidR="009E62B5" w:rsidRPr="00C3033E">
        <w:rPr>
          <w:rFonts w:ascii="Arial" w:hAnsi="Arial" w:cs="Arial"/>
          <w:noProof/>
        </w:rPr>
        <w:t>se z</w:t>
      </w:r>
      <w:r w:rsidR="009D102C" w:rsidRPr="00C3033E">
        <w:rPr>
          <w:rFonts w:ascii="Arial" w:hAnsi="Arial" w:cs="Arial"/>
          <w:noProof/>
        </w:rPr>
        <w:t xml:space="preserve">abývá </w:t>
      </w:r>
      <w:r w:rsidR="009E62B5" w:rsidRPr="00C3033E">
        <w:rPr>
          <w:rFonts w:ascii="Arial" w:hAnsi="Arial" w:cs="Arial"/>
          <w:noProof/>
        </w:rPr>
        <w:t>dohledem, dodržováním a příst</w:t>
      </w:r>
      <w:r w:rsidR="009D102C" w:rsidRPr="00C3033E">
        <w:rPr>
          <w:rFonts w:ascii="Arial" w:hAnsi="Arial" w:cs="Arial"/>
          <w:noProof/>
        </w:rPr>
        <w:t>upnost</w:t>
      </w:r>
      <w:r w:rsidR="001C3EF5" w:rsidRPr="00C3033E">
        <w:rPr>
          <w:rFonts w:ascii="Arial" w:hAnsi="Arial" w:cs="Arial"/>
          <w:noProof/>
        </w:rPr>
        <w:t xml:space="preserve">í </w:t>
      </w:r>
      <w:r w:rsidR="009E62B5" w:rsidRPr="00C3033E">
        <w:rPr>
          <w:rFonts w:ascii="Arial" w:hAnsi="Arial" w:cs="Arial"/>
          <w:noProof/>
        </w:rPr>
        <w:t>informací s ohledem na</w:t>
      </w:r>
      <w:r w:rsidR="009D102C" w:rsidRPr="00C3033E">
        <w:rPr>
          <w:rFonts w:ascii="Arial" w:hAnsi="Arial" w:cs="Arial"/>
          <w:noProof/>
        </w:rPr>
        <w:t> </w:t>
      </w:r>
      <w:r w:rsidR="009E62B5" w:rsidRPr="00C3033E">
        <w:rPr>
          <w:rFonts w:ascii="Arial" w:hAnsi="Arial" w:cs="Arial"/>
          <w:noProof/>
        </w:rPr>
        <w:t xml:space="preserve">užívání </w:t>
      </w:r>
      <w:r w:rsidR="00F72262" w:rsidRPr="00C3033E">
        <w:rPr>
          <w:rFonts w:ascii="Arial" w:hAnsi="Arial" w:cs="Arial"/>
          <w:noProof/>
        </w:rPr>
        <w:t xml:space="preserve">průkazů </w:t>
      </w:r>
      <w:r w:rsidR="009E62B5" w:rsidRPr="00C3033E">
        <w:rPr>
          <w:rFonts w:ascii="Arial" w:hAnsi="Arial" w:cs="Arial"/>
          <w:noProof/>
        </w:rPr>
        <w:t xml:space="preserve">včetně rizika </w:t>
      </w:r>
      <w:r w:rsidR="00F72262" w:rsidRPr="00C3033E">
        <w:rPr>
          <w:rFonts w:ascii="Arial" w:hAnsi="Arial" w:cs="Arial"/>
          <w:noProof/>
        </w:rPr>
        <w:t xml:space="preserve">jejich </w:t>
      </w:r>
      <w:r w:rsidR="009E62B5" w:rsidRPr="00C3033E">
        <w:rPr>
          <w:rFonts w:ascii="Arial" w:hAnsi="Arial" w:cs="Arial"/>
          <w:noProof/>
        </w:rPr>
        <w:t xml:space="preserve">padělání a zneužití. </w:t>
      </w:r>
      <w:r w:rsidR="00684704" w:rsidRPr="00C3033E">
        <w:rPr>
          <w:rFonts w:ascii="Arial" w:hAnsi="Arial" w:cs="Arial"/>
          <w:noProof/>
        </w:rPr>
        <w:t>Č</w:t>
      </w:r>
      <w:r w:rsidR="00216793">
        <w:rPr>
          <w:rFonts w:ascii="Arial" w:hAnsi="Arial" w:cs="Arial"/>
          <w:noProof/>
        </w:rPr>
        <w:t xml:space="preserve">S </w:t>
      </w:r>
      <w:r w:rsidR="00684704" w:rsidRPr="00C3033E">
        <w:rPr>
          <w:rFonts w:ascii="Arial" w:hAnsi="Arial" w:cs="Arial"/>
          <w:noProof/>
        </w:rPr>
        <w:t xml:space="preserve">mají zveřejnit podmínky a pravidla pro vydávání EDC a EPC, přijmout opatření ke zvýšení informovanosti veřejnosti, jakož i opatření k zabránění padělání nebo podvodnému používání průkazů. </w:t>
      </w:r>
    </w:p>
    <w:p w14:paraId="07EDB893" w14:textId="77777777" w:rsidR="005577E8" w:rsidRPr="00EC1AC2" w:rsidRDefault="005577E8" w:rsidP="008C767A">
      <w:pPr>
        <w:pBdr>
          <w:top w:val="nil"/>
          <w:left w:val="nil"/>
          <w:bottom w:val="nil"/>
          <w:right w:val="nil"/>
          <w:between w:val="nil"/>
          <w:bar w:val="nil"/>
        </w:pBdr>
        <w:jc w:val="both"/>
        <w:rPr>
          <w:rFonts w:ascii="Arial" w:hAnsi="Arial" w:cs="Arial"/>
          <w:noProof/>
          <w:sz w:val="16"/>
          <w:szCs w:val="16"/>
        </w:rPr>
      </w:pPr>
    </w:p>
    <w:p w14:paraId="7894EAEF" w14:textId="1EFD0BCA" w:rsidR="00251B58" w:rsidRPr="00C3033E" w:rsidRDefault="00251B58"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t>Článek 10</w:t>
      </w:r>
      <w:r w:rsidRPr="00C3033E">
        <w:rPr>
          <w:rFonts w:ascii="Arial" w:hAnsi="Arial" w:cs="Arial"/>
          <w:noProof/>
        </w:rPr>
        <w:t xml:space="preserve"> požaduje </w:t>
      </w:r>
      <w:r w:rsidR="009D102C" w:rsidRPr="00C3033E">
        <w:rPr>
          <w:rFonts w:ascii="Arial" w:hAnsi="Arial" w:cs="Arial"/>
          <w:noProof/>
        </w:rPr>
        <w:t xml:space="preserve">po ČS </w:t>
      </w:r>
      <w:r w:rsidRPr="00C3033E">
        <w:rPr>
          <w:rFonts w:ascii="Arial" w:hAnsi="Arial" w:cs="Arial"/>
          <w:noProof/>
        </w:rPr>
        <w:t xml:space="preserve">ve stanovené lhůtě </w:t>
      </w:r>
      <w:r w:rsidR="000025E6" w:rsidRPr="00C3033E">
        <w:rPr>
          <w:rFonts w:ascii="Arial" w:hAnsi="Arial" w:cs="Arial"/>
          <w:noProof/>
        </w:rPr>
        <w:t xml:space="preserve">oznámit Komisi </w:t>
      </w:r>
      <w:r w:rsidRPr="00C3033E">
        <w:rPr>
          <w:rFonts w:ascii="Arial" w:hAnsi="Arial" w:cs="Arial"/>
          <w:noProof/>
        </w:rPr>
        <w:t xml:space="preserve">kompetentní orgán, který bude vydávat EDC a EPC. </w:t>
      </w:r>
    </w:p>
    <w:p w14:paraId="001CFFAD" w14:textId="77777777" w:rsidR="005577E8" w:rsidRPr="00EC1AC2" w:rsidRDefault="005577E8" w:rsidP="008C767A">
      <w:pPr>
        <w:pBdr>
          <w:top w:val="nil"/>
          <w:left w:val="nil"/>
          <w:bottom w:val="nil"/>
          <w:right w:val="nil"/>
          <w:between w:val="nil"/>
          <w:bar w:val="nil"/>
        </w:pBdr>
        <w:jc w:val="both"/>
        <w:rPr>
          <w:rFonts w:ascii="Arial" w:hAnsi="Arial" w:cs="Arial"/>
          <w:noProof/>
          <w:sz w:val="16"/>
          <w:szCs w:val="16"/>
        </w:rPr>
      </w:pPr>
    </w:p>
    <w:p w14:paraId="568F4300" w14:textId="13493BCD" w:rsidR="00251B58" w:rsidRPr="00C3033E" w:rsidRDefault="00251B58"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t>Člán</w:t>
      </w:r>
      <w:r w:rsidR="009E62B5" w:rsidRPr="00C3033E">
        <w:rPr>
          <w:rFonts w:ascii="Arial" w:hAnsi="Arial" w:cs="Arial"/>
          <w:b/>
          <w:bCs/>
          <w:noProof/>
        </w:rPr>
        <w:t xml:space="preserve">ky </w:t>
      </w:r>
      <w:r w:rsidRPr="00C3033E">
        <w:rPr>
          <w:rFonts w:ascii="Arial" w:hAnsi="Arial" w:cs="Arial"/>
          <w:b/>
          <w:bCs/>
          <w:noProof/>
        </w:rPr>
        <w:t>11 a 12</w:t>
      </w:r>
      <w:r w:rsidR="00EB21D6" w:rsidRPr="00C3033E">
        <w:rPr>
          <w:rFonts w:ascii="Arial" w:hAnsi="Arial" w:cs="Arial"/>
          <w:b/>
          <w:bCs/>
          <w:noProof/>
        </w:rPr>
        <w:t xml:space="preserve"> </w:t>
      </w:r>
      <w:r w:rsidR="00F576D6" w:rsidRPr="00C3033E">
        <w:rPr>
          <w:rFonts w:ascii="Arial" w:hAnsi="Arial" w:cs="Arial"/>
          <w:noProof/>
        </w:rPr>
        <w:t xml:space="preserve">se zabývají </w:t>
      </w:r>
      <w:r w:rsidR="000025E6" w:rsidRPr="00C3033E">
        <w:rPr>
          <w:rFonts w:ascii="Arial" w:hAnsi="Arial" w:cs="Arial"/>
          <w:noProof/>
        </w:rPr>
        <w:t xml:space="preserve">výkonem přenesené </w:t>
      </w:r>
      <w:r w:rsidR="00F576D6" w:rsidRPr="00C3033E">
        <w:rPr>
          <w:rFonts w:ascii="Arial" w:hAnsi="Arial" w:cs="Arial"/>
          <w:noProof/>
        </w:rPr>
        <w:t xml:space="preserve">pravomoci k zavedení digitálního formátu EDC a EPC k zajištění </w:t>
      </w:r>
      <w:r w:rsidR="00BB49C3" w:rsidRPr="00C3033E">
        <w:rPr>
          <w:rFonts w:ascii="Arial" w:hAnsi="Arial" w:cs="Arial"/>
          <w:noProof/>
        </w:rPr>
        <w:t xml:space="preserve">fungování, </w:t>
      </w:r>
      <w:r w:rsidR="00F576D6" w:rsidRPr="00C3033E">
        <w:rPr>
          <w:rFonts w:ascii="Arial" w:hAnsi="Arial" w:cs="Arial"/>
          <w:noProof/>
        </w:rPr>
        <w:t xml:space="preserve">bezpečnostních prvků </w:t>
      </w:r>
      <w:r w:rsidR="00BB49C3" w:rsidRPr="00C3033E">
        <w:rPr>
          <w:rFonts w:ascii="Arial" w:hAnsi="Arial" w:cs="Arial"/>
          <w:noProof/>
        </w:rPr>
        <w:t>apod.</w:t>
      </w:r>
      <w:r w:rsidR="006E65CB" w:rsidRPr="00C3033E">
        <w:rPr>
          <w:rFonts w:ascii="Arial" w:hAnsi="Arial" w:cs="Arial"/>
          <w:noProof/>
        </w:rPr>
        <w:t xml:space="preserve"> </w:t>
      </w:r>
      <w:r w:rsidR="00CD776E" w:rsidRPr="00C3033E">
        <w:rPr>
          <w:rFonts w:ascii="Arial" w:hAnsi="Arial" w:cs="Arial"/>
          <w:noProof/>
        </w:rPr>
        <w:t xml:space="preserve">Před vydáním aktu v přenesené působnosti budou konzultováni experti navržení jednotlivými ČS. </w:t>
      </w:r>
      <w:r w:rsidR="000025E6" w:rsidRPr="00C3033E">
        <w:rPr>
          <w:rFonts w:ascii="Arial" w:hAnsi="Arial" w:cs="Arial"/>
          <w:noProof/>
        </w:rPr>
        <w:t>Ustanovení n</w:t>
      </w:r>
      <w:r w:rsidR="00F576D6" w:rsidRPr="00C3033E">
        <w:rPr>
          <w:rFonts w:ascii="Arial" w:hAnsi="Arial" w:cs="Arial"/>
          <w:noProof/>
        </w:rPr>
        <w:t xml:space="preserve">avazují </w:t>
      </w:r>
      <w:r w:rsidR="00EB21D6" w:rsidRPr="00C3033E">
        <w:rPr>
          <w:rFonts w:ascii="Arial" w:hAnsi="Arial" w:cs="Arial"/>
          <w:noProof/>
        </w:rPr>
        <w:t>na články 6</w:t>
      </w:r>
      <w:r w:rsidR="000025E6" w:rsidRPr="00C3033E">
        <w:rPr>
          <w:rFonts w:ascii="Arial" w:hAnsi="Arial" w:cs="Arial"/>
          <w:noProof/>
        </w:rPr>
        <w:t xml:space="preserve"> odst. 7</w:t>
      </w:r>
      <w:r w:rsidR="00932750" w:rsidRPr="00C3033E">
        <w:rPr>
          <w:rFonts w:ascii="Arial" w:hAnsi="Arial" w:cs="Arial"/>
          <w:noProof/>
        </w:rPr>
        <w:t xml:space="preserve"> </w:t>
      </w:r>
      <w:r w:rsidR="00EB21D6" w:rsidRPr="00C3033E">
        <w:rPr>
          <w:rFonts w:ascii="Arial" w:hAnsi="Arial" w:cs="Arial"/>
          <w:noProof/>
        </w:rPr>
        <w:t>a 7</w:t>
      </w:r>
      <w:r w:rsidR="000025E6" w:rsidRPr="00C3033E">
        <w:rPr>
          <w:rFonts w:ascii="Arial" w:hAnsi="Arial" w:cs="Arial"/>
          <w:noProof/>
        </w:rPr>
        <w:t xml:space="preserve"> odst. 7</w:t>
      </w:r>
      <w:r w:rsidR="00EB21D6" w:rsidRPr="00C3033E">
        <w:rPr>
          <w:rFonts w:ascii="Arial" w:hAnsi="Arial" w:cs="Arial"/>
          <w:noProof/>
        </w:rPr>
        <w:t xml:space="preserve">. </w:t>
      </w:r>
    </w:p>
    <w:p w14:paraId="032F64E1" w14:textId="77777777" w:rsidR="005577E8" w:rsidRPr="00C3033E" w:rsidRDefault="005577E8" w:rsidP="008C767A">
      <w:pPr>
        <w:pBdr>
          <w:top w:val="nil"/>
          <w:left w:val="nil"/>
          <w:bottom w:val="nil"/>
          <w:right w:val="nil"/>
          <w:between w:val="nil"/>
          <w:bar w:val="nil"/>
        </w:pBdr>
        <w:jc w:val="both"/>
        <w:rPr>
          <w:rFonts w:ascii="Arial" w:hAnsi="Arial" w:cs="Arial"/>
          <w:noProof/>
        </w:rPr>
      </w:pPr>
    </w:p>
    <w:p w14:paraId="33D00D17" w14:textId="1E4D7873" w:rsidR="00E96983" w:rsidRPr="00C3033E" w:rsidRDefault="00251B58"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t>Člán</w:t>
      </w:r>
      <w:r w:rsidR="009E62B5" w:rsidRPr="00C3033E">
        <w:rPr>
          <w:rFonts w:ascii="Arial" w:hAnsi="Arial" w:cs="Arial"/>
          <w:b/>
          <w:bCs/>
          <w:noProof/>
        </w:rPr>
        <w:t xml:space="preserve">ky </w:t>
      </w:r>
      <w:r w:rsidR="0012123E" w:rsidRPr="00C3033E">
        <w:rPr>
          <w:rFonts w:ascii="Arial" w:hAnsi="Arial" w:cs="Arial"/>
          <w:b/>
          <w:bCs/>
          <w:noProof/>
        </w:rPr>
        <w:t>1</w:t>
      </w:r>
      <w:r w:rsidR="00F72262" w:rsidRPr="00C3033E">
        <w:rPr>
          <w:rFonts w:ascii="Arial" w:hAnsi="Arial" w:cs="Arial"/>
          <w:b/>
          <w:bCs/>
          <w:noProof/>
        </w:rPr>
        <w:t xml:space="preserve">3 až 20 </w:t>
      </w:r>
      <w:r w:rsidR="00F72262" w:rsidRPr="00C3033E">
        <w:rPr>
          <w:rFonts w:ascii="Arial" w:hAnsi="Arial" w:cs="Arial"/>
          <w:noProof/>
        </w:rPr>
        <w:t xml:space="preserve">patří k závěrečným ustanovením. Zabývají </w:t>
      </w:r>
      <w:r w:rsidR="005577E8" w:rsidRPr="00C3033E">
        <w:rPr>
          <w:rFonts w:ascii="Arial" w:hAnsi="Arial" w:cs="Arial"/>
          <w:noProof/>
        </w:rPr>
        <w:t xml:space="preserve">se </w:t>
      </w:r>
      <w:r w:rsidR="001732DC" w:rsidRPr="00C3033E">
        <w:rPr>
          <w:rFonts w:ascii="Arial" w:hAnsi="Arial" w:cs="Arial"/>
          <w:noProof/>
        </w:rPr>
        <w:t xml:space="preserve">vynucováním, </w:t>
      </w:r>
      <w:r w:rsidR="003C6C47" w:rsidRPr="00C3033E">
        <w:rPr>
          <w:rFonts w:ascii="Arial" w:hAnsi="Arial" w:cs="Arial"/>
          <w:noProof/>
        </w:rPr>
        <w:t>sankcemi</w:t>
      </w:r>
      <w:r w:rsidR="00F72262" w:rsidRPr="00C3033E">
        <w:rPr>
          <w:rFonts w:ascii="Arial" w:hAnsi="Arial" w:cs="Arial"/>
          <w:noProof/>
        </w:rPr>
        <w:t>, p</w:t>
      </w:r>
      <w:r w:rsidR="0012123E" w:rsidRPr="00C3033E">
        <w:rPr>
          <w:rFonts w:ascii="Arial" w:hAnsi="Arial" w:cs="Arial"/>
          <w:noProof/>
        </w:rPr>
        <w:t>řístupem k</w:t>
      </w:r>
      <w:r w:rsidR="00F72262" w:rsidRPr="00C3033E">
        <w:rPr>
          <w:rFonts w:ascii="Arial" w:hAnsi="Arial" w:cs="Arial"/>
          <w:noProof/>
        </w:rPr>
        <w:t> </w:t>
      </w:r>
      <w:r w:rsidR="0012123E" w:rsidRPr="00C3033E">
        <w:rPr>
          <w:rFonts w:ascii="Arial" w:hAnsi="Arial" w:cs="Arial"/>
          <w:noProof/>
        </w:rPr>
        <w:t>informacím</w:t>
      </w:r>
      <w:r w:rsidR="00F72262" w:rsidRPr="00C3033E">
        <w:rPr>
          <w:rFonts w:ascii="Arial" w:hAnsi="Arial" w:cs="Arial"/>
          <w:noProof/>
        </w:rPr>
        <w:t xml:space="preserve">, </w:t>
      </w:r>
      <w:r w:rsidR="0012123E" w:rsidRPr="00C3033E">
        <w:rPr>
          <w:rFonts w:ascii="Arial" w:hAnsi="Arial" w:cs="Arial"/>
          <w:noProof/>
        </w:rPr>
        <w:t>podávání</w:t>
      </w:r>
      <w:r w:rsidR="00F72262" w:rsidRPr="00C3033E">
        <w:rPr>
          <w:rFonts w:ascii="Arial" w:hAnsi="Arial" w:cs="Arial"/>
          <w:noProof/>
        </w:rPr>
        <w:t>m</w:t>
      </w:r>
      <w:r w:rsidR="0012123E" w:rsidRPr="00C3033E">
        <w:rPr>
          <w:rFonts w:ascii="Arial" w:hAnsi="Arial" w:cs="Arial"/>
          <w:noProof/>
        </w:rPr>
        <w:t xml:space="preserve"> zpráv a přezkum</w:t>
      </w:r>
      <w:r w:rsidR="006E65CB" w:rsidRPr="00C3033E">
        <w:rPr>
          <w:rFonts w:ascii="Arial" w:hAnsi="Arial" w:cs="Arial"/>
          <w:noProof/>
        </w:rPr>
        <w:t>em</w:t>
      </w:r>
      <w:r w:rsidR="00E96983" w:rsidRPr="00C3033E">
        <w:rPr>
          <w:rFonts w:ascii="Arial" w:hAnsi="Arial" w:cs="Arial"/>
          <w:noProof/>
        </w:rPr>
        <w:t>, pla</w:t>
      </w:r>
      <w:r w:rsidR="00BB49C3" w:rsidRPr="00C3033E">
        <w:rPr>
          <w:rFonts w:ascii="Arial" w:hAnsi="Arial" w:cs="Arial"/>
          <w:noProof/>
        </w:rPr>
        <w:t>t</w:t>
      </w:r>
      <w:r w:rsidR="00E96983" w:rsidRPr="00C3033E">
        <w:rPr>
          <w:rFonts w:ascii="Arial" w:hAnsi="Arial" w:cs="Arial"/>
          <w:noProof/>
        </w:rPr>
        <w:t>ností apod. Zvlášť je třeba zmínit článek 17</w:t>
      </w:r>
      <w:r w:rsidR="00BB49C3" w:rsidRPr="00C3033E">
        <w:rPr>
          <w:rFonts w:ascii="Arial" w:hAnsi="Arial" w:cs="Arial"/>
          <w:noProof/>
        </w:rPr>
        <w:t xml:space="preserve"> </w:t>
      </w:r>
      <w:r w:rsidR="0036435F" w:rsidRPr="00C3033E">
        <w:rPr>
          <w:rFonts w:ascii="Arial" w:hAnsi="Arial" w:cs="Arial"/>
          <w:noProof/>
        </w:rPr>
        <w:t xml:space="preserve">prohlašující </w:t>
      </w:r>
      <w:r w:rsidRPr="00C3033E">
        <w:rPr>
          <w:rFonts w:ascii="Arial" w:hAnsi="Arial" w:cs="Arial"/>
          <w:noProof/>
        </w:rPr>
        <w:t>doporučení 98/376/EC</w:t>
      </w:r>
      <w:r w:rsidR="00E96983" w:rsidRPr="00C3033E">
        <w:rPr>
          <w:rFonts w:ascii="Arial" w:hAnsi="Arial" w:cs="Arial"/>
          <w:noProof/>
        </w:rPr>
        <w:t xml:space="preserve"> </w:t>
      </w:r>
      <w:r w:rsidR="0036435F" w:rsidRPr="00C3033E">
        <w:rPr>
          <w:rFonts w:ascii="Arial" w:hAnsi="Arial" w:cs="Arial"/>
          <w:noProof/>
        </w:rPr>
        <w:t xml:space="preserve">za obsolentní </w:t>
      </w:r>
      <w:r w:rsidR="00E96983" w:rsidRPr="00C3033E">
        <w:rPr>
          <w:rFonts w:ascii="Arial" w:hAnsi="Arial" w:cs="Arial"/>
          <w:noProof/>
        </w:rPr>
        <w:t>a</w:t>
      </w:r>
      <w:r w:rsidR="008C767A">
        <w:rPr>
          <w:rFonts w:ascii="Arial" w:hAnsi="Arial" w:cs="Arial"/>
          <w:noProof/>
        </w:rPr>
        <w:t> </w:t>
      </w:r>
      <w:r w:rsidR="00E96983" w:rsidRPr="00C3033E">
        <w:rPr>
          <w:rFonts w:ascii="Arial" w:hAnsi="Arial" w:cs="Arial"/>
          <w:noProof/>
        </w:rPr>
        <w:t>článek 18 stanov</w:t>
      </w:r>
      <w:r w:rsidR="008C4857" w:rsidRPr="00C3033E">
        <w:rPr>
          <w:rFonts w:ascii="Arial" w:hAnsi="Arial" w:cs="Arial"/>
          <w:noProof/>
        </w:rPr>
        <w:t>ují</w:t>
      </w:r>
      <w:r w:rsidR="00E96983" w:rsidRPr="00C3033E">
        <w:rPr>
          <w:rFonts w:ascii="Arial" w:hAnsi="Arial" w:cs="Arial"/>
          <w:noProof/>
        </w:rPr>
        <w:t>cí transpoziční lhůty</w:t>
      </w:r>
      <w:r w:rsidR="008C4857" w:rsidRPr="00C3033E">
        <w:rPr>
          <w:rFonts w:ascii="Arial" w:hAnsi="Arial" w:cs="Arial"/>
          <w:noProof/>
        </w:rPr>
        <w:t>.</w:t>
      </w:r>
    </w:p>
    <w:p w14:paraId="5AFD97C8" w14:textId="77777777" w:rsidR="005577E8" w:rsidRPr="00EC1AC2" w:rsidRDefault="005577E8" w:rsidP="008C767A">
      <w:pPr>
        <w:pBdr>
          <w:top w:val="nil"/>
          <w:left w:val="nil"/>
          <w:bottom w:val="nil"/>
          <w:right w:val="nil"/>
          <w:between w:val="nil"/>
          <w:bar w:val="nil"/>
        </w:pBdr>
        <w:jc w:val="both"/>
        <w:rPr>
          <w:rFonts w:ascii="Arial" w:hAnsi="Arial" w:cs="Arial"/>
          <w:noProof/>
          <w:sz w:val="16"/>
          <w:szCs w:val="16"/>
        </w:rPr>
      </w:pPr>
    </w:p>
    <w:p w14:paraId="361DB89E" w14:textId="7C973610" w:rsidR="00955A76" w:rsidRPr="00C3033E" w:rsidRDefault="00251B58"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t xml:space="preserve">Přílohy I a II </w:t>
      </w:r>
      <w:r w:rsidR="00441BA5" w:rsidRPr="00C3033E">
        <w:rPr>
          <w:rFonts w:ascii="Arial" w:hAnsi="Arial" w:cs="Arial"/>
          <w:noProof/>
        </w:rPr>
        <w:t xml:space="preserve">specifikují podobu EDC (příloha I) a EPC (příloha II). </w:t>
      </w:r>
    </w:p>
    <w:p w14:paraId="75CB5369" w14:textId="77777777" w:rsidR="005E4031" w:rsidRPr="00C3033E" w:rsidRDefault="005E4031" w:rsidP="008C767A">
      <w:pPr>
        <w:jc w:val="both"/>
        <w:rPr>
          <w:rFonts w:ascii="Arial" w:hAnsi="Arial" w:cs="Arial"/>
          <w:b/>
        </w:rPr>
      </w:pPr>
    </w:p>
    <w:p w14:paraId="10D6B459" w14:textId="2BB5BAC8" w:rsidR="00901ABE" w:rsidRPr="00C3033E" w:rsidRDefault="00955A76" w:rsidP="008C767A">
      <w:pPr>
        <w:jc w:val="both"/>
        <w:rPr>
          <w:rFonts w:ascii="Arial" w:hAnsi="Arial" w:cs="Arial"/>
          <w:b/>
        </w:rPr>
      </w:pPr>
      <w:r w:rsidRPr="00C3033E">
        <w:rPr>
          <w:rFonts w:ascii="Arial" w:hAnsi="Arial" w:cs="Arial"/>
          <w:b/>
        </w:rPr>
        <w:t xml:space="preserve">2) </w:t>
      </w:r>
      <w:r w:rsidR="00901ABE" w:rsidRPr="00C3033E">
        <w:rPr>
          <w:rFonts w:ascii="Arial" w:hAnsi="Arial" w:cs="Arial"/>
          <w:b/>
        </w:rPr>
        <w:t xml:space="preserve">Pozice ČR: </w:t>
      </w:r>
    </w:p>
    <w:p w14:paraId="10B3AEFC" w14:textId="77777777" w:rsidR="00D50FE4" w:rsidRPr="00EC1AC2" w:rsidRDefault="00D50FE4" w:rsidP="008C767A">
      <w:pPr>
        <w:jc w:val="both"/>
        <w:rPr>
          <w:rFonts w:ascii="Arial" w:hAnsi="Arial" w:cs="Arial"/>
          <w:b/>
          <w:bCs/>
          <w:i/>
          <w:iCs/>
          <w:sz w:val="16"/>
          <w:szCs w:val="16"/>
        </w:rPr>
      </w:pPr>
    </w:p>
    <w:p w14:paraId="08A7EB72" w14:textId="1D128B27" w:rsidR="00955A76" w:rsidRDefault="00955A76" w:rsidP="008C767A">
      <w:pPr>
        <w:jc w:val="both"/>
        <w:rPr>
          <w:rFonts w:ascii="Arial" w:hAnsi="Arial" w:cs="Arial"/>
          <w:b/>
          <w:bCs/>
          <w:i/>
          <w:iCs/>
        </w:rPr>
      </w:pPr>
      <w:r w:rsidRPr="00C3033E">
        <w:rPr>
          <w:rFonts w:ascii="Arial" w:hAnsi="Arial" w:cs="Arial"/>
          <w:b/>
          <w:bCs/>
          <w:i/>
          <w:iCs/>
        </w:rPr>
        <w:t>Obecně:</w:t>
      </w:r>
    </w:p>
    <w:p w14:paraId="6B71138F" w14:textId="77777777" w:rsidR="008C767A" w:rsidRPr="00C3033E" w:rsidRDefault="008C767A" w:rsidP="008C767A">
      <w:pPr>
        <w:jc w:val="both"/>
        <w:rPr>
          <w:rFonts w:ascii="Arial" w:hAnsi="Arial" w:cs="Arial"/>
          <w:b/>
          <w:bCs/>
          <w:i/>
          <w:iCs/>
        </w:rPr>
      </w:pPr>
    </w:p>
    <w:p w14:paraId="1408A86B" w14:textId="77777777" w:rsidR="009256D7" w:rsidRPr="00C3033E" w:rsidRDefault="009256D7" w:rsidP="008C767A">
      <w:pPr>
        <w:jc w:val="both"/>
        <w:rPr>
          <w:rFonts w:ascii="Arial" w:hAnsi="Arial" w:cs="Arial"/>
        </w:rPr>
      </w:pPr>
      <w:r w:rsidRPr="00C3033E">
        <w:rPr>
          <w:rFonts w:ascii="Arial" w:hAnsi="Arial" w:cs="Arial"/>
        </w:rPr>
        <w:t xml:space="preserve">ČR se ztotožňuje s popisem a obecným zhodnocením situace osob se zdravotním postižením v oblasti volného pohybu v rámci EU. Cíl směrnice považuje za souladný s cíli a opatřeními obsaženými v Národním plánu podpory rovných příležitostí pro osoby se zdravotním postižením na období 2021–2025, který byl přijat usnesením vlády ČR ze dne 20. 7. 2020 č. 761 a který je hlavním strategickým dokumentem vymezujícím státní politiku vůči osobám se zdravotním postižením.  </w:t>
      </w:r>
    </w:p>
    <w:p w14:paraId="2B31C732" w14:textId="77777777" w:rsidR="009256D7" w:rsidRPr="00EC1AC2" w:rsidRDefault="009256D7" w:rsidP="008C767A">
      <w:pPr>
        <w:jc w:val="both"/>
        <w:rPr>
          <w:rFonts w:ascii="Arial" w:hAnsi="Arial" w:cs="Arial"/>
          <w:sz w:val="16"/>
          <w:szCs w:val="16"/>
        </w:rPr>
      </w:pPr>
    </w:p>
    <w:p w14:paraId="2FB39717" w14:textId="7513C913" w:rsidR="009256D7" w:rsidRPr="00C3033E" w:rsidRDefault="009256D7" w:rsidP="008C767A">
      <w:pPr>
        <w:jc w:val="both"/>
        <w:rPr>
          <w:rFonts w:ascii="Arial" w:hAnsi="Arial" w:cs="Arial"/>
        </w:rPr>
      </w:pPr>
      <w:r w:rsidRPr="00C3033E">
        <w:rPr>
          <w:rFonts w:ascii="Arial" w:hAnsi="Arial" w:cs="Arial"/>
        </w:rPr>
        <w:t>Přístup držitelů EDC a EPC ke stejným zvýhodněním, jako mají osoby konkrétního ČS, může zlepšit výkon práva volného pohybu osob a podnítit cestování osob se</w:t>
      </w:r>
      <w:r w:rsidR="008C767A">
        <w:rPr>
          <w:rFonts w:ascii="Arial" w:hAnsi="Arial" w:cs="Arial"/>
        </w:rPr>
        <w:t> </w:t>
      </w:r>
      <w:r w:rsidRPr="00C3033E">
        <w:rPr>
          <w:rFonts w:ascii="Arial" w:hAnsi="Arial" w:cs="Arial"/>
        </w:rPr>
        <w:t>zdravotním postižením. Současně však nelze odhlížet od dalších překážek (typicky fyzické bariéry prostředí), které zásadním způsobem znesnadňují osobám se</w:t>
      </w:r>
      <w:r w:rsidR="008C767A">
        <w:rPr>
          <w:rFonts w:ascii="Arial" w:hAnsi="Arial" w:cs="Arial"/>
        </w:rPr>
        <w:t> </w:t>
      </w:r>
      <w:r w:rsidRPr="00C3033E">
        <w:rPr>
          <w:rFonts w:ascii="Arial" w:hAnsi="Arial" w:cs="Arial"/>
        </w:rPr>
        <w:t xml:space="preserve">zdravotním postižením cestování, a které stále přetrvávají. Osoby se zdravotním postižením budou i při existenci EDC a EPC a při jejich vzájemném uznávání napříč EU čelit řadě závažných problémů při realizaci svého práva na volný pohyb.  </w:t>
      </w:r>
    </w:p>
    <w:p w14:paraId="00EEF005" w14:textId="314596A8" w:rsidR="008A74A8" w:rsidRPr="00E61343" w:rsidRDefault="008A74A8" w:rsidP="008C767A">
      <w:pPr>
        <w:jc w:val="both"/>
        <w:rPr>
          <w:rFonts w:ascii="Arial" w:hAnsi="Arial" w:cs="Arial"/>
          <w:sz w:val="16"/>
          <w:szCs w:val="16"/>
        </w:rPr>
      </w:pPr>
    </w:p>
    <w:p w14:paraId="5E595B50" w14:textId="204B6842" w:rsidR="00E61343" w:rsidRDefault="00E62D72" w:rsidP="008C767A">
      <w:pPr>
        <w:tabs>
          <w:tab w:val="left" w:pos="709"/>
          <w:tab w:val="left" w:pos="2355"/>
        </w:tabs>
        <w:jc w:val="both"/>
        <w:outlineLvl w:val="0"/>
        <w:rPr>
          <w:rFonts w:ascii="Arial" w:hAnsi="Arial" w:cs="Arial"/>
        </w:rPr>
      </w:pPr>
      <w:r w:rsidRPr="00C3033E">
        <w:rPr>
          <w:rFonts w:ascii="Arial" w:hAnsi="Arial" w:cs="Arial"/>
        </w:rPr>
        <w:t>V ČR existuje průkaz osoby se zdravotním postižením</w:t>
      </w:r>
      <w:r w:rsidR="00381A04" w:rsidRPr="00C3033E">
        <w:rPr>
          <w:rFonts w:ascii="Arial" w:hAnsi="Arial" w:cs="Arial"/>
        </w:rPr>
        <w:t xml:space="preserve">. Poskytuje se </w:t>
      </w:r>
      <w:r w:rsidRPr="00C3033E">
        <w:rPr>
          <w:rFonts w:ascii="Arial" w:hAnsi="Arial" w:cs="Arial"/>
        </w:rPr>
        <w:t xml:space="preserve">osobám </w:t>
      </w:r>
      <w:r w:rsidR="007F71BB" w:rsidRPr="00C3033E">
        <w:rPr>
          <w:rFonts w:ascii="Arial" w:hAnsi="Arial" w:cs="Arial"/>
        </w:rPr>
        <w:t xml:space="preserve">starším 1 roku </w:t>
      </w:r>
      <w:r w:rsidRPr="00C3033E">
        <w:rPr>
          <w:rFonts w:ascii="Arial" w:hAnsi="Arial" w:cs="Arial"/>
        </w:rPr>
        <w:t>s</w:t>
      </w:r>
      <w:r w:rsidR="00381A04" w:rsidRPr="00C3033E">
        <w:rPr>
          <w:rFonts w:ascii="Arial" w:hAnsi="Arial" w:cs="Arial"/>
        </w:rPr>
        <w:t> </w:t>
      </w:r>
      <w:r w:rsidRPr="00C3033E">
        <w:rPr>
          <w:rFonts w:ascii="Arial" w:hAnsi="Arial" w:cs="Arial"/>
        </w:rPr>
        <w:t>tělesným, smyslovým nebo duševním postižením, které podstatně omezuje jejich schopnost pohyblivosti nebo orientace. Podle závažnosti omezení existují tři „druhy“ průkazu</w:t>
      </w:r>
      <w:r w:rsidR="00BB49C3" w:rsidRPr="00C3033E">
        <w:rPr>
          <w:rFonts w:ascii="Arial" w:hAnsi="Arial" w:cs="Arial"/>
        </w:rPr>
        <w:t xml:space="preserve">, a to </w:t>
      </w:r>
      <w:r w:rsidRPr="00C3033E">
        <w:rPr>
          <w:rFonts w:ascii="Arial" w:hAnsi="Arial" w:cs="Arial"/>
        </w:rPr>
        <w:t xml:space="preserve">TP, ZTP a ZTP/P. </w:t>
      </w:r>
      <w:r w:rsidR="00E96983" w:rsidRPr="00C3033E">
        <w:rPr>
          <w:rFonts w:ascii="Arial" w:hAnsi="Arial" w:cs="Arial"/>
        </w:rPr>
        <w:t xml:space="preserve">V ČR je zhruba </w:t>
      </w:r>
      <w:r w:rsidRPr="00C3033E">
        <w:rPr>
          <w:rFonts w:ascii="Arial" w:hAnsi="Arial" w:cs="Arial"/>
        </w:rPr>
        <w:t xml:space="preserve">423,3 tisíc </w:t>
      </w:r>
      <w:r w:rsidR="00E96983" w:rsidRPr="00C3033E">
        <w:rPr>
          <w:rFonts w:ascii="Arial" w:hAnsi="Arial" w:cs="Arial"/>
        </w:rPr>
        <w:t>držitelů průkazu osoby se</w:t>
      </w:r>
      <w:r w:rsidR="00381A04" w:rsidRPr="00C3033E">
        <w:rPr>
          <w:rFonts w:ascii="Arial" w:hAnsi="Arial" w:cs="Arial"/>
        </w:rPr>
        <w:t> </w:t>
      </w:r>
      <w:r w:rsidR="00E96983" w:rsidRPr="00C3033E">
        <w:rPr>
          <w:rFonts w:ascii="Arial" w:hAnsi="Arial" w:cs="Arial"/>
        </w:rPr>
        <w:t xml:space="preserve">zdravotním postižením, </w:t>
      </w:r>
      <w:r w:rsidRPr="00C3033E">
        <w:rPr>
          <w:rFonts w:ascii="Arial" w:hAnsi="Arial" w:cs="Arial"/>
        </w:rPr>
        <w:t>z toho TP 40 tisíc, ZTP 281,9 tisíc a ZTP/P 101,4 tisíc. Průkaz osoby se zdravotním postižením má podobu plastové karty, zvažuje se</w:t>
      </w:r>
      <w:r w:rsidR="00381A04" w:rsidRPr="00C3033E">
        <w:rPr>
          <w:rFonts w:ascii="Arial" w:hAnsi="Arial" w:cs="Arial"/>
        </w:rPr>
        <w:t> </w:t>
      </w:r>
      <w:r w:rsidRPr="00C3033E">
        <w:rPr>
          <w:rFonts w:ascii="Arial" w:hAnsi="Arial" w:cs="Arial"/>
        </w:rPr>
        <w:t>zavedení „</w:t>
      </w:r>
      <w:r w:rsidR="00564ABD" w:rsidRPr="00C3033E">
        <w:rPr>
          <w:rFonts w:ascii="Arial" w:hAnsi="Arial" w:cs="Arial"/>
        </w:rPr>
        <w:t>digitální</w:t>
      </w:r>
      <w:r w:rsidRPr="00C3033E">
        <w:rPr>
          <w:rFonts w:ascii="Arial" w:hAnsi="Arial" w:cs="Arial"/>
        </w:rPr>
        <w:t>“ varianty. O průkazu rozhoduje a vydává ho Úřad práce Č</w:t>
      </w:r>
      <w:r w:rsidR="00564ABD" w:rsidRPr="00C3033E">
        <w:rPr>
          <w:rFonts w:ascii="Arial" w:hAnsi="Arial" w:cs="Arial"/>
        </w:rPr>
        <w:t>R</w:t>
      </w:r>
      <w:r w:rsidRPr="00C3033E">
        <w:rPr>
          <w:rFonts w:ascii="Arial" w:hAnsi="Arial" w:cs="Arial"/>
        </w:rPr>
        <w:t xml:space="preserve"> (krajské pobočky)</w:t>
      </w:r>
      <w:r w:rsidR="00D1427C">
        <w:rPr>
          <w:rFonts w:ascii="Arial" w:hAnsi="Arial" w:cs="Arial"/>
        </w:rPr>
        <w:t xml:space="preserve"> po posouzení zdravotního stavu lékařskou posudkovou službou</w:t>
      </w:r>
      <w:r w:rsidR="008C767A">
        <w:rPr>
          <w:rFonts w:ascii="Arial" w:hAnsi="Arial" w:cs="Arial"/>
        </w:rPr>
        <w:t xml:space="preserve"> okresní správy sociálního zabezpečení. </w:t>
      </w:r>
      <w:r w:rsidR="004B7368" w:rsidRPr="00C3033E">
        <w:rPr>
          <w:rFonts w:ascii="Arial" w:hAnsi="Arial" w:cs="Arial"/>
        </w:rPr>
        <w:t>P</w:t>
      </w:r>
      <w:r w:rsidRPr="00C3033E">
        <w:rPr>
          <w:rFonts w:ascii="Arial" w:hAnsi="Arial" w:cs="Arial"/>
        </w:rPr>
        <w:t>řipravuje se přesun kompetence</w:t>
      </w:r>
      <w:r w:rsidR="00216793">
        <w:rPr>
          <w:rFonts w:ascii="Arial" w:hAnsi="Arial" w:cs="Arial"/>
        </w:rPr>
        <w:t xml:space="preserve"> z Úřadu práce ČR na </w:t>
      </w:r>
      <w:r w:rsidRPr="00C3033E">
        <w:rPr>
          <w:rFonts w:ascii="Arial" w:hAnsi="Arial" w:cs="Arial"/>
        </w:rPr>
        <w:t>územní správy sociálního zabezpečení</w:t>
      </w:r>
      <w:r w:rsidR="00216793">
        <w:rPr>
          <w:rFonts w:ascii="Arial" w:hAnsi="Arial" w:cs="Arial"/>
        </w:rPr>
        <w:t xml:space="preserve"> a zřízení Institutu posuzování zdravotního stavu.</w:t>
      </w:r>
      <w:r w:rsidRPr="00C3033E">
        <w:rPr>
          <w:rFonts w:ascii="Arial" w:hAnsi="Arial" w:cs="Arial"/>
        </w:rPr>
        <w:t xml:space="preserve"> </w:t>
      </w:r>
    </w:p>
    <w:p w14:paraId="3AC64444" w14:textId="77777777" w:rsidR="008C767A" w:rsidRDefault="008C767A" w:rsidP="008C767A">
      <w:pPr>
        <w:tabs>
          <w:tab w:val="left" w:pos="709"/>
          <w:tab w:val="left" w:pos="2355"/>
        </w:tabs>
        <w:jc w:val="both"/>
        <w:outlineLvl w:val="0"/>
        <w:rPr>
          <w:rFonts w:ascii="Arial" w:hAnsi="Arial" w:cs="Arial"/>
        </w:rPr>
      </w:pPr>
    </w:p>
    <w:p w14:paraId="764FC23F" w14:textId="534892A6" w:rsidR="005422F8" w:rsidRPr="00C3033E" w:rsidRDefault="00E62D72" w:rsidP="008C767A">
      <w:pPr>
        <w:tabs>
          <w:tab w:val="left" w:pos="709"/>
          <w:tab w:val="left" w:pos="2355"/>
        </w:tabs>
        <w:jc w:val="both"/>
        <w:outlineLvl w:val="0"/>
        <w:rPr>
          <w:rFonts w:ascii="Arial" w:hAnsi="Arial" w:cs="Arial"/>
          <w:spacing w:val="-2"/>
        </w:rPr>
      </w:pPr>
      <w:r w:rsidRPr="00C3033E">
        <w:rPr>
          <w:rFonts w:ascii="Arial" w:hAnsi="Arial" w:cs="Arial"/>
        </w:rPr>
        <w:lastRenderedPageBreak/>
        <w:t xml:space="preserve">Z průkazu plynou různé nárokové a nenárokové benefity, většina </w:t>
      </w:r>
      <w:r w:rsidR="00381A04" w:rsidRPr="00C3033E">
        <w:rPr>
          <w:rFonts w:ascii="Arial" w:hAnsi="Arial" w:cs="Arial"/>
        </w:rPr>
        <w:t xml:space="preserve">benefitů </w:t>
      </w:r>
      <w:r w:rsidRPr="00C3033E">
        <w:rPr>
          <w:rFonts w:ascii="Arial" w:hAnsi="Arial" w:cs="Arial"/>
        </w:rPr>
        <w:t>se týká pouze osob s průkazem ZTP nebo ZTP/P</w:t>
      </w:r>
      <w:r w:rsidR="007475F0" w:rsidRPr="00C3033E">
        <w:rPr>
          <w:rFonts w:ascii="Arial" w:hAnsi="Arial" w:cs="Arial"/>
        </w:rPr>
        <w:t xml:space="preserve">. </w:t>
      </w:r>
      <w:r w:rsidR="007475F0" w:rsidRPr="00C3033E">
        <w:rPr>
          <w:rFonts w:ascii="Arial" w:hAnsi="Arial" w:cs="Arial"/>
          <w:u w:val="single"/>
        </w:rPr>
        <w:t xml:space="preserve">Jde </w:t>
      </w:r>
      <w:r w:rsidR="004B7368" w:rsidRPr="00C3033E">
        <w:rPr>
          <w:rFonts w:ascii="Arial" w:hAnsi="Arial" w:cs="Arial"/>
          <w:u w:val="single"/>
        </w:rPr>
        <w:t xml:space="preserve">o výhody </w:t>
      </w:r>
      <w:r w:rsidR="007475F0" w:rsidRPr="00C3033E">
        <w:rPr>
          <w:rFonts w:ascii="Arial" w:hAnsi="Arial" w:cs="Arial"/>
          <w:u w:val="single"/>
        </w:rPr>
        <w:t xml:space="preserve">jako </w:t>
      </w:r>
      <w:r w:rsidR="004B7368" w:rsidRPr="00C3033E">
        <w:rPr>
          <w:rFonts w:ascii="Arial" w:hAnsi="Arial" w:cs="Arial"/>
          <w:u w:val="single"/>
        </w:rPr>
        <w:t xml:space="preserve">městská hromadná doprava </w:t>
      </w:r>
      <w:r w:rsidRPr="00C3033E">
        <w:rPr>
          <w:rFonts w:ascii="Arial" w:hAnsi="Arial" w:cs="Arial"/>
          <w:u w:val="single"/>
        </w:rPr>
        <w:t>zdarma, slevy z ceny jízdného, bezplatné užívání zpoplatněných komunikací, slevy na vstupném, osvobození od řady správních poplatků apod.</w:t>
      </w:r>
      <w:r w:rsidRPr="00C3033E">
        <w:rPr>
          <w:rFonts w:ascii="Arial" w:hAnsi="Arial" w:cs="Arial"/>
        </w:rPr>
        <w:t xml:space="preserve"> </w:t>
      </w:r>
      <w:r w:rsidR="00E96983" w:rsidRPr="00C3033E">
        <w:rPr>
          <w:rFonts w:ascii="Arial" w:hAnsi="Arial" w:cs="Arial"/>
        </w:rPr>
        <w:t xml:space="preserve">Některé </w:t>
      </w:r>
      <w:r w:rsidR="004B7368" w:rsidRPr="00C3033E">
        <w:rPr>
          <w:rFonts w:ascii="Arial" w:hAnsi="Arial" w:cs="Arial"/>
        </w:rPr>
        <w:t xml:space="preserve">výhody </w:t>
      </w:r>
      <w:r w:rsidR="00E96983" w:rsidRPr="00C3033E">
        <w:rPr>
          <w:rFonts w:ascii="Arial" w:hAnsi="Arial" w:cs="Arial"/>
        </w:rPr>
        <w:t xml:space="preserve">jsou zakotveny v resortních právních předpisech, jiné jsou poskytovány bez legislativního ukotvení. </w:t>
      </w:r>
      <w:r w:rsidRPr="00C3033E">
        <w:rPr>
          <w:rFonts w:ascii="Arial" w:hAnsi="Arial" w:cs="Arial"/>
        </w:rPr>
        <w:t>V ČR existuje rovněž p</w:t>
      </w:r>
      <w:r w:rsidRPr="00C3033E">
        <w:rPr>
          <w:rFonts w:ascii="Arial" w:hAnsi="Arial" w:cs="Arial"/>
          <w:spacing w:val="-2"/>
        </w:rPr>
        <w:t>arkovací průkaz pro osoby se zdravotním postižením.</w:t>
      </w:r>
      <w:r w:rsidRPr="00C3033E">
        <w:rPr>
          <w:rFonts w:ascii="Arial" w:hAnsi="Arial" w:cs="Arial"/>
          <w:b/>
          <w:bCs/>
          <w:spacing w:val="-2"/>
        </w:rPr>
        <w:t xml:space="preserve"> </w:t>
      </w:r>
      <w:r w:rsidR="005422F8" w:rsidRPr="00C3033E">
        <w:rPr>
          <w:rFonts w:ascii="Arial" w:hAnsi="Arial" w:cs="Arial"/>
          <w:spacing w:val="-2"/>
        </w:rPr>
        <w:t xml:space="preserve">Parkovací průkaz vydává obecní úřad obce s rozšířenou působností </w:t>
      </w:r>
      <w:r w:rsidR="00381A04" w:rsidRPr="00C3033E">
        <w:rPr>
          <w:rFonts w:ascii="Arial" w:hAnsi="Arial" w:cs="Arial"/>
          <w:spacing w:val="-2"/>
        </w:rPr>
        <w:t>držitelům p</w:t>
      </w:r>
      <w:r w:rsidR="005422F8" w:rsidRPr="00C3033E">
        <w:rPr>
          <w:rFonts w:ascii="Arial" w:hAnsi="Arial" w:cs="Arial"/>
          <w:spacing w:val="-2"/>
        </w:rPr>
        <w:t>růkazu ZTP (s</w:t>
      </w:r>
      <w:r w:rsidR="008A42C6" w:rsidRPr="00C3033E">
        <w:rPr>
          <w:rFonts w:ascii="Arial" w:hAnsi="Arial" w:cs="Arial"/>
          <w:spacing w:val="-2"/>
        </w:rPr>
        <w:t> </w:t>
      </w:r>
      <w:r w:rsidR="005422F8" w:rsidRPr="00C3033E">
        <w:rPr>
          <w:rFonts w:ascii="Arial" w:hAnsi="Arial" w:cs="Arial"/>
          <w:spacing w:val="-2"/>
        </w:rPr>
        <w:t>výjimkou postižených úplnou nebo praktickou hluchotou) nebo držitel</w:t>
      </w:r>
      <w:r w:rsidR="00381A04" w:rsidRPr="00C3033E">
        <w:rPr>
          <w:rFonts w:ascii="Arial" w:hAnsi="Arial" w:cs="Arial"/>
          <w:spacing w:val="-2"/>
        </w:rPr>
        <w:t>ům p</w:t>
      </w:r>
      <w:r w:rsidR="005422F8" w:rsidRPr="00C3033E">
        <w:rPr>
          <w:rFonts w:ascii="Arial" w:hAnsi="Arial" w:cs="Arial"/>
          <w:spacing w:val="-2"/>
        </w:rPr>
        <w:t xml:space="preserve">růkazu ZTP/P. </w:t>
      </w:r>
      <w:r w:rsidR="00430C19" w:rsidRPr="00C3033E">
        <w:rPr>
          <w:rFonts w:ascii="Arial" w:hAnsi="Arial" w:cs="Arial"/>
          <w:spacing w:val="-2"/>
        </w:rPr>
        <w:t xml:space="preserve">ČR se ve věci parkovacího průkazu řídí doporučením 98/376/ES. </w:t>
      </w:r>
    </w:p>
    <w:p w14:paraId="296C70DC" w14:textId="77777777" w:rsidR="00BB49C3" w:rsidRPr="00C3033E" w:rsidRDefault="00BB49C3" w:rsidP="008C767A">
      <w:pPr>
        <w:tabs>
          <w:tab w:val="left" w:pos="709"/>
          <w:tab w:val="left" w:pos="2355"/>
        </w:tabs>
        <w:jc w:val="both"/>
        <w:outlineLvl w:val="0"/>
        <w:rPr>
          <w:rFonts w:ascii="Arial" w:hAnsi="Arial" w:cs="Arial"/>
          <w:spacing w:val="-2"/>
        </w:rPr>
      </w:pPr>
    </w:p>
    <w:p w14:paraId="7AFEEE09" w14:textId="336C8A18" w:rsidR="00BE1D82" w:rsidRPr="00C3033E" w:rsidRDefault="00975250" w:rsidP="008C767A">
      <w:pPr>
        <w:jc w:val="both"/>
        <w:rPr>
          <w:rFonts w:ascii="Arial" w:hAnsi="Arial" w:cs="Arial"/>
        </w:rPr>
      </w:pPr>
      <w:r w:rsidRPr="00C3033E">
        <w:rPr>
          <w:rFonts w:ascii="Arial" w:hAnsi="Arial" w:cs="Arial"/>
        </w:rPr>
        <w:t xml:space="preserve">ČR </w:t>
      </w:r>
      <w:r w:rsidR="00E62D72" w:rsidRPr="00C3033E">
        <w:rPr>
          <w:rFonts w:ascii="Arial" w:hAnsi="Arial" w:cs="Arial"/>
        </w:rPr>
        <w:t xml:space="preserve">si je vědoma, že </w:t>
      </w:r>
      <w:r w:rsidR="00EF5EE2">
        <w:rPr>
          <w:rFonts w:ascii="Arial" w:hAnsi="Arial" w:cs="Arial"/>
        </w:rPr>
        <w:t xml:space="preserve">ČS </w:t>
      </w:r>
      <w:r w:rsidRPr="00C3033E">
        <w:rPr>
          <w:rFonts w:ascii="Arial" w:hAnsi="Arial" w:cs="Arial"/>
        </w:rPr>
        <w:t xml:space="preserve">vydávají průkazy </w:t>
      </w:r>
      <w:r w:rsidR="00E62D72" w:rsidRPr="00C3033E">
        <w:rPr>
          <w:rFonts w:ascii="Arial" w:hAnsi="Arial" w:cs="Arial"/>
        </w:rPr>
        <w:t xml:space="preserve">velmi </w:t>
      </w:r>
      <w:r w:rsidRPr="00C3033E">
        <w:rPr>
          <w:rFonts w:ascii="Arial" w:hAnsi="Arial" w:cs="Arial"/>
        </w:rPr>
        <w:t xml:space="preserve">odlišným okruhům osob </w:t>
      </w:r>
      <w:r w:rsidR="00E62D72" w:rsidRPr="00C3033E">
        <w:rPr>
          <w:rFonts w:ascii="Arial" w:hAnsi="Arial" w:cs="Arial"/>
        </w:rPr>
        <w:t>(</w:t>
      </w:r>
      <w:r w:rsidR="00F77188" w:rsidRPr="00C3033E">
        <w:rPr>
          <w:rFonts w:ascii="Arial" w:hAnsi="Arial" w:cs="Arial"/>
        </w:rPr>
        <w:t xml:space="preserve">zdravotní </w:t>
      </w:r>
      <w:r w:rsidR="00E62D72" w:rsidRPr="00C3033E">
        <w:rPr>
          <w:rFonts w:ascii="Arial" w:hAnsi="Arial" w:cs="Arial"/>
        </w:rPr>
        <w:t xml:space="preserve">podmínky nároku na národní průkazy se velmi </w:t>
      </w:r>
      <w:proofErr w:type="gramStart"/>
      <w:r w:rsidR="00E62D72" w:rsidRPr="00C3033E">
        <w:rPr>
          <w:rFonts w:ascii="Arial" w:hAnsi="Arial" w:cs="Arial"/>
        </w:rPr>
        <w:t>liší</w:t>
      </w:r>
      <w:proofErr w:type="gramEnd"/>
      <w:r w:rsidR="00E62D72" w:rsidRPr="00C3033E">
        <w:rPr>
          <w:rFonts w:ascii="Arial" w:hAnsi="Arial" w:cs="Arial"/>
        </w:rPr>
        <w:t>)</w:t>
      </w:r>
      <w:r w:rsidR="00564ABD" w:rsidRPr="00C3033E">
        <w:rPr>
          <w:rFonts w:ascii="Arial" w:hAnsi="Arial" w:cs="Arial"/>
        </w:rPr>
        <w:t xml:space="preserve">. </w:t>
      </w:r>
      <w:proofErr w:type="gramStart"/>
      <w:r w:rsidR="00564ABD" w:rsidRPr="00C3033E">
        <w:rPr>
          <w:rFonts w:ascii="Arial" w:hAnsi="Arial" w:cs="Arial"/>
        </w:rPr>
        <w:t>Liší</w:t>
      </w:r>
      <w:proofErr w:type="gramEnd"/>
      <w:r w:rsidR="00564ABD" w:rsidRPr="00C3033E">
        <w:rPr>
          <w:rFonts w:ascii="Arial" w:hAnsi="Arial" w:cs="Arial"/>
        </w:rPr>
        <w:t xml:space="preserve"> </w:t>
      </w:r>
      <w:r w:rsidR="00E62D72" w:rsidRPr="00C3033E">
        <w:rPr>
          <w:rFonts w:ascii="Arial" w:hAnsi="Arial" w:cs="Arial"/>
        </w:rPr>
        <w:t>se i obsah a rozsah benefitů, které z průkazů vyplývají.</w:t>
      </w:r>
      <w:r w:rsidR="00564ABD" w:rsidRPr="00C3033E">
        <w:rPr>
          <w:rFonts w:ascii="Arial" w:hAnsi="Arial" w:cs="Arial"/>
        </w:rPr>
        <w:t xml:space="preserve"> V praxi nastanou situace, kdy držitelé </w:t>
      </w:r>
      <w:r w:rsidR="00E62D72" w:rsidRPr="00C3033E">
        <w:rPr>
          <w:rFonts w:ascii="Arial" w:hAnsi="Arial" w:cs="Arial"/>
        </w:rPr>
        <w:t xml:space="preserve">EDC </w:t>
      </w:r>
      <w:r w:rsidR="00E96983" w:rsidRPr="00C3033E">
        <w:rPr>
          <w:rFonts w:ascii="Arial" w:hAnsi="Arial" w:cs="Arial"/>
        </w:rPr>
        <w:t>(vydaného na</w:t>
      </w:r>
      <w:r w:rsidR="00564ABD" w:rsidRPr="00C3033E">
        <w:rPr>
          <w:rFonts w:ascii="Arial" w:hAnsi="Arial" w:cs="Arial"/>
        </w:rPr>
        <w:t> </w:t>
      </w:r>
      <w:r w:rsidR="00E96983" w:rsidRPr="00C3033E">
        <w:rPr>
          <w:rFonts w:ascii="Arial" w:hAnsi="Arial" w:cs="Arial"/>
        </w:rPr>
        <w:t xml:space="preserve">základě podmínek </w:t>
      </w:r>
      <w:r w:rsidR="00564ABD" w:rsidRPr="00C3033E">
        <w:rPr>
          <w:rFonts w:ascii="Arial" w:hAnsi="Arial" w:cs="Arial"/>
        </w:rPr>
        <w:t>svého domovského ČS)</w:t>
      </w:r>
      <w:r w:rsidR="00E96983" w:rsidRPr="00C3033E">
        <w:rPr>
          <w:rFonts w:ascii="Arial" w:hAnsi="Arial" w:cs="Arial"/>
        </w:rPr>
        <w:t xml:space="preserve"> s méně závažným postižením mohou mít větší nároky než držitelé národního průkazu </w:t>
      </w:r>
      <w:r w:rsidR="00564ABD" w:rsidRPr="00C3033E">
        <w:rPr>
          <w:rFonts w:ascii="Arial" w:hAnsi="Arial" w:cs="Arial"/>
        </w:rPr>
        <w:t xml:space="preserve">ČS, do kterého přicestovali, kteří mají závažnější postižení. </w:t>
      </w:r>
      <w:r w:rsidR="00E96983" w:rsidRPr="00C3033E">
        <w:rPr>
          <w:rFonts w:ascii="Arial" w:hAnsi="Arial" w:cs="Arial"/>
        </w:rPr>
        <w:t>Ačkoli osoby se zdravotním postižením po</w:t>
      </w:r>
      <w:r w:rsidR="008C767A">
        <w:rPr>
          <w:rFonts w:ascii="Arial" w:hAnsi="Arial" w:cs="Arial"/>
        </w:rPr>
        <w:t> </w:t>
      </w:r>
      <w:r w:rsidR="00E96983" w:rsidRPr="00C3033E">
        <w:rPr>
          <w:rFonts w:ascii="Arial" w:hAnsi="Arial" w:cs="Arial"/>
        </w:rPr>
        <w:t>zavedení EDC dlouhodobě volají</w:t>
      </w:r>
      <w:r w:rsidR="007F71BB" w:rsidRPr="00C3033E">
        <w:rPr>
          <w:rFonts w:ascii="Arial" w:hAnsi="Arial" w:cs="Arial"/>
        </w:rPr>
        <w:t xml:space="preserve"> a ačkoli právo EU takovou situaci připouští, </w:t>
      </w:r>
      <w:r w:rsidR="00282E8E" w:rsidRPr="00C3033E">
        <w:rPr>
          <w:rFonts w:ascii="Arial" w:hAnsi="Arial" w:cs="Arial"/>
        </w:rPr>
        <w:t xml:space="preserve">nemusí být </w:t>
      </w:r>
      <w:r w:rsidR="008A42C6" w:rsidRPr="00C3033E">
        <w:rPr>
          <w:rFonts w:ascii="Arial" w:hAnsi="Arial" w:cs="Arial"/>
        </w:rPr>
        <w:t xml:space="preserve">zejména v českém prostředí </w:t>
      </w:r>
      <w:r w:rsidR="00564ABD" w:rsidRPr="00C3033E">
        <w:rPr>
          <w:rFonts w:ascii="Arial" w:hAnsi="Arial" w:cs="Arial"/>
        </w:rPr>
        <w:t>pozitivně vnímán</w:t>
      </w:r>
      <w:r w:rsidR="007F71BB" w:rsidRPr="00C3033E">
        <w:rPr>
          <w:rFonts w:ascii="Arial" w:hAnsi="Arial" w:cs="Arial"/>
        </w:rPr>
        <w:t>a</w:t>
      </w:r>
      <w:r w:rsidR="00282E8E" w:rsidRPr="00C3033E">
        <w:rPr>
          <w:rFonts w:ascii="Arial" w:hAnsi="Arial" w:cs="Arial"/>
        </w:rPr>
        <w:t>, neboť s</w:t>
      </w:r>
      <w:r w:rsidR="008A42C6" w:rsidRPr="00C3033E">
        <w:rPr>
          <w:rFonts w:ascii="Arial" w:hAnsi="Arial" w:cs="Arial"/>
        </w:rPr>
        <w:t>měrnice zavádí nárok na</w:t>
      </w:r>
      <w:r w:rsidR="008C767A">
        <w:rPr>
          <w:rFonts w:ascii="Arial" w:hAnsi="Arial" w:cs="Arial"/>
        </w:rPr>
        <w:t> </w:t>
      </w:r>
      <w:r w:rsidR="008A42C6" w:rsidRPr="00C3033E">
        <w:rPr>
          <w:rFonts w:ascii="Arial" w:hAnsi="Arial" w:cs="Arial"/>
        </w:rPr>
        <w:t>stejné zacházení</w:t>
      </w:r>
      <w:r w:rsidR="003866F5" w:rsidRPr="00C3033E">
        <w:rPr>
          <w:rFonts w:ascii="Arial" w:hAnsi="Arial" w:cs="Arial"/>
        </w:rPr>
        <w:t>,</w:t>
      </w:r>
      <w:r w:rsidR="008A42C6" w:rsidRPr="00C3033E">
        <w:rPr>
          <w:rFonts w:ascii="Arial" w:hAnsi="Arial" w:cs="Arial"/>
        </w:rPr>
        <w:t xml:space="preserve"> ale</w:t>
      </w:r>
      <w:r w:rsidR="007F71BB" w:rsidRPr="00C3033E">
        <w:rPr>
          <w:rFonts w:ascii="Arial" w:hAnsi="Arial" w:cs="Arial"/>
        </w:rPr>
        <w:t> </w:t>
      </w:r>
      <w:r w:rsidR="008A42C6" w:rsidRPr="00C3033E">
        <w:rPr>
          <w:rFonts w:ascii="Arial" w:hAnsi="Arial" w:cs="Arial"/>
        </w:rPr>
        <w:t xml:space="preserve">u osob s potenciálně velmi odlišným stavem. </w:t>
      </w:r>
      <w:r w:rsidR="008C767A" w:rsidRPr="00C3033E">
        <w:rPr>
          <w:rFonts w:ascii="Arial" w:hAnsi="Arial" w:cs="Arial"/>
        </w:rPr>
        <w:t>Rezidenti – osoby</w:t>
      </w:r>
      <w:r w:rsidR="00282E8E" w:rsidRPr="00C3033E">
        <w:rPr>
          <w:rFonts w:ascii="Arial" w:hAnsi="Arial" w:cs="Arial"/>
        </w:rPr>
        <w:t xml:space="preserve"> se</w:t>
      </w:r>
      <w:r w:rsidR="00EF5EE2">
        <w:rPr>
          <w:rFonts w:ascii="Arial" w:hAnsi="Arial" w:cs="Arial"/>
        </w:rPr>
        <w:t> </w:t>
      </w:r>
      <w:r w:rsidR="00282E8E" w:rsidRPr="00C3033E">
        <w:rPr>
          <w:rFonts w:ascii="Arial" w:hAnsi="Arial" w:cs="Arial"/>
        </w:rPr>
        <w:t>zdravotním postižením mohou být v některých případech nepříznivě dotčeni, neboť nelze vyloučit, že v důsledku skutečnosti, že preferenční zacházení bude nárokovat více osob, dojde ke zhoršení přístupu k těmto službám, případně že</w:t>
      </w:r>
      <w:r w:rsidR="008C767A">
        <w:rPr>
          <w:rFonts w:ascii="Arial" w:hAnsi="Arial" w:cs="Arial"/>
        </w:rPr>
        <w:t> </w:t>
      </w:r>
      <w:r w:rsidR="00282E8E" w:rsidRPr="00C3033E">
        <w:rPr>
          <w:rFonts w:ascii="Arial" w:hAnsi="Arial" w:cs="Arial"/>
        </w:rPr>
        <w:t xml:space="preserve">někteří provozovatelé, kteří poskytují zvýhodnění </w:t>
      </w:r>
      <w:r w:rsidR="00BE1D82" w:rsidRPr="00C3033E">
        <w:rPr>
          <w:rFonts w:ascii="Arial" w:hAnsi="Arial" w:cs="Arial"/>
        </w:rPr>
        <w:t xml:space="preserve">osobám </w:t>
      </w:r>
      <w:r w:rsidR="008C767A" w:rsidRPr="00C3033E">
        <w:rPr>
          <w:rFonts w:ascii="Arial" w:hAnsi="Arial" w:cs="Arial"/>
        </w:rPr>
        <w:t>se</w:t>
      </w:r>
      <w:r w:rsidR="00BE1D82" w:rsidRPr="00C3033E">
        <w:rPr>
          <w:rFonts w:ascii="Arial" w:hAnsi="Arial" w:cs="Arial"/>
        </w:rPr>
        <w:t xml:space="preserve"> zdravotním postižením </w:t>
      </w:r>
      <w:r w:rsidR="00282E8E" w:rsidRPr="00C3033E">
        <w:rPr>
          <w:rFonts w:ascii="Arial" w:hAnsi="Arial" w:cs="Arial"/>
        </w:rPr>
        <w:t>na</w:t>
      </w:r>
      <w:r w:rsidR="00EF5EE2">
        <w:rPr>
          <w:rFonts w:ascii="Arial" w:hAnsi="Arial" w:cs="Arial"/>
        </w:rPr>
        <w:t> </w:t>
      </w:r>
      <w:r w:rsidR="00282E8E" w:rsidRPr="00C3033E">
        <w:rPr>
          <w:rFonts w:ascii="Arial" w:hAnsi="Arial" w:cs="Arial"/>
        </w:rPr>
        <w:t xml:space="preserve">dobrovolném základě, od </w:t>
      </w:r>
      <w:r w:rsidR="00BE1D82" w:rsidRPr="00C3033E">
        <w:rPr>
          <w:rFonts w:ascii="Arial" w:hAnsi="Arial" w:cs="Arial"/>
        </w:rPr>
        <w:t xml:space="preserve">zvýhodňování upustí. Přínosy lze tak z hlediska rezidentů spatřovat v těch případech, kdy sami realizují právo volného pohybu v rámci EU. </w:t>
      </w:r>
    </w:p>
    <w:p w14:paraId="561F47E3" w14:textId="77777777" w:rsidR="00BE1D82" w:rsidRPr="00C3033E" w:rsidRDefault="00BE1D82" w:rsidP="008C767A">
      <w:pPr>
        <w:jc w:val="both"/>
        <w:rPr>
          <w:rFonts w:ascii="Arial" w:hAnsi="Arial" w:cs="Arial"/>
        </w:rPr>
      </w:pPr>
    </w:p>
    <w:p w14:paraId="45648BBF" w14:textId="17D13690" w:rsidR="00E96983" w:rsidRDefault="00BE1D82" w:rsidP="008C767A">
      <w:pPr>
        <w:jc w:val="both"/>
        <w:rPr>
          <w:rFonts w:ascii="Arial" w:hAnsi="Arial" w:cs="Arial"/>
        </w:rPr>
      </w:pPr>
      <w:r w:rsidRPr="00C3033E">
        <w:rPr>
          <w:rFonts w:ascii="Arial" w:hAnsi="Arial" w:cs="Arial"/>
        </w:rPr>
        <w:t>Přes deklarovanou skutečnost, že cílem směrnice není harmonizovat kritéria způsobilosti, podmínky nebo postupy posuzování pro získání statusu zdravotního postižení v </w:t>
      </w:r>
      <w:r w:rsidR="00216793">
        <w:rPr>
          <w:rFonts w:ascii="Arial" w:hAnsi="Arial" w:cs="Arial"/>
        </w:rPr>
        <w:t>ČS</w:t>
      </w:r>
      <w:r w:rsidRPr="00C3033E">
        <w:rPr>
          <w:rFonts w:ascii="Arial" w:hAnsi="Arial" w:cs="Arial"/>
        </w:rPr>
        <w:t xml:space="preserve">, které zůstávají v pravomoci </w:t>
      </w:r>
      <w:r w:rsidR="00216793">
        <w:rPr>
          <w:rFonts w:ascii="Arial" w:hAnsi="Arial" w:cs="Arial"/>
        </w:rPr>
        <w:t>ČS</w:t>
      </w:r>
      <w:r w:rsidRPr="00C3033E">
        <w:rPr>
          <w:rFonts w:ascii="Arial" w:hAnsi="Arial" w:cs="Arial"/>
        </w:rPr>
        <w:t>, nelze pominout skutečnost, že návrh směrnice zakládá situaci, kdy objektivně rozdílné skutečnosti (</w:t>
      </w:r>
      <w:r w:rsidR="007A1DAB" w:rsidRPr="00C3033E">
        <w:rPr>
          <w:rFonts w:ascii="Arial" w:hAnsi="Arial" w:cs="Arial"/>
        </w:rPr>
        <w:t xml:space="preserve">tj. rozdílná </w:t>
      </w:r>
      <w:r w:rsidRPr="00C3033E">
        <w:rPr>
          <w:rFonts w:ascii="Arial" w:hAnsi="Arial" w:cs="Arial"/>
        </w:rPr>
        <w:t>míra zdravotního postižení, která je v daném ČS relevantní pro</w:t>
      </w:r>
      <w:r w:rsidR="008C767A">
        <w:rPr>
          <w:rFonts w:ascii="Arial" w:hAnsi="Arial" w:cs="Arial"/>
        </w:rPr>
        <w:t> </w:t>
      </w:r>
      <w:r w:rsidRPr="00C3033E">
        <w:rPr>
          <w:rFonts w:ascii="Arial" w:hAnsi="Arial" w:cs="Arial"/>
        </w:rPr>
        <w:t xml:space="preserve">získání příslušného průkazu zdravotního postižení) mají </w:t>
      </w:r>
      <w:r w:rsidR="007A1DAB" w:rsidRPr="00C3033E">
        <w:rPr>
          <w:rFonts w:ascii="Arial" w:hAnsi="Arial" w:cs="Arial"/>
        </w:rPr>
        <w:t>být v ČS, kam osoba se</w:t>
      </w:r>
      <w:r w:rsidR="008C767A">
        <w:rPr>
          <w:rFonts w:ascii="Arial" w:hAnsi="Arial" w:cs="Arial"/>
        </w:rPr>
        <w:t> </w:t>
      </w:r>
      <w:r w:rsidR="007A1DAB" w:rsidRPr="00C3033E">
        <w:rPr>
          <w:rFonts w:ascii="Arial" w:hAnsi="Arial" w:cs="Arial"/>
        </w:rPr>
        <w:t>zdravotním postižením vycestuje, hodnoceny jako rovnocenné</w:t>
      </w:r>
      <w:r w:rsidRPr="00C3033E">
        <w:rPr>
          <w:rFonts w:ascii="Arial" w:hAnsi="Arial" w:cs="Arial"/>
        </w:rPr>
        <w:t xml:space="preserve">. </w:t>
      </w:r>
      <w:r w:rsidR="009256D7" w:rsidRPr="00C3033E">
        <w:rPr>
          <w:rFonts w:ascii="Arial" w:hAnsi="Arial" w:cs="Arial"/>
        </w:rPr>
        <w:t>Jako přesnější se</w:t>
      </w:r>
      <w:r w:rsidR="008C767A">
        <w:rPr>
          <w:rFonts w:ascii="Arial" w:hAnsi="Arial" w:cs="Arial"/>
        </w:rPr>
        <w:t> </w:t>
      </w:r>
      <w:r w:rsidR="009256D7" w:rsidRPr="00C3033E">
        <w:rPr>
          <w:rFonts w:ascii="Arial" w:hAnsi="Arial" w:cs="Arial"/>
        </w:rPr>
        <w:t xml:space="preserve">proto jeví konstatování, že se návrh </w:t>
      </w:r>
      <w:r w:rsidR="009256D7" w:rsidRPr="00C3033E">
        <w:rPr>
          <w:rFonts w:ascii="Arial" w:hAnsi="Arial" w:cs="Arial"/>
          <w:i/>
          <w:iCs/>
        </w:rPr>
        <w:t>neomezuje</w:t>
      </w:r>
      <w:r w:rsidR="009256D7" w:rsidRPr="00C3033E">
        <w:rPr>
          <w:rFonts w:ascii="Arial" w:hAnsi="Arial" w:cs="Arial"/>
        </w:rPr>
        <w:t xml:space="preserve"> na harmonizaci, ale de facto jde dál</w:t>
      </w:r>
      <w:r w:rsidR="009D0CE5" w:rsidRPr="00C3033E">
        <w:rPr>
          <w:rFonts w:ascii="Arial" w:hAnsi="Arial" w:cs="Arial"/>
        </w:rPr>
        <w:t>e</w:t>
      </w:r>
      <w:r w:rsidR="009256D7" w:rsidRPr="00C3033E">
        <w:rPr>
          <w:rFonts w:ascii="Arial" w:hAnsi="Arial" w:cs="Arial"/>
        </w:rPr>
        <w:t xml:space="preserve"> a přiznává rovnocenné účinky rozhodnutím ČS bez ohledu na to, osvědčují-li objektivně stejnou skutečnost.</w:t>
      </w:r>
      <w:r w:rsidR="008A42C6" w:rsidRPr="00C3033E">
        <w:rPr>
          <w:rFonts w:ascii="Arial" w:hAnsi="Arial" w:cs="Arial"/>
        </w:rPr>
        <w:t xml:space="preserve"> </w:t>
      </w:r>
      <w:r w:rsidR="00D211B9" w:rsidRPr="00C3033E">
        <w:rPr>
          <w:rFonts w:ascii="Arial" w:hAnsi="Arial" w:cs="Arial"/>
        </w:rPr>
        <w:t>ČR s</w:t>
      </w:r>
      <w:r w:rsidR="009256D7" w:rsidRPr="00C3033E">
        <w:rPr>
          <w:rFonts w:ascii="Arial" w:hAnsi="Arial" w:cs="Arial"/>
        </w:rPr>
        <w:t>i</w:t>
      </w:r>
      <w:r w:rsidR="00D211B9" w:rsidRPr="00C3033E">
        <w:rPr>
          <w:rFonts w:ascii="Arial" w:hAnsi="Arial" w:cs="Arial"/>
        </w:rPr>
        <w:t xml:space="preserve"> je vědoma </w:t>
      </w:r>
      <w:r w:rsidR="00E547FA" w:rsidRPr="00C3033E">
        <w:rPr>
          <w:rFonts w:ascii="Arial" w:hAnsi="Arial" w:cs="Arial"/>
        </w:rPr>
        <w:t xml:space="preserve">možných </w:t>
      </w:r>
      <w:r w:rsidR="00D211B9" w:rsidRPr="00C3033E">
        <w:rPr>
          <w:rFonts w:ascii="Arial" w:hAnsi="Arial" w:cs="Arial"/>
        </w:rPr>
        <w:t xml:space="preserve">ekonomických a dalších potenciálních dopadů návrhu směrnice. </w:t>
      </w:r>
    </w:p>
    <w:p w14:paraId="5026F60C" w14:textId="075056CC" w:rsidR="00AF7C97" w:rsidRDefault="00AF7C97" w:rsidP="008C767A">
      <w:pPr>
        <w:jc w:val="both"/>
        <w:rPr>
          <w:rFonts w:ascii="Arial" w:hAnsi="Arial" w:cs="Arial"/>
        </w:rPr>
      </w:pPr>
    </w:p>
    <w:p w14:paraId="301E8995" w14:textId="1C5D433D" w:rsidR="00AF7C97" w:rsidRPr="00C3033E" w:rsidRDefault="00AF7C97" w:rsidP="008C767A">
      <w:pPr>
        <w:jc w:val="both"/>
        <w:rPr>
          <w:rFonts w:ascii="Arial" w:hAnsi="Arial" w:cs="Arial"/>
          <w:color w:val="FF0000"/>
        </w:rPr>
      </w:pPr>
      <w:r>
        <w:rPr>
          <w:rFonts w:ascii="Arial" w:hAnsi="Arial" w:cs="Arial"/>
        </w:rPr>
        <w:t>ČR bude usilovat o úpravu</w:t>
      </w:r>
      <w:r w:rsidR="00ED1145">
        <w:rPr>
          <w:rFonts w:ascii="Arial" w:hAnsi="Arial" w:cs="Arial"/>
        </w:rPr>
        <w:t xml:space="preserve"> (včetně podoby EDC a EPC)</w:t>
      </w:r>
      <w:r>
        <w:rPr>
          <w:rFonts w:ascii="Arial" w:hAnsi="Arial" w:cs="Arial"/>
        </w:rPr>
        <w:t xml:space="preserve">, která bude mít co nejmenší administrativní a fiskální dopady na ČS. </w:t>
      </w:r>
    </w:p>
    <w:p w14:paraId="046A9EAD" w14:textId="0956141D" w:rsidR="00923C43" w:rsidRPr="00C3033E" w:rsidRDefault="00923C43" w:rsidP="008C767A">
      <w:pPr>
        <w:jc w:val="both"/>
        <w:rPr>
          <w:rFonts w:ascii="Arial" w:hAnsi="Arial" w:cs="Arial"/>
        </w:rPr>
      </w:pPr>
    </w:p>
    <w:p w14:paraId="1DA390FF" w14:textId="4909C7D3" w:rsidR="00CC295B" w:rsidRPr="00C3033E" w:rsidRDefault="00CC295B" w:rsidP="008C767A">
      <w:pPr>
        <w:pStyle w:val="Zkladntext"/>
        <w:spacing w:after="0"/>
        <w:rPr>
          <w:rFonts w:ascii="Arial" w:hAnsi="Arial" w:cs="Arial"/>
          <w:b/>
          <w:bCs/>
          <w:i/>
          <w:iCs/>
          <w:lang w:val="cs"/>
        </w:rPr>
      </w:pPr>
      <w:bookmarkStart w:id="6" w:name="_Hlk93052959"/>
      <w:r w:rsidRPr="00C3033E">
        <w:rPr>
          <w:rFonts w:ascii="Arial" w:hAnsi="Arial" w:cs="Arial"/>
          <w:b/>
          <w:bCs/>
          <w:i/>
          <w:iCs/>
          <w:lang w:val="cs"/>
        </w:rPr>
        <w:t>Konkrétně k </w:t>
      </w:r>
      <w:r w:rsidR="001E7DF9" w:rsidRPr="00C3033E">
        <w:rPr>
          <w:rFonts w:ascii="Arial" w:hAnsi="Arial" w:cs="Arial"/>
          <w:b/>
          <w:bCs/>
          <w:i/>
          <w:iCs/>
          <w:lang w:val="cs"/>
        </w:rPr>
        <w:t xml:space="preserve">jednotlivým </w:t>
      </w:r>
      <w:r w:rsidRPr="00C3033E">
        <w:rPr>
          <w:rFonts w:ascii="Arial" w:hAnsi="Arial" w:cs="Arial"/>
          <w:b/>
          <w:bCs/>
          <w:i/>
          <w:iCs/>
          <w:lang w:val="cs"/>
        </w:rPr>
        <w:t>bodům:</w:t>
      </w:r>
    </w:p>
    <w:bookmarkEnd w:id="6"/>
    <w:p w14:paraId="3BA7710C" w14:textId="77777777" w:rsidR="00787C52" w:rsidRPr="00C3033E" w:rsidRDefault="00787C52" w:rsidP="008C767A">
      <w:pPr>
        <w:jc w:val="both"/>
        <w:rPr>
          <w:rFonts w:ascii="Arial" w:hAnsi="Arial" w:cs="Arial"/>
          <w:b/>
          <w:bCs/>
        </w:rPr>
      </w:pPr>
    </w:p>
    <w:p w14:paraId="61DA01E8" w14:textId="6E20EFE6" w:rsidR="00495AE2" w:rsidRDefault="00975250" w:rsidP="008C767A">
      <w:pPr>
        <w:jc w:val="both"/>
        <w:rPr>
          <w:rFonts w:ascii="Arial" w:hAnsi="Arial" w:cs="Arial"/>
          <w:b/>
          <w:bCs/>
        </w:rPr>
      </w:pPr>
      <w:r w:rsidRPr="00C3033E">
        <w:rPr>
          <w:rFonts w:ascii="Arial" w:hAnsi="Arial" w:cs="Arial"/>
          <w:b/>
          <w:bCs/>
        </w:rPr>
        <w:t>Preambule</w:t>
      </w:r>
    </w:p>
    <w:p w14:paraId="00A03448" w14:textId="77777777" w:rsidR="008C767A" w:rsidRPr="00C3033E" w:rsidRDefault="008C767A" w:rsidP="008C767A">
      <w:pPr>
        <w:jc w:val="both"/>
        <w:rPr>
          <w:rFonts w:ascii="Arial" w:hAnsi="Arial" w:cs="Arial"/>
          <w:b/>
          <w:bCs/>
        </w:rPr>
      </w:pPr>
    </w:p>
    <w:p w14:paraId="65380B30" w14:textId="77777777" w:rsidR="00E03CE4" w:rsidRDefault="00787C52" w:rsidP="008C767A">
      <w:pPr>
        <w:jc w:val="both"/>
        <w:rPr>
          <w:rFonts w:ascii="Arial" w:hAnsi="Arial" w:cs="Arial"/>
        </w:rPr>
      </w:pPr>
      <w:r w:rsidRPr="00C3033E">
        <w:rPr>
          <w:rFonts w:ascii="Arial" w:hAnsi="Arial" w:cs="Arial"/>
        </w:rPr>
        <w:t>Z preambule (body 11</w:t>
      </w:r>
      <w:r w:rsidR="000A23EE" w:rsidRPr="00C3033E">
        <w:rPr>
          <w:rFonts w:ascii="Arial" w:hAnsi="Arial" w:cs="Arial"/>
        </w:rPr>
        <w:t xml:space="preserve">, </w:t>
      </w:r>
      <w:r w:rsidRPr="00C3033E">
        <w:rPr>
          <w:rFonts w:ascii="Arial" w:hAnsi="Arial" w:cs="Arial"/>
        </w:rPr>
        <w:t>12</w:t>
      </w:r>
      <w:r w:rsidR="000A23EE" w:rsidRPr="00C3033E">
        <w:rPr>
          <w:rFonts w:ascii="Arial" w:hAnsi="Arial" w:cs="Arial"/>
        </w:rPr>
        <w:t xml:space="preserve"> a 21</w:t>
      </w:r>
      <w:r w:rsidRPr="00C3033E">
        <w:rPr>
          <w:rFonts w:ascii="Arial" w:hAnsi="Arial" w:cs="Arial"/>
        </w:rPr>
        <w:t>) lze dovodit, že cílem směrnice jsou osoby se</w:t>
      </w:r>
      <w:r w:rsidR="00564ABD" w:rsidRPr="00C3033E">
        <w:rPr>
          <w:rFonts w:ascii="Arial" w:hAnsi="Arial" w:cs="Arial"/>
        </w:rPr>
        <w:t> </w:t>
      </w:r>
      <w:r w:rsidRPr="00C3033E">
        <w:rPr>
          <w:rFonts w:ascii="Arial" w:hAnsi="Arial" w:cs="Arial"/>
        </w:rPr>
        <w:t>zdravotním postižením, které cestují/navštěvují daný ČS po</w:t>
      </w:r>
      <w:r w:rsidR="007A1DAB" w:rsidRPr="00C3033E">
        <w:rPr>
          <w:rFonts w:ascii="Arial" w:hAnsi="Arial" w:cs="Arial"/>
        </w:rPr>
        <w:t xml:space="preserve"> krátkou dobu (</w:t>
      </w:r>
      <w:r w:rsidRPr="00C3033E">
        <w:rPr>
          <w:rFonts w:ascii="Arial" w:hAnsi="Arial" w:cs="Arial"/>
          <w:i/>
          <w:iCs/>
        </w:rPr>
        <w:t>„</w:t>
      </w:r>
      <w:proofErr w:type="spellStart"/>
      <w:r w:rsidRPr="00C3033E">
        <w:rPr>
          <w:rFonts w:ascii="Arial" w:hAnsi="Arial" w:cs="Arial"/>
          <w:i/>
          <w:iCs/>
        </w:rPr>
        <w:t>short</w:t>
      </w:r>
      <w:proofErr w:type="spellEnd"/>
      <w:r w:rsidRPr="00C3033E">
        <w:rPr>
          <w:rFonts w:ascii="Arial" w:hAnsi="Arial" w:cs="Arial"/>
          <w:i/>
          <w:iCs/>
        </w:rPr>
        <w:t xml:space="preserve"> period of </w:t>
      </w:r>
      <w:proofErr w:type="spellStart"/>
      <w:r w:rsidRPr="00C3033E">
        <w:rPr>
          <w:rFonts w:ascii="Arial" w:hAnsi="Arial" w:cs="Arial"/>
          <w:i/>
          <w:iCs/>
        </w:rPr>
        <w:t>time</w:t>
      </w:r>
      <w:proofErr w:type="spellEnd"/>
      <w:r w:rsidRPr="00C3033E">
        <w:rPr>
          <w:rFonts w:ascii="Arial" w:hAnsi="Arial" w:cs="Arial"/>
          <w:i/>
          <w:iCs/>
        </w:rPr>
        <w:t>“</w:t>
      </w:r>
      <w:r w:rsidR="007A1DAB" w:rsidRPr="00C3033E">
        <w:rPr>
          <w:rFonts w:ascii="Arial" w:hAnsi="Arial" w:cs="Arial"/>
          <w:i/>
          <w:iCs/>
        </w:rPr>
        <w:t>)</w:t>
      </w:r>
      <w:r w:rsidRPr="00C3033E">
        <w:rPr>
          <w:rFonts w:ascii="Arial" w:hAnsi="Arial" w:cs="Arial"/>
          <w:i/>
          <w:iCs/>
        </w:rPr>
        <w:t>.</w:t>
      </w:r>
      <w:r w:rsidRPr="00C3033E">
        <w:rPr>
          <w:rFonts w:ascii="Arial" w:hAnsi="Arial" w:cs="Arial"/>
        </w:rPr>
        <w:t xml:space="preserve"> Tento důležitý pojem však není dostatečně </w:t>
      </w:r>
      <w:r w:rsidRPr="00A50952">
        <w:rPr>
          <w:rFonts w:ascii="Arial" w:hAnsi="Arial" w:cs="Arial"/>
        </w:rPr>
        <w:t>ukotven</w:t>
      </w:r>
      <w:r w:rsidR="00841156" w:rsidRPr="00A50952">
        <w:rPr>
          <w:rFonts w:ascii="Arial" w:hAnsi="Arial" w:cs="Arial"/>
        </w:rPr>
        <w:t xml:space="preserve"> ani v preambuli ani v</w:t>
      </w:r>
      <w:r w:rsidR="00D957A4" w:rsidRPr="00A50952">
        <w:rPr>
          <w:rFonts w:ascii="Arial" w:hAnsi="Arial" w:cs="Arial"/>
        </w:rPr>
        <w:t> těle směrnice</w:t>
      </w:r>
      <w:r w:rsidR="0031160E" w:rsidRPr="00A50952">
        <w:rPr>
          <w:rFonts w:ascii="Arial" w:hAnsi="Arial" w:cs="Arial"/>
        </w:rPr>
        <w:t xml:space="preserve"> a není jasné, jak ho lze v praxi naplnit. Přístup osob pobývajících v ČS déle k „disability statusu“ a z něj vyplývající</w:t>
      </w:r>
      <w:r w:rsidR="00C73082" w:rsidRPr="00A50952">
        <w:rPr>
          <w:rFonts w:ascii="Arial" w:hAnsi="Arial" w:cs="Arial"/>
        </w:rPr>
        <w:t>m</w:t>
      </w:r>
      <w:r w:rsidR="0031160E" w:rsidRPr="00A50952">
        <w:rPr>
          <w:rFonts w:ascii="Arial" w:hAnsi="Arial" w:cs="Arial"/>
        </w:rPr>
        <w:t xml:space="preserve"> </w:t>
      </w:r>
      <w:r w:rsidR="008A42C6" w:rsidRPr="00A50952">
        <w:rPr>
          <w:rFonts w:ascii="Arial" w:hAnsi="Arial" w:cs="Arial"/>
        </w:rPr>
        <w:t>benefitů</w:t>
      </w:r>
      <w:r w:rsidR="00C73082" w:rsidRPr="00A50952">
        <w:rPr>
          <w:rFonts w:ascii="Arial" w:hAnsi="Arial" w:cs="Arial"/>
        </w:rPr>
        <w:t>m</w:t>
      </w:r>
      <w:r w:rsidR="0031160E" w:rsidRPr="00A50952">
        <w:rPr>
          <w:rFonts w:ascii="Arial" w:hAnsi="Arial" w:cs="Arial"/>
        </w:rPr>
        <w:t xml:space="preserve"> je ošetřen nařízením 492/2011 a směrnicí 2004</w:t>
      </w:r>
      <w:r w:rsidR="001E7DF9" w:rsidRPr="00A50952">
        <w:rPr>
          <w:rFonts w:ascii="Arial" w:hAnsi="Arial" w:cs="Arial"/>
        </w:rPr>
        <w:t>/38/ES</w:t>
      </w:r>
      <w:r w:rsidR="0031160E" w:rsidRPr="00A50952">
        <w:rPr>
          <w:rFonts w:ascii="Arial" w:hAnsi="Arial" w:cs="Arial"/>
        </w:rPr>
        <w:t xml:space="preserve">. </w:t>
      </w:r>
    </w:p>
    <w:p w14:paraId="7B0401BC" w14:textId="77777777" w:rsidR="00E03CE4" w:rsidRDefault="00E03CE4" w:rsidP="008C767A">
      <w:pPr>
        <w:jc w:val="both"/>
        <w:rPr>
          <w:rFonts w:ascii="Arial" w:hAnsi="Arial" w:cs="Arial"/>
        </w:rPr>
      </w:pPr>
    </w:p>
    <w:p w14:paraId="02860E0E" w14:textId="22C8E36F" w:rsidR="0016711F" w:rsidRPr="00A50952" w:rsidRDefault="00C17CA9" w:rsidP="008C767A">
      <w:pPr>
        <w:jc w:val="both"/>
        <w:rPr>
          <w:rFonts w:ascii="Arial" w:hAnsi="Arial" w:cs="Arial"/>
        </w:rPr>
      </w:pPr>
      <w:bookmarkStart w:id="7" w:name="_Hlk146014082"/>
      <w:r w:rsidRPr="00A50952">
        <w:rPr>
          <w:rFonts w:ascii="Arial" w:hAnsi="Arial" w:cs="Arial"/>
        </w:rPr>
        <w:t>ČR bude</w:t>
      </w:r>
      <w:r w:rsidR="00E03CE4">
        <w:rPr>
          <w:rFonts w:ascii="Arial" w:hAnsi="Arial" w:cs="Arial"/>
        </w:rPr>
        <w:t xml:space="preserve"> rovněž</w:t>
      </w:r>
      <w:r w:rsidRPr="00A50952">
        <w:rPr>
          <w:rFonts w:ascii="Arial" w:hAnsi="Arial" w:cs="Arial"/>
        </w:rPr>
        <w:t xml:space="preserve"> usilovat o vyjasnění bodu 29 odůvodnění, který stanoví, že EDC a</w:t>
      </w:r>
      <w:r w:rsidR="008C767A">
        <w:rPr>
          <w:rFonts w:ascii="Arial" w:hAnsi="Arial" w:cs="Arial"/>
        </w:rPr>
        <w:t> </w:t>
      </w:r>
      <w:r w:rsidRPr="00A50952">
        <w:rPr>
          <w:rFonts w:ascii="Arial" w:hAnsi="Arial" w:cs="Arial"/>
        </w:rPr>
        <w:t xml:space="preserve">EPC má být k dispozici rovněž </w:t>
      </w:r>
      <w:r w:rsidR="0016711F" w:rsidRPr="00A50952">
        <w:rPr>
          <w:rFonts w:ascii="Arial" w:hAnsi="Arial" w:cs="Arial"/>
        </w:rPr>
        <w:t>„</w:t>
      </w:r>
      <w:r w:rsidRPr="00A50952">
        <w:rPr>
          <w:rFonts w:ascii="Arial" w:hAnsi="Arial" w:cs="Arial"/>
        </w:rPr>
        <w:t>pracovníkům</w:t>
      </w:r>
      <w:r w:rsidR="0016711F" w:rsidRPr="00A50952">
        <w:rPr>
          <w:rFonts w:ascii="Arial" w:hAnsi="Arial" w:cs="Arial"/>
        </w:rPr>
        <w:t>“</w:t>
      </w:r>
      <w:r w:rsidRPr="00A50952">
        <w:rPr>
          <w:rFonts w:ascii="Arial" w:hAnsi="Arial" w:cs="Arial"/>
        </w:rPr>
        <w:t xml:space="preserve">, kteří cestují do jiného </w:t>
      </w:r>
      <w:r w:rsidR="00461769">
        <w:rPr>
          <w:rFonts w:ascii="Arial" w:hAnsi="Arial" w:cs="Arial"/>
        </w:rPr>
        <w:t xml:space="preserve">ČS </w:t>
      </w:r>
      <w:r w:rsidRPr="00A50952">
        <w:rPr>
          <w:rFonts w:ascii="Arial" w:hAnsi="Arial" w:cs="Arial"/>
        </w:rPr>
        <w:t>nebo jej navštěvují za účelem práce, a to v kontextu ustanovení, která deklarují, že</w:t>
      </w:r>
      <w:r w:rsidR="008C767A">
        <w:rPr>
          <w:rFonts w:ascii="Arial" w:hAnsi="Arial" w:cs="Arial"/>
        </w:rPr>
        <w:t> </w:t>
      </w:r>
      <w:r w:rsidRPr="00A50952">
        <w:rPr>
          <w:rFonts w:ascii="Arial" w:hAnsi="Arial" w:cs="Arial"/>
        </w:rPr>
        <w:t xml:space="preserve">cílem směrnice je zaměřit se na osoby se zdravotním postižením cestující do jiného </w:t>
      </w:r>
      <w:r w:rsidR="00461769">
        <w:rPr>
          <w:rFonts w:ascii="Arial" w:hAnsi="Arial" w:cs="Arial"/>
        </w:rPr>
        <w:t xml:space="preserve">ČS </w:t>
      </w:r>
      <w:r w:rsidRPr="00A50952">
        <w:rPr>
          <w:rFonts w:ascii="Arial" w:hAnsi="Arial" w:cs="Arial"/>
        </w:rPr>
        <w:t>nebo</w:t>
      </w:r>
      <w:r w:rsidR="00461769">
        <w:rPr>
          <w:rFonts w:ascii="Arial" w:hAnsi="Arial" w:cs="Arial"/>
        </w:rPr>
        <w:t> </w:t>
      </w:r>
      <w:r w:rsidRPr="00A50952">
        <w:rPr>
          <w:rFonts w:ascii="Arial" w:hAnsi="Arial" w:cs="Arial"/>
        </w:rPr>
        <w:t>jej navštěvující, které by mohly být v</w:t>
      </w:r>
      <w:r w:rsidR="0016711F" w:rsidRPr="00A50952">
        <w:rPr>
          <w:rFonts w:ascii="Arial" w:hAnsi="Arial" w:cs="Arial"/>
        </w:rPr>
        <w:t xml:space="preserve"> konečném </w:t>
      </w:r>
      <w:r w:rsidRPr="00A50952">
        <w:rPr>
          <w:rFonts w:ascii="Arial" w:hAnsi="Arial" w:cs="Arial"/>
        </w:rPr>
        <w:t xml:space="preserve">důsledku </w:t>
      </w:r>
      <w:r w:rsidR="0016711F" w:rsidRPr="00A50952">
        <w:rPr>
          <w:rFonts w:ascii="Arial" w:hAnsi="Arial" w:cs="Arial"/>
        </w:rPr>
        <w:t>(s</w:t>
      </w:r>
      <w:r w:rsidR="008C767A">
        <w:rPr>
          <w:rFonts w:ascii="Arial" w:hAnsi="Arial" w:cs="Arial"/>
        </w:rPr>
        <w:t> </w:t>
      </w:r>
      <w:r w:rsidR="0016711F" w:rsidRPr="00A50952">
        <w:rPr>
          <w:rFonts w:ascii="Arial" w:hAnsi="Arial" w:cs="Arial"/>
        </w:rPr>
        <w:t>ohledem na náklady) odrazovány od výkonu svých práv na volný pohyb.</w:t>
      </w:r>
    </w:p>
    <w:bookmarkEnd w:id="7"/>
    <w:p w14:paraId="0647CCAA" w14:textId="77777777" w:rsidR="0016711F" w:rsidRPr="00A50952" w:rsidRDefault="0016711F" w:rsidP="008C767A">
      <w:pPr>
        <w:jc w:val="both"/>
        <w:rPr>
          <w:rFonts w:ascii="Arial" w:hAnsi="Arial" w:cs="Arial"/>
        </w:rPr>
      </w:pPr>
    </w:p>
    <w:p w14:paraId="0DCBBA23" w14:textId="4D0B7C60" w:rsidR="007D6725" w:rsidRDefault="00EB68F3" w:rsidP="008C767A">
      <w:pPr>
        <w:jc w:val="both"/>
        <w:rPr>
          <w:rFonts w:ascii="Arial" w:hAnsi="Arial" w:cs="Arial"/>
          <w:b/>
          <w:bCs/>
        </w:rPr>
      </w:pPr>
      <w:r w:rsidRPr="00A50952">
        <w:rPr>
          <w:rFonts w:ascii="Arial" w:hAnsi="Arial" w:cs="Arial"/>
          <w:b/>
          <w:bCs/>
        </w:rPr>
        <w:t>Článek 1</w:t>
      </w:r>
    </w:p>
    <w:p w14:paraId="4CAF571A" w14:textId="77777777" w:rsidR="00C9614F" w:rsidRPr="00C3033E" w:rsidRDefault="00C9614F" w:rsidP="008C767A">
      <w:pPr>
        <w:jc w:val="both"/>
        <w:rPr>
          <w:rFonts w:ascii="Arial" w:hAnsi="Arial" w:cs="Arial"/>
          <w:b/>
          <w:bCs/>
        </w:rPr>
      </w:pPr>
    </w:p>
    <w:p w14:paraId="471050FC" w14:textId="6D5C79B3" w:rsidR="00EB68F3" w:rsidRPr="00C3033E" w:rsidRDefault="00EB68F3" w:rsidP="008C767A">
      <w:pPr>
        <w:jc w:val="both"/>
        <w:rPr>
          <w:rFonts w:ascii="Arial" w:hAnsi="Arial" w:cs="Arial"/>
        </w:rPr>
      </w:pPr>
      <w:r w:rsidRPr="00C3033E">
        <w:rPr>
          <w:rFonts w:ascii="Arial" w:hAnsi="Arial" w:cs="Arial"/>
        </w:rPr>
        <w:t>V souvislosti s vymezením předmětu směrnice bude ČR usilovat o vyjasnění, co je pro účely směrnice míněno krátkodobým pobytem a jak bude v praxi možné omezit používání EDC a EPC na krátkodobé pobyty</w:t>
      </w:r>
      <w:r w:rsidR="00134F70" w:rsidRPr="00C3033E">
        <w:rPr>
          <w:rFonts w:ascii="Arial" w:hAnsi="Arial" w:cs="Arial"/>
        </w:rPr>
        <w:t>.</w:t>
      </w:r>
    </w:p>
    <w:p w14:paraId="77393758" w14:textId="77777777" w:rsidR="002C0622" w:rsidRPr="00C3033E" w:rsidRDefault="002C0622" w:rsidP="008C767A">
      <w:pPr>
        <w:jc w:val="both"/>
        <w:rPr>
          <w:rFonts w:ascii="Arial" w:hAnsi="Arial" w:cs="Arial"/>
        </w:rPr>
      </w:pPr>
    </w:p>
    <w:p w14:paraId="32AE66A3" w14:textId="6B2DD1D8" w:rsidR="00134F70" w:rsidRPr="00C3033E" w:rsidRDefault="00134F70" w:rsidP="008C767A">
      <w:pPr>
        <w:jc w:val="both"/>
        <w:rPr>
          <w:rFonts w:ascii="Arial" w:hAnsi="Arial" w:cs="Arial"/>
        </w:rPr>
      </w:pPr>
      <w:r w:rsidRPr="00C3033E">
        <w:rPr>
          <w:rFonts w:ascii="Arial" w:hAnsi="Arial" w:cs="Arial"/>
        </w:rPr>
        <w:t>V souvislosti s jednotným formátem považuje ČR za vhodné, aby bylo ČS umožněno uvést na průkazu volitelné informace (určené pro vnitrostátní použití).</w:t>
      </w:r>
    </w:p>
    <w:p w14:paraId="48AFEABA" w14:textId="3622732E" w:rsidR="002C0622" w:rsidRPr="00C3033E" w:rsidRDefault="002C0622" w:rsidP="008C767A">
      <w:pPr>
        <w:jc w:val="both"/>
        <w:rPr>
          <w:rFonts w:ascii="Arial" w:hAnsi="Arial" w:cs="Arial"/>
          <w:b/>
          <w:bCs/>
        </w:rPr>
      </w:pPr>
    </w:p>
    <w:p w14:paraId="0C160CF1" w14:textId="04A689D6" w:rsidR="00590381" w:rsidRPr="00C3033E" w:rsidRDefault="00590381"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2</w:t>
      </w:r>
    </w:p>
    <w:p w14:paraId="040289D9" w14:textId="08CC6C9B" w:rsidR="00590381" w:rsidRPr="00C3033E" w:rsidRDefault="00590381" w:rsidP="008C767A">
      <w:pPr>
        <w:pBdr>
          <w:top w:val="nil"/>
          <w:left w:val="nil"/>
          <w:bottom w:val="nil"/>
          <w:right w:val="nil"/>
          <w:between w:val="nil"/>
          <w:bar w:val="nil"/>
        </w:pBdr>
        <w:jc w:val="both"/>
        <w:rPr>
          <w:rFonts w:ascii="Arial" w:hAnsi="Arial" w:cs="Arial"/>
          <w:b/>
          <w:bCs/>
          <w:noProof/>
        </w:rPr>
      </w:pPr>
    </w:p>
    <w:p w14:paraId="5BF113A8" w14:textId="41E6FDBA" w:rsidR="00923C43" w:rsidRPr="00C3033E" w:rsidRDefault="00923C43"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 xml:space="preserve">Článek 2 uvádí rozsah směrnice. </w:t>
      </w:r>
      <w:r w:rsidR="00A64418" w:rsidRPr="00C3033E">
        <w:rPr>
          <w:rFonts w:ascii="Arial" w:hAnsi="Arial" w:cs="Arial"/>
          <w:noProof/>
        </w:rPr>
        <w:t xml:space="preserve">Ten je široký a </w:t>
      </w:r>
      <w:r w:rsidR="00C73082" w:rsidRPr="00C3033E">
        <w:rPr>
          <w:rFonts w:ascii="Arial" w:hAnsi="Arial" w:cs="Arial"/>
          <w:noProof/>
        </w:rPr>
        <w:t xml:space="preserve">ČR bude usilovat o </w:t>
      </w:r>
      <w:r w:rsidR="00A64418" w:rsidRPr="00C3033E">
        <w:rPr>
          <w:rFonts w:ascii="Arial" w:hAnsi="Arial" w:cs="Arial"/>
          <w:noProof/>
        </w:rPr>
        <w:t xml:space="preserve"> detailní vysvětlení</w:t>
      </w:r>
      <w:r w:rsidR="002B6747" w:rsidRPr="00C3033E">
        <w:rPr>
          <w:rFonts w:ascii="Arial" w:hAnsi="Arial" w:cs="Arial"/>
          <w:noProof/>
        </w:rPr>
        <w:t xml:space="preserve"> zejména odstavce 2, který vymezuje, na jaké oblasti se směrnice nevztahuje. </w:t>
      </w:r>
    </w:p>
    <w:p w14:paraId="1EA3F134" w14:textId="77777777" w:rsidR="00E961D4" w:rsidRPr="00C3033E" w:rsidRDefault="00E961D4" w:rsidP="008C767A">
      <w:pPr>
        <w:pBdr>
          <w:top w:val="nil"/>
          <w:left w:val="nil"/>
          <w:bottom w:val="nil"/>
          <w:right w:val="nil"/>
          <w:between w:val="nil"/>
          <w:bar w:val="nil"/>
        </w:pBdr>
        <w:jc w:val="both"/>
        <w:rPr>
          <w:rFonts w:ascii="Arial" w:hAnsi="Arial" w:cs="Arial"/>
          <w:noProof/>
        </w:rPr>
      </w:pPr>
    </w:p>
    <w:p w14:paraId="76945D40" w14:textId="31A54C53" w:rsidR="002B6747" w:rsidRPr="00C3033E" w:rsidRDefault="002B6747"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S</w:t>
      </w:r>
      <w:r w:rsidR="00590381" w:rsidRPr="00C3033E">
        <w:rPr>
          <w:rFonts w:ascii="Arial" w:hAnsi="Arial" w:cs="Arial"/>
          <w:noProof/>
        </w:rPr>
        <w:t xml:space="preserve">měrnice se </w:t>
      </w:r>
      <w:r w:rsidRPr="00C3033E">
        <w:rPr>
          <w:rFonts w:ascii="Arial" w:hAnsi="Arial" w:cs="Arial"/>
          <w:noProof/>
        </w:rPr>
        <w:t xml:space="preserve">nemá vztahovat </w:t>
      </w:r>
      <w:r w:rsidR="00590381" w:rsidRPr="00C3033E">
        <w:rPr>
          <w:rFonts w:ascii="Arial" w:hAnsi="Arial" w:cs="Arial"/>
          <w:noProof/>
        </w:rPr>
        <w:t xml:space="preserve"> na oblast sociálního zabezpečení pokrytou nařízením 883/2004</w:t>
      </w:r>
      <w:r w:rsidR="000A23EE" w:rsidRPr="00C3033E">
        <w:rPr>
          <w:rFonts w:ascii="Arial" w:hAnsi="Arial" w:cs="Arial"/>
          <w:noProof/>
        </w:rPr>
        <w:t xml:space="preserve"> a 897/2009</w:t>
      </w:r>
      <w:r w:rsidR="00590381" w:rsidRPr="00C3033E">
        <w:rPr>
          <w:rFonts w:ascii="Arial" w:hAnsi="Arial" w:cs="Arial"/>
          <w:noProof/>
        </w:rPr>
        <w:t>, speciální pojistné a nepojistné peněžité či</w:t>
      </w:r>
      <w:r w:rsidR="00A64418" w:rsidRPr="00C3033E">
        <w:rPr>
          <w:rFonts w:ascii="Arial" w:hAnsi="Arial" w:cs="Arial"/>
          <w:noProof/>
        </w:rPr>
        <w:t> </w:t>
      </w:r>
      <w:r w:rsidR="00590381" w:rsidRPr="00C3033E">
        <w:rPr>
          <w:rFonts w:ascii="Arial" w:hAnsi="Arial" w:cs="Arial"/>
          <w:noProof/>
        </w:rPr>
        <w:t>věcné dávky oblasti sociálního zabezpečení, sociální ochrany či zaměstanosti a</w:t>
      </w:r>
      <w:r w:rsidR="00A64418" w:rsidRPr="00C3033E">
        <w:rPr>
          <w:rFonts w:ascii="Arial" w:hAnsi="Arial" w:cs="Arial"/>
          <w:noProof/>
        </w:rPr>
        <w:t> </w:t>
      </w:r>
      <w:r w:rsidR="00590381" w:rsidRPr="00C3033E">
        <w:rPr>
          <w:rFonts w:ascii="Arial" w:hAnsi="Arial" w:cs="Arial"/>
          <w:noProof/>
        </w:rPr>
        <w:t xml:space="preserve">sociální pomoc </w:t>
      </w:r>
      <w:r w:rsidR="00A64418" w:rsidRPr="00C3033E">
        <w:rPr>
          <w:rFonts w:ascii="Arial" w:hAnsi="Arial" w:cs="Arial"/>
          <w:noProof/>
        </w:rPr>
        <w:t> p</w:t>
      </w:r>
      <w:r w:rsidR="00F77188" w:rsidRPr="00C3033E">
        <w:rPr>
          <w:rFonts w:ascii="Arial" w:hAnsi="Arial" w:cs="Arial"/>
          <w:noProof/>
        </w:rPr>
        <w:t xml:space="preserve">okrytou článkem 24 odst. 2 směrnice </w:t>
      </w:r>
      <w:r w:rsidR="00C73082" w:rsidRPr="00C3033E">
        <w:rPr>
          <w:rFonts w:ascii="Arial" w:hAnsi="Arial" w:cs="Arial"/>
          <w:noProof/>
        </w:rPr>
        <w:t>2004/</w:t>
      </w:r>
      <w:r w:rsidR="00F77188" w:rsidRPr="00C3033E">
        <w:rPr>
          <w:rFonts w:ascii="Arial" w:hAnsi="Arial" w:cs="Arial"/>
          <w:noProof/>
        </w:rPr>
        <w:t>38</w:t>
      </w:r>
      <w:r w:rsidR="00C73082" w:rsidRPr="00C3033E">
        <w:rPr>
          <w:rFonts w:ascii="Arial" w:hAnsi="Arial" w:cs="Arial"/>
          <w:noProof/>
        </w:rPr>
        <w:t>/ES</w:t>
      </w:r>
      <w:r w:rsidR="00F77188" w:rsidRPr="00C3033E">
        <w:rPr>
          <w:rFonts w:ascii="Arial" w:hAnsi="Arial" w:cs="Arial"/>
          <w:noProof/>
        </w:rPr>
        <w:t xml:space="preserve">. </w:t>
      </w:r>
      <w:r w:rsidR="00A64418" w:rsidRPr="00C3033E">
        <w:rPr>
          <w:rFonts w:ascii="Arial" w:hAnsi="Arial" w:cs="Arial"/>
          <w:noProof/>
          <w:u w:val="single"/>
        </w:rPr>
        <w:t xml:space="preserve">ČR vítá, že směrnice nebude umožňovat rovné zacházení v oblasti </w:t>
      </w:r>
      <w:r w:rsidR="00E961D4" w:rsidRPr="00C3033E">
        <w:rPr>
          <w:rFonts w:ascii="Arial" w:hAnsi="Arial" w:cs="Arial"/>
          <w:noProof/>
          <w:u w:val="single"/>
        </w:rPr>
        <w:t xml:space="preserve">koordinované či nekoordinované </w:t>
      </w:r>
      <w:r w:rsidR="00A64418" w:rsidRPr="00C3033E">
        <w:rPr>
          <w:rFonts w:ascii="Arial" w:hAnsi="Arial" w:cs="Arial"/>
          <w:noProof/>
          <w:u w:val="single"/>
        </w:rPr>
        <w:t>dávkové podpory</w:t>
      </w:r>
      <w:r w:rsidR="00E961D4" w:rsidRPr="00C3033E">
        <w:rPr>
          <w:rFonts w:ascii="Arial" w:hAnsi="Arial" w:cs="Arial"/>
          <w:noProof/>
          <w:u w:val="single"/>
        </w:rPr>
        <w:t>; r</w:t>
      </w:r>
      <w:r w:rsidR="00A64418" w:rsidRPr="00C3033E">
        <w:rPr>
          <w:rFonts w:ascii="Arial" w:hAnsi="Arial" w:cs="Arial"/>
          <w:noProof/>
          <w:u w:val="single"/>
        </w:rPr>
        <w:t>ozšíření směrnice na danou oblast by nepodporovala</w:t>
      </w:r>
      <w:r w:rsidR="00E961D4" w:rsidRPr="00C3033E">
        <w:rPr>
          <w:rFonts w:ascii="Arial" w:hAnsi="Arial" w:cs="Arial"/>
          <w:noProof/>
          <w:u w:val="single"/>
        </w:rPr>
        <w:t>, resp. zásadně odmítla.</w:t>
      </w:r>
      <w:r w:rsidR="00E961D4" w:rsidRPr="00C3033E">
        <w:rPr>
          <w:rFonts w:ascii="Arial" w:hAnsi="Arial" w:cs="Arial"/>
          <w:noProof/>
        </w:rPr>
        <w:t xml:space="preserve"> </w:t>
      </w:r>
    </w:p>
    <w:p w14:paraId="2D6DE0A3" w14:textId="77777777" w:rsidR="002960A6" w:rsidRPr="00C3033E" w:rsidRDefault="002960A6" w:rsidP="008C767A">
      <w:pPr>
        <w:pBdr>
          <w:top w:val="nil"/>
          <w:left w:val="nil"/>
          <w:bottom w:val="nil"/>
          <w:right w:val="nil"/>
          <w:between w:val="nil"/>
          <w:bar w:val="nil"/>
        </w:pBdr>
        <w:jc w:val="both"/>
        <w:rPr>
          <w:rFonts w:ascii="Arial" w:hAnsi="Arial" w:cs="Arial"/>
          <w:noProof/>
        </w:rPr>
      </w:pPr>
    </w:p>
    <w:p w14:paraId="6C465963" w14:textId="7F964F76" w:rsidR="00590381" w:rsidRPr="00C3033E" w:rsidRDefault="00E961D4"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ČR bude usilovat o vyjasnění odkazu na článek 24 odst. 2 směrnice 2004</w:t>
      </w:r>
      <w:r w:rsidR="00716BC2" w:rsidRPr="00C3033E">
        <w:rPr>
          <w:rFonts w:ascii="Arial" w:hAnsi="Arial" w:cs="Arial"/>
          <w:noProof/>
        </w:rPr>
        <w:t>/38/ES</w:t>
      </w:r>
      <w:r w:rsidR="00B02698" w:rsidRPr="00C3033E">
        <w:rPr>
          <w:rFonts w:ascii="Arial" w:hAnsi="Arial" w:cs="Arial"/>
          <w:noProof/>
        </w:rPr>
        <w:t xml:space="preserve">. </w:t>
      </w:r>
      <w:r w:rsidRPr="00C3033E">
        <w:rPr>
          <w:rFonts w:ascii="Arial" w:hAnsi="Arial" w:cs="Arial"/>
          <w:noProof/>
        </w:rPr>
        <w:t xml:space="preserve">Sociální pomoc je možné zahrnout pod „sociální ochranu“ (viz písm. b) daného odstavce návrhu). </w:t>
      </w:r>
      <w:r w:rsidR="006E65CB" w:rsidRPr="00C3033E">
        <w:rPr>
          <w:rFonts w:ascii="Arial" w:hAnsi="Arial" w:cs="Arial"/>
          <w:noProof/>
        </w:rPr>
        <w:t xml:space="preserve">Rovný přístup osob při jejich pobytu kratším tří měsíců je pravděpodobně odvozován od </w:t>
      </w:r>
      <w:r w:rsidRPr="00C3033E">
        <w:rPr>
          <w:rFonts w:ascii="Arial" w:hAnsi="Arial" w:cs="Arial"/>
          <w:noProof/>
        </w:rPr>
        <w:t>článku 24 odst 2 směrnice 2004</w:t>
      </w:r>
      <w:r w:rsidR="00716BC2" w:rsidRPr="00C3033E">
        <w:rPr>
          <w:rFonts w:ascii="Arial" w:hAnsi="Arial" w:cs="Arial"/>
          <w:noProof/>
        </w:rPr>
        <w:t>/38/ES</w:t>
      </w:r>
      <w:r w:rsidR="006E65CB" w:rsidRPr="00C3033E">
        <w:rPr>
          <w:rFonts w:ascii="Arial" w:hAnsi="Arial" w:cs="Arial"/>
          <w:noProof/>
        </w:rPr>
        <w:t xml:space="preserve">, z čehož lze dále odvodit, že </w:t>
      </w:r>
      <w:r w:rsidRPr="00C3033E">
        <w:rPr>
          <w:rFonts w:ascii="Arial" w:hAnsi="Arial" w:cs="Arial"/>
          <w:noProof/>
        </w:rPr>
        <w:t xml:space="preserve">po uplynutí </w:t>
      </w:r>
      <w:r w:rsidR="002B6747" w:rsidRPr="00C3033E">
        <w:rPr>
          <w:rFonts w:ascii="Arial" w:hAnsi="Arial" w:cs="Arial"/>
          <w:noProof/>
        </w:rPr>
        <w:t>krátké doby (</w:t>
      </w:r>
      <w:r w:rsidRPr="00C3033E">
        <w:rPr>
          <w:rFonts w:ascii="Arial" w:hAnsi="Arial" w:cs="Arial"/>
          <w:noProof/>
        </w:rPr>
        <w:t>„short period of time“</w:t>
      </w:r>
      <w:r w:rsidR="002B6747" w:rsidRPr="00C3033E">
        <w:rPr>
          <w:rFonts w:ascii="Arial" w:hAnsi="Arial" w:cs="Arial"/>
          <w:noProof/>
        </w:rPr>
        <w:t>)</w:t>
      </w:r>
      <w:r w:rsidRPr="00C3033E">
        <w:rPr>
          <w:rFonts w:ascii="Arial" w:hAnsi="Arial" w:cs="Arial"/>
          <w:noProof/>
        </w:rPr>
        <w:t xml:space="preserve"> by </w:t>
      </w:r>
      <w:r w:rsidR="006E65CB" w:rsidRPr="00C3033E">
        <w:rPr>
          <w:rFonts w:ascii="Arial" w:hAnsi="Arial" w:cs="Arial"/>
          <w:noProof/>
        </w:rPr>
        <w:t xml:space="preserve">osoby </w:t>
      </w:r>
      <w:r w:rsidRPr="00C3033E">
        <w:rPr>
          <w:rFonts w:ascii="Arial" w:hAnsi="Arial" w:cs="Arial"/>
          <w:noProof/>
        </w:rPr>
        <w:t>měly mít přístup ke stejným benefitům pouze za předpokladu splněn</w:t>
      </w:r>
      <w:r w:rsidR="008A42C6" w:rsidRPr="00C3033E">
        <w:rPr>
          <w:rFonts w:ascii="Arial" w:hAnsi="Arial" w:cs="Arial"/>
          <w:noProof/>
        </w:rPr>
        <w:t>í</w:t>
      </w:r>
      <w:r w:rsidRPr="00C3033E">
        <w:rPr>
          <w:rFonts w:ascii="Arial" w:hAnsi="Arial" w:cs="Arial"/>
          <w:noProof/>
        </w:rPr>
        <w:t xml:space="preserve"> podmínek daného ČS pro</w:t>
      </w:r>
      <w:r w:rsidR="008A42C6" w:rsidRPr="00C3033E">
        <w:rPr>
          <w:rFonts w:ascii="Arial" w:hAnsi="Arial" w:cs="Arial"/>
          <w:noProof/>
        </w:rPr>
        <w:t> </w:t>
      </w:r>
      <w:r w:rsidRPr="00C3033E">
        <w:rPr>
          <w:rFonts w:ascii="Arial" w:hAnsi="Arial" w:cs="Arial"/>
          <w:noProof/>
        </w:rPr>
        <w:t xml:space="preserve">udělení </w:t>
      </w:r>
      <w:r w:rsidR="002B6747" w:rsidRPr="00C3033E">
        <w:rPr>
          <w:rFonts w:ascii="Arial" w:hAnsi="Arial" w:cs="Arial"/>
          <w:noProof/>
        </w:rPr>
        <w:t>statusu osoby se zdravotním postižením</w:t>
      </w:r>
      <w:r w:rsidRPr="00C3033E">
        <w:rPr>
          <w:rFonts w:ascii="Arial" w:hAnsi="Arial" w:cs="Arial"/>
          <w:noProof/>
        </w:rPr>
        <w:t xml:space="preserve">. </w:t>
      </w:r>
    </w:p>
    <w:p w14:paraId="3191F054" w14:textId="46BD83E2" w:rsidR="00E961D4" w:rsidRPr="00C3033E" w:rsidRDefault="00E961D4" w:rsidP="008C767A">
      <w:pPr>
        <w:pBdr>
          <w:top w:val="nil"/>
          <w:left w:val="nil"/>
          <w:bottom w:val="nil"/>
          <w:right w:val="nil"/>
          <w:between w:val="nil"/>
          <w:bar w:val="nil"/>
        </w:pBdr>
        <w:jc w:val="both"/>
        <w:rPr>
          <w:rFonts w:ascii="Arial" w:hAnsi="Arial" w:cs="Arial"/>
          <w:noProof/>
        </w:rPr>
      </w:pPr>
    </w:p>
    <w:p w14:paraId="71CA84EC" w14:textId="041DD94D" w:rsidR="00590381" w:rsidRPr="00C3033E" w:rsidRDefault="00E961D4" w:rsidP="008C767A">
      <w:pPr>
        <w:pBdr>
          <w:top w:val="nil"/>
          <w:left w:val="nil"/>
          <w:bottom w:val="nil"/>
          <w:right w:val="nil"/>
          <w:between w:val="nil"/>
          <w:bar w:val="nil"/>
        </w:pBdr>
        <w:jc w:val="both"/>
        <w:rPr>
          <w:rFonts w:ascii="Arial" w:hAnsi="Arial" w:cs="Arial"/>
          <w:noProof/>
          <w:color w:val="FF0000"/>
        </w:rPr>
      </w:pPr>
      <w:r w:rsidRPr="00C3033E">
        <w:rPr>
          <w:rFonts w:ascii="Arial" w:hAnsi="Arial" w:cs="Arial"/>
          <w:noProof/>
        </w:rPr>
        <w:t xml:space="preserve">Článek 2 bod 3 uvádí, že není dotčena kompetence ČS vydávat kromě EDC v podobě dle přílohy </w:t>
      </w:r>
      <w:r w:rsidR="008A42C6" w:rsidRPr="00C3033E">
        <w:rPr>
          <w:rFonts w:ascii="Arial" w:hAnsi="Arial" w:cs="Arial"/>
          <w:noProof/>
        </w:rPr>
        <w:t xml:space="preserve">směrnice </w:t>
      </w:r>
      <w:r w:rsidRPr="00C3033E">
        <w:rPr>
          <w:rFonts w:ascii="Arial" w:hAnsi="Arial" w:cs="Arial"/>
          <w:noProof/>
        </w:rPr>
        <w:t>i národní, regionální nebo lokální „certificate, a disability card or</w:t>
      </w:r>
      <w:r w:rsidR="008A42C6" w:rsidRPr="00C3033E">
        <w:rPr>
          <w:rFonts w:ascii="Arial" w:hAnsi="Arial" w:cs="Arial"/>
          <w:noProof/>
        </w:rPr>
        <w:t> </w:t>
      </w:r>
      <w:r w:rsidRPr="00C3033E">
        <w:rPr>
          <w:rFonts w:ascii="Arial" w:hAnsi="Arial" w:cs="Arial"/>
          <w:noProof/>
        </w:rPr>
        <w:t xml:space="preserve">any other formal document for persons with disabilities“. </w:t>
      </w:r>
      <w:r w:rsidR="00162AA4" w:rsidRPr="00C3033E">
        <w:rPr>
          <w:rFonts w:ascii="Arial" w:hAnsi="Arial" w:cs="Arial"/>
          <w:noProof/>
        </w:rPr>
        <w:t xml:space="preserve">Navíc některé články návrhu směrnice jsou formulovány tak, jako by by další (souběžnou) existenci podoby národních průkazů předpokládaly. </w:t>
      </w:r>
      <w:r w:rsidR="00162AA4" w:rsidRPr="008C767A">
        <w:rPr>
          <w:rFonts w:ascii="Arial" w:hAnsi="Arial" w:cs="Arial"/>
          <w:noProof/>
        </w:rPr>
        <w:t>ČR nerozporuje tento záměr, ale bude usilovat o</w:t>
      </w:r>
      <w:r w:rsidR="008C767A">
        <w:rPr>
          <w:rFonts w:ascii="Arial" w:hAnsi="Arial" w:cs="Arial"/>
          <w:noProof/>
        </w:rPr>
        <w:t> </w:t>
      </w:r>
      <w:r w:rsidR="00162AA4" w:rsidRPr="008C767A">
        <w:rPr>
          <w:rFonts w:ascii="Arial" w:hAnsi="Arial" w:cs="Arial"/>
          <w:noProof/>
        </w:rPr>
        <w:t xml:space="preserve">vyjasnění této záležitosti. </w:t>
      </w:r>
      <w:r w:rsidRPr="00C3033E">
        <w:rPr>
          <w:rFonts w:ascii="Arial" w:hAnsi="Arial" w:cs="Arial"/>
          <w:noProof/>
        </w:rPr>
        <w:t>ČR bude muset uvážit (v procesu RIA), zda bude vydávat na základě posouzení zdravot</w:t>
      </w:r>
      <w:r w:rsidR="002960A6" w:rsidRPr="00C3033E">
        <w:rPr>
          <w:rFonts w:ascii="Arial" w:hAnsi="Arial" w:cs="Arial"/>
          <w:noProof/>
        </w:rPr>
        <w:t>n</w:t>
      </w:r>
      <w:r w:rsidRPr="00C3033E">
        <w:rPr>
          <w:rFonts w:ascii="Arial" w:hAnsi="Arial" w:cs="Arial"/>
          <w:noProof/>
        </w:rPr>
        <w:t xml:space="preserve">ího stavu </w:t>
      </w:r>
      <w:r w:rsidR="002960A6" w:rsidRPr="00C3033E">
        <w:rPr>
          <w:rFonts w:ascii="Arial" w:hAnsi="Arial" w:cs="Arial"/>
          <w:noProof/>
        </w:rPr>
        <w:t xml:space="preserve">pouze </w:t>
      </w:r>
      <w:r w:rsidRPr="00C3033E">
        <w:rPr>
          <w:rFonts w:ascii="Arial" w:hAnsi="Arial" w:cs="Arial"/>
          <w:noProof/>
        </w:rPr>
        <w:t>průkaz v jeho nové podobě (EDC dle</w:t>
      </w:r>
      <w:r w:rsidR="00EF5EE2">
        <w:rPr>
          <w:rFonts w:ascii="Arial" w:hAnsi="Arial" w:cs="Arial"/>
          <w:noProof/>
        </w:rPr>
        <w:t> </w:t>
      </w:r>
      <w:r w:rsidRPr="00C3033E">
        <w:rPr>
          <w:rFonts w:ascii="Arial" w:hAnsi="Arial" w:cs="Arial"/>
          <w:noProof/>
        </w:rPr>
        <w:t xml:space="preserve">přílohy </w:t>
      </w:r>
      <w:r w:rsidR="0086104A" w:rsidRPr="00C3033E">
        <w:rPr>
          <w:rFonts w:ascii="Arial" w:hAnsi="Arial" w:cs="Arial"/>
          <w:noProof/>
        </w:rPr>
        <w:t>směrnice</w:t>
      </w:r>
      <w:r w:rsidRPr="00C3033E">
        <w:rPr>
          <w:rFonts w:ascii="Arial" w:hAnsi="Arial" w:cs="Arial"/>
          <w:noProof/>
        </w:rPr>
        <w:t>) nebo zachová i národní podobu tak, jak ji dnes vymezuje zákon o</w:t>
      </w:r>
      <w:r w:rsidR="009B2EBE" w:rsidRPr="00C3033E">
        <w:rPr>
          <w:rFonts w:ascii="Arial" w:hAnsi="Arial" w:cs="Arial"/>
          <w:noProof/>
        </w:rPr>
        <w:t> </w:t>
      </w:r>
      <w:r w:rsidRPr="00C3033E">
        <w:rPr>
          <w:rFonts w:ascii="Arial" w:hAnsi="Arial" w:cs="Arial"/>
          <w:noProof/>
        </w:rPr>
        <w:t>poskytování dávek osobám se zdravotním postižením a</w:t>
      </w:r>
      <w:r w:rsidR="0086104A" w:rsidRPr="00C3033E">
        <w:rPr>
          <w:rFonts w:ascii="Arial" w:hAnsi="Arial" w:cs="Arial"/>
          <w:noProof/>
        </w:rPr>
        <w:t> </w:t>
      </w:r>
      <w:r w:rsidRPr="00C3033E">
        <w:rPr>
          <w:rFonts w:ascii="Arial" w:hAnsi="Arial" w:cs="Arial"/>
          <w:noProof/>
        </w:rPr>
        <w:t xml:space="preserve">jeho prováděcí vyhláška. </w:t>
      </w:r>
      <w:r w:rsidR="00EF5EE2">
        <w:rPr>
          <w:rFonts w:ascii="Arial" w:hAnsi="Arial" w:cs="Arial"/>
          <w:noProof/>
        </w:rPr>
        <w:t xml:space="preserve">Daná </w:t>
      </w:r>
      <w:r w:rsidR="009B2EBE" w:rsidRPr="00C3033E">
        <w:rPr>
          <w:rFonts w:ascii="Arial" w:hAnsi="Arial" w:cs="Arial"/>
          <w:noProof/>
        </w:rPr>
        <w:t>otázk</w:t>
      </w:r>
      <w:r w:rsidR="002960A6" w:rsidRPr="00C3033E">
        <w:rPr>
          <w:rFonts w:ascii="Arial" w:hAnsi="Arial" w:cs="Arial"/>
          <w:noProof/>
        </w:rPr>
        <w:t>a</w:t>
      </w:r>
      <w:r w:rsidR="009B2EBE" w:rsidRPr="00C3033E">
        <w:rPr>
          <w:rFonts w:ascii="Arial" w:hAnsi="Arial" w:cs="Arial"/>
          <w:noProof/>
        </w:rPr>
        <w:t xml:space="preserve"> </w:t>
      </w:r>
      <w:r w:rsidR="002960A6" w:rsidRPr="00C3033E">
        <w:rPr>
          <w:rFonts w:ascii="Arial" w:hAnsi="Arial" w:cs="Arial"/>
          <w:noProof/>
        </w:rPr>
        <w:t xml:space="preserve">bude </w:t>
      </w:r>
      <w:r w:rsidR="009B2EBE" w:rsidRPr="00C3033E">
        <w:rPr>
          <w:rFonts w:ascii="Arial" w:hAnsi="Arial" w:cs="Arial"/>
          <w:noProof/>
        </w:rPr>
        <w:t>důkladně posou</w:t>
      </w:r>
      <w:r w:rsidR="002960A6" w:rsidRPr="00C3033E">
        <w:rPr>
          <w:rFonts w:ascii="Arial" w:hAnsi="Arial" w:cs="Arial"/>
          <w:noProof/>
        </w:rPr>
        <w:t>zena</w:t>
      </w:r>
      <w:r w:rsidR="009B2EBE" w:rsidRPr="00C3033E">
        <w:rPr>
          <w:rFonts w:ascii="Arial" w:hAnsi="Arial" w:cs="Arial"/>
          <w:noProof/>
        </w:rPr>
        <w:t xml:space="preserve"> v kontextu </w:t>
      </w:r>
      <w:r w:rsidR="002960A6" w:rsidRPr="00C3033E">
        <w:rPr>
          <w:rFonts w:ascii="Arial" w:hAnsi="Arial" w:cs="Arial"/>
          <w:noProof/>
        </w:rPr>
        <w:t xml:space="preserve">budoucí </w:t>
      </w:r>
      <w:r w:rsidR="009B2EBE" w:rsidRPr="00C3033E">
        <w:rPr>
          <w:rFonts w:ascii="Arial" w:hAnsi="Arial" w:cs="Arial"/>
          <w:noProof/>
        </w:rPr>
        <w:t xml:space="preserve">tranpozice, národní úpravy a zvyklostí ČR. </w:t>
      </w:r>
    </w:p>
    <w:p w14:paraId="5AE8FB4D" w14:textId="77777777" w:rsidR="00EF5EE2" w:rsidRDefault="00EF5EE2" w:rsidP="008C767A">
      <w:pPr>
        <w:pBdr>
          <w:top w:val="nil"/>
          <w:left w:val="nil"/>
          <w:bottom w:val="nil"/>
          <w:right w:val="nil"/>
          <w:between w:val="nil"/>
          <w:bar w:val="nil"/>
        </w:pBdr>
        <w:jc w:val="both"/>
        <w:rPr>
          <w:rFonts w:ascii="Arial" w:hAnsi="Arial" w:cs="Arial"/>
          <w:b/>
          <w:bCs/>
          <w:noProof/>
        </w:rPr>
      </w:pPr>
    </w:p>
    <w:p w14:paraId="120D2DD5" w14:textId="442858F1" w:rsidR="00EC5269" w:rsidRPr="00C3033E" w:rsidRDefault="00EC5269"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t xml:space="preserve">Článek </w:t>
      </w:r>
      <w:r w:rsidR="000B736A" w:rsidRPr="00C3033E">
        <w:rPr>
          <w:rFonts w:ascii="Arial" w:hAnsi="Arial" w:cs="Arial"/>
          <w:b/>
          <w:bCs/>
          <w:noProof/>
        </w:rPr>
        <w:t>3</w:t>
      </w:r>
      <w:r w:rsidRPr="00C3033E">
        <w:rPr>
          <w:rFonts w:ascii="Arial" w:hAnsi="Arial" w:cs="Arial"/>
          <w:noProof/>
        </w:rPr>
        <w:t xml:space="preserve">  </w:t>
      </w:r>
    </w:p>
    <w:p w14:paraId="2F508AAF" w14:textId="77777777" w:rsidR="006535C3" w:rsidRPr="00C3033E" w:rsidRDefault="006535C3" w:rsidP="008C767A">
      <w:pPr>
        <w:pBdr>
          <w:top w:val="nil"/>
          <w:left w:val="nil"/>
          <w:bottom w:val="nil"/>
          <w:right w:val="nil"/>
          <w:between w:val="nil"/>
          <w:bar w:val="nil"/>
        </w:pBdr>
        <w:jc w:val="both"/>
        <w:rPr>
          <w:rFonts w:ascii="Arial" w:hAnsi="Arial" w:cs="Arial"/>
          <w:noProof/>
        </w:rPr>
      </w:pPr>
    </w:p>
    <w:p w14:paraId="7B99DD50" w14:textId="40C591D2" w:rsidR="00E5014F" w:rsidRPr="00C3033E" w:rsidRDefault="00AF18AA" w:rsidP="008C767A">
      <w:pPr>
        <w:pBdr>
          <w:top w:val="nil"/>
          <w:left w:val="nil"/>
          <w:bottom w:val="nil"/>
          <w:right w:val="nil"/>
          <w:between w:val="nil"/>
          <w:bar w:val="nil"/>
        </w:pBdr>
        <w:jc w:val="both"/>
        <w:rPr>
          <w:rFonts w:ascii="Arial" w:hAnsi="Arial" w:cs="Arial"/>
          <w:noProof/>
          <w:color w:val="FF0000"/>
        </w:rPr>
      </w:pPr>
      <w:r w:rsidRPr="00C3033E">
        <w:rPr>
          <w:rFonts w:ascii="Arial" w:hAnsi="Arial" w:cs="Arial"/>
          <w:noProof/>
        </w:rPr>
        <w:t>Definice představují nezbytn</w:t>
      </w:r>
      <w:r w:rsidR="00016BD0" w:rsidRPr="00C3033E">
        <w:rPr>
          <w:rFonts w:ascii="Arial" w:hAnsi="Arial" w:cs="Arial"/>
          <w:noProof/>
        </w:rPr>
        <w:t>é</w:t>
      </w:r>
      <w:r w:rsidRPr="00C3033E">
        <w:rPr>
          <w:rFonts w:ascii="Arial" w:hAnsi="Arial" w:cs="Arial"/>
          <w:noProof/>
        </w:rPr>
        <w:t xml:space="preserve"> </w:t>
      </w:r>
      <w:r w:rsidR="00590381" w:rsidRPr="00C3033E">
        <w:rPr>
          <w:rFonts w:ascii="Arial" w:hAnsi="Arial" w:cs="Arial"/>
          <w:noProof/>
        </w:rPr>
        <w:t>vodítko (</w:t>
      </w:r>
      <w:r w:rsidRPr="00C3033E">
        <w:rPr>
          <w:rFonts w:ascii="Arial" w:hAnsi="Arial" w:cs="Arial"/>
          <w:noProof/>
        </w:rPr>
        <w:t>pomůcku</w:t>
      </w:r>
      <w:r w:rsidR="00590381" w:rsidRPr="00C3033E">
        <w:rPr>
          <w:rFonts w:ascii="Arial" w:hAnsi="Arial" w:cs="Arial"/>
          <w:noProof/>
        </w:rPr>
        <w:t>)</w:t>
      </w:r>
      <w:r w:rsidRPr="00C3033E">
        <w:rPr>
          <w:rFonts w:ascii="Arial" w:hAnsi="Arial" w:cs="Arial"/>
          <w:noProof/>
        </w:rPr>
        <w:t xml:space="preserve"> </w:t>
      </w:r>
      <w:r w:rsidR="006535C3" w:rsidRPr="00C3033E">
        <w:rPr>
          <w:rFonts w:ascii="Arial" w:hAnsi="Arial" w:cs="Arial"/>
          <w:noProof/>
        </w:rPr>
        <w:t>pro</w:t>
      </w:r>
      <w:r w:rsidR="00590381" w:rsidRPr="00C3033E">
        <w:rPr>
          <w:rFonts w:ascii="Arial" w:hAnsi="Arial" w:cs="Arial"/>
          <w:noProof/>
        </w:rPr>
        <w:t xml:space="preserve"> řádnou transpozici a implementaci směrnice, neboť pomáhají </w:t>
      </w:r>
      <w:r w:rsidRPr="00C3033E">
        <w:rPr>
          <w:rFonts w:ascii="Arial" w:hAnsi="Arial" w:cs="Arial"/>
          <w:noProof/>
        </w:rPr>
        <w:t xml:space="preserve">jednotnému vnímání pojmů napříč ČS. </w:t>
      </w:r>
      <w:r w:rsidR="009D3E25" w:rsidRPr="00C3033E">
        <w:rPr>
          <w:rFonts w:ascii="Arial" w:hAnsi="Arial" w:cs="Arial"/>
          <w:noProof/>
        </w:rPr>
        <w:t xml:space="preserve">ČR bude usilovat o </w:t>
      </w:r>
      <w:r w:rsidR="00B02698" w:rsidRPr="00C3033E">
        <w:rPr>
          <w:rFonts w:ascii="Arial" w:hAnsi="Arial" w:cs="Arial"/>
          <w:noProof/>
        </w:rPr>
        <w:t xml:space="preserve"> </w:t>
      </w:r>
      <w:r w:rsidR="009D3E25" w:rsidRPr="00C3033E">
        <w:rPr>
          <w:rFonts w:ascii="Arial" w:hAnsi="Arial" w:cs="Arial"/>
          <w:noProof/>
        </w:rPr>
        <w:t xml:space="preserve">vymezení pojmu </w:t>
      </w:r>
      <w:r w:rsidR="009F7AA9" w:rsidRPr="00C3033E">
        <w:rPr>
          <w:rFonts w:ascii="Arial" w:hAnsi="Arial" w:cs="Arial"/>
          <w:noProof/>
        </w:rPr>
        <w:t>krátkodobý poby</w:t>
      </w:r>
      <w:r w:rsidR="009B2EBE" w:rsidRPr="00C3033E">
        <w:rPr>
          <w:rFonts w:ascii="Arial" w:hAnsi="Arial" w:cs="Arial"/>
          <w:noProof/>
        </w:rPr>
        <w:t>, který obsahuje článek 1 pí</w:t>
      </w:r>
      <w:r w:rsidR="007F71BB" w:rsidRPr="00C3033E">
        <w:rPr>
          <w:rFonts w:ascii="Arial" w:hAnsi="Arial" w:cs="Arial"/>
          <w:noProof/>
        </w:rPr>
        <w:t>s</w:t>
      </w:r>
      <w:r w:rsidR="009B2EBE" w:rsidRPr="00C3033E">
        <w:rPr>
          <w:rFonts w:ascii="Arial" w:hAnsi="Arial" w:cs="Arial"/>
          <w:noProof/>
        </w:rPr>
        <w:t>m. a)</w:t>
      </w:r>
      <w:r w:rsidR="00B02698" w:rsidRPr="00C3033E">
        <w:rPr>
          <w:rFonts w:ascii="Arial" w:hAnsi="Arial" w:cs="Arial"/>
          <w:noProof/>
        </w:rPr>
        <w:t xml:space="preserve">. </w:t>
      </w:r>
      <w:r w:rsidR="009B2EBE" w:rsidRPr="00C3033E">
        <w:rPr>
          <w:rFonts w:ascii="Arial" w:hAnsi="Arial" w:cs="Arial"/>
          <w:noProof/>
        </w:rPr>
        <w:t xml:space="preserve"> </w:t>
      </w:r>
      <w:r w:rsidR="0016711F" w:rsidRPr="00C3033E">
        <w:rPr>
          <w:rFonts w:ascii="Arial" w:hAnsi="Arial" w:cs="Arial"/>
          <w:noProof/>
        </w:rPr>
        <w:t>Rovněž n</w:t>
      </w:r>
      <w:r w:rsidR="00CA307A" w:rsidRPr="00C3033E">
        <w:rPr>
          <w:rFonts w:ascii="Arial" w:hAnsi="Arial" w:cs="Arial"/>
          <w:noProof/>
        </w:rPr>
        <w:t>ěkteré</w:t>
      </w:r>
      <w:r w:rsidR="0016711F" w:rsidRPr="00C3033E">
        <w:rPr>
          <w:rFonts w:ascii="Arial" w:hAnsi="Arial" w:cs="Arial"/>
          <w:noProof/>
        </w:rPr>
        <w:t xml:space="preserve"> další</w:t>
      </w:r>
      <w:r w:rsidR="00CA307A" w:rsidRPr="00C3033E">
        <w:rPr>
          <w:rFonts w:ascii="Arial" w:hAnsi="Arial" w:cs="Arial"/>
          <w:noProof/>
        </w:rPr>
        <w:t xml:space="preserve"> definice mohou vyžadovat zpřesnění.</w:t>
      </w:r>
      <w:r w:rsidR="00F12918" w:rsidRPr="00C3033E">
        <w:rPr>
          <w:rFonts w:ascii="Arial" w:hAnsi="Arial" w:cs="Arial"/>
          <w:noProof/>
        </w:rPr>
        <w:t xml:space="preserve"> </w:t>
      </w:r>
    </w:p>
    <w:p w14:paraId="128AA84D" w14:textId="610FFC2D" w:rsidR="00F06326" w:rsidRPr="00C3033E" w:rsidRDefault="00F06326" w:rsidP="008C767A">
      <w:pPr>
        <w:pBdr>
          <w:top w:val="nil"/>
          <w:left w:val="nil"/>
          <w:bottom w:val="nil"/>
          <w:right w:val="nil"/>
          <w:between w:val="nil"/>
          <w:bar w:val="nil"/>
        </w:pBdr>
        <w:jc w:val="both"/>
        <w:rPr>
          <w:rFonts w:ascii="Arial" w:hAnsi="Arial" w:cs="Arial"/>
          <w:noProof/>
        </w:rPr>
      </w:pPr>
    </w:p>
    <w:p w14:paraId="3D4A35F2" w14:textId="281E49DE" w:rsidR="00F06326" w:rsidRPr="00C3033E" w:rsidRDefault="00F06326"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4</w:t>
      </w:r>
    </w:p>
    <w:p w14:paraId="2D04A1D7" w14:textId="77777777" w:rsidR="00162AA4" w:rsidRPr="00C3033E" w:rsidRDefault="00162AA4" w:rsidP="008C767A">
      <w:pPr>
        <w:pBdr>
          <w:top w:val="nil"/>
          <w:left w:val="nil"/>
          <w:bottom w:val="nil"/>
          <w:right w:val="nil"/>
          <w:between w:val="nil"/>
          <w:bar w:val="nil"/>
        </w:pBdr>
        <w:jc w:val="both"/>
        <w:rPr>
          <w:rFonts w:ascii="Arial" w:hAnsi="Arial" w:cs="Arial"/>
          <w:b/>
          <w:bCs/>
          <w:noProof/>
        </w:rPr>
      </w:pPr>
    </w:p>
    <w:p w14:paraId="68B61BD1" w14:textId="07F13F8E" w:rsidR="00F06326" w:rsidRPr="00C3033E" w:rsidRDefault="00F06326" w:rsidP="008C767A">
      <w:pPr>
        <w:pBdr>
          <w:top w:val="nil"/>
          <w:left w:val="nil"/>
          <w:bottom w:val="nil"/>
          <w:right w:val="nil"/>
          <w:between w:val="nil"/>
          <w:bar w:val="nil"/>
        </w:pBdr>
        <w:jc w:val="both"/>
        <w:rPr>
          <w:rFonts w:ascii="Arial" w:hAnsi="Arial" w:cs="Arial"/>
          <w:noProof/>
          <w:color w:val="FF0000"/>
        </w:rPr>
      </w:pPr>
      <w:r w:rsidRPr="00C3033E">
        <w:rPr>
          <w:rFonts w:ascii="Arial" w:hAnsi="Arial" w:cs="Arial"/>
          <w:noProof/>
        </w:rPr>
        <w:t xml:space="preserve">Ustanovení vymezuje příjemce. </w:t>
      </w:r>
      <w:r w:rsidR="0016711F" w:rsidRPr="00C3033E">
        <w:rPr>
          <w:rFonts w:ascii="Arial" w:hAnsi="Arial" w:cs="Arial"/>
          <w:noProof/>
        </w:rPr>
        <w:t xml:space="preserve">Zásadní výhrady k uvedenému ustanovení ČR neuplatňuje.  </w:t>
      </w:r>
    </w:p>
    <w:p w14:paraId="235F659C" w14:textId="1D46F255" w:rsidR="00F06326" w:rsidRPr="00C3033E" w:rsidRDefault="00F06326" w:rsidP="008C767A">
      <w:pPr>
        <w:pBdr>
          <w:top w:val="nil"/>
          <w:left w:val="nil"/>
          <w:bottom w:val="nil"/>
          <w:right w:val="nil"/>
          <w:between w:val="nil"/>
          <w:bar w:val="nil"/>
        </w:pBdr>
        <w:jc w:val="both"/>
        <w:rPr>
          <w:rFonts w:ascii="Arial" w:hAnsi="Arial" w:cs="Arial"/>
          <w:noProof/>
        </w:rPr>
      </w:pPr>
    </w:p>
    <w:p w14:paraId="0760FEFA" w14:textId="046D108B" w:rsidR="00E5014F" w:rsidRPr="00C3033E" w:rsidRDefault="00E5014F"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5</w:t>
      </w:r>
    </w:p>
    <w:p w14:paraId="67204A7C" w14:textId="5CD65468" w:rsidR="00E5014F" w:rsidRPr="00C3033E" w:rsidRDefault="00E5014F" w:rsidP="008C767A">
      <w:pPr>
        <w:pBdr>
          <w:top w:val="nil"/>
          <w:left w:val="nil"/>
          <w:bottom w:val="nil"/>
          <w:right w:val="nil"/>
          <w:between w:val="nil"/>
          <w:bar w:val="nil"/>
        </w:pBdr>
        <w:jc w:val="both"/>
        <w:rPr>
          <w:rFonts w:ascii="Arial" w:hAnsi="Arial" w:cs="Arial"/>
          <w:b/>
          <w:bCs/>
          <w:noProof/>
        </w:rPr>
      </w:pPr>
    </w:p>
    <w:p w14:paraId="1FD20E55" w14:textId="77777777" w:rsidR="00AF7C97" w:rsidRDefault="00D80EA2" w:rsidP="008C767A">
      <w:pPr>
        <w:pBdr>
          <w:top w:val="nil"/>
          <w:left w:val="nil"/>
          <w:bottom w:val="nil"/>
          <w:right w:val="nil"/>
          <w:between w:val="nil"/>
          <w:bar w:val="nil"/>
        </w:pBdr>
        <w:jc w:val="both"/>
        <w:rPr>
          <w:rFonts w:ascii="Arial" w:hAnsi="Arial" w:cs="Arial"/>
          <w:noProof/>
        </w:rPr>
      </w:pPr>
      <w:r w:rsidRPr="00E42A9F">
        <w:rPr>
          <w:rFonts w:ascii="Arial" w:hAnsi="Arial" w:cs="Arial"/>
          <w:noProof/>
        </w:rPr>
        <w:t xml:space="preserve">Článek 5 </w:t>
      </w:r>
      <w:r w:rsidR="00A210EF" w:rsidRPr="00E42A9F">
        <w:rPr>
          <w:rFonts w:ascii="Arial" w:hAnsi="Arial" w:cs="Arial"/>
          <w:noProof/>
        </w:rPr>
        <w:t xml:space="preserve">odst. 1 </w:t>
      </w:r>
      <w:r w:rsidRPr="00E42A9F">
        <w:rPr>
          <w:rFonts w:ascii="Arial" w:hAnsi="Arial" w:cs="Arial"/>
          <w:noProof/>
        </w:rPr>
        <w:t>ukládá ČS přijmout nezbytná opatření zajišťující držitelům EDC cestujícím/navštěvujícím jiný než domovský ČS rovný přístup k benefitům, které jsou poskytovány držitelům „národního průkazu“ daného ČS. Rovné zacházení by se týkalo i doprovázejících</w:t>
      </w:r>
      <w:r w:rsidR="00B02698" w:rsidRPr="00E42A9F">
        <w:rPr>
          <w:rFonts w:ascii="Arial" w:hAnsi="Arial" w:cs="Arial"/>
          <w:noProof/>
        </w:rPr>
        <w:t>/</w:t>
      </w:r>
      <w:r w:rsidRPr="00E42A9F">
        <w:rPr>
          <w:rFonts w:ascii="Arial" w:hAnsi="Arial" w:cs="Arial"/>
          <w:noProof/>
        </w:rPr>
        <w:t>asistujících osob nebo asistujících zvířat.</w:t>
      </w:r>
      <w:r w:rsidR="009D3E25" w:rsidRPr="00E42A9F">
        <w:rPr>
          <w:rFonts w:ascii="Arial" w:hAnsi="Arial" w:cs="Arial"/>
          <w:noProof/>
        </w:rPr>
        <w:t xml:space="preserve"> </w:t>
      </w:r>
    </w:p>
    <w:p w14:paraId="0B10D185" w14:textId="77777777" w:rsidR="00AF7C97" w:rsidRDefault="00AF7C97" w:rsidP="008C767A">
      <w:pPr>
        <w:pBdr>
          <w:top w:val="nil"/>
          <w:left w:val="nil"/>
          <w:bottom w:val="nil"/>
          <w:right w:val="nil"/>
          <w:between w:val="nil"/>
          <w:bar w:val="nil"/>
        </w:pBdr>
        <w:jc w:val="both"/>
        <w:rPr>
          <w:rFonts w:ascii="Arial" w:hAnsi="Arial" w:cs="Arial"/>
          <w:noProof/>
        </w:rPr>
      </w:pPr>
    </w:p>
    <w:p w14:paraId="4C5649D9" w14:textId="01AABA41" w:rsidR="00D80EA2" w:rsidRDefault="009D3E25" w:rsidP="008C767A">
      <w:pPr>
        <w:pBdr>
          <w:top w:val="nil"/>
          <w:left w:val="nil"/>
          <w:bottom w:val="nil"/>
          <w:right w:val="nil"/>
          <w:between w:val="nil"/>
          <w:bar w:val="nil"/>
        </w:pBdr>
        <w:jc w:val="both"/>
        <w:rPr>
          <w:rFonts w:ascii="Arial" w:hAnsi="Arial" w:cs="Arial"/>
          <w:noProof/>
        </w:rPr>
      </w:pPr>
      <w:r w:rsidRPr="00E42A9F">
        <w:rPr>
          <w:rFonts w:ascii="Arial" w:hAnsi="Arial" w:cs="Arial"/>
          <w:noProof/>
        </w:rPr>
        <w:t xml:space="preserve">ČR patří k ČS, v nichž rozsah benefitů závisí na </w:t>
      </w:r>
      <w:r w:rsidR="0016711F" w:rsidRPr="00E42A9F">
        <w:rPr>
          <w:rFonts w:ascii="Arial" w:hAnsi="Arial" w:cs="Arial"/>
          <w:noProof/>
        </w:rPr>
        <w:t xml:space="preserve">tíži </w:t>
      </w:r>
      <w:r w:rsidRPr="00E42A9F">
        <w:rPr>
          <w:rFonts w:ascii="Arial" w:hAnsi="Arial" w:cs="Arial"/>
          <w:noProof/>
        </w:rPr>
        <w:t>zdravotního postižení</w:t>
      </w:r>
      <w:r w:rsidR="00A210EF" w:rsidRPr="00E42A9F">
        <w:rPr>
          <w:rFonts w:ascii="Arial" w:hAnsi="Arial" w:cs="Arial"/>
          <w:noProof/>
        </w:rPr>
        <w:t xml:space="preserve">. V </w:t>
      </w:r>
      <w:r w:rsidRPr="00E42A9F">
        <w:rPr>
          <w:rFonts w:ascii="Arial" w:hAnsi="Arial" w:cs="Arial"/>
          <w:noProof/>
        </w:rPr>
        <w:t>případě průkazu osoby se</w:t>
      </w:r>
      <w:r w:rsidR="00A210EF" w:rsidRPr="00E42A9F">
        <w:rPr>
          <w:rFonts w:ascii="Arial" w:hAnsi="Arial" w:cs="Arial"/>
          <w:noProof/>
        </w:rPr>
        <w:t> </w:t>
      </w:r>
      <w:r w:rsidRPr="00E42A9F">
        <w:rPr>
          <w:rFonts w:ascii="Arial" w:hAnsi="Arial" w:cs="Arial"/>
          <w:noProof/>
        </w:rPr>
        <w:t>zdravotním postižením rozlišuje tři jeho „druhy“</w:t>
      </w:r>
      <w:r w:rsidR="00A210EF" w:rsidRPr="00E42A9F">
        <w:rPr>
          <w:rFonts w:ascii="Arial" w:hAnsi="Arial" w:cs="Arial"/>
          <w:noProof/>
        </w:rPr>
        <w:t xml:space="preserve">, de facto tři stupně </w:t>
      </w:r>
      <w:r w:rsidRPr="00E42A9F">
        <w:rPr>
          <w:rFonts w:ascii="Arial" w:hAnsi="Arial" w:cs="Arial"/>
          <w:noProof/>
        </w:rPr>
        <w:t>disability status</w:t>
      </w:r>
      <w:r w:rsidR="00A210EF" w:rsidRPr="00E42A9F">
        <w:rPr>
          <w:rFonts w:ascii="Arial" w:hAnsi="Arial" w:cs="Arial"/>
          <w:noProof/>
        </w:rPr>
        <w:t>u</w:t>
      </w:r>
      <w:r w:rsidRPr="00E42A9F">
        <w:rPr>
          <w:rFonts w:ascii="Arial" w:hAnsi="Arial" w:cs="Arial"/>
          <w:noProof/>
        </w:rPr>
        <w:t>. Vzhledem k tomu, že z EDC vydaného v jiném ČS nebude možno odvodit, jaký rozsah benefitů by měl být osobě se zdravotním postižením na základě principu rovného zacházení poskytnut,</w:t>
      </w:r>
      <w:r w:rsidR="00AF7C97">
        <w:rPr>
          <w:rFonts w:ascii="Arial" w:hAnsi="Arial" w:cs="Arial"/>
          <w:noProof/>
        </w:rPr>
        <w:t xml:space="preserve"> může to implikovat, </w:t>
      </w:r>
      <w:r w:rsidRPr="00E42A9F">
        <w:rPr>
          <w:rFonts w:ascii="Arial" w:hAnsi="Arial" w:cs="Arial"/>
          <w:noProof/>
        </w:rPr>
        <w:t xml:space="preserve"> že by jí měl být poskytnut nejširší možný okruh benefitů. Takové zacházení </w:t>
      </w:r>
      <w:r w:rsidR="00162AA4" w:rsidRPr="00E42A9F">
        <w:rPr>
          <w:rFonts w:ascii="Arial" w:hAnsi="Arial" w:cs="Arial"/>
          <w:noProof/>
        </w:rPr>
        <w:t xml:space="preserve">zřejmě </w:t>
      </w:r>
      <w:r w:rsidRPr="00E42A9F">
        <w:rPr>
          <w:rFonts w:ascii="Arial" w:hAnsi="Arial" w:cs="Arial"/>
          <w:noProof/>
        </w:rPr>
        <w:t xml:space="preserve">nebude pozitivně vnímáno </w:t>
      </w:r>
      <w:r w:rsidR="00A210EF" w:rsidRPr="00E42A9F">
        <w:rPr>
          <w:rFonts w:ascii="Arial" w:hAnsi="Arial" w:cs="Arial"/>
          <w:noProof/>
        </w:rPr>
        <w:t xml:space="preserve">českou </w:t>
      </w:r>
      <w:r w:rsidRPr="00E42A9F">
        <w:rPr>
          <w:rFonts w:ascii="Arial" w:hAnsi="Arial" w:cs="Arial"/>
          <w:noProof/>
        </w:rPr>
        <w:t xml:space="preserve">laickou veřejností. </w:t>
      </w:r>
      <w:r w:rsidR="0086104A" w:rsidRPr="00E42A9F">
        <w:rPr>
          <w:rFonts w:ascii="Arial" w:hAnsi="Arial" w:cs="Arial"/>
          <w:noProof/>
        </w:rPr>
        <w:t>Ur</w:t>
      </w:r>
      <w:r w:rsidR="00B02698" w:rsidRPr="00E42A9F">
        <w:rPr>
          <w:rFonts w:ascii="Arial" w:hAnsi="Arial" w:cs="Arial"/>
          <w:noProof/>
        </w:rPr>
        <w:t xml:space="preserve">čité </w:t>
      </w:r>
      <w:r w:rsidR="0086104A" w:rsidRPr="00E42A9F">
        <w:rPr>
          <w:rFonts w:ascii="Arial" w:hAnsi="Arial" w:cs="Arial"/>
          <w:noProof/>
        </w:rPr>
        <w:t>vodítk</w:t>
      </w:r>
      <w:r w:rsidR="00B02698" w:rsidRPr="00E42A9F">
        <w:rPr>
          <w:rFonts w:ascii="Arial" w:hAnsi="Arial" w:cs="Arial"/>
          <w:noProof/>
        </w:rPr>
        <w:t>o p</w:t>
      </w:r>
      <w:r w:rsidR="0086104A" w:rsidRPr="00E42A9F">
        <w:rPr>
          <w:rFonts w:ascii="Arial" w:hAnsi="Arial" w:cs="Arial"/>
          <w:noProof/>
        </w:rPr>
        <w:t>ro okruh benefitů nese označení EDC písmenem A</w:t>
      </w:r>
      <w:r w:rsidR="00B02698" w:rsidRPr="00E42A9F">
        <w:rPr>
          <w:rFonts w:ascii="Arial" w:hAnsi="Arial" w:cs="Arial"/>
          <w:noProof/>
        </w:rPr>
        <w:t xml:space="preserve"> (</w:t>
      </w:r>
      <w:r w:rsidR="0086104A" w:rsidRPr="00E42A9F">
        <w:rPr>
          <w:rFonts w:ascii="Arial" w:hAnsi="Arial" w:cs="Arial"/>
          <w:noProof/>
        </w:rPr>
        <w:t>značí „průvodce“</w:t>
      </w:r>
      <w:r w:rsidR="00B02698" w:rsidRPr="00E42A9F">
        <w:rPr>
          <w:rFonts w:ascii="Arial" w:hAnsi="Arial" w:cs="Arial"/>
          <w:noProof/>
        </w:rPr>
        <w:t>)</w:t>
      </w:r>
      <w:r w:rsidR="0086104A" w:rsidRPr="00E42A9F">
        <w:rPr>
          <w:rFonts w:ascii="Arial" w:hAnsi="Arial" w:cs="Arial"/>
          <w:noProof/>
        </w:rPr>
        <w:t xml:space="preserve">. V tomto případě je jednozačné, že by mělo jít o stejný okruh benefitů, který se vztahuje k průkazu ZTP/P (při respektování článku </w:t>
      </w:r>
      <w:r w:rsidR="00B02698" w:rsidRPr="00E42A9F">
        <w:rPr>
          <w:rFonts w:ascii="Arial" w:hAnsi="Arial" w:cs="Arial"/>
          <w:noProof/>
        </w:rPr>
        <w:t xml:space="preserve">2). </w:t>
      </w:r>
    </w:p>
    <w:p w14:paraId="6B3B61C8" w14:textId="212B595D" w:rsidR="00AF7C97" w:rsidRDefault="00AF7C97" w:rsidP="008C767A">
      <w:pPr>
        <w:pBdr>
          <w:top w:val="nil"/>
          <w:left w:val="nil"/>
          <w:bottom w:val="nil"/>
          <w:right w:val="nil"/>
          <w:between w:val="nil"/>
          <w:bar w:val="nil"/>
        </w:pBdr>
        <w:jc w:val="both"/>
        <w:rPr>
          <w:rFonts w:ascii="Arial" w:hAnsi="Arial" w:cs="Arial"/>
          <w:noProof/>
        </w:rPr>
      </w:pPr>
    </w:p>
    <w:p w14:paraId="170FF827" w14:textId="3121865E" w:rsidR="00AF7C97" w:rsidRPr="00E42A9F" w:rsidRDefault="00AF7C97" w:rsidP="008C767A">
      <w:pPr>
        <w:pBdr>
          <w:top w:val="nil"/>
          <w:left w:val="nil"/>
          <w:bottom w:val="nil"/>
          <w:right w:val="nil"/>
          <w:between w:val="nil"/>
          <w:bar w:val="nil"/>
        </w:pBdr>
        <w:jc w:val="both"/>
        <w:rPr>
          <w:rFonts w:ascii="Arial" w:hAnsi="Arial" w:cs="Arial"/>
          <w:noProof/>
        </w:rPr>
      </w:pPr>
      <w:r>
        <w:rPr>
          <w:rFonts w:ascii="Arial" w:hAnsi="Arial" w:cs="Arial"/>
          <w:noProof/>
        </w:rPr>
        <w:t xml:space="preserve">Směrnice staví ČS do nejistého postavení. Stanoví, že </w:t>
      </w:r>
      <w:r w:rsidR="00FD0808">
        <w:rPr>
          <w:rFonts w:ascii="Arial" w:hAnsi="Arial" w:cs="Arial"/>
          <w:noProof/>
        </w:rPr>
        <w:t xml:space="preserve">ČS má </w:t>
      </w:r>
      <w:r>
        <w:rPr>
          <w:rFonts w:ascii="Arial" w:hAnsi="Arial" w:cs="Arial"/>
          <w:noProof/>
        </w:rPr>
        <w:t>držitelům EDC vydaného v jiném ČS poskytovat při je</w:t>
      </w:r>
      <w:r w:rsidR="00FD0808">
        <w:rPr>
          <w:rFonts w:ascii="Arial" w:hAnsi="Arial" w:cs="Arial"/>
          <w:noProof/>
        </w:rPr>
        <w:t>jich</w:t>
      </w:r>
      <w:r>
        <w:rPr>
          <w:rFonts w:ascii="Arial" w:hAnsi="Arial" w:cs="Arial"/>
          <w:noProof/>
        </w:rPr>
        <w:t xml:space="preserve"> krátkodobém pobytu stejné benefity, jako poskytuje </w:t>
      </w:r>
      <w:r w:rsidR="00FD0808">
        <w:rPr>
          <w:rFonts w:ascii="Arial" w:hAnsi="Arial" w:cs="Arial"/>
          <w:noProof/>
        </w:rPr>
        <w:t xml:space="preserve">„vlastním“ osobám se zdravotním postižením (s respektem ke článku 2). Svého práva na rovné zacházení se osoby se zdravotním postižením – držitelé EDC mohou domáhat (článek 13). Vzhledem k tomu, že řada ČS má benefity odstupňovány od závažnosti nebo druhu postižení (takové informace však EDC neponese), nemusí mít jasno v otázce rozsahu benefitů, které mají být poskytovány. ČR na toto nejisté postavení ČS při projednávání návrhu upozorní a spolu s ostatními ČS, které řeší podobný problém, bude hledat jeho vhodné řešení.   </w:t>
      </w:r>
    </w:p>
    <w:p w14:paraId="548A19ED" w14:textId="77777777" w:rsidR="00C9614F" w:rsidRDefault="00C9614F" w:rsidP="008C767A">
      <w:pPr>
        <w:pBdr>
          <w:top w:val="nil"/>
          <w:left w:val="nil"/>
          <w:bottom w:val="nil"/>
          <w:right w:val="nil"/>
          <w:between w:val="nil"/>
          <w:bar w:val="nil"/>
        </w:pBdr>
        <w:jc w:val="both"/>
        <w:rPr>
          <w:rFonts w:ascii="Arial" w:hAnsi="Arial" w:cs="Arial"/>
          <w:b/>
          <w:bCs/>
          <w:noProof/>
        </w:rPr>
      </w:pPr>
    </w:p>
    <w:p w14:paraId="7DAA2C29" w14:textId="542647A1" w:rsidR="00E5014F" w:rsidRPr="00C3033E" w:rsidRDefault="00E5014F"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6</w:t>
      </w:r>
    </w:p>
    <w:p w14:paraId="096F4BB1" w14:textId="0DB77974" w:rsidR="00E5014F" w:rsidRPr="00C3033E" w:rsidRDefault="00E5014F" w:rsidP="008C767A">
      <w:pPr>
        <w:pBdr>
          <w:top w:val="nil"/>
          <w:left w:val="nil"/>
          <w:bottom w:val="nil"/>
          <w:right w:val="nil"/>
          <w:between w:val="nil"/>
          <w:bar w:val="nil"/>
        </w:pBdr>
        <w:jc w:val="both"/>
        <w:rPr>
          <w:rFonts w:ascii="Arial" w:hAnsi="Arial" w:cs="Arial"/>
          <w:noProof/>
        </w:rPr>
      </w:pPr>
    </w:p>
    <w:p w14:paraId="75471113" w14:textId="3E0C86A9" w:rsidR="00832803" w:rsidRPr="00C3033E" w:rsidRDefault="00E5014F" w:rsidP="008C767A">
      <w:pPr>
        <w:pBdr>
          <w:top w:val="nil"/>
          <w:left w:val="nil"/>
          <w:bottom w:val="nil"/>
          <w:right w:val="nil"/>
          <w:between w:val="nil"/>
          <w:bar w:val="nil"/>
        </w:pBdr>
        <w:jc w:val="both"/>
        <w:rPr>
          <w:rFonts w:ascii="Arial" w:hAnsi="Arial" w:cs="Arial"/>
          <w:noProof/>
          <w:color w:val="FF0000"/>
        </w:rPr>
      </w:pPr>
      <w:r w:rsidRPr="00C3033E">
        <w:rPr>
          <w:rFonts w:ascii="Arial" w:hAnsi="Arial" w:cs="Arial"/>
          <w:noProof/>
        </w:rPr>
        <w:t>Článek 6 ukládá ČS zavést EDC v</w:t>
      </w:r>
      <w:r w:rsidR="00B02698" w:rsidRPr="00C3033E">
        <w:rPr>
          <w:rFonts w:ascii="Arial" w:hAnsi="Arial" w:cs="Arial"/>
          <w:noProof/>
        </w:rPr>
        <w:t>e</w:t>
      </w:r>
      <w:r w:rsidRPr="00C3033E">
        <w:rPr>
          <w:rFonts w:ascii="Arial" w:hAnsi="Arial" w:cs="Arial"/>
          <w:noProof/>
        </w:rPr>
        <w:t> společném sta</w:t>
      </w:r>
      <w:r w:rsidR="00B02698" w:rsidRPr="00C3033E">
        <w:rPr>
          <w:rFonts w:ascii="Arial" w:hAnsi="Arial" w:cs="Arial"/>
          <w:noProof/>
        </w:rPr>
        <w:t xml:space="preserve">ndardizovaném </w:t>
      </w:r>
      <w:r w:rsidRPr="00C3033E">
        <w:rPr>
          <w:rFonts w:ascii="Arial" w:hAnsi="Arial" w:cs="Arial"/>
          <w:noProof/>
        </w:rPr>
        <w:t xml:space="preserve">formátu (příloha </w:t>
      </w:r>
      <w:r w:rsidR="0086104A" w:rsidRPr="00C3033E">
        <w:rPr>
          <w:rFonts w:ascii="Arial" w:hAnsi="Arial" w:cs="Arial"/>
          <w:noProof/>
        </w:rPr>
        <w:t>směrnice</w:t>
      </w:r>
      <w:r w:rsidRPr="00C3033E">
        <w:rPr>
          <w:rFonts w:ascii="Arial" w:hAnsi="Arial" w:cs="Arial"/>
          <w:noProof/>
        </w:rPr>
        <w:t>)</w:t>
      </w:r>
      <w:r w:rsidR="00832803" w:rsidRPr="00C3033E">
        <w:rPr>
          <w:rFonts w:ascii="Arial" w:hAnsi="Arial" w:cs="Arial"/>
          <w:noProof/>
        </w:rPr>
        <w:t xml:space="preserve">, následně v „digitální podobě“ </w:t>
      </w:r>
      <w:r w:rsidR="00A210EF" w:rsidRPr="00C3033E">
        <w:rPr>
          <w:rFonts w:ascii="Arial" w:hAnsi="Arial" w:cs="Arial"/>
          <w:noProof/>
        </w:rPr>
        <w:t>(v návaznosti na akt v přenesené pravomoci EK a technické specifikace uvedené v článku 8), přičemž digitální varianta nesmí obsahovat víc osobních dat než varianta „fyzická“. EDC vydaná ČS má být uznána ve</w:t>
      </w:r>
      <w:r w:rsidR="0086104A" w:rsidRPr="00C3033E">
        <w:rPr>
          <w:rFonts w:ascii="Arial" w:hAnsi="Arial" w:cs="Arial"/>
          <w:noProof/>
        </w:rPr>
        <w:t> </w:t>
      </w:r>
      <w:r w:rsidR="00A210EF" w:rsidRPr="00C3033E">
        <w:rPr>
          <w:rFonts w:ascii="Arial" w:hAnsi="Arial" w:cs="Arial"/>
          <w:noProof/>
        </w:rPr>
        <w:t xml:space="preserve">všech ČS. </w:t>
      </w:r>
      <w:r w:rsidR="007B56F5" w:rsidRPr="00C3033E">
        <w:rPr>
          <w:rFonts w:ascii="Arial" w:hAnsi="Arial" w:cs="Arial"/>
          <w:noProof/>
        </w:rPr>
        <w:t xml:space="preserve">ČS mají </w:t>
      </w:r>
      <w:r w:rsidR="004E532E" w:rsidRPr="00C3033E">
        <w:rPr>
          <w:rFonts w:ascii="Arial" w:hAnsi="Arial" w:cs="Arial"/>
          <w:noProof/>
        </w:rPr>
        <w:t>EDC vydáv</w:t>
      </w:r>
      <w:r w:rsidR="007B56F5" w:rsidRPr="00C3033E">
        <w:rPr>
          <w:rFonts w:ascii="Arial" w:hAnsi="Arial" w:cs="Arial"/>
          <w:noProof/>
        </w:rPr>
        <w:t>at, znovuvydávat a odnímat na základě národních pravidel, postupů a praxe. EDC má být vydán</w:t>
      </w:r>
      <w:r w:rsidR="00973918" w:rsidRPr="00C3033E">
        <w:rPr>
          <w:rFonts w:ascii="Arial" w:hAnsi="Arial" w:cs="Arial"/>
          <w:noProof/>
        </w:rPr>
        <w:t>a</w:t>
      </w:r>
      <w:r w:rsidR="007B56F5" w:rsidRPr="00C3033E">
        <w:rPr>
          <w:rFonts w:ascii="Arial" w:hAnsi="Arial" w:cs="Arial"/>
          <w:noProof/>
        </w:rPr>
        <w:t xml:space="preserve"> automaticky nebo na žádost osoby se</w:t>
      </w:r>
      <w:r w:rsidR="0086104A" w:rsidRPr="00C3033E">
        <w:rPr>
          <w:rFonts w:ascii="Arial" w:hAnsi="Arial" w:cs="Arial"/>
          <w:noProof/>
        </w:rPr>
        <w:t> </w:t>
      </w:r>
      <w:r w:rsidR="007B56F5" w:rsidRPr="00C3033E">
        <w:rPr>
          <w:rFonts w:ascii="Arial" w:hAnsi="Arial" w:cs="Arial"/>
          <w:noProof/>
        </w:rPr>
        <w:t>zdr</w:t>
      </w:r>
      <w:r w:rsidR="00D63E6C" w:rsidRPr="00C3033E">
        <w:rPr>
          <w:rFonts w:ascii="Arial" w:hAnsi="Arial" w:cs="Arial"/>
          <w:noProof/>
        </w:rPr>
        <w:t>a</w:t>
      </w:r>
      <w:r w:rsidR="007B56F5" w:rsidRPr="00C3033E">
        <w:rPr>
          <w:rFonts w:ascii="Arial" w:hAnsi="Arial" w:cs="Arial"/>
          <w:noProof/>
        </w:rPr>
        <w:t xml:space="preserve">votním postižením. Platnost EDC má být dle národní legislativy pro vydání </w:t>
      </w:r>
      <w:r w:rsidR="009D0CE5" w:rsidRPr="00C3033E">
        <w:rPr>
          <w:rFonts w:ascii="Arial" w:hAnsi="Arial" w:cs="Arial"/>
        </w:rPr>
        <w:t>osvědčení o zdravotním postižení, průkazu zdravotního postižení nebo jakéhokoli jiného formálního dokladu</w:t>
      </w:r>
      <w:r w:rsidR="00C3033E" w:rsidRPr="00C3033E">
        <w:rPr>
          <w:rFonts w:ascii="Arial" w:hAnsi="Arial" w:cs="Arial"/>
        </w:rPr>
        <w:t xml:space="preserve">. </w:t>
      </w:r>
      <w:r w:rsidR="007B56F5" w:rsidRPr="00C3033E">
        <w:rPr>
          <w:rFonts w:ascii="Arial" w:hAnsi="Arial" w:cs="Arial"/>
          <w:noProof/>
        </w:rPr>
        <w:t xml:space="preserve">ČR </w:t>
      </w:r>
      <w:r w:rsidR="00973918" w:rsidRPr="00C3033E">
        <w:rPr>
          <w:rFonts w:ascii="Arial" w:hAnsi="Arial" w:cs="Arial"/>
          <w:noProof/>
        </w:rPr>
        <w:t xml:space="preserve">bude prosazovat, aby v textu byla zachována možnost </w:t>
      </w:r>
      <w:r w:rsidR="007B56F5" w:rsidRPr="00C3033E">
        <w:rPr>
          <w:rFonts w:ascii="Arial" w:hAnsi="Arial" w:cs="Arial"/>
          <w:noProof/>
        </w:rPr>
        <w:t>vydávání</w:t>
      </w:r>
      <w:r w:rsidR="0086104A" w:rsidRPr="00C3033E">
        <w:rPr>
          <w:rFonts w:ascii="Arial" w:hAnsi="Arial" w:cs="Arial"/>
          <w:noProof/>
        </w:rPr>
        <w:t>/znovuvydávání</w:t>
      </w:r>
      <w:r w:rsidR="007B56F5" w:rsidRPr="00C3033E">
        <w:rPr>
          <w:rFonts w:ascii="Arial" w:hAnsi="Arial" w:cs="Arial"/>
          <w:noProof/>
        </w:rPr>
        <w:t xml:space="preserve"> EDC </w:t>
      </w:r>
      <w:r w:rsidR="004E532E" w:rsidRPr="00C3033E">
        <w:rPr>
          <w:rFonts w:ascii="Arial" w:hAnsi="Arial" w:cs="Arial"/>
          <w:noProof/>
        </w:rPr>
        <w:t>na žádost</w:t>
      </w:r>
      <w:r w:rsidR="00016BD0" w:rsidRPr="00C3033E">
        <w:rPr>
          <w:rFonts w:ascii="Arial" w:hAnsi="Arial" w:cs="Arial"/>
          <w:noProof/>
        </w:rPr>
        <w:t xml:space="preserve"> a </w:t>
      </w:r>
      <w:r w:rsidR="004E532E" w:rsidRPr="00C3033E">
        <w:rPr>
          <w:rFonts w:ascii="Arial" w:hAnsi="Arial" w:cs="Arial"/>
          <w:noProof/>
        </w:rPr>
        <w:t>nikoli automaticky</w:t>
      </w:r>
      <w:r w:rsidR="00973918" w:rsidRPr="00C3033E">
        <w:rPr>
          <w:rFonts w:ascii="Arial" w:hAnsi="Arial" w:cs="Arial"/>
          <w:noProof/>
        </w:rPr>
        <w:t xml:space="preserve"> (</w:t>
      </w:r>
      <w:r w:rsidR="00016BD0" w:rsidRPr="00C3033E">
        <w:rPr>
          <w:rFonts w:ascii="Arial" w:hAnsi="Arial" w:cs="Arial"/>
          <w:noProof/>
        </w:rPr>
        <w:t>ČR předpokládá</w:t>
      </w:r>
      <w:r w:rsidR="007B56F5" w:rsidRPr="00C3033E">
        <w:rPr>
          <w:rFonts w:ascii="Arial" w:hAnsi="Arial" w:cs="Arial"/>
          <w:noProof/>
        </w:rPr>
        <w:t xml:space="preserve"> správní </w:t>
      </w:r>
      <w:r w:rsidR="007B56F5" w:rsidRPr="00C3033E">
        <w:rPr>
          <w:rFonts w:ascii="Arial" w:hAnsi="Arial" w:cs="Arial"/>
          <w:noProof/>
        </w:rPr>
        <w:lastRenderedPageBreak/>
        <w:t>poplat</w:t>
      </w:r>
      <w:r w:rsidR="0086104A" w:rsidRPr="00C3033E">
        <w:rPr>
          <w:rFonts w:ascii="Arial" w:hAnsi="Arial" w:cs="Arial"/>
          <w:noProof/>
        </w:rPr>
        <w:t>e</w:t>
      </w:r>
      <w:r w:rsidR="007B56F5" w:rsidRPr="00C3033E">
        <w:rPr>
          <w:rFonts w:ascii="Arial" w:hAnsi="Arial" w:cs="Arial"/>
          <w:noProof/>
        </w:rPr>
        <w:t>k za vydání EDC</w:t>
      </w:r>
      <w:r w:rsidR="0086104A" w:rsidRPr="00C3033E">
        <w:rPr>
          <w:rFonts w:ascii="Arial" w:hAnsi="Arial" w:cs="Arial"/>
          <w:noProof/>
        </w:rPr>
        <w:t>, neboť již dnes je vydání průkazu osoby se zdravotním postižením zpoplatněno</w:t>
      </w:r>
      <w:r w:rsidR="00973918" w:rsidRPr="00C3033E">
        <w:rPr>
          <w:rFonts w:ascii="Arial" w:hAnsi="Arial" w:cs="Arial"/>
          <w:noProof/>
        </w:rPr>
        <w:t>, a v tomto ohledu bude usilovat o výslovné uvedení této možnosti</w:t>
      </w:r>
      <w:r w:rsidR="00C3033E" w:rsidRPr="00C3033E">
        <w:rPr>
          <w:rFonts w:ascii="Arial" w:hAnsi="Arial" w:cs="Arial"/>
          <w:noProof/>
        </w:rPr>
        <w:t>)</w:t>
      </w:r>
      <w:r w:rsidR="0086104A" w:rsidRPr="00C3033E">
        <w:rPr>
          <w:rFonts w:ascii="Arial" w:hAnsi="Arial" w:cs="Arial"/>
          <w:noProof/>
        </w:rPr>
        <w:t xml:space="preserve">. </w:t>
      </w:r>
      <w:r w:rsidR="007B56F5" w:rsidRPr="00C3033E">
        <w:rPr>
          <w:rFonts w:ascii="Arial" w:hAnsi="Arial" w:cs="Arial"/>
          <w:noProof/>
        </w:rPr>
        <w:t xml:space="preserve">Z pohledu ČR by doba platnosti EDC neměla být delší než doba uznání </w:t>
      </w:r>
      <w:r w:rsidR="005E3373" w:rsidRPr="00C3033E">
        <w:rPr>
          <w:rFonts w:ascii="Arial" w:hAnsi="Arial" w:cs="Arial"/>
          <w:noProof/>
        </w:rPr>
        <w:t>statusu osoby se zdravotním postižením</w:t>
      </w:r>
      <w:r w:rsidR="00D63E6C" w:rsidRPr="00C3033E">
        <w:rPr>
          <w:rFonts w:ascii="Arial" w:hAnsi="Arial" w:cs="Arial"/>
          <w:noProof/>
        </w:rPr>
        <w:t>, na zákl</w:t>
      </w:r>
      <w:r w:rsidR="0086104A" w:rsidRPr="00C3033E">
        <w:rPr>
          <w:rFonts w:ascii="Arial" w:hAnsi="Arial" w:cs="Arial"/>
          <w:noProof/>
        </w:rPr>
        <w:t>a</w:t>
      </w:r>
      <w:r w:rsidR="00D63E6C" w:rsidRPr="00C3033E">
        <w:rPr>
          <w:rFonts w:ascii="Arial" w:hAnsi="Arial" w:cs="Arial"/>
          <w:noProof/>
        </w:rPr>
        <w:t>dě kterého je</w:t>
      </w:r>
      <w:r w:rsidR="007F71BB" w:rsidRPr="00C3033E">
        <w:rPr>
          <w:rFonts w:ascii="Arial" w:hAnsi="Arial" w:cs="Arial"/>
          <w:noProof/>
        </w:rPr>
        <w:t> </w:t>
      </w:r>
      <w:r w:rsidR="00D63E6C" w:rsidRPr="00C3033E">
        <w:rPr>
          <w:rFonts w:ascii="Arial" w:hAnsi="Arial" w:cs="Arial"/>
          <w:noProof/>
        </w:rPr>
        <w:t>vydávána, a bude usilovat o</w:t>
      </w:r>
      <w:r w:rsidR="0086104A" w:rsidRPr="00C3033E">
        <w:rPr>
          <w:rFonts w:ascii="Arial" w:hAnsi="Arial" w:cs="Arial"/>
          <w:noProof/>
        </w:rPr>
        <w:t> </w:t>
      </w:r>
      <w:r w:rsidR="00D63E6C" w:rsidRPr="00C3033E">
        <w:rPr>
          <w:rFonts w:ascii="Arial" w:hAnsi="Arial" w:cs="Arial"/>
          <w:noProof/>
        </w:rPr>
        <w:t>změnu for</w:t>
      </w:r>
      <w:r w:rsidR="0086104A" w:rsidRPr="00C3033E">
        <w:rPr>
          <w:rFonts w:ascii="Arial" w:hAnsi="Arial" w:cs="Arial"/>
          <w:noProof/>
        </w:rPr>
        <w:t>mu</w:t>
      </w:r>
      <w:r w:rsidR="00D63E6C" w:rsidRPr="00C3033E">
        <w:rPr>
          <w:rFonts w:ascii="Arial" w:hAnsi="Arial" w:cs="Arial"/>
          <w:noProof/>
        </w:rPr>
        <w:t xml:space="preserve">lace článku 6 bodu 6. </w:t>
      </w:r>
      <w:r w:rsidR="00B8645A">
        <w:rPr>
          <w:rFonts w:ascii="Arial" w:hAnsi="Arial" w:cs="Arial"/>
          <w:noProof/>
        </w:rPr>
        <w:t xml:space="preserve">ČR bude rovněž usilovat o výslovném uvedení, že vydání EDC může být podmíněno poplatkem. </w:t>
      </w:r>
    </w:p>
    <w:p w14:paraId="3228B5E9" w14:textId="44DED170" w:rsidR="005D2149" w:rsidRDefault="005D2149" w:rsidP="008C767A">
      <w:pPr>
        <w:pBdr>
          <w:top w:val="nil"/>
          <w:left w:val="nil"/>
          <w:bottom w:val="nil"/>
          <w:right w:val="nil"/>
          <w:between w:val="nil"/>
          <w:bar w:val="nil"/>
        </w:pBdr>
        <w:jc w:val="both"/>
        <w:rPr>
          <w:rFonts w:ascii="Arial" w:hAnsi="Arial" w:cs="Arial"/>
          <w:noProof/>
        </w:rPr>
      </w:pPr>
    </w:p>
    <w:p w14:paraId="04925692" w14:textId="77777777" w:rsidR="00D63E6C" w:rsidRPr="00C3033E" w:rsidRDefault="00E5014F"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7</w:t>
      </w:r>
      <w:r w:rsidR="002D04D4" w:rsidRPr="00C3033E">
        <w:rPr>
          <w:rFonts w:ascii="Arial" w:hAnsi="Arial" w:cs="Arial"/>
          <w:b/>
          <w:bCs/>
          <w:noProof/>
        </w:rPr>
        <w:t xml:space="preserve"> </w:t>
      </w:r>
    </w:p>
    <w:p w14:paraId="657E876E" w14:textId="77777777" w:rsidR="00D63E6C" w:rsidRPr="00C3033E" w:rsidRDefault="00D63E6C" w:rsidP="008C767A">
      <w:pPr>
        <w:pBdr>
          <w:top w:val="nil"/>
          <w:left w:val="nil"/>
          <w:bottom w:val="nil"/>
          <w:right w:val="nil"/>
          <w:between w:val="nil"/>
          <w:bar w:val="nil"/>
        </w:pBdr>
        <w:jc w:val="both"/>
        <w:rPr>
          <w:rFonts w:ascii="Arial" w:hAnsi="Arial" w:cs="Arial"/>
          <w:b/>
          <w:bCs/>
          <w:noProof/>
        </w:rPr>
      </w:pPr>
    </w:p>
    <w:p w14:paraId="7011EC4F" w14:textId="5D1CD0CC" w:rsidR="00D63E6C" w:rsidRPr="00C3033E" w:rsidRDefault="00D63E6C" w:rsidP="008C767A">
      <w:pPr>
        <w:jc w:val="both"/>
        <w:rPr>
          <w:rFonts w:ascii="Arial" w:hAnsi="Arial" w:cs="Arial"/>
          <w:noProof/>
          <w:color w:val="FF0000"/>
        </w:rPr>
      </w:pPr>
      <w:r w:rsidRPr="00C3033E">
        <w:rPr>
          <w:rFonts w:ascii="Arial" w:hAnsi="Arial" w:cs="Arial"/>
          <w:noProof/>
        </w:rPr>
        <w:t>Podle článku 7 odst. 5 ČS přijmou potřebná opatření zajišťující nahrazení současných parkovacích karet EDC dle návrhu směrnice. Z  hlediska uživatelské přivětivosti a</w:t>
      </w:r>
      <w:r w:rsidR="0086104A" w:rsidRPr="00C3033E">
        <w:rPr>
          <w:rFonts w:ascii="Arial" w:hAnsi="Arial" w:cs="Arial"/>
          <w:noProof/>
        </w:rPr>
        <w:t> </w:t>
      </w:r>
      <w:r w:rsidRPr="00C3033E">
        <w:rPr>
          <w:rFonts w:ascii="Arial" w:hAnsi="Arial" w:cs="Arial"/>
          <w:noProof/>
        </w:rPr>
        <w:t>pro</w:t>
      </w:r>
      <w:r w:rsidR="0086104A" w:rsidRPr="00C3033E">
        <w:rPr>
          <w:rFonts w:ascii="Arial" w:hAnsi="Arial" w:cs="Arial"/>
          <w:noProof/>
        </w:rPr>
        <w:t> </w:t>
      </w:r>
      <w:r w:rsidRPr="00C3033E">
        <w:rPr>
          <w:rFonts w:ascii="Arial" w:hAnsi="Arial" w:cs="Arial"/>
          <w:noProof/>
        </w:rPr>
        <w:t xml:space="preserve">snížení administrativního </w:t>
      </w:r>
      <w:r w:rsidR="00A318A5" w:rsidRPr="00C3033E">
        <w:rPr>
          <w:rFonts w:ascii="Arial" w:hAnsi="Arial" w:cs="Arial"/>
          <w:noProof/>
        </w:rPr>
        <w:t xml:space="preserve">a ekonomického </w:t>
      </w:r>
      <w:r w:rsidRPr="00C3033E">
        <w:rPr>
          <w:rFonts w:ascii="Arial" w:hAnsi="Arial" w:cs="Arial"/>
          <w:noProof/>
        </w:rPr>
        <w:t xml:space="preserve">zatížení spojeného s naplněním směrnice </w:t>
      </w:r>
      <w:r w:rsidR="00A318A5" w:rsidRPr="00C3033E">
        <w:rPr>
          <w:rFonts w:ascii="Arial" w:hAnsi="Arial" w:cs="Arial"/>
          <w:noProof/>
        </w:rPr>
        <w:t xml:space="preserve">ČR bude požadovat pětileté </w:t>
      </w:r>
      <w:r w:rsidRPr="00C3033E">
        <w:rPr>
          <w:rFonts w:ascii="Arial" w:hAnsi="Arial" w:cs="Arial"/>
          <w:noProof/>
        </w:rPr>
        <w:t xml:space="preserve">přechodné období, kdy budou platit </w:t>
      </w:r>
      <w:r w:rsidR="00A318A5" w:rsidRPr="00C3033E">
        <w:rPr>
          <w:rFonts w:ascii="Arial" w:hAnsi="Arial" w:cs="Arial"/>
          <w:noProof/>
        </w:rPr>
        <w:t>„</w:t>
      </w:r>
      <w:r w:rsidRPr="00C3033E">
        <w:rPr>
          <w:rFonts w:ascii="Arial" w:hAnsi="Arial" w:cs="Arial"/>
          <w:noProof/>
        </w:rPr>
        <w:t>staré a</w:t>
      </w:r>
      <w:r w:rsidR="0086104A" w:rsidRPr="00C3033E">
        <w:rPr>
          <w:rFonts w:ascii="Arial" w:hAnsi="Arial" w:cs="Arial"/>
          <w:noProof/>
        </w:rPr>
        <w:t> </w:t>
      </w:r>
      <w:r w:rsidRPr="00C3033E">
        <w:rPr>
          <w:rFonts w:ascii="Arial" w:hAnsi="Arial" w:cs="Arial"/>
          <w:noProof/>
        </w:rPr>
        <w:t>nové parkovací průkazy pro osoby se zdravotním postižením</w:t>
      </w:r>
      <w:r w:rsidR="00A318A5" w:rsidRPr="00C3033E">
        <w:rPr>
          <w:rFonts w:ascii="Arial" w:hAnsi="Arial" w:cs="Arial"/>
          <w:noProof/>
        </w:rPr>
        <w:t>“</w:t>
      </w:r>
      <w:r w:rsidRPr="00C3033E">
        <w:rPr>
          <w:rFonts w:ascii="Arial" w:hAnsi="Arial" w:cs="Arial"/>
          <w:noProof/>
        </w:rPr>
        <w:t>.</w:t>
      </w:r>
      <w:r w:rsidR="0071215D" w:rsidRPr="00C3033E">
        <w:rPr>
          <w:rFonts w:ascii="Arial" w:hAnsi="Arial" w:cs="Arial"/>
          <w:noProof/>
        </w:rPr>
        <w:t xml:space="preserve"> </w:t>
      </w:r>
    </w:p>
    <w:p w14:paraId="36D23271" w14:textId="5855FB02" w:rsidR="00A722CF" w:rsidRPr="00C3033E" w:rsidRDefault="00A722CF" w:rsidP="008C767A">
      <w:pPr>
        <w:jc w:val="both"/>
        <w:rPr>
          <w:rFonts w:ascii="Arial" w:hAnsi="Arial" w:cs="Arial"/>
          <w:noProof/>
        </w:rPr>
      </w:pPr>
    </w:p>
    <w:p w14:paraId="758B5C9B" w14:textId="05DCEDF2" w:rsidR="00A722CF" w:rsidRPr="00C3033E" w:rsidRDefault="00A722CF" w:rsidP="008C767A">
      <w:pPr>
        <w:jc w:val="both"/>
        <w:rPr>
          <w:rFonts w:ascii="Arial" w:hAnsi="Arial" w:cs="Arial"/>
          <w:b/>
          <w:bCs/>
          <w:noProof/>
        </w:rPr>
      </w:pPr>
      <w:r w:rsidRPr="00C3033E">
        <w:rPr>
          <w:rFonts w:ascii="Arial" w:hAnsi="Arial" w:cs="Arial"/>
          <w:b/>
          <w:bCs/>
          <w:noProof/>
        </w:rPr>
        <w:t>Článek 8</w:t>
      </w:r>
    </w:p>
    <w:p w14:paraId="07A10B00" w14:textId="77777777" w:rsidR="001005FE" w:rsidRPr="00C3033E" w:rsidRDefault="001005FE" w:rsidP="008C767A">
      <w:pPr>
        <w:jc w:val="both"/>
        <w:rPr>
          <w:rFonts w:ascii="Arial" w:hAnsi="Arial" w:cs="Arial"/>
          <w:noProof/>
        </w:rPr>
      </w:pPr>
    </w:p>
    <w:p w14:paraId="0558CB42" w14:textId="3DF102A0" w:rsidR="00A722CF" w:rsidRPr="00C3033E" w:rsidRDefault="00A722CF" w:rsidP="008C767A">
      <w:pPr>
        <w:jc w:val="both"/>
        <w:rPr>
          <w:rFonts w:ascii="Arial" w:hAnsi="Arial" w:cs="Arial"/>
          <w:noProof/>
        </w:rPr>
      </w:pPr>
      <w:r w:rsidRPr="00C3033E">
        <w:rPr>
          <w:rFonts w:ascii="Arial" w:hAnsi="Arial" w:cs="Arial"/>
        </w:rPr>
        <w:t>K článku, který se týká přijímání prováděcích aktů,</w:t>
      </w:r>
      <w:r w:rsidR="00822D7C" w:rsidRPr="00C3033E">
        <w:rPr>
          <w:rFonts w:ascii="Arial" w:hAnsi="Arial" w:cs="Arial"/>
        </w:rPr>
        <w:t xml:space="preserve"> k</w:t>
      </w:r>
      <w:r w:rsidRPr="00C3033E">
        <w:rPr>
          <w:rFonts w:ascii="Arial" w:hAnsi="Arial" w:cs="Arial"/>
        </w:rPr>
        <w:t xml:space="preserve">terými </w:t>
      </w:r>
      <w:r w:rsidR="00822D7C" w:rsidRPr="00C3033E">
        <w:rPr>
          <w:rFonts w:ascii="Arial" w:hAnsi="Arial" w:cs="Arial"/>
        </w:rPr>
        <w:t xml:space="preserve">se </w:t>
      </w:r>
      <w:r w:rsidRPr="00C3033E">
        <w:rPr>
          <w:rFonts w:ascii="Arial" w:hAnsi="Arial" w:cs="Arial"/>
        </w:rPr>
        <w:t>stanoví společné technické specifikace pro další upřesnění formátů evropského průkazu osob se</w:t>
      </w:r>
      <w:r w:rsidR="008C767A">
        <w:rPr>
          <w:rFonts w:ascii="Arial" w:hAnsi="Arial" w:cs="Arial"/>
        </w:rPr>
        <w:t> </w:t>
      </w:r>
      <w:r w:rsidRPr="00C3033E">
        <w:rPr>
          <w:rFonts w:ascii="Arial" w:hAnsi="Arial" w:cs="Arial"/>
        </w:rPr>
        <w:t>zdravotním postižením a evropské parkovací karty pro osoby se zdravotním postižením</w:t>
      </w:r>
      <w:r w:rsidR="00822D7C" w:rsidRPr="00C3033E">
        <w:rPr>
          <w:rFonts w:ascii="Arial" w:hAnsi="Arial" w:cs="Arial"/>
        </w:rPr>
        <w:t>, nemá ČR zásadní výhrady.</w:t>
      </w:r>
    </w:p>
    <w:p w14:paraId="03BE51ED" w14:textId="77777777" w:rsidR="00A318A5" w:rsidRPr="00C3033E" w:rsidRDefault="00A318A5" w:rsidP="008C767A">
      <w:pPr>
        <w:jc w:val="both"/>
        <w:rPr>
          <w:rFonts w:ascii="Arial" w:hAnsi="Arial" w:cs="Arial"/>
          <w:noProof/>
        </w:rPr>
      </w:pPr>
    </w:p>
    <w:p w14:paraId="64C06F42" w14:textId="59D82EC6" w:rsidR="000B4451" w:rsidRPr="00C3033E" w:rsidRDefault="000B4451"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9</w:t>
      </w:r>
    </w:p>
    <w:p w14:paraId="5587558B" w14:textId="43E999C0" w:rsidR="000B4451" w:rsidRPr="00C3033E" w:rsidRDefault="000B4451" w:rsidP="008C767A">
      <w:pPr>
        <w:pBdr>
          <w:top w:val="nil"/>
          <w:left w:val="nil"/>
          <w:bottom w:val="nil"/>
          <w:right w:val="nil"/>
          <w:between w:val="nil"/>
          <w:bar w:val="nil"/>
        </w:pBdr>
        <w:jc w:val="both"/>
        <w:rPr>
          <w:rFonts w:ascii="Arial" w:hAnsi="Arial" w:cs="Arial"/>
          <w:b/>
          <w:bCs/>
          <w:noProof/>
        </w:rPr>
      </w:pPr>
    </w:p>
    <w:p w14:paraId="3B163B76" w14:textId="7E56C5DD" w:rsidR="000B4451" w:rsidRDefault="001C3EF5"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 xml:space="preserve">Článek 9 se zabývá dohledem, dodržováním a přístupností informací s ohledem na užívání </w:t>
      </w:r>
      <w:r w:rsidR="00A318A5" w:rsidRPr="00C3033E">
        <w:rPr>
          <w:rFonts w:ascii="Arial" w:hAnsi="Arial" w:cs="Arial"/>
          <w:noProof/>
        </w:rPr>
        <w:t xml:space="preserve">EDC a EPC </w:t>
      </w:r>
      <w:r w:rsidRPr="00C3033E">
        <w:rPr>
          <w:rFonts w:ascii="Arial" w:hAnsi="Arial" w:cs="Arial"/>
          <w:noProof/>
        </w:rPr>
        <w:t>včetně rizika jejich padělání a zneužití</w:t>
      </w:r>
      <w:r w:rsidR="00C86E9B" w:rsidRPr="00C3033E">
        <w:rPr>
          <w:rFonts w:ascii="Arial" w:hAnsi="Arial" w:cs="Arial"/>
          <w:noProof/>
        </w:rPr>
        <w:t>.</w:t>
      </w:r>
      <w:r w:rsidR="00A318A5" w:rsidRPr="00C3033E">
        <w:rPr>
          <w:rFonts w:ascii="Arial" w:hAnsi="Arial" w:cs="Arial"/>
          <w:noProof/>
        </w:rPr>
        <w:t xml:space="preserve"> Na ČS jsou kladeny požadavky v otázkách uveřejňování (přístupných) informací o podmínkách a procedurách při vydání EDC a EPC. </w:t>
      </w:r>
      <w:r w:rsidR="000B4451" w:rsidRPr="00C3033E">
        <w:rPr>
          <w:rFonts w:ascii="Arial" w:hAnsi="Arial" w:cs="Arial"/>
          <w:noProof/>
        </w:rPr>
        <w:t xml:space="preserve">ČS přijmou opatření k zajištění, aby držitelé EDC a EPC tyto vracely, pokud pominou podmínky pro jejich vydání. </w:t>
      </w:r>
      <w:r w:rsidR="00A318A5" w:rsidRPr="00C3033E">
        <w:rPr>
          <w:rFonts w:ascii="Arial" w:hAnsi="Arial" w:cs="Arial"/>
          <w:noProof/>
        </w:rPr>
        <w:t xml:space="preserve">Problémový může být článek 9 bod 5 týkající se otázek </w:t>
      </w:r>
      <w:r w:rsidR="00B02698" w:rsidRPr="00C3033E">
        <w:rPr>
          <w:rFonts w:ascii="Arial" w:hAnsi="Arial" w:cs="Arial"/>
          <w:noProof/>
        </w:rPr>
        <w:t>zneužití či ne</w:t>
      </w:r>
      <w:r w:rsidR="007F71BB" w:rsidRPr="00C3033E">
        <w:rPr>
          <w:rFonts w:ascii="Arial" w:hAnsi="Arial" w:cs="Arial"/>
          <w:noProof/>
        </w:rPr>
        <w:t xml:space="preserve">správného </w:t>
      </w:r>
      <w:r w:rsidR="00B02698" w:rsidRPr="00C3033E">
        <w:rPr>
          <w:rFonts w:ascii="Arial" w:hAnsi="Arial" w:cs="Arial"/>
          <w:noProof/>
        </w:rPr>
        <w:t xml:space="preserve">použití </w:t>
      </w:r>
      <w:r w:rsidR="00A318A5" w:rsidRPr="00C3033E">
        <w:rPr>
          <w:rFonts w:ascii="Arial" w:hAnsi="Arial" w:cs="Arial"/>
          <w:noProof/>
        </w:rPr>
        <w:t xml:space="preserve">EDC a EPC vydaných v jiných ČS, v kontextu nevyjasněnosti </w:t>
      </w:r>
      <w:r w:rsidR="001862CE" w:rsidRPr="00C3033E">
        <w:rPr>
          <w:rFonts w:ascii="Arial" w:hAnsi="Arial" w:cs="Arial"/>
          <w:noProof/>
        </w:rPr>
        <w:t xml:space="preserve">uznávání EDC a EPC vydaného jiným ČS v případě nikoli </w:t>
      </w:r>
      <w:r w:rsidR="00822D7C" w:rsidRPr="00C3033E">
        <w:rPr>
          <w:rFonts w:ascii="Arial" w:hAnsi="Arial" w:cs="Arial"/>
          <w:noProof/>
        </w:rPr>
        <w:t>krátkodobého pobytu .</w:t>
      </w:r>
      <w:r w:rsidR="001862CE" w:rsidRPr="00C3033E">
        <w:rPr>
          <w:rFonts w:ascii="Arial" w:hAnsi="Arial" w:cs="Arial"/>
          <w:noProof/>
        </w:rPr>
        <w:t xml:space="preserve"> Daný článek zakládá ČS povinnost informovat kompetentní instituci ČS, která EDC či EPC vydala. Stát, který </w:t>
      </w:r>
      <w:r w:rsidR="009D2959" w:rsidRPr="00C3033E">
        <w:rPr>
          <w:rFonts w:ascii="Arial" w:hAnsi="Arial" w:cs="Arial"/>
          <w:noProof/>
        </w:rPr>
        <w:t>zneužitý či</w:t>
      </w:r>
      <w:r w:rsidR="008C767A">
        <w:rPr>
          <w:rFonts w:ascii="Arial" w:hAnsi="Arial" w:cs="Arial"/>
          <w:noProof/>
        </w:rPr>
        <w:t> </w:t>
      </w:r>
      <w:r w:rsidR="009D2959" w:rsidRPr="00C3033E">
        <w:rPr>
          <w:rFonts w:ascii="Arial" w:hAnsi="Arial" w:cs="Arial"/>
          <w:noProof/>
        </w:rPr>
        <w:t xml:space="preserve">nesprávně použitý průkaz </w:t>
      </w:r>
      <w:r w:rsidR="001862CE" w:rsidRPr="00C3033E">
        <w:rPr>
          <w:rFonts w:ascii="Arial" w:hAnsi="Arial" w:cs="Arial"/>
          <w:noProof/>
        </w:rPr>
        <w:t xml:space="preserve">vydal, pak má zajistit odpovídající </w:t>
      </w:r>
      <w:r w:rsidR="009D2959" w:rsidRPr="00C3033E">
        <w:rPr>
          <w:rFonts w:ascii="Arial" w:hAnsi="Arial" w:cs="Arial"/>
          <w:noProof/>
        </w:rPr>
        <w:t xml:space="preserve">kroky dle své národní legislativy. </w:t>
      </w:r>
    </w:p>
    <w:p w14:paraId="76812679" w14:textId="77777777" w:rsidR="00C9614F" w:rsidRPr="00C3033E" w:rsidRDefault="00C9614F" w:rsidP="008C767A">
      <w:pPr>
        <w:pBdr>
          <w:top w:val="nil"/>
          <w:left w:val="nil"/>
          <w:bottom w:val="nil"/>
          <w:right w:val="nil"/>
          <w:between w:val="nil"/>
          <w:bar w:val="nil"/>
        </w:pBdr>
        <w:jc w:val="both"/>
        <w:rPr>
          <w:rFonts w:ascii="Arial" w:hAnsi="Arial" w:cs="Arial"/>
          <w:noProof/>
          <w:color w:val="FF0000"/>
        </w:rPr>
      </w:pPr>
    </w:p>
    <w:p w14:paraId="3E1EEE3B" w14:textId="7AC62938" w:rsidR="009D2959" w:rsidRPr="00C3033E" w:rsidRDefault="00822D7C"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 xml:space="preserve">ČR bude usilovat o takovou úpravu, aby nevznikaly nepřiměřené administrativní náklady. </w:t>
      </w:r>
    </w:p>
    <w:p w14:paraId="319F1D60" w14:textId="77777777" w:rsidR="00822D7C" w:rsidRPr="00C3033E" w:rsidRDefault="00822D7C" w:rsidP="008C767A">
      <w:pPr>
        <w:pBdr>
          <w:top w:val="nil"/>
          <w:left w:val="nil"/>
          <w:bottom w:val="nil"/>
          <w:right w:val="nil"/>
          <w:between w:val="nil"/>
          <w:bar w:val="nil"/>
        </w:pBdr>
        <w:jc w:val="both"/>
        <w:rPr>
          <w:rFonts w:ascii="Arial" w:hAnsi="Arial" w:cs="Arial"/>
          <w:noProof/>
        </w:rPr>
      </w:pPr>
    </w:p>
    <w:p w14:paraId="4F02BCFB" w14:textId="7FB616E6" w:rsidR="000B4451" w:rsidRPr="00C3033E" w:rsidRDefault="000B4451"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10</w:t>
      </w:r>
    </w:p>
    <w:p w14:paraId="0799637A" w14:textId="228A04C8" w:rsidR="000B4451" w:rsidRPr="00C3033E" w:rsidRDefault="000B4451" w:rsidP="008C767A">
      <w:pPr>
        <w:pBdr>
          <w:top w:val="nil"/>
          <w:left w:val="nil"/>
          <w:bottom w:val="nil"/>
          <w:right w:val="nil"/>
          <w:between w:val="nil"/>
          <w:bar w:val="nil"/>
        </w:pBdr>
        <w:jc w:val="both"/>
        <w:rPr>
          <w:rFonts w:ascii="Arial" w:hAnsi="Arial" w:cs="Arial"/>
          <w:b/>
          <w:bCs/>
          <w:noProof/>
        </w:rPr>
      </w:pPr>
    </w:p>
    <w:p w14:paraId="01F12C9C" w14:textId="53ADDBB4" w:rsidR="00337BD9" w:rsidRDefault="000B4451"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ČS</w:t>
      </w:r>
      <w:r w:rsidR="005422F8" w:rsidRPr="00C3033E">
        <w:rPr>
          <w:rFonts w:ascii="Arial" w:hAnsi="Arial" w:cs="Arial"/>
          <w:b/>
          <w:bCs/>
          <w:noProof/>
        </w:rPr>
        <w:t xml:space="preserve"> </w:t>
      </w:r>
      <w:r w:rsidRPr="00C3033E">
        <w:rPr>
          <w:rFonts w:ascii="Arial" w:hAnsi="Arial" w:cs="Arial"/>
          <w:noProof/>
        </w:rPr>
        <w:t xml:space="preserve">mají oznámit (do 6 měsíců po </w:t>
      </w:r>
      <w:r w:rsidR="003F7494" w:rsidRPr="00C3033E">
        <w:rPr>
          <w:rFonts w:ascii="Arial" w:hAnsi="Arial" w:cs="Arial"/>
          <w:noProof/>
        </w:rPr>
        <w:t>vstupu směrnice v platnost</w:t>
      </w:r>
      <w:r w:rsidRPr="00C3033E">
        <w:rPr>
          <w:rFonts w:ascii="Arial" w:hAnsi="Arial" w:cs="Arial"/>
          <w:noProof/>
        </w:rPr>
        <w:t xml:space="preserve">) EK úřady/instituuce, kterým bude svěřeno vydávání, znovuvydávání a odnímání </w:t>
      </w:r>
      <w:r w:rsidR="00C86E9B" w:rsidRPr="00C3033E">
        <w:rPr>
          <w:rFonts w:ascii="Arial" w:hAnsi="Arial" w:cs="Arial"/>
          <w:noProof/>
        </w:rPr>
        <w:t>EDC</w:t>
      </w:r>
      <w:r w:rsidR="001C3EF5" w:rsidRPr="00C3033E">
        <w:rPr>
          <w:rFonts w:ascii="Arial" w:hAnsi="Arial" w:cs="Arial"/>
          <w:noProof/>
        </w:rPr>
        <w:t xml:space="preserve"> a EPC</w:t>
      </w:r>
      <w:r w:rsidR="00C86E9B" w:rsidRPr="00C3033E">
        <w:rPr>
          <w:rFonts w:ascii="Arial" w:hAnsi="Arial" w:cs="Arial"/>
          <w:noProof/>
        </w:rPr>
        <w:t xml:space="preserve">. </w:t>
      </w:r>
    </w:p>
    <w:p w14:paraId="1F82CC91" w14:textId="45CBC0E0" w:rsidR="00337BD9" w:rsidRPr="00C3033E" w:rsidRDefault="00337BD9" w:rsidP="008C767A">
      <w:pPr>
        <w:pBdr>
          <w:top w:val="nil"/>
          <w:left w:val="nil"/>
          <w:bottom w:val="nil"/>
          <w:right w:val="nil"/>
          <w:between w:val="nil"/>
          <w:bar w:val="nil"/>
        </w:pBdr>
        <w:jc w:val="both"/>
        <w:rPr>
          <w:rFonts w:ascii="Arial" w:hAnsi="Arial" w:cs="Arial"/>
          <w:noProof/>
          <w:color w:val="FF0000"/>
        </w:rPr>
      </w:pPr>
      <w:r w:rsidRPr="00C3033E">
        <w:rPr>
          <w:rFonts w:ascii="Arial" w:hAnsi="Arial" w:cs="Arial"/>
          <w:noProof/>
        </w:rPr>
        <w:t xml:space="preserve">ČR bude usilovat o změnu tohoto ustanovení. Není zřejmý důvod oznámení před lhůtou pro provedení směrnice ze strany ČS (v praxi si lze obtížně představit, že bude moci být sdělen kompetentní orgán před tím, než mu bude kompetence zákonem formálně přiznána; fakticky by tak uvedené vyžadovalo přijetí </w:t>
      </w:r>
      <w:r w:rsidR="003F7494" w:rsidRPr="00C3033E">
        <w:rPr>
          <w:rFonts w:ascii="Arial" w:hAnsi="Arial" w:cs="Arial"/>
          <w:noProof/>
        </w:rPr>
        <w:t xml:space="preserve">dílčího transpozičního </w:t>
      </w:r>
      <w:r w:rsidRPr="00C3033E">
        <w:rPr>
          <w:rFonts w:ascii="Arial" w:hAnsi="Arial" w:cs="Arial"/>
          <w:noProof/>
        </w:rPr>
        <w:t xml:space="preserve">zákona upravujícího kompetence </w:t>
      </w:r>
      <w:r w:rsidR="003F7494" w:rsidRPr="00C3033E">
        <w:rPr>
          <w:rFonts w:ascii="Arial" w:hAnsi="Arial" w:cs="Arial"/>
          <w:noProof/>
        </w:rPr>
        <w:t>dotčeného orgánu</w:t>
      </w:r>
      <w:r w:rsidRPr="00C3033E">
        <w:rPr>
          <w:rFonts w:ascii="Arial" w:hAnsi="Arial" w:cs="Arial"/>
          <w:noProof/>
        </w:rPr>
        <w:t xml:space="preserve"> v extrémně krátké lhůtě šesti měsíců). </w:t>
      </w:r>
    </w:p>
    <w:p w14:paraId="555FD819" w14:textId="77777777" w:rsidR="00204CF7" w:rsidRPr="00C3033E" w:rsidRDefault="00204CF7" w:rsidP="008C767A">
      <w:pPr>
        <w:pBdr>
          <w:top w:val="nil"/>
          <w:left w:val="nil"/>
          <w:bottom w:val="nil"/>
          <w:right w:val="nil"/>
          <w:between w:val="nil"/>
          <w:bar w:val="nil"/>
        </w:pBdr>
        <w:jc w:val="both"/>
        <w:rPr>
          <w:rFonts w:ascii="Arial" w:hAnsi="Arial" w:cs="Arial"/>
          <w:noProof/>
        </w:rPr>
      </w:pPr>
    </w:p>
    <w:p w14:paraId="7D30F29B" w14:textId="53CC7063" w:rsidR="000B4451" w:rsidRPr="00C3033E" w:rsidRDefault="000B4451" w:rsidP="008C767A">
      <w:pPr>
        <w:pBdr>
          <w:top w:val="nil"/>
          <w:left w:val="nil"/>
          <w:bottom w:val="nil"/>
          <w:right w:val="nil"/>
          <w:between w:val="nil"/>
          <w:bar w:val="nil"/>
        </w:pBdr>
        <w:jc w:val="both"/>
        <w:rPr>
          <w:rFonts w:ascii="Arial" w:hAnsi="Arial" w:cs="Arial"/>
          <w:b/>
          <w:bCs/>
          <w:noProof/>
        </w:rPr>
      </w:pPr>
      <w:r w:rsidRPr="00C3033E">
        <w:rPr>
          <w:rFonts w:ascii="Arial" w:hAnsi="Arial" w:cs="Arial"/>
          <w:noProof/>
        </w:rPr>
        <w:lastRenderedPageBreak/>
        <w:t>ČR</w:t>
      </w:r>
      <w:r w:rsidR="001C3EF5" w:rsidRPr="00C3033E">
        <w:rPr>
          <w:rFonts w:ascii="Arial" w:hAnsi="Arial" w:cs="Arial"/>
          <w:noProof/>
        </w:rPr>
        <w:t> </w:t>
      </w:r>
      <w:r w:rsidRPr="00C3033E">
        <w:rPr>
          <w:rFonts w:ascii="Arial" w:hAnsi="Arial" w:cs="Arial"/>
          <w:noProof/>
        </w:rPr>
        <w:t>předpokládá, že</w:t>
      </w:r>
      <w:r w:rsidR="00C86E9B" w:rsidRPr="00C3033E">
        <w:rPr>
          <w:rFonts w:ascii="Arial" w:hAnsi="Arial" w:cs="Arial"/>
          <w:noProof/>
        </w:rPr>
        <w:t> </w:t>
      </w:r>
      <w:r w:rsidRPr="00C3033E">
        <w:rPr>
          <w:rFonts w:ascii="Arial" w:hAnsi="Arial" w:cs="Arial"/>
          <w:noProof/>
        </w:rPr>
        <w:t>kompetence v oblasti EDC bude svěřena Úřadu práce Č</w:t>
      </w:r>
      <w:r w:rsidR="001C3EF5" w:rsidRPr="00C3033E">
        <w:rPr>
          <w:rFonts w:ascii="Arial" w:hAnsi="Arial" w:cs="Arial"/>
          <w:noProof/>
        </w:rPr>
        <w:t>R</w:t>
      </w:r>
      <w:r w:rsidRPr="00C3033E">
        <w:rPr>
          <w:rFonts w:ascii="Arial" w:hAnsi="Arial" w:cs="Arial"/>
          <w:noProof/>
        </w:rPr>
        <w:t xml:space="preserve"> (krajské pobočky)</w:t>
      </w:r>
      <w:r w:rsidR="001862CE" w:rsidRPr="00C3033E">
        <w:rPr>
          <w:rFonts w:ascii="Arial" w:hAnsi="Arial" w:cs="Arial"/>
          <w:noProof/>
        </w:rPr>
        <w:t xml:space="preserve">. </w:t>
      </w:r>
      <w:r w:rsidRPr="00C3033E">
        <w:rPr>
          <w:rFonts w:ascii="Arial" w:hAnsi="Arial" w:cs="Arial"/>
          <w:noProof/>
        </w:rPr>
        <w:t xml:space="preserve">Mírnou komplikací může být připravovaná </w:t>
      </w:r>
      <w:r w:rsidR="0052519F" w:rsidRPr="00C3033E">
        <w:rPr>
          <w:rFonts w:ascii="Arial" w:hAnsi="Arial" w:cs="Arial"/>
          <w:noProof/>
        </w:rPr>
        <w:t>kompetenční změna a</w:t>
      </w:r>
      <w:r w:rsidR="001862CE" w:rsidRPr="00C3033E">
        <w:rPr>
          <w:rFonts w:ascii="Arial" w:hAnsi="Arial" w:cs="Arial"/>
          <w:noProof/>
        </w:rPr>
        <w:t> </w:t>
      </w:r>
      <w:r w:rsidR="0052519F" w:rsidRPr="00C3033E">
        <w:rPr>
          <w:rFonts w:ascii="Arial" w:hAnsi="Arial" w:cs="Arial"/>
          <w:noProof/>
        </w:rPr>
        <w:t>její načasování</w:t>
      </w:r>
      <w:r w:rsidR="001862CE" w:rsidRPr="00C3033E">
        <w:rPr>
          <w:rFonts w:ascii="Arial" w:hAnsi="Arial" w:cs="Arial"/>
          <w:noProof/>
        </w:rPr>
        <w:t xml:space="preserve"> (ageda dávek osobám se zdravontím postižením a průkazu osoby se zdravo</w:t>
      </w:r>
      <w:r w:rsidR="007F71BB" w:rsidRPr="00C3033E">
        <w:rPr>
          <w:rFonts w:ascii="Arial" w:hAnsi="Arial" w:cs="Arial"/>
          <w:noProof/>
        </w:rPr>
        <w:t>tním</w:t>
      </w:r>
      <w:r w:rsidR="001862CE" w:rsidRPr="00C3033E">
        <w:rPr>
          <w:rFonts w:ascii="Arial" w:hAnsi="Arial" w:cs="Arial"/>
          <w:noProof/>
        </w:rPr>
        <w:t xml:space="preserve"> postižením má být </w:t>
      </w:r>
      <w:r w:rsidR="008938E7" w:rsidRPr="00C3033E">
        <w:rPr>
          <w:rFonts w:ascii="Arial" w:hAnsi="Arial" w:cs="Arial"/>
          <w:noProof/>
        </w:rPr>
        <w:t xml:space="preserve">k 1. 1. 2025 </w:t>
      </w:r>
      <w:r w:rsidR="0052519F" w:rsidRPr="00C3033E">
        <w:rPr>
          <w:rFonts w:ascii="Arial" w:hAnsi="Arial" w:cs="Arial"/>
          <w:noProof/>
        </w:rPr>
        <w:t>svěřena</w:t>
      </w:r>
      <w:r w:rsidR="001862CE" w:rsidRPr="00C3033E">
        <w:rPr>
          <w:rFonts w:ascii="Arial" w:hAnsi="Arial" w:cs="Arial"/>
          <w:noProof/>
        </w:rPr>
        <w:t>).</w:t>
      </w:r>
      <w:r w:rsidR="0052519F" w:rsidRPr="00C3033E">
        <w:rPr>
          <w:rFonts w:ascii="Arial" w:hAnsi="Arial" w:cs="Arial"/>
          <w:noProof/>
        </w:rPr>
        <w:t xml:space="preserve"> </w:t>
      </w:r>
      <w:r w:rsidR="001C3EF5" w:rsidRPr="00C3033E">
        <w:rPr>
          <w:rFonts w:ascii="Arial" w:hAnsi="Arial" w:cs="Arial"/>
          <w:noProof/>
        </w:rPr>
        <w:t>ČR předpokládá, že</w:t>
      </w:r>
      <w:r w:rsidR="008C767A">
        <w:rPr>
          <w:rFonts w:ascii="Arial" w:hAnsi="Arial" w:cs="Arial"/>
          <w:noProof/>
        </w:rPr>
        <w:t> k</w:t>
      </w:r>
      <w:r w:rsidR="001C3EF5" w:rsidRPr="00C3033E">
        <w:rPr>
          <w:rFonts w:ascii="Arial" w:hAnsi="Arial" w:cs="Arial"/>
          <w:noProof/>
        </w:rPr>
        <w:t xml:space="preserve">ompetence v oblasti EPC budou mít jako dosud obecní úřady obcí s rozšířenou působností. </w:t>
      </w:r>
    </w:p>
    <w:p w14:paraId="352ED384" w14:textId="77777777" w:rsidR="00EF5EE2" w:rsidRDefault="00EF5EE2" w:rsidP="008C767A">
      <w:pPr>
        <w:pBdr>
          <w:top w:val="nil"/>
          <w:left w:val="nil"/>
          <w:bottom w:val="nil"/>
          <w:right w:val="nil"/>
          <w:between w:val="nil"/>
          <w:bar w:val="nil"/>
        </w:pBdr>
        <w:jc w:val="both"/>
        <w:rPr>
          <w:rFonts w:ascii="Arial" w:hAnsi="Arial" w:cs="Arial"/>
          <w:b/>
          <w:bCs/>
          <w:noProof/>
        </w:rPr>
      </w:pPr>
    </w:p>
    <w:p w14:paraId="6E93AA54" w14:textId="08260231" w:rsidR="0052519F" w:rsidRPr="00C3033E" w:rsidRDefault="0052519F"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11</w:t>
      </w:r>
      <w:r w:rsidR="00CD776E" w:rsidRPr="00C3033E">
        <w:rPr>
          <w:rFonts w:ascii="Arial" w:hAnsi="Arial" w:cs="Arial"/>
          <w:b/>
          <w:bCs/>
          <w:noProof/>
        </w:rPr>
        <w:t xml:space="preserve"> a 12</w:t>
      </w:r>
    </w:p>
    <w:p w14:paraId="13248253" w14:textId="77777777" w:rsidR="00CC1315" w:rsidRPr="00C3033E" w:rsidRDefault="00CC1315" w:rsidP="008C767A">
      <w:pPr>
        <w:pBdr>
          <w:top w:val="nil"/>
          <w:left w:val="nil"/>
          <w:bottom w:val="nil"/>
          <w:right w:val="nil"/>
          <w:between w:val="nil"/>
          <w:bar w:val="nil"/>
        </w:pBdr>
        <w:jc w:val="both"/>
        <w:rPr>
          <w:rFonts w:ascii="Arial" w:hAnsi="Arial" w:cs="Arial"/>
          <w:noProof/>
        </w:rPr>
      </w:pPr>
    </w:p>
    <w:p w14:paraId="7DBB6980" w14:textId="3AF08792" w:rsidR="00CC1315" w:rsidRPr="008C767A" w:rsidRDefault="00CC1315"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Článk</w:t>
      </w:r>
      <w:r w:rsidR="00E42A9F">
        <w:rPr>
          <w:rFonts w:ascii="Arial" w:hAnsi="Arial" w:cs="Arial"/>
          <w:noProof/>
        </w:rPr>
        <w:t>y</w:t>
      </w:r>
      <w:r w:rsidRPr="00C3033E">
        <w:rPr>
          <w:rFonts w:ascii="Arial" w:hAnsi="Arial" w:cs="Arial"/>
          <w:noProof/>
        </w:rPr>
        <w:t xml:space="preserve"> 11 </w:t>
      </w:r>
      <w:r w:rsidR="00E42A9F">
        <w:rPr>
          <w:rFonts w:ascii="Arial" w:hAnsi="Arial" w:cs="Arial"/>
          <w:noProof/>
        </w:rPr>
        <w:t xml:space="preserve">a 12 </w:t>
      </w:r>
      <w:r w:rsidRPr="00C3033E">
        <w:rPr>
          <w:rFonts w:ascii="Arial" w:hAnsi="Arial" w:cs="Arial"/>
          <w:noProof/>
        </w:rPr>
        <w:t>se zabýv</w:t>
      </w:r>
      <w:r w:rsidR="00E42A9F">
        <w:rPr>
          <w:rFonts w:ascii="Arial" w:hAnsi="Arial" w:cs="Arial"/>
          <w:noProof/>
        </w:rPr>
        <w:t>ají</w:t>
      </w:r>
      <w:r w:rsidRPr="00C3033E">
        <w:rPr>
          <w:rFonts w:ascii="Arial" w:hAnsi="Arial" w:cs="Arial"/>
          <w:noProof/>
        </w:rPr>
        <w:t xml:space="preserve"> </w:t>
      </w:r>
      <w:r w:rsidR="00CD776E" w:rsidRPr="00C3033E">
        <w:rPr>
          <w:rFonts w:ascii="Arial" w:hAnsi="Arial" w:cs="Arial"/>
          <w:noProof/>
        </w:rPr>
        <w:t>výkonem přenesené pravomoci</w:t>
      </w:r>
      <w:r w:rsidRPr="00C3033E">
        <w:rPr>
          <w:rFonts w:ascii="Arial" w:hAnsi="Arial" w:cs="Arial"/>
          <w:noProof/>
        </w:rPr>
        <w:t xml:space="preserve"> – </w:t>
      </w:r>
      <w:r w:rsidR="00E42A9F">
        <w:rPr>
          <w:rFonts w:ascii="Arial" w:hAnsi="Arial" w:cs="Arial"/>
          <w:noProof/>
        </w:rPr>
        <w:t xml:space="preserve">přípravy a </w:t>
      </w:r>
      <w:r w:rsidRPr="00C3033E">
        <w:rPr>
          <w:rFonts w:ascii="Arial" w:hAnsi="Arial" w:cs="Arial"/>
          <w:noProof/>
        </w:rPr>
        <w:t>příj</w:t>
      </w:r>
      <w:r w:rsidR="00E42A9F">
        <w:rPr>
          <w:rFonts w:ascii="Arial" w:hAnsi="Arial" w:cs="Arial"/>
          <w:noProof/>
        </w:rPr>
        <w:t>e</w:t>
      </w:r>
      <w:r w:rsidRPr="00C3033E">
        <w:rPr>
          <w:rFonts w:ascii="Arial" w:hAnsi="Arial" w:cs="Arial"/>
          <w:noProof/>
        </w:rPr>
        <w:t>tí aktu v přenesené působnosti k zavedení digitálního formátu EDC a EPC k zajištění interoperability, bezpečnostních prvků k zabránění jejich padělání či podvodům apod.</w:t>
      </w:r>
      <w:r w:rsidR="008F6ADF" w:rsidRPr="00C3033E">
        <w:rPr>
          <w:rFonts w:ascii="Arial" w:hAnsi="Arial" w:cs="Arial"/>
          <w:noProof/>
        </w:rPr>
        <w:t xml:space="preserve"> </w:t>
      </w:r>
      <w:r w:rsidR="00DA474E" w:rsidRPr="008C767A">
        <w:rPr>
          <w:rFonts w:ascii="Arial" w:hAnsi="Arial" w:cs="Arial"/>
          <w:noProof/>
        </w:rPr>
        <w:t>Zásadní výhrady k ustanovení</w:t>
      </w:r>
      <w:r w:rsidR="00E42A9F" w:rsidRPr="008C767A">
        <w:rPr>
          <w:rFonts w:ascii="Arial" w:hAnsi="Arial" w:cs="Arial"/>
          <w:noProof/>
        </w:rPr>
        <w:t>m</w:t>
      </w:r>
      <w:r w:rsidR="00DA474E" w:rsidRPr="008C767A">
        <w:rPr>
          <w:rFonts w:ascii="Arial" w:hAnsi="Arial" w:cs="Arial"/>
          <w:noProof/>
        </w:rPr>
        <w:t xml:space="preserve"> ČR neuplatňuje.</w:t>
      </w:r>
    </w:p>
    <w:p w14:paraId="22EC5438" w14:textId="77777777" w:rsidR="001C3EF5" w:rsidRPr="008C767A" w:rsidRDefault="001C3EF5" w:rsidP="008C767A">
      <w:pPr>
        <w:pBdr>
          <w:top w:val="nil"/>
          <w:left w:val="nil"/>
          <w:bottom w:val="nil"/>
          <w:right w:val="nil"/>
          <w:between w:val="nil"/>
          <w:bar w:val="nil"/>
        </w:pBdr>
        <w:jc w:val="both"/>
        <w:rPr>
          <w:rFonts w:ascii="Arial" w:hAnsi="Arial" w:cs="Arial"/>
          <w:noProof/>
        </w:rPr>
      </w:pPr>
    </w:p>
    <w:p w14:paraId="76D63A1E" w14:textId="40ECD7E4" w:rsidR="0052519F" w:rsidRPr="00C3033E" w:rsidRDefault="0052519F"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13</w:t>
      </w:r>
    </w:p>
    <w:p w14:paraId="2510C572" w14:textId="77777777" w:rsidR="00CC1315" w:rsidRPr="00C3033E" w:rsidRDefault="00CC1315" w:rsidP="008C767A">
      <w:pPr>
        <w:pBdr>
          <w:top w:val="nil"/>
          <w:left w:val="nil"/>
          <w:bottom w:val="nil"/>
          <w:right w:val="nil"/>
          <w:between w:val="nil"/>
          <w:bar w:val="nil"/>
        </w:pBdr>
        <w:jc w:val="both"/>
        <w:rPr>
          <w:rFonts w:ascii="Arial" w:hAnsi="Arial" w:cs="Arial"/>
          <w:noProof/>
          <w:color w:val="FF0000"/>
        </w:rPr>
      </w:pPr>
    </w:p>
    <w:p w14:paraId="00C5884E" w14:textId="7C1A31DA" w:rsidR="00CC1315" w:rsidRPr="00C3033E" w:rsidRDefault="00CC1315"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Článek 13 se zabývá vynucováním</w:t>
      </w:r>
      <w:r w:rsidRPr="00C3033E">
        <w:rPr>
          <w:rFonts w:ascii="Arial" w:hAnsi="Arial" w:cs="Arial"/>
          <w:noProof/>
          <w:color w:val="00B050"/>
        </w:rPr>
        <w:t xml:space="preserve">. </w:t>
      </w:r>
      <w:r w:rsidRPr="00C3033E">
        <w:rPr>
          <w:rFonts w:ascii="Arial" w:hAnsi="Arial" w:cs="Arial"/>
          <w:noProof/>
        </w:rPr>
        <w:t xml:space="preserve">ČS musí zajistit adekvátní a efektivní prostředky k zajištění souladu se směrnicí. </w:t>
      </w:r>
      <w:r w:rsidR="00383FD8" w:rsidRPr="00C3033E">
        <w:rPr>
          <w:rFonts w:ascii="Arial" w:hAnsi="Arial" w:cs="Arial"/>
          <w:noProof/>
        </w:rPr>
        <w:t>Prostředky mají zahrnovat opatření, pomocí kterých se osoby se zdravotním postižením</w:t>
      </w:r>
      <w:r w:rsidR="006E65CB" w:rsidRPr="00C3033E">
        <w:rPr>
          <w:rFonts w:ascii="Arial" w:hAnsi="Arial" w:cs="Arial"/>
          <w:noProof/>
        </w:rPr>
        <w:t xml:space="preserve">, organizace hájící jejich zájmy a další dotčené organizace </w:t>
      </w:r>
      <w:r w:rsidR="008F6ADF" w:rsidRPr="00C3033E">
        <w:rPr>
          <w:rFonts w:ascii="Arial" w:hAnsi="Arial" w:cs="Arial"/>
          <w:noProof/>
        </w:rPr>
        <w:t xml:space="preserve">mohou </w:t>
      </w:r>
      <w:r w:rsidR="00383FD8" w:rsidRPr="00C3033E">
        <w:rPr>
          <w:rFonts w:ascii="Arial" w:hAnsi="Arial" w:cs="Arial"/>
          <w:noProof/>
        </w:rPr>
        <w:t>obracet na soudy nebo kompetentní inst</w:t>
      </w:r>
      <w:r w:rsidR="006E65CB" w:rsidRPr="00C3033E">
        <w:rPr>
          <w:rFonts w:ascii="Arial" w:hAnsi="Arial" w:cs="Arial"/>
          <w:noProof/>
        </w:rPr>
        <w:t>i</w:t>
      </w:r>
      <w:r w:rsidR="00383FD8" w:rsidRPr="00C3033E">
        <w:rPr>
          <w:rFonts w:ascii="Arial" w:hAnsi="Arial" w:cs="Arial"/>
          <w:noProof/>
        </w:rPr>
        <w:t>tuce v případě porušení práv vyplývajících ze směrnice a z národních ustanovení implementujících směrnici.</w:t>
      </w:r>
      <w:r w:rsidR="006E65CB" w:rsidRPr="00C3033E">
        <w:rPr>
          <w:rFonts w:ascii="Arial" w:hAnsi="Arial" w:cs="Arial"/>
          <w:noProof/>
        </w:rPr>
        <w:t xml:space="preserve"> </w:t>
      </w:r>
      <w:r w:rsidR="001005FE" w:rsidRPr="008C767A">
        <w:rPr>
          <w:rFonts w:ascii="Arial" w:hAnsi="Arial" w:cs="Arial"/>
          <w:noProof/>
        </w:rPr>
        <w:t>ČR nemá z</w:t>
      </w:r>
      <w:r w:rsidR="00DA560F" w:rsidRPr="008C767A">
        <w:rPr>
          <w:rFonts w:ascii="Arial" w:hAnsi="Arial" w:cs="Arial"/>
          <w:noProof/>
        </w:rPr>
        <w:t>ásadní výhrady k</w:t>
      </w:r>
      <w:r w:rsidR="001005FE" w:rsidRPr="008C767A">
        <w:rPr>
          <w:rFonts w:ascii="Arial" w:hAnsi="Arial" w:cs="Arial"/>
          <w:noProof/>
        </w:rPr>
        <w:t xml:space="preserve"> tomuto </w:t>
      </w:r>
      <w:r w:rsidR="00DA560F" w:rsidRPr="008C767A">
        <w:rPr>
          <w:rFonts w:ascii="Arial" w:hAnsi="Arial" w:cs="Arial"/>
          <w:noProof/>
        </w:rPr>
        <w:t>ustanovení</w:t>
      </w:r>
      <w:r w:rsidR="00DA560F" w:rsidRPr="00C3033E">
        <w:rPr>
          <w:rFonts w:ascii="Arial" w:hAnsi="Arial" w:cs="Arial"/>
          <w:noProof/>
        </w:rPr>
        <w:t>.</w:t>
      </w:r>
      <w:r w:rsidR="001005FE" w:rsidRPr="00C3033E">
        <w:rPr>
          <w:rFonts w:ascii="Arial" w:hAnsi="Arial" w:cs="Arial"/>
          <w:noProof/>
        </w:rPr>
        <w:t xml:space="preserve"> V souvislosti s budoucí transpozicí směrnicí ČR přezkoumá, zda stávající mechanismy jsou pro naplnění směrnice dostačující.</w:t>
      </w:r>
    </w:p>
    <w:p w14:paraId="236810E9" w14:textId="77777777" w:rsidR="00383FD8" w:rsidRPr="00C3033E" w:rsidRDefault="00383FD8" w:rsidP="008C767A">
      <w:pPr>
        <w:pBdr>
          <w:top w:val="nil"/>
          <w:left w:val="nil"/>
          <w:bottom w:val="nil"/>
          <w:right w:val="nil"/>
          <w:between w:val="nil"/>
          <w:bar w:val="nil"/>
        </w:pBdr>
        <w:jc w:val="both"/>
        <w:rPr>
          <w:rFonts w:ascii="Arial" w:hAnsi="Arial" w:cs="Arial"/>
          <w:b/>
          <w:bCs/>
          <w:noProof/>
        </w:rPr>
      </w:pPr>
    </w:p>
    <w:p w14:paraId="31CB2E04" w14:textId="6DA0C39D" w:rsidR="00C86E9B" w:rsidRPr="00C3033E" w:rsidRDefault="0052519F"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14</w:t>
      </w:r>
    </w:p>
    <w:p w14:paraId="56EF11EC" w14:textId="77777777" w:rsidR="00C86E9B" w:rsidRPr="00C3033E" w:rsidRDefault="00C86E9B" w:rsidP="008C767A">
      <w:pPr>
        <w:pBdr>
          <w:top w:val="nil"/>
          <w:left w:val="nil"/>
          <w:bottom w:val="nil"/>
          <w:right w:val="nil"/>
          <w:between w:val="nil"/>
          <w:bar w:val="nil"/>
        </w:pBdr>
        <w:jc w:val="both"/>
        <w:rPr>
          <w:rFonts w:ascii="Arial" w:hAnsi="Arial" w:cs="Arial"/>
          <w:b/>
          <w:bCs/>
          <w:noProof/>
        </w:rPr>
      </w:pPr>
    </w:p>
    <w:p w14:paraId="30D588F5" w14:textId="114000E1" w:rsidR="00830B9B" w:rsidRPr="00E42A9F" w:rsidRDefault="006D62B7"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Článek 14 se věnuje pokutám</w:t>
      </w:r>
      <w:r w:rsidR="00383FD8" w:rsidRPr="00C3033E">
        <w:rPr>
          <w:rFonts w:ascii="Arial" w:hAnsi="Arial" w:cs="Arial"/>
          <w:noProof/>
        </w:rPr>
        <w:t xml:space="preserve"> za porušení </w:t>
      </w:r>
      <w:r w:rsidR="006E65CB" w:rsidRPr="00C3033E">
        <w:rPr>
          <w:rFonts w:ascii="Arial" w:hAnsi="Arial" w:cs="Arial"/>
          <w:noProof/>
        </w:rPr>
        <w:t xml:space="preserve">povinností vyplývajících z neplnění směrnice. </w:t>
      </w:r>
      <w:r w:rsidR="00C86E9B" w:rsidRPr="00C3033E">
        <w:rPr>
          <w:rFonts w:ascii="Arial" w:hAnsi="Arial" w:cs="Arial"/>
          <w:noProof/>
        </w:rPr>
        <w:t>Pokuty mají být efektivní/účinné, proporcionální, odrazující a doprovázeny</w:t>
      </w:r>
      <w:r w:rsidR="006E65CB" w:rsidRPr="00C3033E">
        <w:rPr>
          <w:rFonts w:ascii="Arial" w:hAnsi="Arial" w:cs="Arial"/>
          <w:noProof/>
        </w:rPr>
        <w:t xml:space="preserve"> účinnými nápravnými opatřeními. ČR prověř</w:t>
      </w:r>
      <w:r w:rsidR="001005FE" w:rsidRPr="00C3033E">
        <w:rPr>
          <w:rFonts w:ascii="Arial" w:hAnsi="Arial" w:cs="Arial"/>
          <w:noProof/>
        </w:rPr>
        <w:t>í</w:t>
      </w:r>
      <w:r w:rsidR="006E65CB" w:rsidRPr="00C3033E">
        <w:rPr>
          <w:rFonts w:ascii="Arial" w:hAnsi="Arial" w:cs="Arial"/>
          <w:noProof/>
        </w:rPr>
        <w:t xml:space="preserve"> souladnost a dostatečnost existujících mechanismů. </w:t>
      </w:r>
      <w:r w:rsidR="00830B9B" w:rsidRPr="00E42A9F">
        <w:rPr>
          <w:rFonts w:ascii="Arial" w:hAnsi="Arial" w:cs="Arial"/>
          <w:noProof/>
        </w:rPr>
        <w:t xml:space="preserve">V rámci vyjednávání bude </w:t>
      </w:r>
      <w:r w:rsidR="001005FE" w:rsidRPr="00E42A9F">
        <w:rPr>
          <w:rFonts w:ascii="Arial" w:hAnsi="Arial" w:cs="Arial"/>
          <w:noProof/>
        </w:rPr>
        <w:t xml:space="preserve">ČR </w:t>
      </w:r>
      <w:r w:rsidR="00830B9B" w:rsidRPr="00E42A9F">
        <w:rPr>
          <w:rFonts w:ascii="Arial" w:hAnsi="Arial" w:cs="Arial"/>
          <w:noProof/>
        </w:rPr>
        <w:t>usilov</w:t>
      </w:r>
      <w:r w:rsidR="001005FE" w:rsidRPr="00E42A9F">
        <w:rPr>
          <w:rFonts w:ascii="Arial" w:hAnsi="Arial" w:cs="Arial"/>
          <w:noProof/>
        </w:rPr>
        <w:t>at</w:t>
      </w:r>
      <w:r w:rsidR="00830B9B" w:rsidRPr="00E42A9F">
        <w:rPr>
          <w:rFonts w:ascii="Arial" w:hAnsi="Arial" w:cs="Arial"/>
          <w:noProof/>
        </w:rPr>
        <w:t xml:space="preserve"> o vyjasnění, co je míněno v</w:t>
      </w:r>
      <w:r w:rsidR="0005254E" w:rsidRPr="00E42A9F">
        <w:rPr>
          <w:rFonts w:ascii="Arial" w:hAnsi="Arial" w:cs="Arial"/>
          <w:noProof/>
        </w:rPr>
        <w:t> </w:t>
      </w:r>
      <w:r w:rsidR="00830B9B" w:rsidRPr="00E42A9F">
        <w:rPr>
          <w:rFonts w:ascii="Arial" w:hAnsi="Arial" w:cs="Arial"/>
          <w:noProof/>
        </w:rPr>
        <w:t>kontextu</w:t>
      </w:r>
      <w:r w:rsidR="0005254E" w:rsidRPr="00E42A9F">
        <w:rPr>
          <w:rFonts w:ascii="Arial" w:hAnsi="Arial" w:cs="Arial"/>
          <w:noProof/>
        </w:rPr>
        <w:t xml:space="preserve"> tohoto ustanovení</w:t>
      </w:r>
      <w:r w:rsidR="00830B9B" w:rsidRPr="00E42A9F">
        <w:rPr>
          <w:rFonts w:ascii="Arial" w:hAnsi="Arial" w:cs="Arial"/>
          <w:noProof/>
        </w:rPr>
        <w:t xml:space="preserve"> účinnými nápravnými opatřeními.</w:t>
      </w:r>
      <w:r w:rsidR="001005FE" w:rsidRPr="00E42A9F">
        <w:rPr>
          <w:rFonts w:ascii="Arial" w:hAnsi="Arial" w:cs="Arial"/>
          <w:noProof/>
        </w:rPr>
        <w:t xml:space="preserve"> </w:t>
      </w:r>
      <w:r w:rsidR="00830B9B" w:rsidRPr="00E42A9F">
        <w:rPr>
          <w:rFonts w:ascii="Arial" w:hAnsi="Arial" w:cs="Arial"/>
          <w:noProof/>
        </w:rPr>
        <w:t>Pokud jde o speciální povinnost notifikace ohledně tohoto ustanovení, jak je uvedena v odstavci 3, považuje ji ČR za</w:t>
      </w:r>
      <w:r w:rsidR="008C767A">
        <w:rPr>
          <w:rFonts w:ascii="Arial" w:hAnsi="Arial" w:cs="Arial"/>
          <w:noProof/>
        </w:rPr>
        <w:t> </w:t>
      </w:r>
      <w:r w:rsidR="00830B9B" w:rsidRPr="00E42A9F">
        <w:rPr>
          <w:rFonts w:ascii="Arial" w:hAnsi="Arial" w:cs="Arial"/>
          <w:noProof/>
        </w:rPr>
        <w:t>nadbytečnou, administrativně zatěžující a bude usilovat o její vypuštění.</w:t>
      </w:r>
    </w:p>
    <w:p w14:paraId="30F6AA61" w14:textId="426ECFE4" w:rsidR="006E65CB" w:rsidRPr="00C3033E" w:rsidRDefault="006E65CB" w:rsidP="008C767A">
      <w:pPr>
        <w:pBdr>
          <w:top w:val="nil"/>
          <w:left w:val="nil"/>
          <w:bottom w:val="nil"/>
          <w:right w:val="nil"/>
          <w:between w:val="nil"/>
          <w:bar w:val="nil"/>
        </w:pBdr>
        <w:jc w:val="both"/>
        <w:rPr>
          <w:rFonts w:ascii="Arial" w:hAnsi="Arial" w:cs="Arial"/>
          <w:b/>
          <w:bCs/>
          <w:noProof/>
        </w:rPr>
      </w:pPr>
    </w:p>
    <w:p w14:paraId="70AFCE99" w14:textId="4842DEE0" w:rsidR="0052519F" w:rsidRPr="00C3033E" w:rsidRDefault="0052519F"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15</w:t>
      </w:r>
    </w:p>
    <w:p w14:paraId="486D0154" w14:textId="18D8D812" w:rsidR="0052519F" w:rsidRPr="00C3033E" w:rsidRDefault="0052519F" w:rsidP="008C767A">
      <w:pPr>
        <w:pBdr>
          <w:top w:val="nil"/>
          <w:left w:val="nil"/>
          <w:bottom w:val="nil"/>
          <w:right w:val="nil"/>
          <w:between w:val="nil"/>
          <w:bar w:val="nil"/>
        </w:pBdr>
        <w:jc w:val="both"/>
        <w:rPr>
          <w:rFonts w:ascii="Arial" w:hAnsi="Arial" w:cs="Arial"/>
          <w:b/>
          <w:bCs/>
          <w:noProof/>
        </w:rPr>
      </w:pPr>
    </w:p>
    <w:p w14:paraId="172AD751" w14:textId="7144B576" w:rsidR="00B41E3C" w:rsidRDefault="006D62B7" w:rsidP="008C767A">
      <w:pPr>
        <w:pBdr>
          <w:top w:val="nil"/>
          <w:left w:val="nil"/>
          <w:bottom w:val="nil"/>
          <w:right w:val="nil"/>
          <w:between w:val="nil"/>
          <w:bar w:val="nil"/>
        </w:pBdr>
        <w:jc w:val="both"/>
        <w:rPr>
          <w:rFonts w:ascii="Arial" w:hAnsi="Arial" w:cs="Arial"/>
          <w:noProof/>
        </w:rPr>
      </w:pPr>
      <w:r w:rsidRPr="00E42A9F">
        <w:rPr>
          <w:rFonts w:ascii="Arial" w:hAnsi="Arial" w:cs="Arial"/>
          <w:noProof/>
        </w:rPr>
        <w:t>Článek 15 se zabývá přístupem k informacím.</w:t>
      </w:r>
      <w:r w:rsidR="00340ABB" w:rsidRPr="00E42A9F">
        <w:rPr>
          <w:rFonts w:ascii="Arial" w:hAnsi="Arial" w:cs="Arial"/>
          <w:noProof/>
        </w:rPr>
        <w:t>Odstavec 1 vyžaduje, aby poskytovatelé zveřejnil</w:t>
      </w:r>
      <w:r w:rsidR="00887FE7" w:rsidRPr="00E42A9F">
        <w:rPr>
          <w:rFonts w:ascii="Arial" w:hAnsi="Arial" w:cs="Arial"/>
          <w:noProof/>
        </w:rPr>
        <w:t>i</w:t>
      </w:r>
      <w:r w:rsidR="00340ABB" w:rsidRPr="00E42A9F">
        <w:rPr>
          <w:rFonts w:ascii="Arial" w:hAnsi="Arial" w:cs="Arial"/>
          <w:noProof/>
        </w:rPr>
        <w:t xml:space="preserve"> informace v přístupném formátu. V rámci vyjednávání bude </w:t>
      </w:r>
      <w:r w:rsidR="00887FE7" w:rsidRPr="00E42A9F">
        <w:rPr>
          <w:rFonts w:ascii="Arial" w:hAnsi="Arial" w:cs="Arial"/>
          <w:noProof/>
        </w:rPr>
        <w:t xml:space="preserve">potřeba </w:t>
      </w:r>
      <w:r w:rsidR="00340ABB" w:rsidRPr="00E42A9F">
        <w:rPr>
          <w:rFonts w:ascii="Arial" w:hAnsi="Arial" w:cs="Arial"/>
          <w:noProof/>
        </w:rPr>
        <w:t>vyjasnit přesný rozsah této povinnosti</w:t>
      </w:r>
      <w:r w:rsidR="009D0CE5" w:rsidRPr="00E42A9F">
        <w:rPr>
          <w:rFonts w:ascii="Arial" w:hAnsi="Arial" w:cs="Arial"/>
          <w:noProof/>
        </w:rPr>
        <w:t xml:space="preserve"> a </w:t>
      </w:r>
      <w:r w:rsidR="00887FE7" w:rsidRPr="00E42A9F">
        <w:rPr>
          <w:rFonts w:ascii="Arial" w:hAnsi="Arial" w:cs="Arial"/>
          <w:noProof/>
        </w:rPr>
        <w:t xml:space="preserve">zvážit </w:t>
      </w:r>
      <w:r w:rsidR="009D0CE5" w:rsidRPr="00E42A9F">
        <w:rPr>
          <w:rFonts w:ascii="Arial" w:hAnsi="Arial" w:cs="Arial"/>
          <w:noProof/>
        </w:rPr>
        <w:t>případn</w:t>
      </w:r>
      <w:r w:rsidR="00887FE7" w:rsidRPr="00E42A9F">
        <w:rPr>
          <w:rFonts w:ascii="Arial" w:hAnsi="Arial" w:cs="Arial"/>
          <w:noProof/>
        </w:rPr>
        <w:t>ou</w:t>
      </w:r>
      <w:r w:rsidR="009D0CE5" w:rsidRPr="00E42A9F">
        <w:rPr>
          <w:rFonts w:ascii="Arial" w:hAnsi="Arial" w:cs="Arial"/>
          <w:noProof/>
        </w:rPr>
        <w:t xml:space="preserve"> úprav</w:t>
      </w:r>
      <w:r w:rsidR="00887FE7" w:rsidRPr="00E42A9F">
        <w:rPr>
          <w:rFonts w:ascii="Arial" w:hAnsi="Arial" w:cs="Arial"/>
          <w:noProof/>
        </w:rPr>
        <w:t>u</w:t>
      </w:r>
      <w:r w:rsidR="009D0CE5" w:rsidRPr="00E42A9F">
        <w:rPr>
          <w:rFonts w:ascii="Arial" w:hAnsi="Arial" w:cs="Arial"/>
          <w:noProof/>
        </w:rPr>
        <w:t xml:space="preserve"> textu</w:t>
      </w:r>
      <w:r w:rsidR="00340ABB" w:rsidRPr="00E42A9F">
        <w:rPr>
          <w:rFonts w:ascii="Arial" w:hAnsi="Arial" w:cs="Arial"/>
          <w:noProof/>
        </w:rPr>
        <w:t>; ex</w:t>
      </w:r>
      <w:r w:rsidR="0075411A" w:rsidRPr="00E42A9F">
        <w:rPr>
          <w:rFonts w:ascii="Arial" w:hAnsi="Arial" w:cs="Arial"/>
          <w:noProof/>
        </w:rPr>
        <w:t>tenzi</w:t>
      </w:r>
      <w:r w:rsidR="00340ABB" w:rsidRPr="00E42A9F">
        <w:rPr>
          <w:rFonts w:ascii="Arial" w:hAnsi="Arial" w:cs="Arial"/>
          <w:noProof/>
        </w:rPr>
        <w:t>vní povinnosti mohou odrazovat poskytovatele od</w:t>
      </w:r>
      <w:r w:rsidR="00EF5EE2">
        <w:rPr>
          <w:rFonts w:ascii="Arial" w:hAnsi="Arial" w:cs="Arial"/>
          <w:noProof/>
        </w:rPr>
        <w:t> </w:t>
      </w:r>
      <w:r w:rsidR="00340ABB" w:rsidRPr="00E42A9F">
        <w:rPr>
          <w:rFonts w:ascii="Arial" w:hAnsi="Arial" w:cs="Arial"/>
          <w:noProof/>
        </w:rPr>
        <w:t>dobrovolného zvýhodňování osob se zdravotním postižením.</w:t>
      </w:r>
    </w:p>
    <w:p w14:paraId="4E2999C9" w14:textId="77777777" w:rsidR="008C767A" w:rsidRPr="00E42A9F" w:rsidRDefault="008C767A" w:rsidP="008C767A">
      <w:pPr>
        <w:pBdr>
          <w:top w:val="nil"/>
          <w:left w:val="nil"/>
          <w:bottom w:val="nil"/>
          <w:right w:val="nil"/>
          <w:between w:val="nil"/>
          <w:bar w:val="nil"/>
        </w:pBdr>
        <w:jc w:val="both"/>
        <w:rPr>
          <w:rFonts w:ascii="Arial" w:hAnsi="Arial" w:cs="Arial"/>
          <w:noProof/>
        </w:rPr>
      </w:pPr>
    </w:p>
    <w:p w14:paraId="6B0AD28D" w14:textId="3155AFFD" w:rsidR="00FB47FB" w:rsidRPr="00C3033E" w:rsidRDefault="00340ABB" w:rsidP="008C767A">
      <w:pPr>
        <w:pBdr>
          <w:top w:val="nil"/>
          <w:left w:val="nil"/>
          <w:bottom w:val="nil"/>
          <w:right w:val="nil"/>
          <w:between w:val="nil"/>
          <w:bar w:val="nil"/>
        </w:pBdr>
        <w:jc w:val="both"/>
        <w:rPr>
          <w:rFonts w:ascii="Arial" w:hAnsi="Arial" w:cs="Arial"/>
          <w:noProof/>
        </w:rPr>
      </w:pPr>
      <w:r w:rsidRPr="00E42A9F">
        <w:rPr>
          <w:rFonts w:ascii="Arial" w:hAnsi="Arial" w:cs="Arial"/>
          <w:noProof/>
        </w:rPr>
        <w:t>Odstavec 2 stanoví, že ČS mají podporovat poskytovatele, aby dobrovolně poskytoval</w:t>
      </w:r>
      <w:r w:rsidR="00887FE7" w:rsidRPr="00E42A9F">
        <w:rPr>
          <w:rFonts w:ascii="Arial" w:hAnsi="Arial" w:cs="Arial"/>
          <w:noProof/>
        </w:rPr>
        <w:t>i</w:t>
      </w:r>
      <w:r w:rsidRPr="00E42A9F">
        <w:rPr>
          <w:rFonts w:ascii="Arial" w:hAnsi="Arial" w:cs="Arial"/>
          <w:noProof/>
        </w:rPr>
        <w:t xml:space="preserve"> osobám se zdravotním postižením preferenční zacházení. Není jasné, jaká forma podpory se na straně ČS předpokládá, bude usilováno o vyjasnění</w:t>
      </w:r>
      <w:r w:rsidR="00887FE7" w:rsidRPr="00E42A9F">
        <w:rPr>
          <w:rFonts w:ascii="Arial" w:hAnsi="Arial" w:cs="Arial"/>
          <w:noProof/>
        </w:rPr>
        <w:t xml:space="preserve"> tohoto</w:t>
      </w:r>
      <w:r w:rsidRPr="00E42A9F">
        <w:rPr>
          <w:rFonts w:ascii="Arial" w:hAnsi="Arial" w:cs="Arial"/>
          <w:noProof/>
        </w:rPr>
        <w:t xml:space="preserve"> ustanovení</w:t>
      </w:r>
      <w:r w:rsidR="0075411A" w:rsidRPr="00EF5EE2">
        <w:rPr>
          <w:rFonts w:ascii="Arial" w:hAnsi="Arial" w:cs="Arial"/>
          <w:noProof/>
        </w:rPr>
        <w:t>.</w:t>
      </w:r>
      <w:r w:rsidR="00887FE7" w:rsidRPr="00EF5EE2">
        <w:rPr>
          <w:rFonts w:ascii="Arial" w:hAnsi="Arial" w:cs="Arial"/>
          <w:noProof/>
        </w:rPr>
        <w:t xml:space="preserve"> </w:t>
      </w:r>
      <w:r w:rsidR="0052519F" w:rsidRPr="00C3033E">
        <w:rPr>
          <w:rFonts w:ascii="Arial" w:hAnsi="Arial" w:cs="Arial"/>
          <w:noProof/>
        </w:rPr>
        <w:t xml:space="preserve">ČR </w:t>
      </w:r>
      <w:r w:rsidR="00887FE7" w:rsidRPr="00C3033E">
        <w:rPr>
          <w:rFonts w:ascii="Arial" w:hAnsi="Arial" w:cs="Arial"/>
          <w:noProof/>
        </w:rPr>
        <w:t xml:space="preserve">již tento závazek </w:t>
      </w:r>
      <w:r w:rsidR="007F71BB" w:rsidRPr="00C3033E">
        <w:rPr>
          <w:rFonts w:ascii="Arial" w:hAnsi="Arial" w:cs="Arial"/>
          <w:noProof/>
        </w:rPr>
        <w:t xml:space="preserve">teoreticky </w:t>
      </w:r>
      <w:r w:rsidR="0052519F" w:rsidRPr="00C3033E">
        <w:rPr>
          <w:rFonts w:ascii="Arial" w:hAnsi="Arial" w:cs="Arial"/>
          <w:noProof/>
        </w:rPr>
        <w:t>naplňuje</w:t>
      </w:r>
      <w:r w:rsidR="007F71BB" w:rsidRPr="00C3033E">
        <w:rPr>
          <w:rFonts w:ascii="Arial" w:hAnsi="Arial" w:cs="Arial"/>
          <w:noProof/>
        </w:rPr>
        <w:t xml:space="preserve">, avšak </w:t>
      </w:r>
      <w:r w:rsidR="0052519F" w:rsidRPr="00C3033E">
        <w:rPr>
          <w:rFonts w:ascii="Arial" w:hAnsi="Arial" w:cs="Arial"/>
          <w:noProof/>
        </w:rPr>
        <w:t>ne zcela vhodnou úpravou obsaženou v § 36 odst. 4 zákona o</w:t>
      </w:r>
      <w:r w:rsidR="00FB47FB" w:rsidRPr="00C3033E">
        <w:rPr>
          <w:rFonts w:ascii="Arial" w:hAnsi="Arial" w:cs="Arial"/>
          <w:noProof/>
        </w:rPr>
        <w:t> </w:t>
      </w:r>
      <w:r w:rsidR="0052519F" w:rsidRPr="00C3033E">
        <w:rPr>
          <w:rFonts w:ascii="Arial" w:hAnsi="Arial" w:cs="Arial"/>
          <w:noProof/>
        </w:rPr>
        <w:t>poskytování dávek osobám se zdravotním postižením, která</w:t>
      </w:r>
      <w:r w:rsidR="00B41E3C" w:rsidRPr="00C3033E">
        <w:rPr>
          <w:rFonts w:ascii="Arial" w:hAnsi="Arial" w:cs="Arial"/>
          <w:noProof/>
        </w:rPr>
        <w:t> </w:t>
      </w:r>
      <w:r w:rsidR="0052519F" w:rsidRPr="00C3033E">
        <w:rPr>
          <w:rFonts w:ascii="Arial" w:hAnsi="Arial" w:cs="Arial"/>
          <w:noProof/>
        </w:rPr>
        <w:t>stanoví, že</w:t>
      </w:r>
      <w:r w:rsidR="00FB47FB" w:rsidRPr="00C3033E">
        <w:rPr>
          <w:rFonts w:ascii="Arial" w:hAnsi="Arial" w:cs="Arial"/>
          <w:noProof/>
        </w:rPr>
        <w:t> </w:t>
      </w:r>
      <w:r w:rsidR="00FB47FB" w:rsidRPr="00C3033E">
        <w:rPr>
          <w:rFonts w:ascii="Arial" w:hAnsi="Arial" w:cs="Arial"/>
          <w:i/>
          <w:iCs/>
          <w:noProof/>
        </w:rPr>
        <w:t>o</w:t>
      </w:r>
      <w:r w:rsidR="0052519F" w:rsidRPr="00C3033E">
        <w:rPr>
          <w:rFonts w:ascii="Arial" w:hAnsi="Arial" w:cs="Arial"/>
          <w:i/>
          <w:iCs/>
          <w:noProof/>
        </w:rPr>
        <w:t>sobě, která</w:t>
      </w:r>
      <w:r w:rsidR="007F71BB" w:rsidRPr="00C3033E">
        <w:rPr>
          <w:rFonts w:ascii="Arial" w:hAnsi="Arial" w:cs="Arial"/>
          <w:i/>
          <w:iCs/>
          <w:noProof/>
        </w:rPr>
        <w:t> </w:t>
      </w:r>
      <w:r w:rsidR="0052519F" w:rsidRPr="00C3033E">
        <w:rPr>
          <w:rFonts w:ascii="Arial" w:hAnsi="Arial" w:cs="Arial"/>
          <w:i/>
          <w:iCs/>
          <w:noProof/>
        </w:rPr>
        <w:t>je držitelem průkazu ZTP nebo ZTP/P, a průvodci držitele pr</w:t>
      </w:r>
      <w:r w:rsidR="00383FD8" w:rsidRPr="00C3033E">
        <w:rPr>
          <w:rFonts w:ascii="Arial" w:hAnsi="Arial" w:cs="Arial"/>
          <w:i/>
          <w:iCs/>
          <w:noProof/>
        </w:rPr>
        <w:t xml:space="preserve">ůkazu </w:t>
      </w:r>
      <w:r w:rsidR="0052519F" w:rsidRPr="00C3033E">
        <w:rPr>
          <w:rFonts w:ascii="Arial" w:hAnsi="Arial" w:cs="Arial"/>
          <w:i/>
          <w:iCs/>
          <w:noProof/>
        </w:rPr>
        <w:t xml:space="preserve">ZTP/P, může být poskytnuta sleva ze vstupného na divadelní </w:t>
      </w:r>
      <w:r w:rsidR="0052519F" w:rsidRPr="00C3033E">
        <w:rPr>
          <w:rFonts w:ascii="Arial" w:hAnsi="Arial" w:cs="Arial"/>
          <w:i/>
          <w:iCs/>
          <w:noProof/>
        </w:rPr>
        <w:lastRenderedPageBreak/>
        <w:t>a</w:t>
      </w:r>
      <w:r w:rsidR="00B41E3C" w:rsidRPr="00C3033E">
        <w:rPr>
          <w:rFonts w:ascii="Arial" w:hAnsi="Arial" w:cs="Arial"/>
          <w:i/>
          <w:iCs/>
          <w:noProof/>
        </w:rPr>
        <w:t> </w:t>
      </w:r>
      <w:r w:rsidR="0052519F" w:rsidRPr="00C3033E">
        <w:rPr>
          <w:rFonts w:ascii="Arial" w:hAnsi="Arial" w:cs="Arial"/>
          <w:i/>
          <w:iCs/>
          <w:noProof/>
        </w:rPr>
        <w:t>filmová představení, koncerty a jiné kulturní a</w:t>
      </w:r>
      <w:r w:rsidR="00C2259C" w:rsidRPr="00C3033E">
        <w:rPr>
          <w:rFonts w:ascii="Arial" w:hAnsi="Arial" w:cs="Arial"/>
          <w:i/>
          <w:iCs/>
          <w:noProof/>
        </w:rPr>
        <w:t> </w:t>
      </w:r>
      <w:r w:rsidR="0052519F" w:rsidRPr="00C3033E">
        <w:rPr>
          <w:rFonts w:ascii="Arial" w:hAnsi="Arial" w:cs="Arial"/>
          <w:i/>
          <w:iCs/>
          <w:noProof/>
        </w:rPr>
        <w:t xml:space="preserve">sportovní akce. </w:t>
      </w:r>
      <w:r w:rsidR="008125A4" w:rsidRPr="00C3033E">
        <w:rPr>
          <w:rFonts w:ascii="Arial" w:hAnsi="Arial" w:cs="Arial"/>
          <w:noProof/>
        </w:rPr>
        <w:t xml:space="preserve">Uvedené ustanovení </w:t>
      </w:r>
      <w:r w:rsidR="00B41E3C" w:rsidRPr="00C3033E">
        <w:rPr>
          <w:rFonts w:ascii="Arial" w:hAnsi="Arial" w:cs="Arial"/>
          <w:noProof/>
        </w:rPr>
        <w:t xml:space="preserve">zákona o poskytování dávek osobám se zdravotním postižením </w:t>
      </w:r>
      <w:r w:rsidR="008125A4" w:rsidRPr="00C3033E">
        <w:rPr>
          <w:rFonts w:ascii="Arial" w:hAnsi="Arial" w:cs="Arial"/>
          <w:noProof/>
        </w:rPr>
        <w:t>má deklaratorní povahu</w:t>
      </w:r>
      <w:r w:rsidR="00B41E3C" w:rsidRPr="00C3033E">
        <w:rPr>
          <w:rFonts w:ascii="Arial" w:hAnsi="Arial" w:cs="Arial"/>
          <w:noProof/>
        </w:rPr>
        <w:t>. V</w:t>
      </w:r>
      <w:r w:rsidR="008125A4" w:rsidRPr="00C3033E">
        <w:rPr>
          <w:rFonts w:ascii="Arial" w:hAnsi="Arial" w:cs="Arial"/>
          <w:noProof/>
        </w:rPr>
        <w:t>zhledem k tomu, že</w:t>
      </w:r>
      <w:r w:rsidR="00C2259C" w:rsidRPr="00C3033E">
        <w:rPr>
          <w:rFonts w:ascii="Arial" w:hAnsi="Arial" w:cs="Arial"/>
          <w:noProof/>
        </w:rPr>
        <w:t> </w:t>
      </w:r>
      <w:r w:rsidR="008125A4" w:rsidRPr="00C3033E">
        <w:rPr>
          <w:rFonts w:ascii="Arial" w:hAnsi="Arial" w:cs="Arial"/>
          <w:noProof/>
        </w:rPr>
        <w:t>se zaměřuje na benefity na dobrovolné bázi, není důvodné omezení na</w:t>
      </w:r>
      <w:r w:rsidR="007F71BB" w:rsidRPr="00C3033E">
        <w:rPr>
          <w:rFonts w:ascii="Arial" w:hAnsi="Arial" w:cs="Arial"/>
          <w:noProof/>
        </w:rPr>
        <w:t> </w:t>
      </w:r>
      <w:r w:rsidR="008125A4" w:rsidRPr="00C3033E">
        <w:rPr>
          <w:rFonts w:ascii="Arial" w:hAnsi="Arial" w:cs="Arial"/>
          <w:noProof/>
        </w:rPr>
        <w:t>držitele průkazu ZTP a ZTP/P. Při transpozici směrnice</w:t>
      </w:r>
      <w:r w:rsidR="00887FE7" w:rsidRPr="00C3033E">
        <w:rPr>
          <w:rFonts w:ascii="Arial" w:hAnsi="Arial" w:cs="Arial"/>
          <w:noProof/>
        </w:rPr>
        <w:t xml:space="preserve"> bude</w:t>
      </w:r>
      <w:r w:rsidR="008125A4" w:rsidRPr="00C3033E">
        <w:rPr>
          <w:rFonts w:ascii="Arial" w:hAnsi="Arial" w:cs="Arial"/>
          <w:noProof/>
        </w:rPr>
        <w:t xml:space="preserve"> vhodné uvedené ustanovení zákona o poskytování dávek osobám se</w:t>
      </w:r>
      <w:r w:rsidR="00B41E3C" w:rsidRPr="00C3033E">
        <w:rPr>
          <w:rFonts w:ascii="Arial" w:hAnsi="Arial" w:cs="Arial"/>
          <w:noProof/>
        </w:rPr>
        <w:t> </w:t>
      </w:r>
      <w:r w:rsidR="008125A4" w:rsidRPr="00C3033E">
        <w:rPr>
          <w:rFonts w:ascii="Arial" w:hAnsi="Arial" w:cs="Arial"/>
          <w:noProof/>
        </w:rPr>
        <w:t xml:space="preserve">zdravotním postižením upravit </w:t>
      </w:r>
      <w:r w:rsidR="008938E7" w:rsidRPr="00C3033E">
        <w:rPr>
          <w:rFonts w:ascii="Arial" w:hAnsi="Arial" w:cs="Arial"/>
          <w:noProof/>
        </w:rPr>
        <w:t xml:space="preserve">nebo </w:t>
      </w:r>
      <w:r w:rsidR="008125A4" w:rsidRPr="00C3033E">
        <w:rPr>
          <w:rFonts w:ascii="Arial" w:hAnsi="Arial" w:cs="Arial"/>
          <w:noProof/>
        </w:rPr>
        <w:t>vypustit a</w:t>
      </w:r>
      <w:r w:rsidR="00C2259C" w:rsidRPr="00C3033E">
        <w:rPr>
          <w:rFonts w:ascii="Arial" w:hAnsi="Arial" w:cs="Arial"/>
          <w:noProof/>
        </w:rPr>
        <w:t> </w:t>
      </w:r>
      <w:r w:rsidR="008125A4" w:rsidRPr="00C3033E">
        <w:rPr>
          <w:rFonts w:ascii="Arial" w:hAnsi="Arial" w:cs="Arial"/>
          <w:noProof/>
        </w:rPr>
        <w:t>hledat jinou vhodnou formu „podpory“</w:t>
      </w:r>
      <w:r w:rsidR="008938E7" w:rsidRPr="00C3033E">
        <w:rPr>
          <w:rFonts w:ascii="Arial" w:hAnsi="Arial" w:cs="Arial"/>
          <w:noProof/>
        </w:rPr>
        <w:t>, resp.</w:t>
      </w:r>
      <w:r w:rsidR="00B41E3C" w:rsidRPr="00C3033E">
        <w:rPr>
          <w:rFonts w:ascii="Arial" w:hAnsi="Arial" w:cs="Arial"/>
          <w:noProof/>
        </w:rPr>
        <w:t> </w:t>
      </w:r>
      <w:r w:rsidR="008938E7" w:rsidRPr="00C3033E">
        <w:rPr>
          <w:rFonts w:ascii="Arial" w:hAnsi="Arial" w:cs="Arial"/>
          <w:noProof/>
        </w:rPr>
        <w:t>naplnění směrnice</w:t>
      </w:r>
      <w:r w:rsidR="008125A4" w:rsidRPr="00C3033E">
        <w:rPr>
          <w:rFonts w:ascii="Arial" w:hAnsi="Arial" w:cs="Arial"/>
          <w:noProof/>
        </w:rPr>
        <w:t xml:space="preserve"> (memoranda, oceňování v rámci soutěží apod.)</w:t>
      </w:r>
      <w:r w:rsidR="00EF5EE2">
        <w:rPr>
          <w:rFonts w:ascii="Arial" w:hAnsi="Arial" w:cs="Arial"/>
          <w:noProof/>
        </w:rPr>
        <w:t xml:space="preserve">. </w:t>
      </w:r>
      <w:r w:rsidR="008125A4" w:rsidRPr="00C3033E">
        <w:rPr>
          <w:rFonts w:ascii="Arial" w:hAnsi="Arial" w:cs="Arial"/>
          <w:noProof/>
        </w:rPr>
        <w:t xml:space="preserve"> </w:t>
      </w:r>
    </w:p>
    <w:p w14:paraId="19965BCC" w14:textId="77777777" w:rsidR="008C767A" w:rsidRDefault="008C767A" w:rsidP="008C767A">
      <w:pPr>
        <w:pBdr>
          <w:top w:val="nil"/>
          <w:left w:val="nil"/>
          <w:bottom w:val="nil"/>
          <w:right w:val="nil"/>
          <w:between w:val="nil"/>
          <w:bar w:val="nil"/>
        </w:pBdr>
        <w:jc w:val="both"/>
        <w:rPr>
          <w:rFonts w:ascii="Arial" w:hAnsi="Arial" w:cs="Arial"/>
          <w:b/>
          <w:bCs/>
          <w:noProof/>
        </w:rPr>
      </w:pPr>
    </w:p>
    <w:p w14:paraId="49365CAF" w14:textId="2CFDA457" w:rsidR="00B407A6" w:rsidRPr="00C3033E" w:rsidRDefault="00B407A6"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16</w:t>
      </w:r>
    </w:p>
    <w:p w14:paraId="56717251" w14:textId="77777777" w:rsidR="00887FE7" w:rsidRPr="00C3033E" w:rsidRDefault="00887FE7" w:rsidP="008C767A">
      <w:pPr>
        <w:pBdr>
          <w:top w:val="nil"/>
          <w:left w:val="nil"/>
          <w:bottom w:val="nil"/>
          <w:right w:val="nil"/>
          <w:between w:val="nil"/>
          <w:bar w:val="nil"/>
        </w:pBdr>
        <w:jc w:val="both"/>
        <w:rPr>
          <w:rFonts w:ascii="Arial" w:hAnsi="Arial" w:cs="Arial"/>
          <w:noProof/>
        </w:rPr>
      </w:pPr>
    </w:p>
    <w:p w14:paraId="6FD54040" w14:textId="2834B925" w:rsidR="00B407A6" w:rsidRPr="00C3033E" w:rsidRDefault="00B407A6"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 xml:space="preserve">Článek se zabývá podávání zpráv a přezkumem. ČR bude usilovat o vyjasnění, jaké údaje bude v této souvislosti </w:t>
      </w:r>
      <w:r w:rsidR="008C767A">
        <w:rPr>
          <w:rFonts w:ascii="Arial" w:hAnsi="Arial" w:cs="Arial"/>
          <w:noProof/>
        </w:rPr>
        <w:t xml:space="preserve">EK </w:t>
      </w:r>
      <w:r w:rsidRPr="00C3033E">
        <w:rPr>
          <w:rFonts w:ascii="Arial" w:hAnsi="Arial" w:cs="Arial"/>
          <w:noProof/>
        </w:rPr>
        <w:t>po ČS požadovat, příp. o modifikaci ustanovení tak, aby z něj pro ČS nevyplývala nadměrná administrativní zátěž.</w:t>
      </w:r>
    </w:p>
    <w:p w14:paraId="2B09DBA4" w14:textId="77777777" w:rsidR="009D0CE5" w:rsidRPr="00C3033E" w:rsidRDefault="009D0CE5" w:rsidP="008C767A">
      <w:pPr>
        <w:pBdr>
          <w:top w:val="nil"/>
          <w:left w:val="nil"/>
          <w:bottom w:val="nil"/>
          <w:right w:val="nil"/>
          <w:between w:val="nil"/>
          <w:bar w:val="nil"/>
        </w:pBdr>
        <w:jc w:val="both"/>
        <w:rPr>
          <w:rFonts w:ascii="Arial" w:hAnsi="Arial" w:cs="Arial"/>
          <w:noProof/>
        </w:rPr>
      </w:pPr>
    </w:p>
    <w:p w14:paraId="3B0C67B6" w14:textId="4FE2158D" w:rsidR="00FB47FB" w:rsidRPr="00C3033E" w:rsidRDefault="0036435F" w:rsidP="008C767A">
      <w:pPr>
        <w:pBdr>
          <w:top w:val="nil"/>
          <w:left w:val="nil"/>
          <w:bottom w:val="nil"/>
          <w:right w:val="nil"/>
          <w:between w:val="nil"/>
          <w:bar w:val="nil"/>
        </w:pBdr>
        <w:jc w:val="both"/>
        <w:rPr>
          <w:rFonts w:ascii="Arial" w:hAnsi="Arial" w:cs="Arial"/>
          <w:b/>
          <w:bCs/>
          <w:noProof/>
        </w:rPr>
      </w:pPr>
      <w:r w:rsidRPr="00C3033E">
        <w:rPr>
          <w:rFonts w:ascii="Arial" w:hAnsi="Arial" w:cs="Arial"/>
          <w:b/>
          <w:bCs/>
          <w:noProof/>
        </w:rPr>
        <w:t>Článek 17</w:t>
      </w:r>
    </w:p>
    <w:p w14:paraId="2F5D76D3" w14:textId="77777777" w:rsidR="00887FE7" w:rsidRPr="00C3033E" w:rsidRDefault="00887FE7" w:rsidP="008C767A">
      <w:pPr>
        <w:pBdr>
          <w:top w:val="nil"/>
          <w:left w:val="nil"/>
          <w:bottom w:val="nil"/>
          <w:right w:val="nil"/>
          <w:between w:val="nil"/>
          <w:bar w:val="nil"/>
        </w:pBdr>
        <w:jc w:val="both"/>
        <w:rPr>
          <w:rFonts w:ascii="Arial" w:hAnsi="Arial" w:cs="Arial"/>
          <w:noProof/>
        </w:rPr>
      </w:pPr>
    </w:p>
    <w:p w14:paraId="790DF156" w14:textId="400232A3" w:rsidR="0036435F" w:rsidRPr="00C3033E" w:rsidRDefault="0036435F" w:rsidP="008C767A">
      <w:pPr>
        <w:pBdr>
          <w:top w:val="nil"/>
          <w:left w:val="nil"/>
          <w:bottom w:val="nil"/>
          <w:right w:val="nil"/>
          <w:between w:val="nil"/>
          <w:bar w:val="nil"/>
        </w:pBdr>
        <w:jc w:val="both"/>
        <w:rPr>
          <w:rFonts w:ascii="Arial" w:hAnsi="Arial" w:cs="Arial"/>
        </w:rPr>
      </w:pPr>
      <w:r w:rsidRPr="00C3033E">
        <w:rPr>
          <w:rFonts w:ascii="Arial" w:hAnsi="Arial" w:cs="Arial"/>
          <w:noProof/>
        </w:rPr>
        <w:t xml:space="preserve">Článek stanoví, že doporučení Rady 98/376/ES se stává obsolentní ode dne použitelnosti směrnice. </w:t>
      </w:r>
      <w:r w:rsidR="00670C4F" w:rsidRPr="00C3033E">
        <w:rPr>
          <w:rFonts w:ascii="Arial" w:hAnsi="Arial" w:cs="Arial"/>
          <w:noProof/>
        </w:rPr>
        <w:t xml:space="preserve">ČR považuje </w:t>
      </w:r>
      <w:r w:rsidRPr="00C3033E">
        <w:rPr>
          <w:rFonts w:ascii="Arial" w:hAnsi="Arial" w:cs="Arial"/>
          <w:noProof/>
        </w:rPr>
        <w:t>za vhodné ustanovení vyjasnit po legislativně-technické stránce (zda je vhodné v legislativním textu ukončovat platnost právně nezávazného dokumentu).</w:t>
      </w:r>
    </w:p>
    <w:p w14:paraId="0BB4AED7" w14:textId="77777777" w:rsidR="0036435F" w:rsidRPr="00C3033E" w:rsidRDefault="0036435F" w:rsidP="008C767A">
      <w:pPr>
        <w:pBdr>
          <w:top w:val="nil"/>
          <w:left w:val="nil"/>
          <w:bottom w:val="nil"/>
          <w:right w:val="nil"/>
          <w:between w:val="nil"/>
          <w:bar w:val="nil"/>
        </w:pBdr>
        <w:jc w:val="both"/>
        <w:rPr>
          <w:rFonts w:ascii="Arial" w:hAnsi="Arial" w:cs="Arial"/>
          <w:noProof/>
        </w:rPr>
      </w:pPr>
    </w:p>
    <w:p w14:paraId="73A90C4C" w14:textId="61C86324" w:rsidR="00FB47FB" w:rsidRPr="00C3033E" w:rsidRDefault="005E4031" w:rsidP="008C767A">
      <w:pPr>
        <w:pBdr>
          <w:top w:val="nil"/>
          <w:left w:val="nil"/>
          <w:bottom w:val="nil"/>
          <w:right w:val="nil"/>
          <w:between w:val="nil"/>
          <w:bar w:val="nil"/>
        </w:pBdr>
        <w:jc w:val="both"/>
        <w:rPr>
          <w:rFonts w:ascii="Arial" w:hAnsi="Arial" w:cs="Arial"/>
          <w:noProof/>
        </w:rPr>
      </w:pPr>
      <w:r w:rsidRPr="00C3033E">
        <w:rPr>
          <w:rFonts w:ascii="Arial" w:hAnsi="Arial" w:cs="Arial"/>
          <w:b/>
          <w:bCs/>
          <w:noProof/>
        </w:rPr>
        <w:t xml:space="preserve">Článek 18 </w:t>
      </w:r>
    </w:p>
    <w:p w14:paraId="2053C2B6" w14:textId="77777777" w:rsidR="00FB47FB" w:rsidRPr="00C3033E" w:rsidRDefault="00FB47FB" w:rsidP="008C767A">
      <w:pPr>
        <w:pBdr>
          <w:top w:val="nil"/>
          <w:left w:val="nil"/>
          <w:bottom w:val="nil"/>
          <w:right w:val="nil"/>
          <w:between w:val="nil"/>
          <w:bar w:val="nil"/>
        </w:pBdr>
        <w:jc w:val="both"/>
        <w:rPr>
          <w:rFonts w:ascii="Arial" w:hAnsi="Arial" w:cs="Arial"/>
          <w:noProof/>
        </w:rPr>
      </w:pPr>
    </w:p>
    <w:p w14:paraId="1878C0D1" w14:textId="4F6EBFD9" w:rsidR="00AF39DB" w:rsidRPr="00C3033E" w:rsidRDefault="008125A4"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Článek 18 stanoví transpoziční a implementační lhůty. V obecné rovině lze chápat snahu o zavedení EDC a EPC v co nejkratší době. Současně je třeba respektovat reálné možnosti a délku legislativního procesu</w:t>
      </w:r>
      <w:r w:rsidR="002D04D4" w:rsidRPr="00C3033E">
        <w:rPr>
          <w:rFonts w:ascii="Arial" w:hAnsi="Arial" w:cs="Arial"/>
          <w:noProof/>
        </w:rPr>
        <w:t xml:space="preserve"> ČS</w:t>
      </w:r>
      <w:r w:rsidRPr="00C3033E">
        <w:rPr>
          <w:rFonts w:ascii="Arial" w:hAnsi="Arial" w:cs="Arial"/>
          <w:noProof/>
        </w:rPr>
        <w:t xml:space="preserve">. </w:t>
      </w:r>
      <w:r w:rsidR="005E4031" w:rsidRPr="00C3033E">
        <w:rPr>
          <w:rFonts w:ascii="Arial" w:hAnsi="Arial" w:cs="Arial"/>
          <w:noProof/>
        </w:rPr>
        <w:t xml:space="preserve">Transpoziční lhůta </w:t>
      </w:r>
      <w:r w:rsidR="005E4031" w:rsidRPr="008C767A">
        <w:rPr>
          <w:rFonts w:ascii="Arial" w:hAnsi="Arial" w:cs="Arial"/>
          <w:noProof/>
        </w:rPr>
        <w:t xml:space="preserve">18 </w:t>
      </w:r>
      <w:r w:rsidR="007F71BB" w:rsidRPr="008C767A">
        <w:rPr>
          <w:rFonts w:ascii="Arial" w:hAnsi="Arial" w:cs="Arial"/>
          <w:noProof/>
        </w:rPr>
        <w:t>měsíců</w:t>
      </w:r>
      <w:r w:rsidR="007F71BB" w:rsidRPr="00C3033E">
        <w:rPr>
          <w:rFonts w:ascii="Arial" w:hAnsi="Arial" w:cs="Arial"/>
          <w:noProof/>
        </w:rPr>
        <w:t xml:space="preserve"> </w:t>
      </w:r>
      <w:r w:rsidR="005E4031" w:rsidRPr="00C3033E">
        <w:rPr>
          <w:rFonts w:ascii="Arial" w:hAnsi="Arial" w:cs="Arial"/>
          <w:noProof/>
        </w:rPr>
        <w:t>se</w:t>
      </w:r>
      <w:r w:rsidR="007F71BB" w:rsidRPr="00C3033E">
        <w:rPr>
          <w:rFonts w:ascii="Arial" w:hAnsi="Arial" w:cs="Arial"/>
          <w:noProof/>
        </w:rPr>
        <w:t> </w:t>
      </w:r>
      <w:r w:rsidR="005E4031" w:rsidRPr="00C3033E">
        <w:rPr>
          <w:rFonts w:ascii="Arial" w:hAnsi="Arial" w:cs="Arial"/>
          <w:noProof/>
        </w:rPr>
        <w:t>jeví jako nepřiměřená</w:t>
      </w:r>
      <w:r w:rsidR="007F71BB" w:rsidRPr="00C3033E">
        <w:rPr>
          <w:rFonts w:ascii="Arial" w:hAnsi="Arial" w:cs="Arial"/>
          <w:noProof/>
        </w:rPr>
        <w:t xml:space="preserve"> (nedostatečná). </w:t>
      </w:r>
      <w:r w:rsidRPr="00C3033E">
        <w:rPr>
          <w:rFonts w:ascii="Arial" w:hAnsi="Arial" w:cs="Arial"/>
          <w:noProof/>
        </w:rPr>
        <w:t xml:space="preserve">Na základě zkušeností </w:t>
      </w:r>
      <w:r w:rsidR="0012123E" w:rsidRPr="00C3033E">
        <w:rPr>
          <w:rFonts w:ascii="Arial" w:hAnsi="Arial" w:cs="Arial"/>
          <w:noProof/>
        </w:rPr>
        <w:t>s</w:t>
      </w:r>
      <w:r w:rsidR="00FB47FB" w:rsidRPr="00C3033E">
        <w:rPr>
          <w:rFonts w:ascii="Arial" w:hAnsi="Arial" w:cs="Arial"/>
          <w:noProof/>
        </w:rPr>
        <w:t> </w:t>
      </w:r>
      <w:r w:rsidR="0012123E" w:rsidRPr="00C3033E">
        <w:rPr>
          <w:rFonts w:ascii="Arial" w:hAnsi="Arial" w:cs="Arial"/>
          <w:noProof/>
        </w:rPr>
        <w:t>transpozic</w:t>
      </w:r>
      <w:r w:rsidR="00FB47FB" w:rsidRPr="00C3033E">
        <w:rPr>
          <w:rFonts w:ascii="Arial" w:hAnsi="Arial" w:cs="Arial"/>
          <w:noProof/>
        </w:rPr>
        <w:t xml:space="preserve">emi </w:t>
      </w:r>
      <w:r w:rsidR="007F71BB" w:rsidRPr="00C3033E">
        <w:rPr>
          <w:rFonts w:ascii="Arial" w:hAnsi="Arial" w:cs="Arial"/>
          <w:noProof/>
        </w:rPr>
        <w:t xml:space="preserve">směrnic </w:t>
      </w:r>
      <w:r w:rsidR="0012123E" w:rsidRPr="00C3033E">
        <w:rPr>
          <w:rFonts w:ascii="Arial" w:hAnsi="Arial" w:cs="Arial"/>
          <w:noProof/>
        </w:rPr>
        <w:t>v posledním období, vliv</w:t>
      </w:r>
      <w:r w:rsidRPr="00C3033E">
        <w:rPr>
          <w:rFonts w:ascii="Arial" w:hAnsi="Arial" w:cs="Arial"/>
          <w:noProof/>
        </w:rPr>
        <w:t>em</w:t>
      </w:r>
      <w:r w:rsidR="0012123E" w:rsidRPr="00C3033E">
        <w:rPr>
          <w:rFonts w:ascii="Arial" w:hAnsi="Arial" w:cs="Arial"/>
          <w:noProof/>
        </w:rPr>
        <w:t xml:space="preserve"> volebního cyklu</w:t>
      </w:r>
      <w:r w:rsidR="00FB47FB" w:rsidRPr="00C3033E">
        <w:rPr>
          <w:rFonts w:ascii="Arial" w:hAnsi="Arial" w:cs="Arial"/>
          <w:noProof/>
        </w:rPr>
        <w:t xml:space="preserve"> a </w:t>
      </w:r>
      <w:r w:rsidRPr="00C3033E">
        <w:rPr>
          <w:rFonts w:ascii="Arial" w:hAnsi="Arial" w:cs="Arial"/>
          <w:noProof/>
        </w:rPr>
        <w:t xml:space="preserve">v kontextu </w:t>
      </w:r>
      <w:r w:rsidR="00FB47FB" w:rsidRPr="00C3033E">
        <w:rPr>
          <w:rFonts w:ascii="Arial" w:hAnsi="Arial" w:cs="Arial"/>
          <w:noProof/>
        </w:rPr>
        <w:t>některých připravovaných změn, které bude obtížné časově sladit s účinností směrnice</w:t>
      </w:r>
      <w:r w:rsidR="00887FE7" w:rsidRPr="00C3033E">
        <w:rPr>
          <w:rFonts w:ascii="Arial" w:hAnsi="Arial" w:cs="Arial"/>
          <w:noProof/>
        </w:rPr>
        <w:t xml:space="preserve"> (a</w:t>
      </w:r>
      <w:r w:rsidR="008C767A">
        <w:rPr>
          <w:rFonts w:ascii="Arial" w:hAnsi="Arial" w:cs="Arial"/>
          <w:noProof/>
        </w:rPr>
        <w:t> </w:t>
      </w:r>
      <w:r w:rsidRPr="00C3033E">
        <w:rPr>
          <w:rFonts w:ascii="Arial" w:hAnsi="Arial" w:cs="Arial"/>
          <w:noProof/>
        </w:rPr>
        <w:t xml:space="preserve">s ohledem na potřebu spolupráce </w:t>
      </w:r>
      <w:r w:rsidR="00E10BB6" w:rsidRPr="00C3033E">
        <w:rPr>
          <w:rFonts w:ascii="Arial" w:hAnsi="Arial" w:cs="Arial"/>
          <w:noProof/>
        </w:rPr>
        <w:t>téměř všech resortů</w:t>
      </w:r>
      <w:r w:rsidR="00887FE7" w:rsidRPr="00C3033E">
        <w:rPr>
          <w:rFonts w:ascii="Arial" w:hAnsi="Arial" w:cs="Arial"/>
          <w:noProof/>
        </w:rPr>
        <w:t>)</w:t>
      </w:r>
      <w:r w:rsidR="002D04D4" w:rsidRPr="00C3033E">
        <w:rPr>
          <w:rFonts w:ascii="Arial" w:hAnsi="Arial" w:cs="Arial"/>
          <w:noProof/>
        </w:rPr>
        <w:t xml:space="preserve"> </w:t>
      </w:r>
      <w:r w:rsidRPr="00C3033E">
        <w:rPr>
          <w:rFonts w:ascii="Arial" w:hAnsi="Arial" w:cs="Arial"/>
          <w:noProof/>
        </w:rPr>
        <w:t xml:space="preserve">má </w:t>
      </w:r>
      <w:r w:rsidR="00FB47FB" w:rsidRPr="00C3033E">
        <w:rPr>
          <w:rFonts w:ascii="Arial" w:hAnsi="Arial" w:cs="Arial"/>
          <w:noProof/>
        </w:rPr>
        <w:t>ČR má vážné obavy z</w:t>
      </w:r>
      <w:r w:rsidR="008C767A">
        <w:rPr>
          <w:rFonts w:ascii="Arial" w:hAnsi="Arial" w:cs="Arial"/>
          <w:noProof/>
        </w:rPr>
        <w:t> </w:t>
      </w:r>
      <w:r w:rsidR="00FB47FB" w:rsidRPr="00C3033E">
        <w:rPr>
          <w:rFonts w:ascii="Arial" w:hAnsi="Arial" w:cs="Arial"/>
          <w:noProof/>
        </w:rPr>
        <w:t>rizika</w:t>
      </w:r>
      <w:r w:rsidRPr="00C3033E">
        <w:rPr>
          <w:rFonts w:ascii="Arial" w:hAnsi="Arial" w:cs="Arial"/>
          <w:noProof/>
        </w:rPr>
        <w:t xml:space="preserve"> </w:t>
      </w:r>
      <w:r w:rsidR="00FB47FB" w:rsidRPr="00C3033E">
        <w:rPr>
          <w:rFonts w:ascii="Arial" w:hAnsi="Arial" w:cs="Arial"/>
          <w:noProof/>
        </w:rPr>
        <w:t>nedodržení</w:t>
      </w:r>
      <w:r w:rsidR="002D04D4" w:rsidRPr="00C3033E">
        <w:rPr>
          <w:rFonts w:ascii="Arial" w:hAnsi="Arial" w:cs="Arial"/>
          <w:noProof/>
        </w:rPr>
        <w:t xml:space="preserve"> navržené </w:t>
      </w:r>
      <w:r w:rsidR="007F71BB" w:rsidRPr="00C3033E">
        <w:rPr>
          <w:rFonts w:ascii="Arial" w:hAnsi="Arial" w:cs="Arial"/>
          <w:noProof/>
        </w:rPr>
        <w:t xml:space="preserve">transpoziční </w:t>
      </w:r>
      <w:r w:rsidR="002D04D4" w:rsidRPr="00C3033E">
        <w:rPr>
          <w:rFonts w:ascii="Arial" w:hAnsi="Arial" w:cs="Arial"/>
          <w:noProof/>
        </w:rPr>
        <w:t xml:space="preserve">lhůty </w:t>
      </w:r>
      <w:r w:rsidR="00FB47FB" w:rsidRPr="00C3033E">
        <w:rPr>
          <w:rFonts w:ascii="Arial" w:hAnsi="Arial" w:cs="Arial"/>
          <w:noProof/>
        </w:rPr>
        <w:t xml:space="preserve">a </w:t>
      </w:r>
      <w:r w:rsidRPr="00C3033E">
        <w:rPr>
          <w:rFonts w:ascii="Arial" w:hAnsi="Arial" w:cs="Arial"/>
          <w:noProof/>
        </w:rPr>
        <w:t xml:space="preserve">z tohoto vyplývajících následků. </w:t>
      </w:r>
      <w:r w:rsidRPr="008C767A">
        <w:rPr>
          <w:rFonts w:ascii="Arial" w:hAnsi="Arial" w:cs="Arial"/>
          <w:noProof/>
        </w:rPr>
        <w:t>ČR</w:t>
      </w:r>
      <w:r w:rsidR="007F71BB" w:rsidRPr="008C767A">
        <w:rPr>
          <w:rFonts w:ascii="Arial" w:hAnsi="Arial" w:cs="Arial"/>
          <w:noProof/>
        </w:rPr>
        <w:t> </w:t>
      </w:r>
      <w:r w:rsidRPr="008C767A">
        <w:rPr>
          <w:rFonts w:ascii="Arial" w:hAnsi="Arial" w:cs="Arial"/>
          <w:noProof/>
        </w:rPr>
        <w:t xml:space="preserve">bude usilovat </w:t>
      </w:r>
      <w:r w:rsidR="00FB47FB" w:rsidRPr="008C767A">
        <w:rPr>
          <w:rFonts w:ascii="Arial" w:hAnsi="Arial" w:cs="Arial"/>
          <w:noProof/>
        </w:rPr>
        <w:t xml:space="preserve">o prodloužení </w:t>
      </w:r>
      <w:r w:rsidR="00B41E3C" w:rsidRPr="008C767A">
        <w:rPr>
          <w:rFonts w:ascii="Arial" w:hAnsi="Arial" w:cs="Arial"/>
          <w:noProof/>
        </w:rPr>
        <w:t xml:space="preserve">transpoziční </w:t>
      </w:r>
      <w:r w:rsidR="00FB47FB" w:rsidRPr="008C767A">
        <w:rPr>
          <w:rFonts w:ascii="Arial" w:hAnsi="Arial" w:cs="Arial"/>
          <w:noProof/>
        </w:rPr>
        <w:t xml:space="preserve">lhůty na 24 měsíců. </w:t>
      </w:r>
      <w:r w:rsidRPr="008C767A">
        <w:rPr>
          <w:rFonts w:ascii="Arial" w:hAnsi="Arial" w:cs="Arial"/>
          <w:noProof/>
        </w:rPr>
        <w:t>Implementační</w:t>
      </w:r>
      <w:r w:rsidRPr="00C3033E">
        <w:rPr>
          <w:rFonts w:ascii="Arial" w:hAnsi="Arial" w:cs="Arial"/>
          <w:noProof/>
        </w:rPr>
        <w:t xml:space="preserve"> lhůta 30 měsíců se jeví jako dostačující. </w:t>
      </w:r>
    </w:p>
    <w:p w14:paraId="721E1E0C" w14:textId="7AAF8C41" w:rsidR="006E65CB" w:rsidRPr="00C3033E" w:rsidRDefault="006E65CB" w:rsidP="008C767A">
      <w:pPr>
        <w:pBdr>
          <w:top w:val="nil"/>
          <w:left w:val="nil"/>
          <w:bottom w:val="nil"/>
          <w:right w:val="nil"/>
          <w:between w:val="nil"/>
          <w:bar w:val="nil"/>
        </w:pBdr>
        <w:jc w:val="both"/>
        <w:rPr>
          <w:rFonts w:ascii="Arial" w:hAnsi="Arial" w:cs="Arial"/>
          <w:noProof/>
        </w:rPr>
      </w:pPr>
      <w:r w:rsidRPr="00C3033E">
        <w:rPr>
          <w:rFonts w:ascii="Arial" w:hAnsi="Arial" w:cs="Arial"/>
          <w:noProof/>
        </w:rPr>
        <w:t xml:space="preserve"> </w:t>
      </w:r>
    </w:p>
    <w:p w14:paraId="379352CD" w14:textId="106BFA07" w:rsidR="00C7555D" w:rsidRPr="00C3033E" w:rsidRDefault="008125A4" w:rsidP="008C767A">
      <w:pPr>
        <w:jc w:val="both"/>
        <w:rPr>
          <w:rFonts w:ascii="Arial" w:hAnsi="Arial" w:cs="Arial"/>
          <w:b/>
          <w:bCs/>
        </w:rPr>
      </w:pPr>
      <w:r w:rsidRPr="00C3033E">
        <w:rPr>
          <w:rFonts w:ascii="Arial" w:hAnsi="Arial" w:cs="Arial"/>
          <w:b/>
          <w:bCs/>
        </w:rPr>
        <w:t>Příloha I</w:t>
      </w:r>
    </w:p>
    <w:p w14:paraId="13232BCC" w14:textId="77777777" w:rsidR="00E10BB6" w:rsidRPr="00C3033E" w:rsidRDefault="00E10BB6" w:rsidP="008C767A">
      <w:pPr>
        <w:jc w:val="both"/>
        <w:rPr>
          <w:rFonts w:ascii="Arial" w:hAnsi="Arial" w:cs="Arial"/>
          <w:color w:val="FF0000"/>
        </w:rPr>
      </w:pPr>
    </w:p>
    <w:p w14:paraId="381C9F4C" w14:textId="46BA5866" w:rsidR="00EF5EE2" w:rsidRDefault="008125A4" w:rsidP="008C767A">
      <w:pPr>
        <w:jc w:val="both"/>
        <w:rPr>
          <w:rFonts w:ascii="Arial" w:hAnsi="Arial" w:cs="Arial"/>
        </w:rPr>
      </w:pPr>
      <w:r w:rsidRPr="00C3033E">
        <w:rPr>
          <w:rFonts w:ascii="Arial" w:hAnsi="Arial" w:cs="Arial"/>
        </w:rPr>
        <w:t xml:space="preserve">Příloha I specifikuje podobu EDC. </w:t>
      </w:r>
    </w:p>
    <w:p w14:paraId="75DE217C" w14:textId="77777777" w:rsidR="007B0EC2" w:rsidRDefault="007B0EC2" w:rsidP="008C767A">
      <w:pPr>
        <w:jc w:val="both"/>
        <w:rPr>
          <w:rFonts w:ascii="Arial" w:hAnsi="Arial" w:cs="Arial"/>
        </w:rPr>
      </w:pPr>
    </w:p>
    <w:p w14:paraId="635F8C13" w14:textId="77777777" w:rsidR="00EF5EE2" w:rsidRDefault="00887FE7" w:rsidP="008C767A">
      <w:pPr>
        <w:jc w:val="both"/>
        <w:rPr>
          <w:rFonts w:ascii="Arial" w:hAnsi="Arial" w:cs="Arial"/>
        </w:rPr>
      </w:pPr>
      <w:r w:rsidRPr="00C3033E">
        <w:rPr>
          <w:rFonts w:ascii="Arial" w:hAnsi="Arial" w:cs="Arial"/>
        </w:rPr>
        <w:t xml:space="preserve">Vyvstává otázka, zda by </w:t>
      </w:r>
      <w:r w:rsidR="008C4857" w:rsidRPr="00C3033E">
        <w:rPr>
          <w:rFonts w:ascii="Arial" w:hAnsi="Arial" w:cs="Arial"/>
        </w:rPr>
        <w:t>v</w:t>
      </w:r>
      <w:r w:rsidR="00E10BB6" w:rsidRPr="00C3033E">
        <w:rPr>
          <w:rFonts w:ascii="Arial" w:hAnsi="Arial" w:cs="Arial"/>
        </w:rPr>
        <w:t xml:space="preserve"> případě vydávání „průkazu“ jen v podobě EDC (tj. </w:t>
      </w:r>
      <w:r w:rsidR="008938E7" w:rsidRPr="00C3033E">
        <w:rPr>
          <w:rFonts w:ascii="Arial" w:hAnsi="Arial" w:cs="Arial"/>
        </w:rPr>
        <w:t xml:space="preserve">zániku </w:t>
      </w:r>
      <w:r w:rsidR="00E10BB6" w:rsidRPr="00C3033E">
        <w:rPr>
          <w:rFonts w:ascii="Arial" w:hAnsi="Arial" w:cs="Arial"/>
        </w:rPr>
        <w:t>podob</w:t>
      </w:r>
      <w:r w:rsidR="008938E7" w:rsidRPr="00C3033E">
        <w:rPr>
          <w:rFonts w:ascii="Arial" w:hAnsi="Arial" w:cs="Arial"/>
        </w:rPr>
        <w:t>y</w:t>
      </w:r>
      <w:r w:rsidR="00E10BB6" w:rsidRPr="00C3033E">
        <w:rPr>
          <w:rFonts w:ascii="Arial" w:hAnsi="Arial" w:cs="Arial"/>
        </w:rPr>
        <w:t xml:space="preserve"> průkazu upraven</w:t>
      </w:r>
      <w:r w:rsidR="008938E7" w:rsidRPr="00C3033E">
        <w:rPr>
          <w:rFonts w:ascii="Arial" w:hAnsi="Arial" w:cs="Arial"/>
        </w:rPr>
        <w:t>é</w:t>
      </w:r>
      <w:r w:rsidR="00E10BB6" w:rsidRPr="00C3033E">
        <w:rPr>
          <w:rFonts w:ascii="Arial" w:hAnsi="Arial" w:cs="Arial"/>
        </w:rPr>
        <w:t xml:space="preserve"> aktuálně zákonem o</w:t>
      </w:r>
      <w:r w:rsidR="008C4857" w:rsidRPr="00C3033E">
        <w:rPr>
          <w:rFonts w:ascii="Arial" w:hAnsi="Arial" w:cs="Arial"/>
        </w:rPr>
        <w:t> </w:t>
      </w:r>
      <w:r w:rsidR="00E10BB6" w:rsidRPr="00C3033E">
        <w:rPr>
          <w:rFonts w:ascii="Arial" w:hAnsi="Arial" w:cs="Arial"/>
        </w:rPr>
        <w:t>poskytování dávek osobám se</w:t>
      </w:r>
      <w:r w:rsidR="008938E7" w:rsidRPr="00C3033E">
        <w:rPr>
          <w:rFonts w:ascii="Arial" w:hAnsi="Arial" w:cs="Arial"/>
        </w:rPr>
        <w:t> </w:t>
      </w:r>
      <w:r w:rsidR="00E10BB6" w:rsidRPr="00C3033E">
        <w:rPr>
          <w:rFonts w:ascii="Arial" w:hAnsi="Arial" w:cs="Arial"/>
        </w:rPr>
        <w:t xml:space="preserve">zdravotním postižením a </w:t>
      </w:r>
      <w:r w:rsidR="00B41E3C" w:rsidRPr="00C3033E">
        <w:rPr>
          <w:rFonts w:ascii="Arial" w:hAnsi="Arial" w:cs="Arial"/>
        </w:rPr>
        <w:t xml:space="preserve">v </w:t>
      </w:r>
      <w:r w:rsidR="00E10BB6" w:rsidRPr="00C3033E">
        <w:rPr>
          <w:rFonts w:ascii="Arial" w:hAnsi="Arial" w:cs="Arial"/>
        </w:rPr>
        <w:t>jeho prováděcí vyhlášce) ČR na zadní straně uveřej</w:t>
      </w:r>
      <w:r w:rsidR="008938E7" w:rsidRPr="00C3033E">
        <w:rPr>
          <w:rFonts w:ascii="Arial" w:hAnsi="Arial" w:cs="Arial"/>
        </w:rPr>
        <w:t xml:space="preserve">ňovala </w:t>
      </w:r>
      <w:r w:rsidR="00E10BB6" w:rsidRPr="00C3033E">
        <w:rPr>
          <w:rFonts w:ascii="Arial" w:hAnsi="Arial" w:cs="Arial"/>
        </w:rPr>
        <w:t>ve svém národním jazyce národní informace vztahující se</w:t>
      </w:r>
      <w:r w:rsidR="008938E7" w:rsidRPr="00C3033E">
        <w:rPr>
          <w:rFonts w:ascii="Arial" w:hAnsi="Arial" w:cs="Arial"/>
        </w:rPr>
        <w:t> </w:t>
      </w:r>
      <w:r w:rsidR="00E10BB6" w:rsidRPr="00C3033E">
        <w:rPr>
          <w:rFonts w:ascii="Arial" w:hAnsi="Arial" w:cs="Arial"/>
        </w:rPr>
        <w:t>k vnitrostátnímu užití průkazu</w:t>
      </w:r>
      <w:r w:rsidR="008938E7" w:rsidRPr="00C3033E">
        <w:rPr>
          <w:rFonts w:ascii="Arial" w:hAnsi="Arial" w:cs="Arial"/>
        </w:rPr>
        <w:t xml:space="preserve">, </w:t>
      </w:r>
      <w:r w:rsidR="00E10BB6" w:rsidRPr="00C3033E">
        <w:rPr>
          <w:rFonts w:ascii="Arial" w:hAnsi="Arial" w:cs="Arial"/>
        </w:rPr>
        <w:t>tj. např. označení TP, ZTP a ZTP/P</w:t>
      </w:r>
      <w:r w:rsidR="008C4857" w:rsidRPr="00C3033E">
        <w:rPr>
          <w:rFonts w:ascii="Arial" w:hAnsi="Arial" w:cs="Arial"/>
        </w:rPr>
        <w:t xml:space="preserve"> (</w:t>
      </w:r>
      <w:r w:rsidR="00E10BB6" w:rsidRPr="00C3033E">
        <w:rPr>
          <w:rFonts w:ascii="Arial" w:hAnsi="Arial" w:cs="Arial"/>
        </w:rPr>
        <w:t>resp.</w:t>
      </w:r>
      <w:r w:rsidR="00EF5EE2">
        <w:rPr>
          <w:rFonts w:ascii="Arial" w:hAnsi="Arial" w:cs="Arial"/>
        </w:rPr>
        <w:t> </w:t>
      </w:r>
      <w:r w:rsidR="00E10BB6" w:rsidRPr="00C3033E">
        <w:rPr>
          <w:rFonts w:ascii="Arial" w:hAnsi="Arial" w:cs="Arial"/>
        </w:rPr>
        <w:t xml:space="preserve">potřebu průvodce bude </w:t>
      </w:r>
      <w:r w:rsidR="008C4857" w:rsidRPr="00C3033E">
        <w:rPr>
          <w:rFonts w:ascii="Arial" w:hAnsi="Arial" w:cs="Arial"/>
        </w:rPr>
        <w:t xml:space="preserve">současně </w:t>
      </w:r>
      <w:r w:rsidR="00E10BB6" w:rsidRPr="00C3033E">
        <w:rPr>
          <w:rFonts w:ascii="Arial" w:hAnsi="Arial" w:cs="Arial"/>
        </w:rPr>
        <w:t>signalizovat písm</w:t>
      </w:r>
      <w:r w:rsidR="008938E7" w:rsidRPr="00C3033E">
        <w:rPr>
          <w:rFonts w:ascii="Arial" w:hAnsi="Arial" w:cs="Arial"/>
        </w:rPr>
        <w:t xml:space="preserve">eno </w:t>
      </w:r>
      <w:r w:rsidR="00E10BB6" w:rsidRPr="00C3033E">
        <w:rPr>
          <w:rFonts w:ascii="Arial" w:hAnsi="Arial" w:cs="Arial"/>
        </w:rPr>
        <w:t>A na přední straně</w:t>
      </w:r>
      <w:r w:rsidR="008C4857" w:rsidRPr="00C3033E">
        <w:rPr>
          <w:rFonts w:ascii="Arial" w:hAnsi="Arial" w:cs="Arial"/>
        </w:rPr>
        <w:t xml:space="preserve">); bude </w:t>
      </w:r>
      <w:r w:rsidR="00F41076" w:rsidRPr="00C3033E">
        <w:rPr>
          <w:rFonts w:ascii="Arial" w:hAnsi="Arial" w:cs="Arial"/>
        </w:rPr>
        <w:t xml:space="preserve">nutné rovněž </w:t>
      </w:r>
      <w:r w:rsidR="00E10BB6" w:rsidRPr="00C3033E">
        <w:rPr>
          <w:rFonts w:ascii="Arial" w:hAnsi="Arial" w:cs="Arial"/>
        </w:rPr>
        <w:t xml:space="preserve">zvážit </w:t>
      </w:r>
      <w:r w:rsidR="008C4857" w:rsidRPr="00C3033E">
        <w:rPr>
          <w:rFonts w:ascii="Arial" w:hAnsi="Arial" w:cs="Arial"/>
        </w:rPr>
        <w:t xml:space="preserve">i budoucí </w:t>
      </w:r>
      <w:r w:rsidR="00E10BB6" w:rsidRPr="00C3033E">
        <w:rPr>
          <w:rFonts w:ascii="Arial" w:hAnsi="Arial" w:cs="Arial"/>
        </w:rPr>
        <w:t>uvádění piktogramů</w:t>
      </w:r>
      <w:r w:rsidR="008C4857" w:rsidRPr="00C3033E">
        <w:rPr>
          <w:rFonts w:ascii="Arial" w:hAnsi="Arial" w:cs="Arial"/>
        </w:rPr>
        <w:t>.</w:t>
      </w:r>
      <w:r w:rsidR="00EF5EE2">
        <w:rPr>
          <w:rFonts w:ascii="Arial" w:hAnsi="Arial" w:cs="Arial"/>
        </w:rPr>
        <w:t xml:space="preserve"> </w:t>
      </w:r>
    </w:p>
    <w:p w14:paraId="4BC8FCBE" w14:textId="77777777" w:rsidR="00EF5EE2" w:rsidRDefault="00EF5EE2" w:rsidP="008C767A">
      <w:pPr>
        <w:jc w:val="both"/>
        <w:rPr>
          <w:rFonts w:ascii="Arial" w:hAnsi="Arial" w:cs="Arial"/>
        </w:rPr>
      </w:pPr>
    </w:p>
    <w:p w14:paraId="758CDFF8" w14:textId="638DA392" w:rsidR="00F41076" w:rsidRPr="00C3033E" w:rsidRDefault="00B07DB0" w:rsidP="008C767A">
      <w:pPr>
        <w:jc w:val="both"/>
        <w:rPr>
          <w:rFonts w:ascii="Arial" w:hAnsi="Arial" w:cs="Arial"/>
        </w:rPr>
      </w:pPr>
      <w:r w:rsidRPr="00C3033E">
        <w:rPr>
          <w:rFonts w:ascii="Arial" w:hAnsi="Arial" w:cs="Arial"/>
        </w:rPr>
        <w:t xml:space="preserve">ČR </w:t>
      </w:r>
      <w:r w:rsidR="00BF0670" w:rsidRPr="00C3033E">
        <w:rPr>
          <w:rFonts w:ascii="Arial" w:hAnsi="Arial" w:cs="Arial"/>
        </w:rPr>
        <w:t>bude usilovat o to</w:t>
      </w:r>
      <w:r w:rsidRPr="00C3033E">
        <w:rPr>
          <w:rFonts w:ascii="Arial" w:hAnsi="Arial" w:cs="Arial"/>
        </w:rPr>
        <w:t xml:space="preserve">, </w:t>
      </w:r>
      <w:r w:rsidR="00BF0670" w:rsidRPr="00C3033E">
        <w:rPr>
          <w:rFonts w:ascii="Arial" w:hAnsi="Arial" w:cs="Arial"/>
        </w:rPr>
        <w:t>aby</w:t>
      </w:r>
      <w:r w:rsidR="00EF5EE2">
        <w:rPr>
          <w:rFonts w:ascii="Arial" w:hAnsi="Arial" w:cs="Arial"/>
        </w:rPr>
        <w:t> </w:t>
      </w:r>
      <w:r w:rsidRPr="00C3033E">
        <w:rPr>
          <w:rFonts w:ascii="Arial" w:hAnsi="Arial" w:cs="Arial"/>
        </w:rPr>
        <w:t>ČS byla dána možnost uvést na zadní straně průkazu dodatečné/volitelné informace, aby</w:t>
      </w:r>
      <w:r w:rsidR="00EF5EE2">
        <w:rPr>
          <w:rFonts w:ascii="Arial" w:hAnsi="Arial" w:cs="Arial"/>
        </w:rPr>
        <w:t> </w:t>
      </w:r>
      <w:r w:rsidRPr="00C3033E">
        <w:rPr>
          <w:rFonts w:ascii="Arial" w:hAnsi="Arial" w:cs="Arial"/>
        </w:rPr>
        <w:t xml:space="preserve">případně mohla využít jednotný formát EDC, který </w:t>
      </w:r>
      <w:r w:rsidR="00BF0670" w:rsidRPr="00C3033E">
        <w:rPr>
          <w:rFonts w:ascii="Arial" w:hAnsi="Arial" w:cs="Arial"/>
        </w:rPr>
        <w:t xml:space="preserve">by </w:t>
      </w:r>
      <w:r w:rsidRPr="00C3033E">
        <w:rPr>
          <w:rFonts w:ascii="Arial" w:hAnsi="Arial" w:cs="Arial"/>
        </w:rPr>
        <w:t>byl nosičem dodatečných (vnitrostátně využitelných) informací (např. rozlišení TP, ZTP a ZTP/P</w:t>
      </w:r>
      <w:r w:rsidR="00C3033E" w:rsidRPr="00C3033E">
        <w:rPr>
          <w:rFonts w:ascii="Arial" w:hAnsi="Arial" w:cs="Arial"/>
        </w:rPr>
        <w:t>).</w:t>
      </w:r>
      <w:r w:rsidR="008C767A">
        <w:rPr>
          <w:rFonts w:ascii="Arial" w:hAnsi="Arial" w:cs="Arial"/>
        </w:rPr>
        <w:t xml:space="preserve"> </w:t>
      </w:r>
      <w:r w:rsidR="00F41076" w:rsidRPr="00C3033E">
        <w:rPr>
          <w:rFonts w:ascii="Arial" w:hAnsi="Arial" w:cs="Arial"/>
        </w:rPr>
        <w:t>Při</w:t>
      </w:r>
      <w:r w:rsidR="008C767A">
        <w:rPr>
          <w:rFonts w:ascii="Arial" w:hAnsi="Arial" w:cs="Arial"/>
        </w:rPr>
        <w:t> </w:t>
      </w:r>
      <w:r w:rsidR="00F41076" w:rsidRPr="00C3033E">
        <w:rPr>
          <w:rFonts w:ascii="Arial" w:hAnsi="Arial" w:cs="Arial"/>
        </w:rPr>
        <w:t xml:space="preserve">projednávání směrnice bude ČR rovněž usilovat o vyjasnění, zda i </w:t>
      </w:r>
      <w:r w:rsidR="00F41076" w:rsidRPr="00C3033E">
        <w:rPr>
          <w:rFonts w:ascii="Arial" w:hAnsi="Arial" w:cs="Arial"/>
        </w:rPr>
        <w:lastRenderedPageBreak/>
        <w:t>zadní strana může mít braillské prvky nebo tyto budou moci být z důvodů praktického užití jen na</w:t>
      </w:r>
      <w:r w:rsidR="008C767A">
        <w:rPr>
          <w:rFonts w:ascii="Arial" w:hAnsi="Arial" w:cs="Arial"/>
        </w:rPr>
        <w:t> </w:t>
      </w:r>
      <w:r w:rsidR="00F41076" w:rsidRPr="00C3033E">
        <w:rPr>
          <w:rFonts w:ascii="Arial" w:hAnsi="Arial" w:cs="Arial"/>
        </w:rPr>
        <w:t>přední straně.</w:t>
      </w:r>
      <w:r w:rsidR="00EF5EE2">
        <w:rPr>
          <w:rFonts w:ascii="Arial" w:hAnsi="Arial" w:cs="Arial"/>
        </w:rPr>
        <w:t xml:space="preserve"> Obecně bude usilovat o takovou podobu EDC, která nebude z hlediska výroby nepřiměřeně složitá a nákladná. </w:t>
      </w:r>
    </w:p>
    <w:p w14:paraId="45FC30FA" w14:textId="77777777" w:rsidR="00F41076" w:rsidRPr="00C3033E" w:rsidRDefault="00F41076" w:rsidP="008C767A">
      <w:pPr>
        <w:jc w:val="both"/>
        <w:rPr>
          <w:rFonts w:ascii="Arial" w:hAnsi="Arial" w:cs="Arial"/>
          <w:color w:val="FF0000"/>
        </w:rPr>
      </w:pPr>
    </w:p>
    <w:p w14:paraId="195EE695" w14:textId="1F73C683" w:rsidR="00901ABE" w:rsidRPr="00C3033E" w:rsidRDefault="00901ABE" w:rsidP="008C767A">
      <w:pPr>
        <w:jc w:val="both"/>
        <w:rPr>
          <w:rFonts w:ascii="Arial" w:hAnsi="Arial" w:cs="Arial"/>
          <w:b/>
          <w:bCs/>
        </w:rPr>
      </w:pPr>
      <w:r w:rsidRPr="00C3033E">
        <w:rPr>
          <w:rFonts w:ascii="Arial" w:hAnsi="Arial" w:cs="Arial"/>
          <w:b/>
          <w:bCs/>
        </w:rPr>
        <w:t>3) Dopad na právní řád ČR:</w:t>
      </w:r>
    </w:p>
    <w:p w14:paraId="11292A42" w14:textId="77777777" w:rsidR="00D50FE4" w:rsidRPr="00C3033E" w:rsidRDefault="00D50FE4" w:rsidP="008C767A">
      <w:pPr>
        <w:jc w:val="both"/>
        <w:rPr>
          <w:rFonts w:ascii="Arial" w:hAnsi="Arial" w:cs="Arial"/>
        </w:rPr>
      </w:pPr>
    </w:p>
    <w:p w14:paraId="68C0AD0E" w14:textId="57AC7F3E" w:rsidR="00E23F7F" w:rsidRPr="00C3033E" w:rsidRDefault="00E23F7F" w:rsidP="008C767A">
      <w:pPr>
        <w:jc w:val="both"/>
        <w:rPr>
          <w:rFonts w:ascii="Arial" w:hAnsi="Arial" w:cs="Arial"/>
          <w:i/>
          <w:iCs/>
          <w:color w:val="FF0000"/>
        </w:rPr>
      </w:pPr>
      <w:r w:rsidRPr="00C3033E">
        <w:rPr>
          <w:rFonts w:ascii="Arial" w:hAnsi="Arial" w:cs="Arial"/>
        </w:rPr>
        <w:t xml:space="preserve">Přijetí </w:t>
      </w:r>
      <w:r w:rsidR="000B736A" w:rsidRPr="00C3033E">
        <w:rPr>
          <w:rFonts w:ascii="Arial" w:hAnsi="Arial" w:cs="Arial"/>
        </w:rPr>
        <w:t xml:space="preserve">směrnice </w:t>
      </w:r>
      <w:r w:rsidR="001A6F86" w:rsidRPr="00C3033E">
        <w:rPr>
          <w:rFonts w:ascii="Arial" w:hAnsi="Arial" w:cs="Arial"/>
          <w:u w:val="single"/>
        </w:rPr>
        <w:t>bude mít</w:t>
      </w:r>
      <w:r w:rsidRPr="00C3033E">
        <w:rPr>
          <w:rFonts w:ascii="Arial" w:hAnsi="Arial" w:cs="Arial"/>
          <w:u w:val="single"/>
        </w:rPr>
        <w:t xml:space="preserve"> dopad na </w:t>
      </w:r>
      <w:r w:rsidR="00B124D2" w:rsidRPr="00C3033E">
        <w:rPr>
          <w:rFonts w:ascii="Arial" w:hAnsi="Arial" w:cs="Arial"/>
          <w:u w:val="single"/>
        </w:rPr>
        <w:t>vnitrostátní legislativu</w:t>
      </w:r>
      <w:r w:rsidR="00C7555D" w:rsidRPr="00C3033E">
        <w:rPr>
          <w:rFonts w:ascii="Arial" w:hAnsi="Arial" w:cs="Arial"/>
        </w:rPr>
        <w:t xml:space="preserve">. </w:t>
      </w:r>
      <w:r w:rsidR="006D2734" w:rsidRPr="00C3033E">
        <w:rPr>
          <w:rFonts w:ascii="Arial" w:hAnsi="Arial" w:cs="Arial"/>
        </w:rPr>
        <w:t xml:space="preserve">Předpokládá se její transpozice do </w:t>
      </w:r>
      <w:r w:rsidR="00C7555D" w:rsidRPr="00C3033E">
        <w:rPr>
          <w:rFonts w:ascii="Arial" w:hAnsi="Arial" w:cs="Arial"/>
        </w:rPr>
        <w:t>zákon</w:t>
      </w:r>
      <w:r w:rsidR="006D2734" w:rsidRPr="00C3033E">
        <w:rPr>
          <w:rFonts w:ascii="Arial" w:hAnsi="Arial" w:cs="Arial"/>
        </w:rPr>
        <w:t>a</w:t>
      </w:r>
      <w:r w:rsidR="00C7555D" w:rsidRPr="00C3033E">
        <w:rPr>
          <w:rFonts w:ascii="Arial" w:hAnsi="Arial" w:cs="Arial"/>
        </w:rPr>
        <w:t xml:space="preserve"> </w:t>
      </w:r>
      <w:r w:rsidR="00B124D2" w:rsidRPr="00C3033E">
        <w:rPr>
          <w:rFonts w:ascii="Arial" w:hAnsi="Arial" w:cs="Arial"/>
        </w:rPr>
        <w:t xml:space="preserve">o poskytování dávek osobám se zdravotním postižením </w:t>
      </w:r>
      <w:r w:rsidR="00FB47FB" w:rsidRPr="00C3033E">
        <w:rPr>
          <w:rFonts w:ascii="Arial" w:hAnsi="Arial" w:cs="Arial"/>
        </w:rPr>
        <w:t>a jeho prováděcí vyhlášk</w:t>
      </w:r>
      <w:r w:rsidR="006D2734" w:rsidRPr="00C3033E">
        <w:rPr>
          <w:rFonts w:ascii="Arial" w:hAnsi="Arial" w:cs="Arial"/>
        </w:rPr>
        <w:t>y</w:t>
      </w:r>
      <w:r w:rsidR="00FB47FB" w:rsidRPr="00C3033E">
        <w:rPr>
          <w:rFonts w:ascii="Arial" w:hAnsi="Arial" w:cs="Arial"/>
        </w:rPr>
        <w:t xml:space="preserve"> a zákon</w:t>
      </w:r>
      <w:r w:rsidR="006D2734" w:rsidRPr="00C3033E">
        <w:rPr>
          <w:rFonts w:ascii="Arial" w:hAnsi="Arial" w:cs="Arial"/>
        </w:rPr>
        <w:t>a</w:t>
      </w:r>
      <w:r w:rsidR="00FB47FB" w:rsidRPr="00C3033E">
        <w:rPr>
          <w:rFonts w:ascii="Arial" w:hAnsi="Arial" w:cs="Arial"/>
        </w:rPr>
        <w:t xml:space="preserve"> o provozu na pozemních komunikacích</w:t>
      </w:r>
      <w:r w:rsidR="00E10BB6" w:rsidRPr="00C3033E">
        <w:rPr>
          <w:rFonts w:ascii="Arial" w:hAnsi="Arial" w:cs="Arial"/>
        </w:rPr>
        <w:t xml:space="preserve"> a jeho prováděcí vyhlášky. </w:t>
      </w:r>
      <w:r w:rsidR="008125A4" w:rsidRPr="00C3033E">
        <w:rPr>
          <w:rFonts w:ascii="Arial" w:hAnsi="Arial" w:cs="Arial"/>
        </w:rPr>
        <w:t>Směrnice bude muset být transponována i do resortních předpisů upravujících benefity osobám se zdravotním postižením, které jsou navázány na</w:t>
      </w:r>
      <w:r w:rsidR="008C767A">
        <w:rPr>
          <w:rFonts w:ascii="Arial" w:hAnsi="Arial" w:cs="Arial"/>
        </w:rPr>
        <w:t> </w:t>
      </w:r>
      <w:r w:rsidR="008125A4" w:rsidRPr="00C3033E">
        <w:rPr>
          <w:rFonts w:ascii="Arial" w:hAnsi="Arial" w:cs="Arial"/>
        </w:rPr>
        <w:t>průkaz osoby se</w:t>
      </w:r>
      <w:r w:rsidR="00E10BB6" w:rsidRPr="00C3033E">
        <w:rPr>
          <w:rFonts w:ascii="Arial" w:hAnsi="Arial" w:cs="Arial"/>
        </w:rPr>
        <w:t> </w:t>
      </w:r>
      <w:r w:rsidR="008125A4" w:rsidRPr="00C3033E">
        <w:rPr>
          <w:rFonts w:ascii="Arial" w:hAnsi="Arial" w:cs="Arial"/>
        </w:rPr>
        <w:t>zdravotním postižením</w:t>
      </w:r>
      <w:r w:rsidR="00BC65DF" w:rsidRPr="00C3033E">
        <w:rPr>
          <w:rFonts w:ascii="Arial" w:hAnsi="Arial" w:cs="Arial"/>
        </w:rPr>
        <w:t xml:space="preserve"> či</w:t>
      </w:r>
      <w:r w:rsidR="00932750" w:rsidRPr="00C3033E">
        <w:rPr>
          <w:rFonts w:ascii="Arial" w:hAnsi="Arial" w:cs="Arial"/>
        </w:rPr>
        <w:t> </w:t>
      </w:r>
      <w:r w:rsidR="00BC65DF" w:rsidRPr="00C3033E">
        <w:rPr>
          <w:rFonts w:ascii="Arial" w:hAnsi="Arial" w:cs="Arial"/>
        </w:rPr>
        <w:t xml:space="preserve">parkovací průkaz osoby se zdravotním postižením </w:t>
      </w:r>
      <w:r w:rsidR="006D2734" w:rsidRPr="00C3033E">
        <w:rPr>
          <w:rFonts w:ascii="Arial" w:hAnsi="Arial" w:cs="Arial"/>
        </w:rPr>
        <w:t xml:space="preserve">(např. zákon o správních poplatcích, zákon o komunikačních systémech neslyšících a hluchoslepých osob, zákon o místních poplatcích). </w:t>
      </w:r>
    </w:p>
    <w:p w14:paraId="7B53A994" w14:textId="77777777" w:rsidR="00495AE2" w:rsidRPr="00C3033E" w:rsidRDefault="00495AE2" w:rsidP="008C767A">
      <w:pPr>
        <w:jc w:val="both"/>
        <w:rPr>
          <w:rFonts w:ascii="Arial" w:hAnsi="Arial" w:cs="Arial"/>
          <w:b/>
          <w:bCs/>
          <w:i/>
          <w:iCs/>
        </w:rPr>
      </w:pPr>
    </w:p>
    <w:p w14:paraId="3D39EA5A" w14:textId="4C0F2037" w:rsidR="00901ABE" w:rsidRPr="00C3033E" w:rsidRDefault="00901ABE" w:rsidP="008C767A">
      <w:pPr>
        <w:jc w:val="both"/>
        <w:rPr>
          <w:rFonts w:ascii="Arial" w:hAnsi="Arial" w:cs="Arial"/>
          <w:b/>
          <w:bCs/>
        </w:rPr>
      </w:pPr>
      <w:r w:rsidRPr="00C3033E">
        <w:rPr>
          <w:rFonts w:ascii="Arial" w:hAnsi="Arial" w:cs="Arial"/>
          <w:b/>
          <w:bCs/>
        </w:rPr>
        <w:t>4) Dopad na státní rozpočet:</w:t>
      </w:r>
    </w:p>
    <w:p w14:paraId="646CBD83" w14:textId="77777777" w:rsidR="00D50FE4" w:rsidRPr="00C3033E" w:rsidRDefault="00D50FE4" w:rsidP="008C767A">
      <w:pPr>
        <w:jc w:val="both"/>
        <w:rPr>
          <w:rFonts w:ascii="Arial" w:hAnsi="Arial" w:cs="Arial"/>
        </w:rPr>
      </w:pPr>
    </w:p>
    <w:p w14:paraId="023EFC1C" w14:textId="49576FDC" w:rsidR="00C7555D" w:rsidRPr="00C3033E" w:rsidRDefault="00B124D2" w:rsidP="008C767A">
      <w:pPr>
        <w:jc w:val="both"/>
        <w:rPr>
          <w:rFonts w:ascii="Arial" w:hAnsi="Arial" w:cs="Arial"/>
        </w:rPr>
      </w:pPr>
      <w:r w:rsidRPr="00C3033E">
        <w:rPr>
          <w:rFonts w:ascii="Arial" w:hAnsi="Arial" w:cs="Arial"/>
          <w:u w:val="single"/>
        </w:rPr>
        <w:t xml:space="preserve">Přijetí směrnice </w:t>
      </w:r>
      <w:r w:rsidR="00C7555D" w:rsidRPr="00C3033E">
        <w:rPr>
          <w:rFonts w:ascii="Arial" w:hAnsi="Arial" w:cs="Arial"/>
          <w:u w:val="single"/>
        </w:rPr>
        <w:t>si vyžádá nároky na státní rozpočet</w:t>
      </w:r>
      <w:r w:rsidR="00C7555D" w:rsidRPr="00C3033E">
        <w:rPr>
          <w:rFonts w:ascii="Arial" w:hAnsi="Arial" w:cs="Arial"/>
        </w:rPr>
        <w:t xml:space="preserve">. </w:t>
      </w:r>
      <w:r w:rsidR="00F948FE" w:rsidRPr="00C3033E">
        <w:rPr>
          <w:rFonts w:ascii="Arial" w:hAnsi="Arial" w:cs="Arial"/>
        </w:rPr>
        <w:t xml:space="preserve">V současné době je možné přiblížit </w:t>
      </w:r>
      <w:r w:rsidR="00932750" w:rsidRPr="00C3033E">
        <w:rPr>
          <w:rFonts w:ascii="Arial" w:hAnsi="Arial" w:cs="Arial"/>
        </w:rPr>
        <w:t xml:space="preserve">spíše jejich </w:t>
      </w:r>
      <w:r w:rsidR="00F948FE" w:rsidRPr="00C3033E">
        <w:rPr>
          <w:rFonts w:ascii="Arial" w:hAnsi="Arial" w:cs="Arial"/>
        </w:rPr>
        <w:t>charakter</w:t>
      </w:r>
      <w:r w:rsidR="00932750" w:rsidRPr="00C3033E">
        <w:rPr>
          <w:rFonts w:ascii="Arial" w:hAnsi="Arial" w:cs="Arial"/>
        </w:rPr>
        <w:t xml:space="preserve"> než výši. </w:t>
      </w:r>
    </w:p>
    <w:p w14:paraId="756D3D24" w14:textId="77777777" w:rsidR="00F948FE" w:rsidRPr="00C3033E" w:rsidRDefault="00F948FE" w:rsidP="008C767A">
      <w:pPr>
        <w:jc w:val="both"/>
        <w:rPr>
          <w:rFonts w:ascii="Arial" w:hAnsi="Arial" w:cs="Arial"/>
        </w:rPr>
      </w:pPr>
    </w:p>
    <w:p w14:paraId="554133F5" w14:textId="0F9A5574" w:rsidR="00C2259C" w:rsidRDefault="00C2259C" w:rsidP="008C767A">
      <w:pPr>
        <w:jc w:val="both"/>
        <w:rPr>
          <w:rFonts w:ascii="Arial" w:hAnsi="Arial" w:cs="Arial"/>
        </w:rPr>
      </w:pPr>
      <w:r w:rsidRPr="00C3033E">
        <w:rPr>
          <w:rFonts w:ascii="Arial" w:hAnsi="Arial" w:cs="Arial"/>
        </w:rPr>
        <w:t xml:space="preserve">Charakter </w:t>
      </w:r>
      <w:r w:rsidR="00E233CB" w:rsidRPr="00C3033E">
        <w:rPr>
          <w:rFonts w:ascii="Arial" w:hAnsi="Arial" w:cs="Arial"/>
        </w:rPr>
        <w:t xml:space="preserve">dopadů na nákladovou stranu rozpočtu: </w:t>
      </w:r>
      <w:r w:rsidRPr="00C3033E">
        <w:rPr>
          <w:rFonts w:ascii="Arial" w:hAnsi="Arial" w:cs="Arial"/>
        </w:rPr>
        <w:t xml:space="preserve"> </w:t>
      </w:r>
    </w:p>
    <w:p w14:paraId="2ECCF425" w14:textId="77777777" w:rsidR="008C767A" w:rsidRPr="00C3033E" w:rsidRDefault="008C767A" w:rsidP="008C767A">
      <w:pPr>
        <w:jc w:val="both"/>
        <w:rPr>
          <w:rFonts w:ascii="Arial" w:hAnsi="Arial" w:cs="Arial"/>
          <w:color w:val="FF0000"/>
        </w:rPr>
      </w:pPr>
    </w:p>
    <w:p w14:paraId="5D3D6778" w14:textId="29E5885A" w:rsidR="00C2259C" w:rsidRDefault="00C2259C" w:rsidP="008C767A">
      <w:pPr>
        <w:pStyle w:val="Odstavecseseznamem"/>
        <w:numPr>
          <w:ilvl w:val="0"/>
          <w:numId w:val="20"/>
        </w:numPr>
        <w:jc w:val="both"/>
        <w:rPr>
          <w:rFonts w:ascii="Arial" w:hAnsi="Arial" w:cs="Arial"/>
        </w:rPr>
      </w:pPr>
      <w:r w:rsidRPr="00C3033E">
        <w:rPr>
          <w:rFonts w:ascii="Arial" w:hAnsi="Arial" w:cs="Arial"/>
        </w:rPr>
        <w:t>Náklady na kampaň, uveřejňování informací</w:t>
      </w:r>
      <w:r w:rsidR="00E233CB" w:rsidRPr="00C3033E">
        <w:rPr>
          <w:rFonts w:ascii="Arial" w:hAnsi="Arial" w:cs="Arial"/>
        </w:rPr>
        <w:t>.</w:t>
      </w:r>
    </w:p>
    <w:p w14:paraId="65ACA5E2" w14:textId="77777777" w:rsidR="00097EC4" w:rsidRPr="00C3033E" w:rsidRDefault="00097EC4" w:rsidP="008C767A">
      <w:pPr>
        <w:pStyle w:val="Odstavecseseznamem"/>
        <w:jc w:val="both"/>
        <w:rPr>
          <w:rFonts w:ascii="Arial" w:hAnsi="Arial" w:cs="Arial"/>
        </w:rPr>
      </w:pPr>
    </w:p>
    <w:p w14:paraId="651FB040" w14:textId="2B64A9FE" w:rsidR="00F948FE" w:rsidRDefault="00C2259C" w:rsidP="008C767A">
      <w:pPr>
        <w:pStyle w:val="Odstavecseseznamem"/>
        <w:numPr>
          <w:ilvl w:val="0"/>
          <w:numId w:val="20"/>
        </w:numPr>
        <w:jc w:val="both"/>
        <w:rPr>
          <w:rFonts w:ascii="Arial" w:hAnsi="Arial" w:cs="Arial"/>
        </w:rPr>
      </w:pPr>
      <w:r w:rsidRPr="00C3033E">
        <w:rPr>
          <w:rFonts w:ascii="Arial" w:hAnsi="Arial" w:cs="Arial"/>
        </w:rPr>
        <w:t>Náklady na vydávání EDC</w:t>
      </w:r>
      <w:r w:rsidR="00F948FE" w:rsidRPr="00C3033E">
        <w:rPr>
          <w:rFonts w:ascii="Arial" w:hAnsi="Arial" w:cs="Arial"/>
        </w:rPr>
        <w:t xml:space="preserve"> a na zavedení „digitální formy“ EDC: </w:t>
      </w:r>
      <w:r w:rsidR="00E233CB" w:rsidRPr="00C3033E">
        <w:rPr>
          <w:rFonts w:ascii="Arial" w:hAnsi="Arial" w:cs="Arial"/>
        </w:rPr>
        <w:t>Tyto náklady budou ovlivněny tím, zda a kdy zanikne současná podoba daná zákonem o</w:t>
      </w:r>
      <w:r w:rsidR="008938E7" w:rsidRPr="00C3033E">
        <w:rPr>
          <w:rFonts w:ascii="Arial" w:hAnsi="Arial" w:cs="Arial"/>
        </w:rPr>
        <w:t> </w:t>
      </w:r>
      <w:r w:rsidR="00E233CB" w:rsidRPr="00C3033E">
        <w:rPr>
          <w:rFonts w:ascii="Arial" w:hAnsi="Arial" w:cs="Arial"/>
        </w:rPr>
        <w:t xml:space="preserve">poskytování dávek osobám se zdravotním postižením a jeho prováděcí vyhláškou, zda budou vydávány obě podoby průkazu apod. </w:t>
      </w:r>
      <w:r w:rsidR="008938E7" w:rsidRPr="00C3033E">
        <w:rPr>
          <w:rFonts w:ascii="Arial" w:hAnsi="Arial" w:cs="Arial"/>
        </w:rPr>
        <w:t>V dané souvislosti lze uvést, že s</w:t>
      </w:r>
      <w:r w:rsidR="00DF0834" w:rsidRPr="00C3033E">
        <w:rPr>
          <w:rFonts w:ascii="Arial" w:hAnsi="Arial" w:cs="Arial"/>
        </w:rPr>
        <w:t>mlouva mezi generálním ředitelstvím Úřadu práce ČR a Státní tiskárnou cenin stanovuje částku za vydání jednoho průkazu osoby se</w:t>
      </w:r>
      <w:r w:rsidR="008938E7" w:rsidRPr="00C3033E">
        <w:rPr>
          <w:rFonts w:ascii="Arial" w:hAnsi="Arial" w:cs="Arial"/>
        </w:rPr>
        <w:t> </w:t>
      </w:r>
      <w:r w:rsidR="00DF0834" w:rsidRPr="00C3033E">
        <w:rPr>
          <w:rFonts w:ascii="Arial" w:hAnsi="Arial" w:cs="Arial"/>
        </w:rPr>
        <w:t>zdravotním postižením a je koncipována do vyčerpání určité celkové částky. Ročně stojí výroba a distribuce průkazů osoby se zdravotním postižením cca</w:t>
      </w:r>
      <w:r w:rsidR="00B41E3C" w:rsidRPr="00C3033E">
        <w:rPr>
          <w:rFonts w:ascii="Arial" w:hAnsi="Arial" w:cs="Arial"/>
        </w:rPr>
        <w:t> </w:t>
      </w:r>
      <w:r w:rsidR="00DF0834" w:rsidRPr="00C3033E">
        <w:rPr>
          <w:rFonts w:ascii="Arial" w:hAnsi="Arial" w:cs="Arial"/>
        </w:rPr>
        <w:t>10 mil. Kč. Tuto částku mírně snižuje správní poplatek za vydání průkazu osoby se</w:t>
      </w:r>
      <w:r w:rsidR="00B41E3C" w:rsidRPr="00C3033E">
        <w:rPr>
          <w:rFonts w:ascii="Arial" w:hAnsi="Arial" w:cs="Arial"/>
        </w:rPr>
        <w:t> </w:t>
      </w:r>
      <w:r w:rsidR="00DF0834" w:rsidRPr="00C3033E">
        <w:rPr>
          <w:rFonts w:ascii="Arial" w:hAnsi="Arial" w:cs="Arial"/>
        </w:rPr>
        <w:t>zdravotním postižením (30 Kč, 200 Kč v případě zničení, ztráty apod.)</w:t>
      </w:r>
      <w:r w:rsidR="00DF0834" w:rsidRPr="00C3033E">
        <w:rPr>
          <w:rStyle w:val="Znakapoznpodarou"/>
          <w:rFonts w:ascii="Arial" w:hAnsi="Arial" w:cs="Arial"/>
        </w:rPr>
        <w:footnoteReference w:id="2"/>
      </w:r>
      <w:r w:rsidR="00DF0834" w:rsidRPr="00C3033E">
        <w:rPr>
          <w:rFonts w:ascii="Arial" w:hAnsi="Arial" w:cs="Arial"/>
        </w:rPr>
        <w:t xml:space="preserve">. </w:t>
      </w:r>
      <w:r w:rsidR="00F948FE" w:rsidRPr="00C3033E">
        <w:rPr>
          <w:rFonts w:ascii="Arial" w:hAnsi="Arial" w:cs="Arial"/>
        </w:rPr>
        <w:t>Smlouva bude muset být upravena v návaznosti na zavedení EDC. Pro digitální podobu</w:t>
      </w:r>
      <w:r w:rsidR="00E233CB" w:rsidRPr="00C3033E">
        <w:rPr>
          <w:rFonts w:ascii="Arial" w:hAnsi="Arial" w:cs="Arial"/>
        </w:rPr>
        <w:t xml:space="preserve">, o níž však zatím nejsou známy detaily, </w:t>
      </w:r>
      <w:r w:rsidR="00F948FE" w:rsidRPr="00C3033E">
        <w:rPr>
          <w:rFonts w:ascii="Arial" w:hAnsi="Arial" w:cs="Arial"/>
        </w:rPr>
        <w:t xml:space="preserve">se nabízí </w:t>
      </w:r>
      <w:r w:rsidR="00E233CB" w:rsidRPr="00C3033E">
        <w:rPr>
          <w:rFonts w:ascii="Arial" w:hAnsi="Arial" w:cs="Arial"/>
        </w:rPr>
        <w:t xml:space="preserve">úvahy o využití </w:t>
      </w:r>
      <w:r w:rsidR="00F948FE" w:rsidRPr="00C3033E">
        <w:rPr>
          <w:rFonts w:ascii="Arial" w:hAnsi="Arial" w:cs="Arial"/>
        </w:rPr>
        <w:t>synergie s připravovaným projektem Digitální informační agentury (</w:t>
      </w:r>
      <w:proofErr w:type="gramStart"/>
      <w:r w:rsidR="00F948FE" w:rsidRPr="00C3033E">
        <w:rPr>
          <w:rFonts w:ascii="Arial" w:hAnsi="Arial" w:cs="Arial"/>
        </w:rPr>
        <w:t>DIA)  </w:t>
      </w:r>
      <w:proofErr w:type="spellStart"/>
      <w:r w:rsidR="00F948FE" w:rsidRPr="00C3033E">
        <w:rPr>
          <w:rFonts w:ascii="Arial" w:hAnsi="Arial" w:cs="Arial"/>
        </w:rPr>
        <w:t>eDokladovka</w:t>
      </w:r>
      <w:proofErr w:type="spellEnd"/>
      <w:proofErr w:type="gramEnd"/>
      <w:r w:rsidR="00E233CB" w:rsidRPr="00C3033E">
        <w:rPr>
          <w:rFonts w:ascii="Arial" w:hAnsi="Arial" w:cs="Arial"/>
        </w:rPr>
        <w:t>, která o</w:t>
      </w:r>
      <w:r w:rsidR="00F948FE" w:rsidRPr="00C3033E">
        <w:rPr>
          <w:rFonts w:ascii="Arial" w:hAnsi="Arial" w:cs="Arial"/>
        </w:rPr>
        <w:t>bčanům umožní důvěryhodně prezentovat druhé osobě údaje o jejich dokladech vydaných veřejnou správou. Primárním uživatelským rozhraním bude aplikace pro mobilní zařízení, která nabídne občanovi možnost uložení, aktualizace a</w:t>
      </w:r>
      <w:r w:rsidR="00E233CB" w:rsidRPr="00C3033E">
        <w:rPr>
          <w:rFonts w:ascii="Arial" w:hAnsi="Arial" w:cs="Arial"/>
        </w:rPr>
        <w:t> </w:t>
      </w:r>
      <w:r w:rsidR="00F948FE" w:rsidRPr="00C3033E">
        <w:rPr>
          <w:rFonts w:ascii="Arial" w:hAnsi="Arial" w:cs="Arial"/>
        </w:rPr>
        <w:t>důvěryhodné prezentace údajů o</w:t>
      </w:r>
      <w:r w:rsidR="008938E7" w:rsidRPr="00C3033E">
        <w:rPr>
          <w:rFonts w:ascii="Arial" w:hAnsi="Arial" w:cs="Arial"/>
        </w:rPr>
        <w:t> </w:t>
      </w:r>
      <w:r w:rsidR="00F948FE" w:rsidRPr="00C3033E">
        <w:rPr>
          <w:rFonts w:ascii="Arial" w:hAnsi="Arial" w:cs="Arial"/>
        </w:rPr>
        <w:t>dokladech vydaných Č</w:t>
      </w:r>
      <w:r w:rsidR="00E233CB" w:rsidRPr="00C3033E">
        <w:rPr>
          <w:rFonts w:ascii="Arial" w:hAnsi="Arial" w:cs="Arial"/>
        </w:rPr>
        <w:t xml:space="preserve">R. </w:t>
      </w:r>
      <w:r w:rsidR="00F948FE" w:rsidRPr="00C3033E">
        <w:rPr>
          <w:rFonts w:ascii="Arial" w:hAnsi="Arial" w:cs="Arial"/>
        </w:rPr>
        <w:t xml:space="preserve"> Řešení </w:t>
      </w:r>
      <w:proofErr w:type="spellStart"/>
      <w:r w:rsidR="00F948FE" w:rsidRPr="00C3033E">
        <w:rPr>
          <w:rFonts w:ascii="Arial" w:hAnsi="Arial" w:cs="Arial"/>
        </w:rPr>
        <w:t>eDokladovka</w:t>
      </w:r>
      <w:proofErr w:type="spellEnd"/>
      <w:r w:rsidR="00F948FE" w:rsidRPr="00C3033E">
        <w:rPr>
          <w:rFonts w:ascii="Arial" w:hAnsi="Arial" w:cs="Arial"/>
        </w:rPr>
        <w:t xml:space="preserve"> bude splňovat požadavky na</w:t>
      </w:r>
      <w:r w:rsidR="008C4857" w:rsidRPr="00C3033E">
        <w:rPr>
          <w:rFonts w:ascii="Arial" w:hAnsi="Arial" w:cs="Arial"/>
        </w:rPr>
        <w:t> </w:t>
      </w:r>
      <w:r w:rsidR="00F948FE" w:rsidRPr="00C3033E">
        <w:rPr>
          <w:rFonts w:ascii="Arial" w:hAnsi="Arial" w:cs="Arial"/>
        </w:rPr>
        <w:t xml:space="preserve">ochranu osobních údajů a obecně </w:t>
      </w:r>
      <w:r w:rsidR="00B41E3C" w:rsidRPr="00C3033E">
        <w:rPr>
          <w:rFonts w:ascii="Arial" w:hAnsi="Arial" w:cs="Arial"/>
        </w:rPr>
        <w:t xml:space="preserve">na </w:t>
      </w:r>
      <w:r w:rsidR="00F948FE" w:rsidRPr="00C3033E">
        <w:rPr>
          <w:rFonts w:ascii="Arial" w:hAnsi="Arial" w:cs="Arial"/>
        </w:rPr>
        <w:t>zabezpečení dat požadovaných legislativou EU. Pokud bude v agendovém systému MPSV k dispozici „datový balík“ s</w:t>
      </w:r>
      <w:r w:rsidR="00E233CB" w:rsidRPr="00C3033E">
        <w:rPr>
          <w:rFonts w:ascii="Arial" w:hAnsi="Arial" w:cs="Arial"/>
        </w:rPr>
        <w:t xml:space="preserve"> potřebnými hodnotami, </w:t>
      </w:r>
      <w:r w:rsidR="00F948FE" w:rsidRPr="00C3033E">
        <w:rPr>
          <w:rFonts w:ascii="Arial" w:hAnsi="Arial" w:cs="Arial"/>
        </w:rPr>
        <w:t xml:space="preserve">budou náklady na zapojení do </w:t>
      </w:r>
      <w:proofErr w:type="spellStart"/>
      <w:r w:rsidR="00F948FE" w:rsidRPr="00C3033E">
        <w:rPr>
          <w:rFonts w:ascii="Arial" w:hAnsi="Arial" w:cs="Arial"/>
        </w:rPr>
        <w:t>eDokladovky</w:t>
      </w:r>
      <w:proofErr w:type="spellEnd"/>
      <w:r w:rsidR="00F948FE" w:rsidRPr="00C3033E">
        <w:rPr>
          <w:rFonts w:ascii="Arial" w:hAnsi="Arial" w:cs="Arial"/>
        </w:rPr>
        <w:t xml:space="preserve"> odpovídat odhadem nízkým jednotkám mil</w:t>
      </w:r>
      <w:r w:rsidR="00E233CB" w:rsidRPr="00C3033E">
        <w:rPr>
          <w:rFonts w:ascii="Arial" w:hAnsi="Arial" w:cs="Arial"/>
        </w:rPr>
        <w:t>. Kč. Transpozice směrnice do</w:t>
      </w:r>
      <w:r w:rsidR="008C4857" w:rsidRPr="00C3033E">
        <w:rPr>
          <w:rFonts w:ascii="Arial" w:hAnsi="Arial" w:cs="Arial"/>
        </w:rPr>
        <w:t> </w:t>
      </w:r>
      <w:r w:rsidR="00E233CB" w:rsidRPr="00C3033E">
        <w:rPr>
          <w:rFonts w:ascii="Arial" w:hAnsi="Arial" w:cs="Arial"/>
        </w:rPr>
        <w:t>zákona o</w:t>
      </w:r>
      <w:r w:rsidR="008938E7" w:rsidRPr="00C3033E">
        <w:rPr>
          <w:rFonts w:ascii="Arial" w:hAnsi="Arial" w:cs="Arial"/>
        </w:rPr>
        <w:t> </w:t>
      </w:r>
      <w:r w:rsidR="00E233CB" w:rsidRPr="00C3033E">
        <w:rPr>
          <w:rFonts w:ascii="Arial" w:hAnsi="Arial" w:cs="Arial"/>
        </w:rPr>
        <w:t xml:space="preserve">poskytování dávek osobám se zdravotním postižením si vyžádá rovněž změny aplikačního programu. </w:t>
      </w:r>
    </w:p>
    <w:p w14:paraId="4FDA3569" w14:textId="77777777" w:rsidR="00097EC4" w:rsidRPr="00C3033E" w:rsidRDefault="00097EC4" w:rsidP="008C767A">
      <w:pPr>
        <w:pStyle w:val="Odstavecseseznamem"/>
        <w:jc w:val="both"/>
        <w:rPr>
          <w:rFonts w:ascii="Arial" w:hAnsi="Arial" w:cs="Arial"/>
        </w:rPr>
      </w:pPr>
    </w:p>
    <w:p w14:paraId="2964DD06" w14:textId="013FE992" w:rsidR="00D211B9" w:rsidRDefault="00D211B9" w:rsidP="008C767A">
      <w:pPr>
        <w:pStyle w:val="Odstavecseseznamem"/>
        <w:numPr>
          <w:ilvl w:val="0"/>
          <w:numId w:val="20"/>
        </w:numPr>
        <w:jc w:val="both"/>
        <w:rPr>
          <w:rFonts w:ascii="Arial" w:hAnsi="Arial" w:cs="Arial"/>
        </w:rPr>
      </w:pPr>
      <w:r w:rsidRPr="00C3033E">
        <w:rPr>
          <w:rFonts w:ascii="Arial" w:hAnsi="Arial" w:cs="Arial"/>
        </w:rPr>
        <w:t xml:space="preserve">Předpokládá se zvýšení objemu kompenzace ztrát dopravců za poskytované slevy z ceny jízdného. </w:t>
      </w:r>
    </w:p>
    <w:p w14:paraId="0BF03326" w14:textId="77777777" w:rsidR="00097EC4" w:rsidRPr="00C3033E" w:rsidRDefault="00097EC4" w:rsidP="008C767A">
      <w:pPr>
        <w:pStyle w:val="Odstavecseseznamem"/>
        <w:jc w:val="both"/>
        <w:rPr>
          <w:rFonts w:ascii="Arial" w:hAnsi="Arial" w:cs="Arial"/>
        </w:rPr>
      </w:pPr>
    </w:p>
    <w:p w14:paraId="7CE02111" w14:textId="796817C5" w:rsidR="00F948FE" w:rsidRPr="00C3033E" w:rsidRDefault="00E233CB" w:rsidP="008C767A">
      <w:pPr>
        <w:pStyle w:val="Odstavecseseznamem"/>
        <w:numPr>
          <w:ilvl w:val="0"/>
          <w:numId w:val="20"/>
        </w:numPr>
        <w:jc w:val="both"/>
        <w:rPr>
          <w:rFonts w:ascii="Arial" w:hAnsi="Arial" w:cs="Arial"/>
        </w:rPr>
      </w:pPr>
      <w:r w:rsidRPr="00C3033E">
        <w:rPr>
          <w:rFonts w:ascii="Arial" w:hAnsi="Arial" w:cs="Arial"/>
        </w:rPr>
        <w:t xml:space="preserve">V případě EPC se jedná zejména o úpravu informačních systémů a jejich zajištění. Z technického pohledu bude </w:t>
      </w:r>
      <w:r w:rsidR="00430C19" w:rsidRPr="00C3033E">
        <w:rPr>
          <w:rFonts w:ascii="Arial" w:hAnsi="Arial" w:cs="Arial"/>
        </w:rPr>
        <w:t>třeba</w:t>
      </w:r>
      <w:r w:rsidRPr="00C3033E">
        <w:rPr>
          <w:rFonts w:ascii="Arial" w:hAnsi="Arial" w:cs="Arial"/>
        </w:rPr>
        <w:t xml:space="preserve"> zajisti</w:t>
      </w:r>
      <w:r w:rsidR="00430C19" w:rsidRPr="00C3033E">
        <w:rPr>
          <w:rFonts w:ascii="Arial" w:hAnsi="Arial" w:cs="Arial"/>
        </w:rPr>
        <w:t>t</w:t>
      </w:r>
      <w:r w:rsidRPr="00C3033E">
        <w:rPr>
          <w:rFonts w:ascii="Arial" w:hAnsi="Arial" w:cs="Arial"/>
        </w:rPr>
        <w:t xml:space="preserve"> rozšíření pří</w:t>
      </w:r>
      <w:r w:rsidR="00430C19" w:rsidRPr="00C3033E">
        <w:rPr>
          <w:rFonts w:ascii="Arial" w:hAnsi="Arial" w:cs="Arial"/>
        </w:rPr>
        <w:t xml:space="preserve">slušných informačních systémů (tj. informačního systému centrálního registru řidičů apod.). Pro celoevropskou výměnu informací by ČR preferovala využití stávajících informačních platforem (např. EUCARIS). </w:t>
      </w:r>
      <w:r w:rsidR="00F948FE" w:rsidRPr="00C3033E">
        <w:rPr>
          <w:rFonts w:ascii="Arial" w:hAnsi="Arial" w:cs="Arial"/>
        </w:rPr>
        <w:t xml:space="preserve">  </w:t>
      </w:r>
    </w:p>
    <w:p w14:paraId="28C3DC1E" w14:textId="2342DAE0" w:rsidR="00F948FE" w:rsidRPr="00C3033E" w:rsidRDefault="00F948FE" w:rsidP="008C767A">
      <w:pPr>
        <w:jc w:val="both"/>
        <w:rPr>
          <w:rFonts w:ascii="Arial" w:hAnsi="Arial" w:cs="Arial"/>
        </w:rPr>
      </w:pPr>
    </w:p>
    <w:p w14:paraId="56D37ABF" w14:textId="1975DE71" w:rsidR="00E233CB" w:rsidRPr="00C3033E" w:rsidRDefault="00430C19" w:rsidP="008C767A">
      <w:pPr>
        <w:jc w:val="both"/>
        <w:rPr>
          <w:rFonts w:ascii="Arial" w:hAnsi="Arial" w:cs="Arial"/>
        </w:rPr>
      </w:pPr>
      <w:r w:rsidRPr="00C3033E">
        <w:rPr>
          <w:rFonts w:ascii="Arial" w:hAnsi="Arial" w:cs="Arial"/>
        </w:rPr>
        <w:t xml:space="preserve">Směrnice bude mít i dopady na příjmovou stránku rozpočtu, která plyne ze snížení výběru poplatků za užití zpoplatněných komunikací apod. </w:t>
      </w:r>
      <w:r w:rsidR="00E233CB" w:rsidRPr="00C3033E">
        <w:rPr>
          <w:rFonts w:ascii="Arial" w:hAnsi="Arial" w:cs="Arial"/>
        </w:rPr>
        <w:t xml:space="preserve"> </w:t>
      </w:r>
    </w:p>
    <w:p w14:paraId="59E3679F" w14:textId="1694AE19" w:rsidR="00880C0B" w:rsidRPr="00C3033E" w:rsidRDefault="00880C0B" w:rsidP="008C767A">
      <w:pPr>
        <w:jc w:val="both"/>
        <w:rPr>
          <w:rFonts w:ascii="Arial" w:hAnsi="Arial" w:cs="Arial"/>
        </w:rPr>
      </w:pPr>
    </w:p>
    <w:p w14:paraId="60B15387" w14:textId="0196C668" w:rsidR="00495AE2" w:rsidRPr="00C3033E" w:rsidRDefault="00495AE2" w:rsidP="008C767A">
      <w:pPr>
        <w:jc w:val="both"/>
        <w:rPr>
          <w:rFonts w:ascii="Arial" w:hAnsi="Arial" w:cs="Arial"/>
          <w:b/>
          <w:bCs/>
        </w:rPr>
      </w:pPr>
    </w:p>
    <w:p w14:paraId="54E61737" w14:textId="539D9D88" w:rsidR="00901ABE" w:rsidRPr="00C3033E" w:rsidRDefault="00901ABE" w:rsidP="008C767A">
      <w:pPr>
        <w:jc w:val="both"/>
        <w:rPr>
          <w:rFonts w:ascii="Arial" w:hAnsi="Arial" w:cs="Arial"/>
          <w:b/>
          <w:bCs/>
        </w:rPr>
      </w:pPr>
      <w:r w:rsidRPr="00C3033E">
        <w:rPr>
          <w:rFonts w:ascii="Arial" w:hAnsi="Arial" w:cs="Arial"/>
          <w:b/>
          <w:bCs/>
        </w:rPr>
        <w:t xml:space="preserve">5) Další relevantní dopady </w:t>
      </w:r>
    </w:p>
    <w:p w14:paraId="2DCDC02D" w14:textId="77777777" w:rsidR="00D50FE4" w:rsidRPr="00C3033E" w:rsidRDefault="00D50FE4" w:rsidP="008C767A">
      <w:pPr>
        <w:jc w:val="both"/>
        <w:rPr>
          <w:rFonts w:ascii="Arial" w:hAnsi="Arial" w:cs="Arial"/>
        </w:rPr>
      </w:pPr>
    </w:p>
    <w:p w14:paraId="4560EC95" w14:textId="01BA1E77" w:rsidR="009D63BB" w:rsidRPr="00C3033E" w:rsidRDefault="00C2259C" w:rsidP="008C767A">
      <w:pPr>
        <w:jc w:val="both"/>
        <w:rPr>
          <w:rFonts w:ascii="Arial" w:hAnsi="Arial" w:cs="Arial"/>
        </w:rPr>
      </w:pPr>
      <w:r w:rsidRPr="00C3033E">
        <w:rPr>
          <w:rFonts w:ascii="Arial" w:hAnsi="Arial" w:cs="Arial"/>
        </w:rPr>
        <w:t>Zavedení EDC a EPC a jejich vzájemné uznávání má potenciál zvýšit podíl osob se zdravotním postižením, které cestují do jiných členských států. „</w:t>
      </w:r>
      <w:proofErr w:type="spellStart"/>
      <w:r w:rsidRPr="00C3033E">
        <w:rPr>
          <w:rFonts w:ascii="Arial" w:hAnsi="Arial" w:cs="Arial"/>
        </w:rPr>
        <w:t>Travel</w:t>
      </w:r>
      <w:proofErr w:type="spellEnd"/>
      <w:r w:rsidRPr="00C3033E">
        <w:rPr>
          <w:rFonts w:ascii="Arial" w:hAnsi="Arial" w:cs="Arial"/>
        </w:rPr>
        <w:t xml:space="preserve"> gap“ osob se zdravotním postižením oproti populaci bez postižení </w:t>
      </w:r>
      <w:r w:rsidR="00657E6D" w:rsidRPr="00C3033E">
        <w:rPr>
          <w:rFonts w:ascii="Arial" w:hAnsi="Arial" w:cs="Arial"/>
        </w:rPr>
        <w:t xml:space="preserve">však </w:t>
      </w:r>
      <w:r w:rsidRPr="00C3033E">
        <w:rPr>
          <w:rFonts w:ascii="Arial" w:hAnsi="Arial" w:cs="Arial"/>
        </w:rPr>
        <w:t xml:space="preserve">bude stále existovat. </w:t>
      </w:r>
      <w:r w:rsidR="00B124D2" w:rsidRPr="00C3033E">
        <w:rPr>
          <w:rFonts w:ascii="Arial" w:hAnsi="Arial" w:cs="Arial"/>
        </w:rPr>
        <w:t>S ohledem na atraktivitu ČR (významné kulturně-historické dědictví) a kupní sílu lze</w:t>
      </w:r>
      <w:r w:rsidR="00B41E3C" w:rsidRPr="00C3033E">
        <w:rPr>
          <w:rFonts w:ascii="Arial" w:hAnsi="Arial" w:cs="Arial"/>
        </w:rPr>
        <w:t> </w:t>
      </w:r>
      <w:r w:rsidR="00B124D2" w:rsidRPr="00C3033E">
        <w:rPr>
          <w:rFonts w:ascii="Arial" w:hAnsi="Arial" w:cs="Arial"/>
        </w:rPr>
        <w:t>předpokládat</w:t>
      </w:r>
      <w:r w:rsidR="00657E6D" w:rsidRPr="00C3033E">
        <w:rPr>
          <w:rFonts w:ascii="Arial" w:hAnsi="Arial" w:cs="Arial"/>
        </w:rPr>
        <w:t xml:space="preserve"> větší podíl držitelů EDC</w:t>
      </w:r>
      <w:r w:rsidR="00B41E3C" w:rsidRPr="00C3033E">
        <w:rPr>
          <w:rFonts w:ascii="Arial" w:hAnsi="Arial" w:cs="Arial"/>
        </w:rPr>
        <w:t xml:space="preserve"> a/nebo EPC</w:t>
      </w:r>
      <w:r w:rsidR="00657E6D" w:rsidRPr="00C3033E">
        <w:rPr>
          <w:rFonts w:ascii="Arial" w:hAnsi="Arial" w:cs="Arial"/>
        </w:rPr>
        <w:t>, které do ČR přicest</w:t>
      </w:r>
      <w:r w:rsidR="00B41E3C" w:rsidRPr="00C3033E">
        <w:rPr>
          <w:rFonts w:ascii="Arial" w:hAnsi="Arial" w:cs="Arial"/>
        </w:rPr>
        <w:t>ují</w:t>
      </w:r>
      <w:r w:rsidR="0026661A" w:rsidRPr="00C3033E">
        <w:rPr>
          <w:rFonts w:ascii="Arial" w:hAnsi="Arial" w:cs="Arial"/>
        </w:rPr>
        <w:t>,</w:t>
      </w:r>
      <w:r w:rsidR="00657E6D" w:rsidRPr="00C3033E">
        <w:rPr>
          <w:rFonts w:ascii="Arial" w:hAnsi="Arial" w:cs="Arial"/>
        </w:rPr>
        <w:t xml:space="preserve"> než</w:t>
      </w:r>
      <w:r w:rsidR="00B41E3C" w:rsidRPr="00C3033E">
        <w:rPr>
          <w:rFonts w:ascii="Arial" w:hAnsi="Arial" w:cs="Arial"/>
        </w:rPr>
        <w:t> </w:t>
      </w:r>
      <w:r w:rsidR="00657E6D" w:rsidRPr="00C3033E">
        <w:rPr>
          <w:rFonts w:ascii="Arial" w:hAnsi="Arial" w:cs="Arial"/>
        </w:rPr>
        <w:t xml:space="preserve">„českých“ držitelů </w:t>
      </w:r>
      <w:r w:rsidR="008938E7" w:rsidRPr="00C3033E">
        <w:rPr>
          <w:rFonts w:ascii="Arial" w:hAnsi="Arial" w:cs="Arial"/>
        </w:rPr>
        <w:t>u</w:t>
      </w:r>
      <w:r w:rsidR="0026661A" w:rsidRPr="00C3033E">
        <w:rPr>
          <w:rFonts w:ascii="Arial" w:hAnsi="Arial" w:cs="Arial"/>
        </w:rPr>
        <w:t>žívající</w:t>
      </w:r>
      <w:r w:rsidR="00B41E3C" w:rsidRPr="00C3033E">
        <w:rPr>
          <w:rFonts w:ascii="Arial" w:hAnsi="Arial" w:cs="Arial"/>
        </w:rPr>
        <w:t>ch</w:t>
      </w:r>
      <w:r w:rsidR="0026661A" w:rsidRPr="00C3033E">
        <w:rPr>
          <w:rFonts w:ascii="Arial" w:hAnsi="Arial" w:cs="Arial"/>
        </w:rPr>
        <w:t xml:space="preserve"> EDC </w:t>
      </w:r>
      <w:r w:rsidR="008938E7" w:rsidRPr="00C3033E">
        <w:rPr>
          <w:rFonts w:ascii="Arial" w:hAnsi="Arial" w:cs="Arial"/>
        </w:rPr>
        <w:t>a/nebo EPC v</w:t>
      </w:r>
      <w:r w:rsidR="0026661A" w:rsidRPr="00C3033E">
        <w:rPr>
          <w:rFonts w:ascii="Arial" w:hAnsi="Arial" w:cs="Arial"/>
        </w:rPr>
        <w:t> jiných ČS</w:t>
      </w:r>
      <w:r w:rsidR="00657E6D" w:rsidRPr="00C3033E">
        <w:rPr>
          <w:rFonts w:ascii="Arial" w:hAnsi="Arial" w:cs="Arial"/>
        </w:rPr>
        <w:t xml:space="preserve">. </w:t>
      </w:r>
    </w:p>
    <w:p w14:paraId="4B4A3D46" w14:textId="77777777" w:rsidR="009D63BB" w:rsidRPr="00C3033E" w:rsidRDefault="009D63BB" w:rsidP="008C767A">
      <w:pPr>
        <w:jc w:val="both"/>
        <w:rPr>
          <w:rFonts w:ascii="Arial" w:hAnsi="Arial" w:cs="Arial"/>
        </w:rPr>
      </w:pPr>
    </w:p>
    <w:p w14:paraId="3AD332DE" w14:textId="6F71D5A7" w:rsidR="00BC65DF" w:rsidRPr="00C3033E" w:rsidRDefault="008938E7" w:rsidP="008C767A">
      <w:pPr>
        <w:jc w:val="both"/>
        <w:rPr>
          <w:rFonts w:ascii="Arial" w:hAnsi="Arial" w:cs="Arial"/>
        </w:rPr>
      </w:pPr>
      <w:r w:rsidRPr="00C3033E">
        <w:rPr>
          <w:rFonts w:ascii="Arial" w:hAnsi="Arial" w:cs="Arial"/>
        </w:rPr>
        <w:t xml:space="preserve">Podnítí-li </w:t>
      </w:r>
      <w:r w:rsidR="006D2734" w:rsidRPr="00C3033E">
        <w:rPr>
          <w:rFonts w:ascii="Arial" w:hAnsi="Arial" w:cs="Arial"/>
        </w:rPr>
        <w:t xml:space="preserve">EDC </w:t>
      </w:r>
      <w:r w:rsidRPr="00C3033E">
        <w:rPr>
          <w:rFonts w:ascii="Arial" w:hAnsi="Arial" w:cs="Arial"/>
        </w:rPr>
        <w:t xml:space="preserve">a jeho vzájemné uznávání napříč EU cestování, </w:t>
      </w:r>
      <w:r w:rsidR="006D2734" w:rsidRPr="00C3033E">
        <w:rPr>
          <w:rFonts w:ascii="Arial" w:hAnsi="Arial" w:cs="Arial"/>
        </w:rPr>
        <w:t>může generovat příjem určitého segmentu (hotely, pohostinství)</w:t>
      </w:r>
      <w:r w:rsidRPr="00C3033E">
        <w:rPr>
          <w:rFonts w:ascii="Arial" w:hAnsi="Arial" w:cs="Arial"/>
        </w:rPr>
        <w:t xml:space="preserve">. Současně však může generovat </w:t>
      </w:r>
      <w:r w:rsidR="006D2734" w:rsidRPr="00C3033E">
        <w:rPr>
          <w:rFonts w:ascii="Arial" w:hAnsi="Arial" w:cs="Arial"/>
        </w:rPr>
        <w:t>snížení některých výnosů (ubytovací poplatek apod.) či zisků</w:t>
      </w:r>
      <w:r w:rsidRPr="00C3033E">
        <w:rPr>
          <w:rFonts w:ascii="Arial" w:hAnsi="Arial" w:cs="Arial"/>
        </w:rPr>
        <w:t xml:space="preserve"> oproti současnosti</w:t>
      </w:r>
      <w:r w:rsidR="006D2734" w:rsidRPr="00C3033E">
        <w:rPr>
          <w:rFonts w:ascii="Arial" w:hAnsi="Arial" w:cs="Arial"/>
        </w:rPr>
        <w:t xml:space="preserve">. </w:t>
      </w:r>
    </w:p>
    <w:p w14:paraId="39F478E8" w14:textId="77777777" w:rsidR="00BC65DF" w:rsidRPr="00C3033E" w:rsidRDefault="00BC65DF" w:rsidP="008C767A">
      <w:pPr>
        <w:jc w:val="both"/>
        <w:rPr>
          <w:rFonts w:ascii="Arial" w:hAnsi="Arial" w:cs="Arial"/>
        </w:rPr>
      </w:pPr>
    </w:p>
    <w:p w14:paraId="2D35ED30" w14:textId="134FCDF8" w:rsidR="00C746D2" w:rsidRPr="00C3033E" w:rsidRDefault="00B124D2" w:rsidP="008C767A">
      <w:pPr>
        <w:jc w:val="both"/>
        <w:rPr>
          <w:rFonts w:ascii="Arial" w:hAnsi="Arial" w:cs="Arial"/>
          <w:color w:val="FF0000"/>
        </w:rPr>
      </w:pPr>
      <w:r w:rsidRPr="00C3033E">
        <w:rPr>
          <w:rFonts w:ascii="Arial" w:hAnsi="Arial" w:cs="Arial"/>
        </w:rPr>
        <w:t>Nelze vyloučit, že</w:t>
      </w:r>
      <w:r w:rsidR="00C2259C" w:rsidRPr="00C3033E">
        <w:rPr>
          <w:rFonts w:ascii="Arial" w:hAnsi="Arial" w:cs="Arial"/>
        </w:rPr>
        <w:t> </w:t>
      </w:r>
      <w:r w:rsidR="00BC65DF" w:rsidRPr="00C3033E">
        <w:rPr>
          <w:rFonts w:ascii="Arial" w:hAnsi="Arial" w:cs="Arial"/>
        </w:rPr>
        <w:t xml:space="preserve">soukromé </w:t>
      </w:r>
      <w:r w:rsidRPr="00C3033E">
        <w:rPr>
          <w:rFonts w:ascii="Arial" w:hAnsi="Arial" w:cs="Arial"/>
        </w:rPr>
        <w:t xml:space="preserve">subjekty poskytující </w:t>
      </w:r>
      <w:r w:rsidR="00FB47FB" w:rsidRPr="00C3033E">
        <w:rPr>
          <w:rFonts w:ascii="Arial" w:hAnsi="Arial" w:cs="Arial"/>
        </w:rPr>
        <w:t>zvýhodněné podmínky na</w:t>
      </w:r>
      <w:r w:rsidR="0026661A" w:rsidRPr="00C3033E">
        <w:rPr>
          <w:rFonts w:ascii="Arial" w:hAnsi="Arial" w:cs="Arial"/>
        </w:rPr>
        <w:t> </w:t>
      </w:r>
      <w:r w:rsidR="00FB47FB" w:rsidRPr="00C3033E">
        <w:rPr>
          <w:rFonts w:ascii="Arial" w:hAnsi="Arial" w:cs="Arial"/>
        </w:rPr>
        <w:t xml:space="preserve">dobrovolné bází (typicky slevy na vstupném) mohou mít tendenci </w:t>
      </w:r>
      <w:r w:rsidR="00A97E49" w:rsidRPr="00C3033E">
        <w:rPr>
          <w:rFonts w:ascii="Arial" w:hAnsi="Arial" w:cs="Arial"/>
        </w:rPr>
        <w:t xml:space="preserve">zvýhodněné podmínky zrušit/omezit, popř. </w:t>
      </w:r>
      <w:r w:rsidR="00C746D2" w:rsidRPr="00C3033E">
        <w:rPr>
          <w:rFonts w:ascii="Arial" w:hAnsi="Arial" w:cs="Arial"/>
        </w:rPr>
        <w:t>zvýš</w:t>
      </w:r>
      <w:r w:rsidR="0026661A" w:rsidRPr="00C3033E">
        <w:rPr>
          <w:rFonts w:ascii="Arial" w:hAnsi="Arial" w:cs="Arial"/>
        </w:rPr>
        <w:t xml:space="preserve">it </w:t>
      </w:r>
      <w:r w:rsidR="00C746D2" w:rsidRPr="00C3033E">
        <w:rPr>
          <w:rFonts w:ascii="Arial" w:hAnsi="Arial" w:cs="Arial"/>
        </w:rPr>
        <w:t xml:space="preserve">ceny ostatním ve snaze vykompenzovat </w:t>
      </w:r>
      <w:r w:rsidR="00A97E49" w:rsidRPr="00C3033E">
        <w:rPr>
          <w:rFonts w:ascii="Arial" w:hAnsi="Arial" w:cs="Arial"/>
        </w:rPr>
        <w:t xml:space="preserve">povinné poskytování </w:t>
      </w:r>
      <w:r w:rsidR="00BC65DF" w:rsidRPr="00C3033E">
        <w:rPr>
          <w:rFonts w:ascii="Arial" w:hAnsi="Arial" w:cs="Arial"/>
        </w:rPr>
        <w:t xml:space="preserve">zvýhodnění </w:t>
      </w:r>
      <w:r w:rsidR="00A97E49" w:rsidRPr="00C3033E">
        <w:rPr>
          <w:rFonts w:ascii="Arial" w:hAnsi="Arial" w:cs="Arial"/>
        </w:rPr>
        <w:t>nejen držitelů</w:t>
      </w:r>
      <w:r w:rsidR="00BC65DF" w:rsidRPr="00C3033E">
        <w:rPr>
          <w:rFonts w:ascii="Arial" w:hAnsi="Arial" w:cs="Arial"/>
        </w:rPr>
        <w:t>m</w:t>
      </w:r>
      <w:r w:rsidR="00A97E49" w:rsidRPr="00C3033E">
        <w:rPr>
          <w:rFonts w:ascii="Arial" w:hAnsi="Arial" w:cs="Arial"/>
        </w:rPr>
        <w:t xml:space="preserve"> „národního průkazu“ ale </w:t>
      </w:r>
      <w:r w:rsidR="009D63BB" w:rsidRPr="00C3033E">
        <w:rPr>
          <w:rFonts w:ascii="Arial" w:hAnsi="Arial" w:cs="Arial"/>
        </w:rPr>
        <w:t xml:space="preserve">také </w:t>
      </w:r>
      <w:r w:rsidR="00D73A17" w:rsidRPr="00C3033E">
        <w:rPr>
          <w:rFonts w:ascii="Arial" w:hAnsi="Arial" w:cs="Arial"/>
        </w:rPr>
        <w:t xml:space="preserve">držitelům </w:t>
      </w:r>
      <w:r w:rsidR="00A97E49" w:rsidRPr="00C3033E">
        <w:rPr>
          <w:rFonts w:ascii="Arial" w:hAnsi="Arial" w:cs="Arial"/>
        </w:rPr>
        <w:t>EDC</w:t>
      </w:r>
      <w:r w:rsidR="008C767A">
        <w:rPr>
          <w:rFonts w:ascii="Arial" w:hAnsi="Arial" w:cs="Arial"/>
        </w:rPr>
        <w:t xml:space="preserve"> z jiných ČS</w:t>
      </w:r>
      <w:r w:rsidR="00BC65DF" w:rsidRPr="00C3033E">
        <w:rPr>
          <w:rFonts w:ascii="Arial" w:hAnsi="Arial" w:cs="Arial"/>
        </w:rPr>
        <w:t>.</w:t>
      </w:r>
      <w:r w:rsidR="008938E7" w:rsidRPr="00C3033E">
        <w:rPr>
          <w:rFonts w:ascii="Arial" w:hAnsi="Arial" w:cs="Arial"/>
        </w:rPr>
        <w:t xml:space="preserve"> Takto mohou postupovat i soukromé subjekty poskytující zvýhodněné podmínky na</w:t>
      </w:r>
      <w:r w:rsidR="00B41E3C" w:rsidRPr="00C3033E">
        <w:rPr>
          <w:rFonts w:ascii="Arial" w:hAnsi="Arial" w:cs="Arial"/>
        </w:rPr>
        <w:t> </w:t>
      </w:r>
      <w:r w:rsidR="008938E7" w:rsidRPr="00C3033E">
        <w:rPr>
          <w:rFonts w:ascii="Arial" w:hAnsi="Arial" w:cs="Arial"/>
        </w:rPr>
        <w:t xml:space="preserve">základě parkovacího průkazu. </w:t>
      </w:r>
      <w:r w:rsidR="0026661A" w:rsidRPr="00C3033E">
        <w:rPr>
          <w:rFonts w:ascii="Arial" w:hAnsi="Arial" w:cs="Arial"/>
        </w:rPr>
        <w:t>T</w:t>
      </w:r>
      <w:r w:rsidR="001D033E" w:rsidRPr="00C3033E">
        <w:rPr>
          <w:rFonts w:ascii="Arial" w:hAnsi="Arial" w:cs="Arial"/>
        </w:rPr>
        <w:t xml:space="preserve">o by mělo </w:t>
      </w:r>
      <w:r w:rsidR="0026661A" w:rsidRPr="00C3033E">
        <w:rPr>
          <w:rFonts w:ascii="Arial" w:hAnsi="Arial" w:cs="Arial"/>
        </w:rPr>
        <w:t xml:space="preserve">negativní dopad na osoby se zdravotním postižením </w:t>
      </w:r>
      <w:r w:rsidR="00BC65DF" w:rsidRPr="00C3033E">
        <w:rPr>
          <w:rFonts w:ascii="Arial" w:hAnsi="Arial" w:cs="Arial"/>
        </w:rPr>
        <w:t>a/nebo</w:t>
      </w:r>
      <w:r w:rsidR="0026661A" w:rsidRPr="00C3033E">
        <w:rPr>
          <w:rFonts w:ascii="Arial" w:hAnsi="Arial" w:cs="Arial"/>
        </w:rPr>
        <w:t xml:space="preserve"> na</w:t>
      </w:r>
      <w:r w:rsidR="00BC65DF" w:rsidRPr="00C3033E">
        <w:rPr>
          <w:rFonts w:ascii="Arial" w:hAnsi="Arial" w:cs="Arial"/>
        </w:rPr>
        <w:t> </w:t>
      </w:r>
      <w:r w:rsidR="0026661A" w:rsidRPr="00C3033E">
        <w:rPr>
          <w:rFonts w:ascii="Arial" w:hAnsi="Arial" w:cs="Arial"/>
        </w:rPr>
        <w:t xml:space="preserve">další (ohrožené) skupiny. </w:t>
      </w:r>
    </w:p>
    <w:p w14:paraId="0A40CCC6" w14:textId="1E73CD37" w:rsidR="00C746D2" w:rsidRDefault="00C746D2" w:rsidP="008C767A">
      <w:pPr>
        <w:jc w:val="both"/>
        <w:rPr>
          <w:rFonts w:ascii="Arial" w:hAnsi="Arial" w:cs="Arial"/>
        </w:rPr>
      </w:pPr>
    </w:p>
    <w:p w14:paraId="5EDB99A0" w14:textId="7E7425D6" w:rsidR="00901ABE" w:rsidRPr="00C3033E" w:rsidRDefault="00901ABE" w:rsidP="008C767A">
      <w:pPr>
        <w:jc w:val="both"/>
        <w:rPr>
          <w:rFonts w:ascii="Arial" w:hAnsi="Arial" w:cs="Arial"/>
          <w:b/>
          <w:bCs/>
        </w:rPr>
      </w:pPr>
      <w:r w:rsidRPr="00C3033E">
        <w:rPr>
          <w:rFonts w:ascii="Arial" w:hAnsi="Arial" w:cs="Arial"/>
          <w:b/>
          <w:bCs/>
        </w:rPr>
        <w:t>6) Pozice zástupců sociálních a hospodářských partnerů, zástupců samosprávy, nevládních organizací a případně dalších osob:</w:t>
      </w:r>
    </w:p>
    <w:p w14:paraId="081BA25F" w14:textId="77777777" w:rsidR="00D50FE4" w:rsidRPr="00C3033E" w:rsidRDefault="00D50FE4" w:rsidP="008C767A">
      <w:pPr>
        <w:jc w:val="both"/>
        <w:rPr>
          <w:rFonts w:ascii="Arial" w:hAnsi="Arial" w:cs="Arial"/>
        </w:rPr>
      </w:pPr>
    </w:p>
    <w:p w14:paraId="262B27BF" w14:textId="30952E4D" w:rsidR="00F41076" w:rsidRPr="00C3033E" w:rsidRDefault="00F41076" w:rsidP="008C767A">
      <w:pPr>
        <w:jc w:val="both"/>
        <w:rPr>
          <w:rFonts w:ascii="Arial" w:hAnsi="Arial" w:cs="Arial"/>
        </w:rPr>
      </w:pPr>
      <w:r w:rsidRPr="00097EC4">
        <w:rPr>
          <w:rFonts w:ascii="Arial" w:hAnsi="Arial" w:cs="Arial"/>
          <w:i/>
          <w:iCs/>
        </w:rPr>
        <w:t>Bude doplněno po projednání v rámci Resortní koordinační skupiny pro záležitosti EU MPSV.</w:t>
      </w:r>
      <w:r w:rsidRPr="00C3033E">
        <w:rPr>
          <w:rFonts w:ascii="Arial" w:hAnsi="Arial" w:cs="Arial"/>
        </w:rPr>
        <w:t xml:space="preserve"> </w:t>
      </w:r>
      <w:r w:rsidRPr="00C3033E">
        <w:rPr>
          <w:rFonts w:ascii="Arial" w:hAnsi="Arial" w:cs="Arial"/>
          <w:b/>
          <w:bCs/>
        </w:rPr>
        <w:t>Svaz průmyslu a dopravy ČR</w:t>
      </w:r>
      <w:r w:rsidRPr="00C3033E">
        <w:rPr>
          <w:rFonts w:ascii="Arial" w:hAnsi="Arial" w:cs="Arial"/>
        </w:rPr>
        <w:t xml:space="preserve"> </w:t>
      </w:r>
      <w:r w:rsidR="00097EC4">
        <w:rPr>
          <w:rFonts w:ascii="Arial" w:hAnsi="Arial" w:cs="Arial"/>
        </w:rPr>
        <w:t>j</w:t>
      </w:r>
      <w:r w:rsidR="00097EC4" w:rsidRPr="00C3033E">
        <w:rPr>
          <w:rFonts w:ascii="Arial" w:hAnsi="Arial" w:cs="Arial"/>
        </w:rPr>
        <w:t xml:space="preserve">ako jeden ze sociálních partnerů </w:t>
      </w:r>
      <w:r w:rsidRPr="00C3033E">
        <w:rPr>
          <w:rFonts w:ascii="Arial" w:hAnsi="Arial" w:cs="Arial"/>
        </w:rPr>
        <w:t xml:space="preserve">podporuje mobilitu a v té souvislosti i zavedení EDC.  </w:t>
      </w:r>
    </w:p>
    <w:p w14:paraId="5A8365BD" w14:textId="7975FD44" w:rsidR="006D2734" w:rsidRPr="00C3033E" w:rsidRDefault="006D2734" w:rsidP="008C767A">
      <w:pPr>
        <w:jc w:val="both"/>
        <w:rPr>
          <w:rFonts w:ascii="Arial" w:hAnsi="Arial" w:cs="Arial"/>
        </w:rPr>
      </w:pPr>
    </w:p>
    <w:p w14:paraId="50479B26" w14:textId="694D52FC" w:rsidR="00CE484E" w:rsidRPr="00C3033E" w:rsidRDefault="00CE484E" w:rsidP="008C767A">
      <w:pPr>
        <w:jc w:val="both"/>
        <w:rPr>
          <w:rFonts w:ascii="Arial" w:hAnsi="Arial" w:cs="Arial"/>
        </w:rPr>
      </w:pPr>
      <w:r w:rsidRPr="00C3033E">
        <w:rPr>
          <w:rFonts w:ascii="Arial" w:hAnsi="Arial" w:cs="Arial"/>
          <w:b/>
          <w:bCs/>
        </w:rPr>
        <w:t>N</w:t>
      </w:r>
      <w:r w:rsidR="00B41E3C" w:rsidRPr="00C3033E">
        <w:rPr>
          <w:rFonts w:ascii="Arial" w:hAnsi="Arial" w:cs="Arial"/>
          <w:b/>
          <w:bCs/>
        </w:rPr>
        <w:t xml:space="preserve">RZP </w:t>
      </w:r>
      <w:r w:rsidRPr="00C3033E">
        <w:rPr>
          <w:rFonts w:ascii="Arial" w:hAnsi="Arial" w:cs="Arial"/>
          <w:b/>
          <w:bCs/>
        </w:rPr>
        <w:t>ČR</w:t>
      </w:r>
      <w:r w:rsidRPr="00C3033E">
        <w:rPr>
          <w:rFonts w:ascii="Arial" w:hAnsi="Arial" w:cs="Arial"/>
        </w:rPr>
        <w:t xml:space="preserve"> </w:t>
      </w:r>
      <w:r w:rsidR="00FB2B1E" w:rsidRPr="00C3033E">
        <w:rPr>
          <w:rFonts w:ascii="Arial" w:hAnsi="Arial" w:cs="Arial"/>
        </w:rPr>
        <w:t>uvedla</w:t>
      </w:r>
      <w:r w:rsidRPr="00C3033E">
        <w:rPr>
          <w:rFonts w:ascii="Arial" w:hAnsi="Arial" w:cs="Arial"/>
        </w:rPr>
        <w:t>, že záměr zavést EDC, která by sloužila jako uznávaný doklad o</w:t>
      </w:r>
      <w:r w:rsidR="00B41E3C" w:rsidRPr="00C3033E">
        <w:rPr>
          <w:rFonts w:ascii="Arial" w:hAnsi="Arial" w:cs="Arial"/>
        </w:rPr>
        <w:t> </w:t>
      </w:r>
      <w:r w:rsidRPr="00C3033E">
        <w:rPr>
          <w:rFonts w:ascii="Arial" w:hAnsi="Arial" w:cs="Arial"/>
        </w:rPr>
        <w:t>zdravotním postižení v celé EU a kter</w:t>
      </w:r>
      <w:r w:rsidR="00657E6D" w:rsidRPr="00C3033E">
        <w:rPr>
          <w:rFonts w:ascii="Arial" w:hAnsi="Arial" w:cs="Arial"/>
        </w:rPr>
        <w:t xml:space="preserve">á </w:t>
      </w:r>
      <w:r w:rsidRPr="00C3033E">
        <w:rPr>
          <w:rFonts w:ascii="Arial" w:hAnsi="Arial" w:cs="Arial"/>
        </w:rPr>
        <w:t xml:space="preserve">by poskytla rovný přístup ke zvláštním podmínkám a preferenčnímu zacházení ve veřejných i soukromých službách, včetně dopravy, kulturních akcí, muzeí, rekreačních a sportovních center nebo zábavních parků, může být velmi přínosným. Současně však zdůraznila, že tomu </w:t>
      </w:r>
      <w:r w:rsidR="00FB2B1E" w:rsidRPr="00C3033E">
        <w:rPr>
          <w:rFonts w:ascii="Arial" w:hAnsi="Arial" w:cs="Arial"/>
        </w:rPr>
        <w:t xml:space="preserve">tak </w:t>
      </w:r>
      <w:r w:rsidRPr="00C3033E">
        <w:rPr>
          <w:rFonts w:ascii="Arial" w:hAnsi="Arial" w:cs="Arial"/>
        </w:rPr>
        <w:t>bude pouze v případě, že zavedení EDC nepovede k omezení nároků, které jsou v současné době spojené s průkazem osoby se zdravotním postižením v ČR, neboť tyto nároky jsou pro</w:t>
      </w:r>
      <w:r w:rsidR="00B41E3C" w:rsidRPr="00C3033E">
        <w:rPr>
          <w:rFonts w:ascii="Arial" w:hAnsi="Arial" w:cs="Arial"/>
        </w:rPr>
        <w:t> </w:t>
      </w:r>
      <w:r w:rsidRPr="00C3033E">
        <w:rPr>
          <w:rFonts w:ascii="Arial" w:hAnsi="Arial" w:cs="Arial"/>
        </w:rPr>
        <w:t xml:space="preserve">osoby se zdravotním postižením velmi důležité. Pokud by došlo </w:t>
      </w:r>
      <w:r w:rsidR="00657E6D" w:rsidRPr="00C3033E">
        <w:rPr>
          <w:rFonts w:ascii="Arial" w:hAnsi="Arial" w:cs="Arial"/>
        </w:rPr>
        <w:t xml:space="preserve">v souvislosti </w:t>
      </w:r>
      <w:r w:rsidR="00657E6D" w:rsidRPr="00C3033E">
        <w:rPr>
          <w:rFonts w:ascii="Arial" w:hAnsi="Arial" w:cs="Arial"/>
        </w:rPr>
        <w:lastRenderedPageBreak/>
        <w:t>se</w:t>
      </w:r>
      <w:r w:rsidR="00B41E3C" w:rsidRPr="00C3033E">
        <w:rPr>
          <w:rFonts w:ascii="Arial" w:hAnsi="Arial" w:cs="Arial"/>
        </w:rPr>
        <w:t> </w:t>
      </w:r>
      <w:r w:rsidR="00657E6D" w:rsidRPr="00C3033E">
        <w:rPr>
          <w:rFonts w:ascii="Arial" w:hAnsi="Arial" w:cs="Arial"/>
        </w:rPr>
        <w:t xml:space="preserve">zavedením EDC </w:t>
      </w:r>
      <w:r w:rsidRPr="00C3033E">
        <w:rPr>
          <w:rFonts w:ascii="Arial" w:hAnsi="Arial" w:cs="Arial"/>
        </w:rPr>
        <w:t>k jejich omezení, mělo by to na takové osoby negativní dopad i</w:t>
      </w:r>
      <w:r w:rsidR="008C767A">
        <w:rPr>
          <w:rFonts w:ascii="Arial" w:hAnsi="Arial" w:cs="Arial"/>
        </w:rPr>
        <w:t> </w:t>
      </w:r>
      <w:r w:rsidRPr="00C3033E">
        <w:rPr>
          <w:rFonts w:ascii="Arial" w:hAnsi="Arial" w:cs="Arial"/>
        </w:rPr>
        <w:t xml:space="preserve">přes přínosy, které by zavedení EDC postižením přineslo. Totéž platí i o záměru nové úpravy EPC, jestliže by taková úprava na úrovni EU znamenala omezení nároků vyplývajících zejména ze zákona o provozu na pozemních komunikacích nebo zákona o pozemních komunikacích. Podle názoru Národní rady osob se zdravotním postižením ČR bude EPC v souvislosti s cestami do zahraničí využívat cca </w:t>
      </w:r>
      <w:r w:rsidR="00657E6D" w:rsidRPr="00C3033E">
        <w:rPr>
          <w:rFonts w:ascii="Arial" w:hAnsi="Arial" w:cs="Arial"/>
        </w:rPr>
        <w:t>25–30</w:t>
      </w:r>
      <w:r w:rsidRPr="00C3033E">
        <w:rPr>
          <w:rFonts w:ascii="Arial" w:hAnsi="Arial" w:cs="Arial"/>
        </w:rPr>
        <w:t xml:space="preserve"> % držitelů průkazu osoby se zdravotním postižením (kvalifikovaný odhad, není podložen odbornou analýzou).  </w:t>
      </w:r>
    </w:p>
    <w:p w14:paraId="2A3F2DA5" w14:textId="54C6E403" w:rsidR="00DF0834" w:rsidRPr="00C3033E" w:rsidRDefault="00DF0834" w:rsidP="008C767A">
      <w:pPr>
        <w:jc w:val="both"/>
        <w:rPr>
          <w:rFonts w:ascii="Arial" w:hAnsi="Arial" w:cs="Arial"/>
        </w:rPr>
      </w:pPr>
    </w:p>
    <w:p w14:paraId="6D263575" w14:textId="72EEFCE8" w:rsidR="00DF0834" w:rsidRPr="00C3033E" w:rsidRDefault="00DF0834" w:rsidP="008C767A">
      <w:pPr>
        <w:jc w:val="both"/>
        <w:rPr>
          <w:rFonts w:ascii="Arial" w:hAnsi="Arial" w:cs="Arial"/>
        </w:rPr>
      </w:pPr>
      <w:r w:rsidRPr="00C3033E">
        <w:rPr>
          <w:rFonts w:ascii="Arial" w:hAnsi="Arial" w:cs="Arial"/>
          <w:b/>
          <w:bCs/>
        </w:rPr>
        <w:t xml:space="preserve">Kancelář </w:t>
      </w:r>
      <w:r w:rsidR="00B41E3C" w:rsidRPr="00C3033E">
        <w:rPr>
          <w:rFonts w:ascii="Arial" w:hAnsi="Arial" w:cs="Arial"/>
          <w:b/>
          <w:bCs/>
        </w:rPr>
        <w:t>V</w:t>
      </w:r>
      <w:r w:rsidR="00097EC4">
        <w:rPr>
          <w:rFonts w:ascii="Arial" w:hAnsi="Arial" w:cs="Arial"/>
          <w:b/>
          <w:bCs/>
        </w:rPr>
        <w:t xml:space="preserve">eřejného ochránce práce </w:t>
      </w:r>
      <w:r w:rsidRPr="00C3033E">
        <w:rPr>
          <w:rFonts w:ascii="Arial" w:hAnsi="Arial" w:cs="Arial"/>
        </w:rPr>
        <w:t>návrh směrnice v principu vítá jako prostředek pro usnadnění volného pohybu občanů EU s postižením a v tomto směru ho</w:t>
      </w:r>
      <w:r w:rsidR="00B41E3C" w:rsidRPr="00C3033E">
        <w:rPr>
          <w:rFonts w:ascii="Arial" w:hAnsi="Arial" w:cs="Arial"/>
        </w:rPr>
        <w:t> </w:t>
      </w:r>
      <w:r w:rsidRPr="00C3033E">
        <w:rPr>
          <w:rFonts w:ascii="Arial" w:hAnsi="Arial" w:cs="Arial"/>
        </w:rPr>
        <w:t>podporuje. Uvádí, že</w:t>
      </w:r>
      <w:r w:rsidR="00B41E3C" w:rsidRPr="00C3033E">
        <w:rPr>
          <w:rFonts w:ascii="Arial" w:hAnsi="Arial" w:cs="Arial"/>
        </w:rPr>
        <w:t> </w:t>
      </w:r>
      <w:r w:rsidRPr="00C3033E">
        <w:rPr>
          <w:rFonts w:ascii="Arial" w:hAnsi="Arial" w:cs="Arial"/>
        </w:rPr>
        <w:t>nezaznamenala (od lidí se zdravotním postižením nebo</w:t>
      </w:r>
      <w:r w:rsidR="00B41E3C" w:rsidRPr="00C3033E">
        <w:rPr>
          <w:rFonts w:ascii="Arial" w:hAnsi="Arial" w:cs="Arial"/>
        </w:rPr>
        <w:t> </w:t>
      </w:r>
      <w:r w:rsidRPr="00C3033E">
        <w:rPr>
          <w:rFonts w:ascii="Arial" w:hAnsi="Arial" w:cs="Arial"/>
        </w:rPr>
        <w:t>od</w:t>
      </w:r>
      <w:r w:rsidR="00B41E3C" w:rsidRPr="00C3033E">
        <w:rPr>
          <w:rFonts w:ascii="Arial" w:hAnsi="Arial" w:cs="Arial"/>
        </w:rPr>
        <w:t> </w:t>
      </w:r>
      <w:r w:rsidRPr="00C3033E">
        <w:rPr>
          <w:rFonts w:ascii="Arial" w:hAnsi="Arial" w:cs="Arial"/>
        </w:rPr>
        <w:t>organizací hájících jejich práva) zásadní výhrady proti zavedení EDC. Současně se kancelář veřejného ochránce práv domnívá, že se jedná o dílčí ale</w:t>
      </w:r>
      <w:r w:rsidR="00B41E3C" w:rsidRPr="00C3033E">
        <w:rPr>
          <w:rFonts w:ascii="Arial" w:hAnsi="Arial" w:cs="Arial"/>
        </w:rPr>
        <w:t> </w:t>
      </w:r>
      <w:r w:rsidRPr="00C3033E">
        <w:rPr>
          <w:rFonts w:ascii="Arial" w:hAnsi="Arial" w:cs="Arial"/>
        </w:rPr>
        <w:t>důležitý krok k postupnému naplňování článků 9, 18, 20 a 30 Úmluvy OSN o</w:t>
      </w:r>
      <w:r w:rsidR="008C767A">
        <w:rPr>
          <w:rFonts w:ascii="Arial" w:hAnsi="Arial" w:cs="Arial"/>
        </w:rPr>
        <w:t> </w:t>
      </w:r>
      <w:r w:rsidRPr="00C3033E">
        <w:rPr>
          <w:rFonts w:ascii="Arial" w:hAnsi="Arial" w:cs="Arial"/>
        </w:rPr>
        <w:t>právech osob se</w:t>
      </w:r>
      <w:r w:rsidR="00430C19" w:rsidRPr="00C3033E">
        <w:rPr>
          <w:rFonts w:ascii="Arial" w:hAnsi="Arial" w:cs="Arial"/>
        </w:rPr>
        <w:t> </w:t>
      </w:r>
      <w:r w:rsidRPr="00C3033E">
        <w:rPr>
          <w:rFonts w:ascii="Arial" w:hAnsi="Arial" w:cs="Arial"/>
        </w:rPr>
        <w:t xml:space="preserve">zdravotním postižením. </w:t>
      </w:r>
    </w:p>
    <w:p w14:paraId="4C96C6CD" w14:textId="402545F8" w:rsidR="00430C19" w:rsidRDefault="00430C19" w:rsidP="008C767A">
      <w:pPr>
        <w:jc w:val="both"/>
        <w:rPr>
          <w:rFonts w:ascii="Arial" w:hAnsi="Arial" w:cs="Arial"/>
        </w:rPr>
      </w:pPr>
    </w:p>
    <w:p w14:paraId="37BDF00F" w14:textId="2D572229" w:rsidR="00965A9A" w:rsidRPr="00C3033E" w:rsidRDefault="00965A9A" w:rsidP="008C767A">
      <w:pPr>
        <w:jc w:val="both"/>
        <w:rPr>
          <w:rFonts w:ascii="Arial" w:hAnsi="Arial" w:cs="Arial"/>
          <w:b/>
          <w:bCs/>
        </w:rPr>
      </w:pPr>
      <w:r w:rsidRPr="00C3033E">
        <w:rPr>
          <w:rFonts w:ascii="Arial" w:hAnsi="Arial" w:cs="Arial"/>
          <w:b/>
          <w:bCs/>
        </w:rPr>
        <w:t>7) Pozice EK a EP:</w:t>
      </w:r>
    </w:p>
    <w:p w14:paraId="3F514154" w14:textId="524125B3" w:rsidR="00D50FE4" w:rsidRPr="00C3033E" w:rsidRDefault="00D50FE4" w:rsidP="008C767A">
      <w:pPr>
        <w:jc w:val="both"/>
        <w:rPr>
          <w:rFonts w:ascii="Arial" w:hAnsi="Arial" w:cs="Arial"/>
        </w:rPr>
      </w:pPr>
    </w:p>
    <w:p w14:paraId="285032A0" w14:textId="45D97CCC" w:rsidR="00430C19" w:rsidRDefault="00430C19" w:rsidP="008C767A">
      <w:pPr>
        <w:jc w:val="both"/>
        <w:rPr>
          <w:rFonts w:ascii="Arial" w:hAnsi="Arial" w:cs="Arial"/>
        </w:rPr>
      </w:pPr>
      <w:r w:rsidRPr="00C3033E">
        <w:rPr>
          <w:rFonts w:ascii="Arial" w:hAnsi="Arial" w:cs="Arial"/>
        </w:rPr>
        <w:t xml:space="preserve">EK je předkladatelem návrhu. </w:t>
      </w:r>
    </w:p>
    <w:p w14:paraId="43957567" w14:textId="2238539A" w:rsidR="00097EC4" w:rsidRDefault="00097EC4" w:rsidP="008C767A">
      <w:pPr>
        <w:jc w:val="both"/>
        <w:rPr>
          <w:rFonts w:ascii="Arial" w:hAnsi="Arial" w:cs="Arial"/>
        </w:rPr>
      </w:pPr>
      <w:r>
        <w:rPr>
          <w:rFonts w:ascii="Arial" w:hAnsi="Arial" w:cs="Arial"/>
        </w:rPr>
        <w:t>EP se návrhem zatím nezabýval.</w:t>
      </w:r>
    </w:p>
    <w:p w14:paraId="65EC013A" w14:textId="77777777" w:rsidR="00097EC4" w:rsidRPr="00C3033E" w:rsidRDefault="00097EC4" w:rsidP="008C767A">
      <w:pPr>
        <w:jc w:val="both"/>
        <w:rPr>
          <w:rFonts w:ascii="Arial" w:hAnsi="Arial" w:cs="Arial"/>
        </w:rPr>
      </w:pPr>
    </w:p>
    <w:p w14:paraId="6F7DFAD6" w14:textId="4C590789" w:rsidR="00901ABE" w:rsidRPr="00C3033E" w:rsidRDefault="00901ABE" w:rsidP="008C767A">
      <w:pPr>
        <w:jc w:val="both"/>
        <w:rPr>
          <w:rFonts w:ascii="Arial" w:hAnsi="Arial" w:cs="Arial"/>
          <w:b/>
          <w:bCs/>
        </w:rPr>
      </w:pPr>
      <w:r w:rsidRPr="00C3033E">
        <w:rPr>
          <w:rFonts w:ascii="Arial" w:hAnsi="Arial" w:cs="Arial"/>
          <w:b/>
          <w:bCs/>
        </w:rPr>
        <w:t>8) Pozice členských států:</w:t>
      </w:r>
    </w:p>
    <w:p w14:paraId="6AB32565" w14:textId="236EA0B1" w:rsidR="00D50FE4" w:rsidRPr="00C3033E" w:rsidRDefault="00D50FE4" w:rsidP="008C767A">
      <w:pPr>
        <w:jc w:val="both"/>
        <w:rPr>
          <w:rFonts w:ascii="Arial" w:hAnsi="Arial" w:cs="Arial"/>
        </w:rPr>
      </w:pPr>
    </w:p>
    <w:p w14:paraId="66176A09" w14:textId="154025E8" w:rsidR="002D04D4" w:rsidRPr="00C3033E" w:rsidRDefault="002D04D4" w:rsidP="008C767A">
      <w:pPr>
        <w:jc w:val="both"/>
        <w:rPr>
          <w:rFonts w:ascii="Arial" w:hAnsi="Arial" w:cs="Arial"/>
        </w:rPr>
      </w:pPr>
      <w:r w:rsidRPr="00C3033E">
        <w:rPr>
          <w:rFonts w:ascii="Arial" w:hAnsi="Arial" w:cs="Arial"/>
        </w:rPr>
        <w:t xml:space="preserve">Aktuálně není známa. V obecné rovině státy zavedení EDC a EPC a jejich vzájemné uznávání vítají. </w:t>
      </w:r>
    </w:p>
    <w:p w14:paraId="77CCC901" w14:textId="77777777" w:rsidR="002D04D4" w:rsidRPr="00C3033E" w:rsidRDefault="002D04D4" w:rsidP="008C767A">
      <w:pPr>
        <w:jc w:val="both"/>
        <w:rPr>
          <w:rFonts w:ascii="Arial" w:hAnsi="Arial" w:cs="Arial"/>
        </w:rPr>
      </w:pPr>
    </w:p>
    <w:bookmarkEnd w:id="0"/>
    <w:p w14:paraId="50DB04E3" w14:textId="77777777" w:rsidR="00527954" w:rsidRPr="00C3033E" w:rsidRDefault="00527954" w:rsidP="008C767A">
      <w:pPr>
        <w:rPr>
          <w:rFonts w:ascii="Arial" w:hAnsi="Arial" w:cs="Arial"/>
          <w:b/>
          <w:bCs/>
        </w:rPr>
      </w:pPr>
      <w:r w:rsidRPr="00C3033E">
        <w:rPr>
          <w:rFonts w:ascii="Arial" w:hAnsi="Arial" w:cs="Arial"/>
          <w:b/>
          <w:bCs/>
        </w:rPr>
        <w:t>9) Projednání v Parlamentu ČR:</w:t>
      </w:r>
    </w:p>
    <w:p w14:paraId="3108506F" w14:textId="77777777" w:rsidR="0074122A" w:rsidRPr="00C3033E" w:rsidRDefault="0074122A" w:rsidP="008C767A">
      <w:pPr>
        <w:rPr>
          <w:rFonts w:ascii="Arial" w:hAnsi="Arial" w:cs="Arial"/>
        </w:rPr>
      </w:pPr>
    </w:p>
    <w:p w14:paraId="1BA0F921" w14:textId="619FB3E3" w:rsidR="00527954" w:rsidRPr="00C3033E" w:rsidRDefault="00D24C72" w:rsidP="008C767A">
      <w:pPr>
        <w:jc w:val="both"/>
        <w:rPr>
          <w:rFonts w:ascii="Arial" w:hAnsi="Arial" w:cs="Arial"/>
        </w:rPr>
      </w:pPr>
      <w:r w:rsidRPr="00C3033E">
        <w:rPr>
          <w:rFonts w:ascii="Arial" w:hAnsi="Arial" w:cs="Arial"/>
        </w:rPr>
        <w:t xml:space="preserve">Materiál </w:t>
      </w:r>
      <w:r w:rsidR="001C36EE">
        <w:rPr>
          <w:rFonts w:ascii="Arial" w:hAnsi="Arial" w:cs="Arial"/>
        </w:rPr>
        <w:t xml:space="preserve">si k datu zpracování Rámcové pozice vybral k projednání Výbor pro záležitosti Evropské Unie Senátu. </w:t>
      </w:r>
      <w:r w:rsidR="0058514A" w:rsidRPr="00C3033E">
        <w:rPr>
          <w:rFonts w:ascii="Arial" w:hAnsi="Arial" w:cs="Arial"/>
        </w:rPr>
        <w:t xml:space="preserve"> </w:t>
      </w:r>
    </w:p>
    <w:p w14:paraId="16B390A1" w14:textId="77777777" w:rsidR="00D24C72" w:rsidRPr="00C3033E" w:rsidRDefault="00D24C72" w:rsidP="008C767A">
      <w:pPr>
        <w:rPr>
          <w:rFonts w:ascii="Arial" w:hAnsi="Arial" w:cs="Arial"/>
        </w:rPr>
      </w:pPr>
      <w:bookmarkStart w:id="8" w:name="_Hlk145409700"/>
    </w:p>
    <w:p w14:paraId="09822628" w14:textId="77777777" w:rsidR="00527954" w:rsidRPr="00C3033E" w:rsidRDefault="00527954" w:rsidP="008C767A">
      <w:pPr>
        <w:rPr>
          <w:rFonts w:ascii="Arial" w:hAnsi="Arial" w:cs="Arial"/>
          <w:b/>
          <w:bCs/>
        </w:rPr>
      </w:pPr>
      <w:r w:rsidRPr="00C3033E">
        <w:rPr>
          <w:rFonts w:ascii="Arial" w:hAnsi="Arial" w:cs="Arial"/>
          <w:b/>
          <w:bCs/>
        </w:rPr>
        <w:t xml:space="preserve">10) Procedurální otázky: </w:t>
      </w:r>
    </w:p>
    <w:p w14:paraId="3086977D" w14:textId="6CDD7D83" w:rsidR="005838E7" w:rsidRPr="00C3033E" w:rsidRDefault="005838E7" w:rsidP="008C767A">
      <w:pPr>
        <w:pStyle w:val="Odstavecseseznamem"/>
        <w:numPr>
          <w:ilvl w:val="0"/>
          <w:numId w:val="14"/>
        </w:numPr>
        <w:jc w:val="both"/>
        <w:rPr>
          <w:rFonts w:ascii="Arial" w:hAnsi="Arial" w:cs="Arial"/>
        </w:rPr>
      </w:pPr>
      <w:r w:rsidRPr="00C3033E">
        <w:rPr>
          <w:rFonts w:ascii="Arial" w:hAnsi="Arial" w:cs="Arial"/>
        </w:rPr>
        <w:t xml:space="preserve">Právní základ: čl. </w:t>
      </w:r>
      <w:r w:rsidR="007D6725" w:rsidRPr="00C3033E">
        <w:rPr>
          <w:rFonts w:ascii="Arial" w:hAnsi="Arial" w:cs="Arial"/>
        </w:rPr>
        <w:t>53 (1), 62, 91, 21(2)</w:t>
      </w:r>
      <w:r w:rsidRPr="00C3033E">
        <w:rPr>
          <w:rFonts w:ascii="Arial" w:hAnsi="Arial" w:cs="Arial"/>
        </w:rPr>
        <w:t xml:space="preserve"> S</w:t>
      </w:r>
      <w:r w:rsidR="00DF275F" w:rsidRPr="00C3033E">
        <w:rPr>
          <w:rFonts w:ascii="Arial" w:hAnsi="Arial" w:cs="Arial"/>
        </w:rPr>
        <w:t>mlouvy o fungování EU</w:t>
      </w:r>
    </w:p>
    <w:p w14:paraId="366E5DF8" w14:textId="683F3DA5" w:rsidR="005838E7" w:rsidRPr="00C3033E" w:rsidRDefault="005838E7" w:rsidP="008C767A">
      <w:pPr>
        <w:pStyle w:val="Odstavecseseznamem"/>
        <w:numPr>
          <w:ilvl w:val="0"/>
          <w:numId w:val="14"/>
        </w:numPr>
        <w:jc w:val="both"/>
        <w:rPr>
          <w:rFonts w:ascii="Arial" w:hAnsi="Arial" w:cs="Arial"/>
        </w:rPr>
      </w:pPr>
      <w:r w:rsidRPr="00C3033E">
        <w:rPr>
          <w:rFonts w:ascii="Arial" w:hAnsi="Arial" w:cs="Arial"/>
        </w:rPr>
        <w:t xml:space="preserve">Postup projednávání: </w:t>
      </w:r>
      <w:r w:rsidR="00430C19" w:rsidRPr="00C3033E">
        <w:rPr>
          <w:rFonts w:ascii="Arial" w:hAnsi="Arial" w:cs="Arial"/>
        </w:rPr>
        <w:t xml:space="preserve">řádný legislativní postup </w:t>
      </w:r>
    </w:p>
    <w:p w14:paraId="32825B12" w14:textId="0C79DE37" w:rsidR="003B5E00" w:rsidRPr="00C3033E" w:rsidRDefault="005838E7" w:rsidP="008C767A">
      <w:pPr>
        <w:pStyle w:val="Odstavecseseznamem"/>
        <w:numPr>
          <w:ilvl w:val="0"/>
          <w:numId w:val="14"/>
        </w:numPr>
        <w:jc w:val="both"/>
        <w:rPr>
          <w:rFonts w:ascii="Arial" w:hAnsi="Arial" w:cs="Arial"/>
        </w:rPr>
      </w:pPr>
      <w:r w:rsidRPr="00C3033E">
        <w:rPr>
          <w:rFonts w:ascii="Arial" w:hAnsi="Arial" w:cs="Arial"/>
        </w:rPr>
        <w:t>Hlasovací procedura: kvalifikovaná většina</w:t>
      </w:r>
      <w:r w:rsidR="0048335E" w:rsidRPr="00C3033E">
        <w:rPr>
          <w:rFonts w:ascii="Arial" w:hAnsi="Arial" w:cs="Arial"/>
        </w:rPr>
        <w:t>.</w:t>
      </w:r>
      <w:bookmarkEnd w:id="8"/>
    </w:p>
    <w:sectPr w:rsidR="003B5E00" w:rsidRPr="00C3033E" w:rsidSect="00653D73">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6B39" w14:textId="77777777" w:rsidR="00167DC8" w:rsidRDefault="00167DC8">
      <w:r>
        <w:separator/>
      </w:r>
    </w:p>
  </w:endnote>
  <w:endnote w:type="continuationSeparator" w:id="0">
    <w:p w14:paraId="13CC8D3C" w14:textId="77777777" w:rsidR="00167DC8" w:rsidRDefault="0016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F5AB" w14:textId="77777777" w:rsidR="00D20603" w:rsidRDefault="00901ABE" w:rsidP="00653D7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8352F2" w14:textId="77777777" w:rsidR="00D20603" w:rsidRDefault="007B0EC2" w:rsidP="00D2060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EB68" w14:textId="68135BF5" w:rsidR="00D20603" w:rsidRPr="007445D8" w:rsidRDefault="00901ABE" w:rsidP="00653D73">
    <w:pPr>
      <w:pStyle w:val="Zpat"/>
      <w:framePr w:wrap="around" w:vAnchor="text" w:hAnchor="margin" w:xAlign="center" w:y="1"/>
      <w:rPr>
        <w:rStyle w:val="slostrnky"/>
        <w:rFonts w:ascii="Arial" w:hAnsi="Arial" w:cs="Arial"/>
      </w:rPr>
    </w:pPr>
    <w:r w:rsidRPr="007445D8">
      <w:rPr>
        <w:rStyle w:val="slostrnky"/>
        <w:rFonts w:ascii="Arial" w:hAnsi="Arial" w:cs="Arial"/>
      </w:rPr>
      <w:fldChar w:fldCharType="begin"/>
    </w:r>
    <w:r w:rsidRPr="007445D8">
      <w:rPr>
        <w:rStyle w:val="slostrnky"/>
        <w:rFonts w:ascii="Arial" w:hAnsi="Arial" w:cs="Arial"/>
      </w:rPr>
      <w:instrText xml:space="preserve">PAGE  </w:instrText>
    </w:r>
    <w:r w:rsidRPr="007445D8">
      <w:rPr>
        <w:rStyle w:val="slostrnky"/>
        <w:rFonts w:ascii="Arial" w:hAnsi="Arial" w:cs="Arial"/>
      </w:rPr>
      <w:fldChar w:fldCharType="separate"/>
    </w:r>
    <w:r w:rsidR="005D2149">
      <w:rPr>
        <w:rStyle w:val="slostrnky"/>
        <w:rFonts w:ascii="Arial" w:hAnsi="Arial" w:cs="Arial"/>
        <w:noProof/>
      </w:rPr>
      <w:t>14</w:t>
    </w:r>
    <w:r w:rsidRPr="007445D8">
      <w:rPr>
        <w:rStyle w:val="slostrnky"/>
        <w:rFonts w:ascii="Arial" w:hAnsi="Arial" w:cs="Arial"/>
      </w:rPr>
      <w:fldChar w:fldCharType="end"/>
    </w:r>
  </w:p>
  <w:p w14:paraId="78D3FE6C" w14:textId="77777777" w:rsidR="00D20603" w:rsidRDefault="007B0EC2" w:rsidP="00D2060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7135" w14:textId="77777777" w:rsidR="00167DC8" w:rsidRDefault="00167DC8">
      <w:r>
        <w:separator/>
      </w:r>
    </w:p>
  </w:footnote>
  <w:footnote w:type="continuationSeparator" w:id="0">
    <w:p w14:paraId="6EA46814" w14:textId="77777777" w:rsidR="00167DC8" w:rsidRDefault="00167DC8">
      <w:r>
        <w:continuationSeparator/>
      </w:r>
    </w:p>
  </w:footnote>
  <w:footnote w:id="1">
    <w:p w14:paraId="465D945D" w14:textId="49975259" w:rsidR="006D36B5" w:rsidRDefault="006D36B5">
      <w:pPr>
        <w:pStyle w:val="Textpoznpodarou"/>
      </w:pPr>
      <w:r>
        <w:rPr>
          <w:rStyle w:val="Znakapoznpodarou"/>
        </w:rPr>
        <w:footnoteRef/>
      </w:r>
      <w:r>
        <w:t xml:space="preserve"> Projektu se účastnily tyto ČS: Belgie, Kypr, Estonsko, Finsko, Itálie, Malta, Rumunsko a Slovinsko. </w:t>
      </w:r>
    </w:p>
  </w:footnote>
  <w:footnote w:id="2">
    <w:p w14:paraId="5212C5B0" w14:textId="0699A441" w:rsidR="00DF0834" w:rsidRDefault="00DF0834">
      <w:pPr>
        <w:pStyle w:val="Textpoznpodarou"/>
      </w:pPr>
      <w:r>
        <w:rPr>
          <w:rStyle w:val="Znakapoznpodarou"/>
        </w:rPr>
        <w:footnoteRef/>
      </w:r>
      <w:r>
        <w:t xml:space="preserve"> Ročně je vydáno cca 46 000 průkazů osoby se zdravotním postižením, na poplatku je vybráno cca 1 380 000 Kč.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CA0"/>
    <w:multiLevelType w:val="hybridMultilevel"/>
    <w:tmpl w:val="3460B6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9B5925"/>
    <w:multiLevelType w:val="hybridMultilevel"/>
    <w:tmpl w:val="5FBAD25A"/>
    <w:lvl w:ilvl="0" w:tplc="4B209360">
      <w:start w:val="1"/>
      <w:numFmt w:val="decimal"/>
      <w:lvlText w:val="(%1)"/>
      <w:lvlJc w:val="left"/>
      <w:pPr>
        <w:ind w:left="1266" w:hanging="850"/>
      </w:pPr>
      <w:rPr>
        <w:rFonts w:ascii="Times New Roman" w:eastAsia="Times New Roman" w:hAnsi="Times New Roman" w:cs="Times New Roman" w:hint="default"/>
        <w:b w:val="0"/>
        <w:bCs w:val="0"/>
        <w:i w:val="0"/>
        <w:iCs w:val="0"/>
        <w:w w:val="100"/>
        <w:sz w:val="24"/>
        <w:szCs w:val="24"/>
        <w:lang w:val="en-US" w:eastAsia="en-US" w:bidi="ar-SA"/>
      </w:rPr>
    </w:lvl>
    <w:lvl w:ilvl="1" w:tplc="3D50A366">
      <w:start w:val="1"/>
      <w:numFmt w:val="lowerLetter"/>
      <w:lvlText w:val="(%2)"/>
      <w:lvlJc w:val="left"/>
      <w:pPr>
        <w:ind w:left="1701" w:hanging="567"/>
      </w:pPr>
      <w:rPr>
        <w:rFonts w:ascii="Times New Roman" w:eastAsia="Times New Roman" w:hAnsi="Times New Roman" w:cs="Times New Roman" w:hint="default"/>
        <w:b w:val="0"/>
        <w:bCs w:val="0"/>
        <w:i w:val="0"/>
        <w:iCs w:val="0"/>
        <w:spacing w:val="-2"/>
        <w:w w:val="100"/>
        <w:sz w:val="24"/>
        <w:szCs w:val="24"/>
        <w:lang w:val="en-US" w:eastAsia="en-US" w:bidi="ar-SA"/>
      </w:rPr>
    </w:lvl>
    <w:lvl w:ilvl="2" w:tplc="F710B8E8">
      <w:numFmt w:val="bullet"/>
      <w:lvlText w:val="•"/>
      <w:lvlJc w:val="left"/>
      <w:pPr>
        <w:ind w:left="2734" w:hanging="567"/>
      </w:pPr>
      <w:rPr>
        <w:rFonts w:hint="default"/>
        <w:lang w:val="en-US" w:eastAsia="en-US" w:bidi="ar-SA"/>
      </w:rPr>
    </w:lvl>
    <w:lvl w:ilvl="3" w:tplc="2F8A3914">
      <w:numFmt w:val="bullet"/>
      <w:lvlText w:val="•"/>
      <w:lvlJc w:val="left"/>
      <w:pPr>
        <w:ind w:left="3628" w:hanging="567"/>
      </w:pPr>
      <w:rPr>
        <w:rFonts w:hint="default"/>
        <w:lang w:val="en-US" w:eastAsia="en-US" w:bidi="ar-SA"/>
      </w:rPr>
    </w:lvl>
    <w:lvl w:ilvl="4" w:tplc="06404216">
      <w:numFmt w:val="bullet"/>
      <w:lvlText w:val="•"/>
      <w:lvlJc w:val="left"/>
      <w:pPr>
        <w:ind w:left="4522" w:hanging="567"/>
      </w:pPr>
      <w:rPr>
        <w:rFonts w:hint="default"/>
        <w:lang w:val="en-US" w:eastAsia="en-US" w:bidi="ar-SA"/>
      </w:rPr>
    </w:lvl>
    <w:lvl w:ilvl="5" w:tplc="B15A7CB2">
      <w:numFmt w:val="bullet"/>
      <w:lvlText w:val="•"/>
      <w:lvlJc w:val="left"/>
      <w:pPr>
        <w:ind w:left="5416" w:hanging="567"/>
      </w:pPr>
      <w:rPr>
        <w:rFonts w:hint="default"/>
        <w:lang w:val="en-US" w:eastAsia="en-US" w:bidi="ar-SA"/>
      </w:rPr>
    </w:lvl>
    <w:lvl w:ilvl="6" w:tplc="5130074C">
      <w:numFmt w:val="bullet"/>
      <w:lvlText w:val="•"/>
      <w:lvlJc w:val="left"/>
      <w:pPr>
        <w:ind w:left="6310" w:hanging="567"/>
      </w:pPr>
      <w:rPr>
        <w:rFonts w:hint="default"/>
        <w:lang w:val="en-US" w:eastAsia="en-US" w:bidi="ar-SA"/>
      </w:rPr>
    </w:lvl>
    <w:lvl w:ilvl="7" w:tplc="5EC8A29E">
      <w:numFmt w:val="bullet"/>
      <w:lvlText w:val="•"/>
      <w:lvlJc w:val="left"/>
      <w:pPr>
        <w:ind w:left="7204" w:hanging="567"/>
      </w:pPr>
      <w:rPr>
        <w:rFonts w:hint="default"/>
        <w:lang w:val="en-US" w:eastAsia="en-US" w:bidi="ar-SA"/>
      </w:rPr>
    </w:lvl>
    <w:lvl w:ilvl="8" w:tplc="F05EEB6C">
      <w:numFmt w:val="bullet"/>
      <w:lvlText w:val="•"/>
      <w:lvlJc w:val="left"/>
      <w:pPr>
        <w:ind w:left="8098" w:hanging="567"/>
      </w:pPr>
      <w:rPr>
        <w:rFonts w:hint="default"/>
        <w:lang w:val="en-US" w:eastAsia="en-US" w:bidi="ar-SA"/>
      </w:rPr>
    </w:lvl>
  </w:abstractNum>
  <w:abstractNum w:abstractNumId="2" w15:restartNumberingAfterBreak="0">
    <w:nsid w:val="0AE1124A"/>
    <w:multiLevelType w:val="hybridMultilevel"/>
    <w:tmpl w:val="9EFE108A"/>
    <w:lvl w:ilvl="0" w:tplc="5B2AF24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111EA"/>
    <w:multiLevelType w:val="hybridMultilevel"/>
    <w:tmpl w:val="FB2C4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E00771"/>
    <w:multiLevelType w:val="hybridMultilevel"/>
    <w:tmpl w:val="6C4294F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52C5132"/>
    <w:multiLevelType w:val="hybridMultilevel"/>
    <w:tmpl w:val="5718A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2448B7"/>
    <w:multiLevelType w:val="hybridMultilevel"/>
    <w:tmpl w:val="6958B784"/>
    <w:lvl w:ilvl="0" w:tplc="CB42553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981103"/>
    <w:multiLevelType w:val="hybridMultilevel"/>
    <w:tmpl w:val="E3B6754E"/>
    <w:lvl w:ilvl="0" w:tplc="7188F378">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5906CE"/>
    <w:multiLevelType w:val="hybridMultilevel"/>
    <w:tmpl w:val="61DEE3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1024B0"/>
    <w:multiLevelType w:val="hybridMultilevel"/>
    <w:tmpl w:val="57887086"/>
    <w:lvl w:ilvl="0" w:tplc="4C1E8742">
      <w:start w:val="1"/>
      <w:numFmt w:val="bullet"/>
      <w:lvlText w:val=""/>
      <w:lvlJc w:val="left"/>
      <w:pPr>
        <w:tabs>
          <w:tab w:val="num" w:pos="720"/>
        </w:tabs>
        <w:ind w:left="720" w:hanging="360"/>
      </w:pPr>
      <w:rPr>
        <w:rFonts w:ascii="Wingdings" w:hAnsi="Wingdings" w:hint="default"/>
      </w:rPr>
    </w:lvl>
    <w:lvl w:ilvl="1" w:tplc="7602CAAC" w:tentative="1">
      <w:start w:val="1"/>
      <w:numFmt w:val="bullet"/>
      <w:lvlText w:val=""/>
      <w:lvlJc w:val="left"/>
      <w:pPr>
        <w:tabs>
          <w:tab w:val="num" w:pos="1440"/>
        </w:tabs>
        <w:ind w:left="1440" w:hanging="360"/>
      </w:pPr>
      <w:rPr>
        <w:rFonts w:ascii="Wingdings" w:hAnsi="Wingdings" w:hint="default"/>
      </w:rPr>
    </w:lvl>
    <w:lvl w:ilvl="2" w:tplc="C9B47160" w:tentative="1">
      <w:start w:val="1"/>
      <w:numFmt w:val="bullet"/>
      <w:lvlText w:val=""/>
      <w:lvlJc w:val="left"/>
      <w:pPr>
        <w:tabs>
          <w:tab w:val="num" w:pos="2160"/>
        </w:tabs>
        <w:ind w:left="2160" w:hanging="360"/>
      </w:pPr>
      <w:rPr>
        <w:rFonts w:ascii="Wingdings" w:hAnsi="Wingdings" w:hint="default"/>
      </w:rPr>
    </w:lvl>
    <w:lvl w:ilvl="3" w:tplc="D5A6C2E2" w:tentative="1">
      <w:start w:val="1"/>
      <w:numFmt w:val="bullet"/>
      <w:lvlText w:val=""/>
      <w:lvlJc w:val="left"/>
      <w:pPr>
        <w:tabs>
          <w:tab w:val="num" w:pos="2880"/>
        </w:tabs>
        <w:ind w:left="2880" w:hanging="360"/>
      </w:pPr>
      <w:rPr>
        <w:rFonts w:ascii="Wingdings" w:hAnsi="Wingdings" w:hint="default"/>
      </w:rPr>
    </w:lvl>
    <w:lvl w:ilvl="4" w:tplc="E5C446FA" w:tentative="1">
      <w:start w:val="1"/>
      <w:numFmt w:val="bullet"/>
      <w:lvlText w:val=""/>
      <w:lvlJc w:val="left"/>
      <w:pPr>
        <w:tabs>
          <w:tab w:val="num" w:pos="3600"/>
        </w:tabs>
        <w:ind w:left="3600" w:hanging="360"/>
      </w:pPr>
      <w:rPr>
        <w:rFonts w:ascii="Wingdings" w:hAnsi="Wingdings" w:hint="default"/>
      </w:rPr>
    </w:lvl>
    <w:lvl w:ilvl="5" w:tplc="55701B90" w:tentative="1">
      <w:start w:val="1"/>
      <w:numFmt w:val="bullet"/>
      <w:lvlText w:val=""/>
      <w:lvlJc w:val="left"/>
      <w:pPr>
        <w:tabs>
          <w:tab w:val="num" w:pos="4320"/>
        </w:tabs>
        <w:ind w:left="4320" w:hanging="360"/>
      </w:pPr>
      <w:rPr>
        <w:rFonts w:ascii="Wingdings" w:hAnsi="Wingdings" w:hint="default"/>
      </w:rPr>
    </w:lvl>
    <w:lvl w:ilvl="6" w:tplc="EAFA13A4" w:tentative="1">
      <w:start w:val="1"/>
      <w:numFmt w:val="bullet"/>
      <w:lvlText w:val=""/>
      <w:lvlJc w:val="left"/>
      <w:pPr>
        <w:tabs>
          <w:tab w:val="num" w:pos="5040"/>
        </w:tabs>
        <w:ind w:left="5040" w:hanging="360"/>
      </w:pPr>
      <w:rPr>
        <w:rFonts w:ascii="Wingdings" w:hAnsi="Wingdings" w:hint="default"/>
      </w:rPr>
    </w:lvl>
    <w:lvl w:ilvl="7" w:tplc="C07AB93A" w:tentative="1">
      <w:start w:val="1"/>
      <w:numFmt w:val="bullet"/>
      <w:lvlText w:val=""/>
      <w:lvlJc w:val="left"/>
      <w:pPr>
        <w:tabs>
          <w:tab w:val="num" w:pos="5760"/>
        </w:tabs>
        <w:ind w:left="5760" w:hanging="360"/>
      </w:pPr>
      <w:rPr>
        <w:rFonts w:ascii="Wingdings" w:hAnsi="Wingdings" w:hint="default"/>
      </w:rPr>
    </w:lvl>
    <w:lvl w:ilvl="8" w:tplc="6046CF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B3F54"/>
    <w:multiLevelType w:val="hybridMultilevel"/>
    <w:tmpl w:val="9B9C23A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C3E5C4A"/>
    <w:multiLevelType w:val="hybridMultilevel"/>
    <w:tmpl w:val="465EE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CA02DC"/>
    <w:multiLevelType w:val="hybridMultilevel"/>
    <w:tmpl w:val="91829D14"/>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043482"/>
    <w:multiLevelType w:val="hybridMultilevel"/>
    <w:tmpl w:val="C562E052"/>
    <w:lvl w:ilvl="0" w:tplc="D05AC36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5" w15:restartNumberingAfterBreak="0">
    <w:nsid w:val="671E3586"/>
    <w:multiLevelType w:val="hybridMultilevel"/>
    <w:tmpl w:val="0C1A9138"/>
    <w:lvl w:ilvl="0" w:tplc="9D1CB964">
      <w:start w:val="1"/>
      <w:numFmt w:val="lowerLetter"/>
      <w:lvlText w:val="%1)"/>
      <w:lvlJc w:val="left"/>
      <w:pPr>
        <w:tabs>
          <w:tab w:val="num" w:pos="502"/>
        </w:tabs>
        <w:ind w:left="502" w:hanging="360"/>
      </w:pPr>
      <w:rPr>
        <w:rFonts w:ascii="Arial" w:eastAsia="Times New Roman" w:hAnsi="Arial" w:cs="Arial"/>
        <w:i w:val="0"/>
      </w:rPr>
    </w:lvl>
    <w:lvl w:ilvl="1" w:tplc="04050019">
      <w:start w:val="1"/>
      <w:numFmt w:val="lowerLetter"/>
      <w:lvlText w:val="%2."/>
      <w:lvlJc w:val="left"/>
      <w:pPr>
        <w:tabs>
          <w:tab w:val="num" w:pos="4843"/>
        </w:tabs>
        <w:ind w:left="4843" w:hanging="360"/>
      </w:pPr>
    </w:lvl>
    <w:lvl w:ilvl="2" w:tplc="0405001B" w:tentative="1">
      <w:start w:val="1"/>
      <w:numFmt w:val="lowerRoman"/>
      <w:lvlText w:val="%3."/>
      <w:lvlJc w:val="right"/>
      <w:pPr>
        <w:tabs>
          <w:tab w:val="num" w:pos="5563"/>
        </w:tabs>
        <w:ind w:left="5563" w:hanging="180"/>
      </w:pPr>
    </w:lvl>
    <w:lvl w:ilvl="3" w:tplc="0405000F" w:tentative="1">
      <w:start w:val="1"/>
      <w:numFmt w:val="decimal"/>
      <w:lvlText w:val="%4."/>
      <w:lvlJc w:val="left"/>
      <w:pPr>
        <w:tabs>
          <w:tab w:val="num" w:pos="6283"/>
        </w:tabs>
        <w:ind w:left="6283" w:hanging="360"/>
      </w:pPr>
    </w:lvl>
    <w:lvl w:ilvl="4" w:tplc="04050019" w:tentative="1">
      <w:start w:val="1"/>
      <w:numFmt w:val="lowerLetter"/>
      <w:lvlText w:val="%5."/>
      <w:lvlJc w:val="left"/>
      <w:pPr>
        <w:tabs>
          <w:tab w:val="num" w:pos="7003"/>
        </w:tabs>
        <w:ind w:left="7003" w:hanging="360"/>
      </w:pPr>
    </w:lvl>
    <w:lvl w:ilvl="5" w:tplc="0405001B" w:tentative="1">
      <w:start w:val="1"/>
      <w:numFmt w:val="lowerRoman"/>
      <w:lvlText w:val="%6."/>
      <w:lvlJc w:val="right"/>
      <w:pPr>
        <w:tabs>
          <w:tab w:val="num" w:pos="7723"/>
        </w:tabs>
        <w:ind w:left="7723" w:hanging="180"/>
      </w:pPr>
    </w:lvl>
    <w:lvl w:ilvl="6" w:tplc="0405000F" w:tentative="1">
      <w:start w:val="1"/>
      <w:numFmt w:val="decimal"/>
      <w:lvlText w:val="%7."/>
      <w:lvlJc w:val="left"/>
      <w:pPr>
        <w:tabs>
          <w:tab w:val="num" w:pos="8443"/>
        </w:tabs>
        <w:ind w:left="8443" w:hanging="360"/>
      </w:pPr>
    </w:lvl>
    <w:lvl w:ilvl="7" w:tplc="04050019" w:tentative="1">
      <w:start w:val="1"/>
      <w:numFmt w:val="lowerLetter"/>
      <w:lvlText w:val="%8."/>
      <w:lvlJc w:val="left"/>
      <w:pPr>
        <w:tabs>
          <w:tab w:val="num" w:pos="9163"/>
        </w:tabs>
        <w:ind w:left="9163" w:hanging="360"/>
      </w:pPr>
    </w:lvl>
    <w:lvl w:ilvl="8" w:tplc="0405001B" w:tentative="1">
      <w:start w:val="1"/>
      <w:numFmt w:val="lowerRoman"/>
      <w:lvlText w:val="%9."/>
      <w:lvlJc w:val="right"/>
      <w:pPr>
        <w:tabs>
          <w:tab w:val="num" w:pos="9883"/>
        </w:tabs>
        <w:ind w:left="9883" w:hanging="180"/>
      </w:pPr>
    </w:lvl>
  </w:abstractNum>
  <w:abstractNum w:abstractNumId="16" w15:restartNumberingAfterBreak="0">
    <w:nsid w:val="702B6398"/>
    <w:multiLevelType w:val="hybridMultilevel"/>
    <w:tmpl w:val="3460B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733B63"/>
    <w:multiLevelType w:val="hybridMultilevel"/>
    <w:tmpl w:val="A4AE1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D23079"/>
    <w:multiLevelType w:val="hybridMultilevel"/>
    <w:tmpl w:val="F0F8DB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E47AD9"/>
    <w:multiLevelType w:val="multilevel"/>
    <w:tmpl w:val="740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5281512">
    <w:abstractNumId w:val="15"/>
  </w:num>
  <w:num w:numId="2" w16cid:durableId="96020594">
    <w:abstractNumId w:val="12"/>
  </w:num>
  <w:num w:numId="3" w16cid:durableId="1272319591">
    <w:abstractNumId w:val="18"/>
  </w:num>
  <w:num w:numId="4" w16cid:durableId="956908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4673101">
    <w:abstractNumId w:val="19"/>
  </w:num>
  <w:num w:numId="6" w16cid:durableId="609312775">
    <w:abstractNumId w:val="13"/>
  </w:num>
  <w:num w:numId="7" w16cid:durableId="173080902">
    <w:abstractNumId w:val="9"/>
  </w:num>
  <w:num w:numId="8" w16cid:durableId="1855413843">
    <w:abstractNumId w:val="1"/>
  </w:num>
  <w:num w:numId="9" w16cid:durableId="104884815">
    <w:abstractNumId w:val="7"/>
  </w:num>
  <w:num w:numId="10" w16cid:durableId="260383209">
    <w:abstractNumId w:val="5"/>
  </w:num>
  <w:num w:numId="11" w16cid:durableId="1463965963">
    <w:abstractNumId w:val="16"/>
  </w:num>
  <w:num w:numId="12" w16cid:durableId="1566526664">
    <w:abstractNumId w:val="3"/>
  </w:num>
  <w:num w:numId="13" w16cid:durableId="1076899052">
    <w:abstractNumId w:val="0"/>
  </w:num>
  <w:num w:numId="14" w16cid:durableId="844438702">
    <w:abstractNumId w:val="8"/>
  </w:num>
  <w:num w:numId="15" w16cid:durableId="1127427912">
    <w:abstractNumId w:val="2"/>
  </w:num>
  <w:num w:numId="16" w16cid:durableId="141580745">
    <w:abstractNumId w:val="6"/>
  </w:num>
  <w:num w:numId="17" w16cid:durableId="1632057208">
    <w:abstractNumId w:val="11"/>
  </w:num>
  <w:num w:numId="18" w16cid:durableId="687412467">
    <w:abstractNumId w:val="10"/>
  </w:num>
  <w:num w:numId="19" w16cid:durableId="1316493861">
    <w:abstractNumId w:val="4"/>
  </w:num>
  <w:num w:numId="20" w16cid:durableId="591742874">
    <w:abstractNumId w:val="17"/>
  </w:num>
  <w:num w:numId="21" w16cid:durableId="19157797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BE"/>
    <w:rsid w:val="000025E6"/>
    <w:rsid w:val="000138A0"/>
    <w:rsid w:val="00016BD0"/>
    <w:rsid w:val="00021514"/>
    <w:rsid w:val="00026EE4"/>
    <w:rsid w:val="00027F05"/>
    <w:rsid w:val="000413F4"/>
    <w:rsid w:val="00050EF5"/>
    <w:rsid w:val="00051948"/>
    <w:rsid w:val="0005254E"/>
    <w:rsid w:val="000528B8"/>
    <w:rsid w:val="00061D3D"/>
    <w:rsid w:val="000718C8"/>
    <w:rsid w:val="00087D5C"/>
    <w:rsid w:val="00093455"/>
    <w:rsid w:val="00096A94"/>
    <w:rsid w:val="00097EC4"/>
    <w:rsid w:val="000A23EE"/>
    <w:rsid w:val="000A3787"/>
    <w:rsid w:val="000A724A"/>
    <w:rsid w:val="000B4451"/>
    <w:rsid w:val="000B6BA2"/>
    <w:rsid w:val="000B736A"/>
    <w:rsid w:val="000C0812"/>
    <w:rsid w:val="000C1ACD"/>
    <w:rsid w:val="000C3E22"/>
    <w:rsid w:val="000C67E2"/>
    <w:rsid w:val="000D04AE"/>
    <w:rsid w:val="000D59AA"/>
    <w:rsid w:val="000E15BF"/>
    <w:rsid w:val="000E2784"/>
    <w:rsid w:val="000E6858"/>
    <w:rsid w:val="000F200C"/>
    <w:rsid w:val="001005FE"/>
    <w:rsid w:val="001075DC"/>
    <w:rsid w:val="001158EB"/>
    <w:rsid w:val="0012123E"/>
    <w:rsid w:val="0013099F"/>
    <w:rsid w:val="00134F70"/>
    <w:rsid w:val="0015431E"/>
    <w:rsid w:val="001552F6"/>
    <w:rsid w:val="001623BB"/>
    <w:rsid w:val="00162AA4"/>
    <w:rsid w:val="001664E3"/>
    <w:rsid w:val="0016711F"/>
    <w:rsid w:val="00167DC8"/>
    <w:rsid w:val="00170917"/>
    <w:rsid w:val="001732DC"/>
    <w:rsid w:val="0018396C"/>
    <w:rsid w:val="001862CE"/>
    <w:rsid w:val="00190151"/>
    <w:rsid w:val="00195DA8"/>
    <w:rsid w:val="00196D9F"/>
    <w:rsid w:val="001A33E2"/>
    <w:rsid w:val="001A6F86"/>
    <w:rsid w:val="001B24BB"/>
    <w:rsid w:val="001B3B41"/>
    <w:rsid w:val="001C36EE"/>
    <w:rsid w:val="001C3EF5"/>
    <w:rsid w:val="001D033E"/>
    <w:rsid w:val="001E1BC5"/>
    <w:rsid w:val="001E669E"/>
    <w:rsid w:val="001E7DF9"/>
    <w:rsid w:val="00202A73"/>
    <w:rsid w:val="00204CF7"/>
    <w:rsid w:val="00214604"/>
    <w:rsid w:val="00215E8B"/>
    <w:rsid w:val="00215ED4"/>
    <w:rsid w:val="00216793"/>
    <w:rsid w:val="00216810"/>
    <w:rsid w:val="00225251"/>
    <w:rsid w:val="0022657A"/>
    <w:rsid w:val="00251B58"/>
    <w:rsid w:val="00252D61"/>
    <w:rsid w:val="0026290E"/>
    <w:rsid w:val="0026661A"/>
    <w:rsid w:val="00281339"/>
    <w:rsid w:val="00282E8E"/>
    <w:rsid w:val="002858B5"/>
    <w:rsid w:val="002863DA"/>
    <w:rsid w:val="002874A4"/>
    <w:rsid w:val="00291FCD"/>
    <w:rsid w:val="002960A6"/>
    <w:rsid w:val="002B292C"/>
    <w:rsid w:val="002B6747"/>
    <w:rsid w:val="002C0622"/>
    <w:rsid w:val="002C7A17"/>
    <w:rsid w:val="002D04D4"/>
    <w:rsid w:val="002D57D8"/>
    <w:rsid w:val="002F4575"/>
    <w:rsid w:val="002F56EF"/>
    <w:rsid w:val="003013F0"/>
    <w:rsid w:val="0031160E"/>
    <w:rsid w:val="00325FDA"/>
    <w:rsid w:val="00330003"/>
    <w:rsid w:val="00332622"/>
    <w:rsid w:val="003326EF"/>
    <w:rsid w:val="00335AA4"/>
    <w:rsid w:val="00337BD9"/>
    <w:rsid w:val="00340ABB"/>
    <w:rsid w:val="00352A82"/>
    <w:rsid w:val="00356DC9"/>
    <w:rsid w:val="00361983"/>
    <w:rsid w:val="0036263D"/>
    <w:rsid w:val="0036435F"/>
    <w:rsid w:val="00366FE5"/>
    <w:rsid w:val="0037006C"/>
    <w:rsid w:val="00374BEB"/>
    <w:rsid w:val="00381A04"/>
    <w:rsid w:val="00383FD8"/>
    <w:rsid w:val="003866F5"/>
    <w:rsid w:val="003923B8"/>
    <w:rsid w:val="003A47A1"/>
    <w:rsid w:val="003B5E00"/>
    <w:rsid w:val="003C6C47"/>
    <w:rsid w:val="003C6D14"/>
    <w:rsid w:val="003C7BCD"/>
    <w:rsid w:val="003E5B2C"/>
    <w:rsid w:val="003F3FBD"/>
    <w:rsid w:val="003F4B71"/>
    <w:rsid w:val="003F70D9"/>
    <w:rsid w:val="003F7494"/>
    <w:rsid w:val="004032A5"/>
    <w:rsid w:val="00406FE9"/>
    <w:rsid w:val="00411445"/>
    <w:rsid w:val="0041354F"/>
    <w:rsid w:val="00422CA0"/>
    <w:rsid w:val="00427D67"/>
    <w:rsid w:val="00430C19"/>
    <w:rsid w:val="00434E63"/>
    <w:rsid w:val="00436B13"/>
    <w:rsid w:val="00437DC1"/>
    <w:rsid w:val="00441BA5"/>
    <w:rsid w:val="004559BF"/>
    <w:rsid w:val="00457C09"/>
    <w:rsid w:val="00461769"/>
    <w:rsid w:val="00461C7A"/>
    <w:rsid w:val="00464E31"/>
    <w:rsid w:val="00473D42"/>
    <w:rsid w:val="004766FD"/>
    <w:rsid w:val="0048335E"/>
    <w:rsid w:val="00487FD8"/>
    <w:rsid w:val="00491739"/>
    <w:rsid w:val="004932DF"/>
    <w:rsid w:val="00495AE2"/>
    <w:rsid w:val="00496555"/>
    <w:rsid w:val="004A0D87"/>
    <w:rsid w:val="004A5B7C"/>
    <w:rsid w:val="004B7368"/>
    <w:rsid w:val="004C42AB"/>
    <w:rsid w:val="004C5A8E"/>
    <w:rsid w:val="004C6533"/>
    <w:rsid w:val="004D0815"/>
    <w:rsid w:val="004D64DF"/>
    <w:rsid w:val="004E39C5"/>
    <w:rsid w:val="004E532E"/>
    <w:rsid w:val="004E5776"/>
    <w:rsid w:val="004F4626"/>
    <w:rsid w:val="004F52B6"/>
    <w:rsid w:val="00502AE9"/>
    <w:rsid w:val="005048CA"/>
    <w:rsid w:val="00510556"/>
    <w:rsid w:val="00513319"/>
    <w:rsid w:val="005165C3"/>
    <w:rsid w:val="00522E29"/>
    <w:rsid w:val="0052519F"/>
    <w:rsid w:val="00525746"/>
    <w:rsid w:val="00527954"/>
    <w:rsid w:val="005422F8"/>
    <w:rsid w:val="00543840"/>
    <w:rsid w:val="005446A8"/>
    <w:rsid w:val="00546431"/>
    <w:rsid w:val="005577E8"/>
    <w:rsid w:val="0056253A"/>
    <w:rsid w:val="005631E9"/>
    <w:rsid w:val="0056414A"/>
    <w:rsid w:val="00564ABD"/>
    <w:rsid w:val="00565CC6"/>
    <w:rsid w:val="00573DF2"/>
    <w:rsid w:val="005825C8"/>
    <w:rsid w:val="005838E7"/>
    <w:rsid w:val="0058514A"/>
    <w:rsid w:val="00590381"/>
    <w:rsid w:val="00590773"/>
    <w:rsid w:val="005A0162"/>
    <w:rsid w:val="005A3056"/>
    <w:rsid w:val="005A572C"/>
    <w:rsid w:val="005C0AAE"/>
    <w:rsid w:val="005D2149"/>
    <w:rsid w:val="005D2FF3"/>
    <w:rsid w:val="005E038E"/>
    <w:rsid w:val="005E3373"/>
    <w:rsid w:val="005E4031"/>
    <w:rsid w:val="005F3852"/>
    <w:rsid w:val="005F6BA9"/>
    <w:rsid w:val="00602A61"/>
    <w:rsid w:val="0061564C"/>
    <w:rsid w:val="006208BB"/>
    <w:rsid w:val="00624901"/>
    <w:rsid w:val="00634BBD"/>
    <w:rsid w:val="00645A11"/>
    <w:rsid w:val="006535C3"/>
    <w:rsid w:val="0065735B"/>
    <w:rsid w:val="00657E6D"/>
    <w:rsid w:val="006608A7"/>
    <w:rsid w:val="00670C4F"/>
    <w:rsid w:val="006777CC"/>
    <w:rsid w:val="006810D6"/>
    <w:rsid w:val="00684704"/>
    <w:rsid w:val="0068797E"/>
    <w:rsid w:val="00693917"/>
    <w:rsid w:val="006939B7"/>
    <w:rsid w:val="006A1A77"/>
    <w:rsid w:val="006A7349"/>
    <w:rsid w:val="006C153E"/>
    <w:rsid w:val="006D2734"/>
    <w:rsid w:val="006D36B5"/>
    <w:rsid w:val="006D62B7"/>
    <w:rsid w:val="006E65CB"/>
    <w:rsid w:val="006E7BCB"/>
    <w:rsid w:val="006F6961"/>
    <w:rsid w:val="006F7641"/>
    <w:rsid w:val="00710FC2"/>
    <w:rsid w:val="00711E37"/>
    <w:rsid w:val="0071215D"/>
    <w:rsid w:val="0071404E"/>
    <w:rsid w:val="00716BC2"/>
    <w:rsid w:val="00737382"/>
    <w:rsid w:val="00740C18"/>
    <w:rsid w:val="0074122A"/>
    <w:rsid w:val="007424F2"/>
    <w:rsid w:val="007454BB"/>
    <w:rsid w:val="007475F0"/>
    <w:rsid w:val="00747894"/>
    <w:rsid w:val="0075411A"/>
    <w:rsid w:val="00762B35"/>
    <w:rsid w:val="00763A44"/>
    <w:rsid w:val="00764A82"/>
    <w:rsid w:val="00766DEE"/>
    <w:rsid w:val="007726A2"/>
    <w:rsid w:val="00781D27"/>
    <w:rsid w:val="00787C52"/>
    <w:rsid w:val="00794D15"/>
    <w:rsid w:val="007A1DAB"/>
    <w:rsid w:val="007A56B0"/>
    <w:rsid w:val="007B0EC2"/>
    <w:rsid w:val="007B3E4F"/>
    <w:rsid w:val="007B5621"/>
    <w:rsid w:val="007B56F5"/>
    <w:rsid w:val="007B79D8"/>
    <w:rsid w:val="007D6725"/>
    <w:rsid w:val="007E1092"/>
    <w:rsid w:val="007E4179"/>
    <w:rsid w:val="007F438E"/>
    <w:rsid w:val="007F572C"/>
    <w:rsid w:val="007F5FCC"/>
    <w:rsid w:val="007F71BB"/>
    <w:rsid w:val="007F7FFC"/>
    <w:rsid w:val="00801455"/>
    <w:rsid w:val="00805A69"/>
    <w:rsid w:val="00811CAA"/>
    <w:rsid w:val="008125A4"/>
    <w:rsid w:val="00813909"/>
    <w:rsid w:val="00816447"/>
    <w:rsid w:val="00817EEF"/>
    <w:rsid w:val="00822747"/>
    <w:rsid w:val="00822D7C"/>
    <w:rsid w:val="00825DB7"/>
    <w:rsid w:val="00826398"/>
    <w:rsid w:val="00830B9B"/>
    <w:rsid w:val="00832803"/>
    <w:rsid w:val="00840F19"/>
    <w:rsid w:val="00841156"/>
    <w:rsid w:val="008412E7"/>
    <w:rsid w:val="00843DAE"/>
    <w:rsid w:val="0085275A"/>
    <w:rsid w:val="00852FA2"/>
    <w:rsid w:val="008606F3"/>
    <w:rsid w:val="0086104A"/>
    <w:rsid w:val="00861951"/>
    <w:rsid w:val="00862F8F"/>
    <w:rsid w:val="00864EBA"/>
    <w:rsid w:val="00875AFE"/>
    <w:rsid w:val="008809BD"/>
    <w:rsid w:val="00880C0B"/>
    <w:rsid w:val="00882F0A"/>
    <w:rsid w:val="0088404F"/>
    <w:rsid w:val="00887FE7"/>
    <w:rsid w:val="0089036C"/>
    <w:rsid w:val="008938E7"/>
    <w:rsid w:val="008A26B5"/>
    <w:rsid w:val="008A42C6"/>
    <w:rsid w:val="008A737A"/>
    <w:rsid w:val="008A74A8"/>
    <w:rsid w:val="008B1882"/>
    <w:rsid w:val="008B512C"/>
    <w:rsid w:val="008C04BC"/>
    <w:rsid w:val="008C4857"/>
    <w:rsid w:val="008C6F47"/>
    <w:rsid w:val="008C767A"/>
    <w:rsid w:val="008D018A"/>
    <w:rsid w:val="008D1EFB"/>
    <w:rsid w:val="008D4325"/>
    <w:rsid w:val="008E34CF"/>
    <w:rsid w:val="008E5E6D"/>
    <w:rsid w:val="008F3E49"/>
    <w:rsid w:val="008F6ADF"/>
    <w:rsid w:val="00901ABE"/>
    <w:rsid w:val="00902903"/>
    <w:rsid w:val="00917594"/>
    <w:rsid w:val="00923C43"/>
    <w:rsid w:val="009256D7"/>
    <w:rsid w:val="00926059"/>
    <w:rsid w:val="00932750"/>
    <w:rsid w:val="00937C4F"/>
    <w:rsid w:val="00950F30"/>
    <w:rsid w:val="00955A76"/>
    <w:rsid w:val="00956E70"/>
    <w:rsid w:val="0096327F"/>
    <w:rsid w:val="0096361A"/>
    <w:rsid w:val="00965A9A"/>
    <w:rsid w:val="00967628"/>
    <w:rsid w:val="00973918"/>
    <w:rsid w:val="00974E06"/>
    <w:rsid w:val="00975250"/>
    <w:rsid w:val="0098586F"/>
    <w:rsid w:val="00987715"/>
    <w:rsid w:val="00996CBB"/>
    <w:rsid w:val="009A11EB"/>
    <w:rsid w:val="009B2EBE"/>
    <w:rsid w:val="009C3E99"/>
    <w:rsid w:val="009D052A"/>
    <w:rsid w:val="009D0CE5"/>
    <w:rsid w:val="009D0E0E"/>
    <w:rsid w:val="009D102C"/>
    <w:rsid w:val="009D2959"/>
    <w:rsid w:val="009D3E25"/>
    <w:rsid w:val="009D417A"/>
    <w:rsid w:val="009D63BB"/>
    <w:rsid w:val="009E62B5"/>
    <w:rsid w:val="009F2239"/>
    <w:rsid w:val="009F24C2"/>
    <w:rsid w:val="009F7AA9"/>
    <w:rsid w:val="00A00E38"/>
    <w:rsid w:val="00A02387"/>
    <w:rsid w:val="00A0349A"/>
    <w:rsid w:val="00A0393D"/>
    <w:rsid w:val="00A210EF"/>
    <w:rsid w:val="00A21C1A"/>
    <w:rsid w:val="00A22DD0"/>
    <w:rsid w:val="00A31287"/>
    <w:rsid w:val="00A318A5"/>
    <w:rsid w:val="00A41D4C"/>
    <w:rsid w:val="00A4510B"/>
    <w:rsid w:val="00A50952"/>
    <w:rsid w:val="00A57312"/>
    <w:rsid w:val="00A6106B"/>
    <w:rsid w:val="00A6158F"/>
    <w:rsid w:val="00A64418"/>
    <w:rsid w:val="00A64773"/>
    <w:rsid w:val="00A722CF"/>
    <w:rsid w:val="00A80A27"/>
    <w:rsid w:val="00A902B7"/>
    <w:rsid w:val="00A905EF"/>
    <w:rsid w:val="00A94561"/>
    <w:rsid w:val="00A97E49"/>
    <w:rsid w:val="00AA0685"/>
    <w:rsid w:val="00AA29AA"/>
    <w:rsid w:val="00AA71E8"/>
    <w:rsid w:val="00AA7EEF"/>
    <w:rsid w:val="00AB12C2"/>
    <w:rsid w:val="00AB25D9"/>
    <w:rsid w:val="00AB2F97"/>
    <w:rsid w:val="00AB6FBB"/>
    <w:rsid w:val="00AC1D61"/>
    <w:rsid w:val="00AC5902"/>
    <w:rsid w:val="00AC668D"/>
    <w:rsid w:val="00AD4347"/>
    <w:rsid w:val="00AD4F41"/>
    <w:rsid w:val="00AE204B"/>
    <w:rsid w:val="00AE32AB"/>
    <w:rsid w:val="00AE4D35"/>
    <w:rsid w:val="00AE7ECA"/>
    <w:rsid w:val="00AF18AA"/>
    <w:rsid w:val="00AF39DB"/>
    <w:rsid w:val="00AF7C97"/>
    <w:rsid w:val="00AF7D9C"/>
    <w:rsid w:val="00B02698"/>
    <w:rsid w:val="00B0627C"/>
    <w:rsid w:val="00B07DB0"/>
    <w:rsid w:val="00B124D2"/>
    <w:rsid w:val="00B15C94"/>
    <w:rsid w:val="00B15E45"/>
    <w:rsid w:val="00B25927"/>
    <w:rsid w:val="00B36936"/>
    <w:rsid w:val="00B407A6"/>
    <w:rsid w:val="00B41E3C"/>
    <w:rsid w:val="00B44E09"/>
    <w:rsid w:val="00B53F89"/>
    <w:rsid w:val="00B56AFC"/>
    <w:rsid w:val="00B57B78"/>
    <w:rsid w:val="00B71C1D"/>
    <w:rsid w:val="00B73FE0"/>
    <w:rsid w:val="00B862EF"/>
    <w:rsid w:val="00B8645A"/>
    <w:rsid w:val="00B90C92"/>
    <w:rsid w:val="00BB1436"/>
    <w:rsid w:val="00BB23D5"/>
    <w:rsid w:val="00BB49B5"/>
    <w:rsid w:val="00BB49C3"/>
    <w:rsid w:val="00BB7094"/>
    <w:rsid w:val="00BC1643"/>
    <w:rsid w:val="00BC5F35"/>
    <w:rsid w:val="00BC65DF"/>
    <w:rsid w:val="00BC7F68"/>
    <w:rsid w:val="00BD3B5C"/>
    <w:rsid w:val="00BE08F0"/>
    <w:rsid w:val="00BE1D82"/>
    <w:rsid w:val="00BF0670"/>
    <w:rsid w:val="00BF0BF8"/>
    <w:rsid w:val="00BF25B5"/>
    <w:rsid w:val="00C03E09"/>
    <w:rsid w:val="00C06E98"/>
    <w:rsid w:val="00C11C55"/>
    <w:rsid w:val="00C17CA9"/>
    <w:rsid w:val="00C20248"/>
    <w:rsid w:val="00C20C08"/>
    <w:rsid w:val="00C2259C"/>
    <w:rsid w:val="00C25B6E"/>
    <w:rsid w:val="00C3033E"/>
    <w:rsid w:val="00C315D9"/>
    <w:rsid w:val="00C45151"/>
    <w:rsid w:val="00C720D1"/>
    <w:rsid w:val="00C728A7"/>
    <w:rsid w:val="00C73082"/>
    <w:rsid w:val="00C732DC"/>
    <w:rsid w:val="00C746D2"/>
    <w:rsid w:val="00C7555D"/>
    <w:rsid w:val="00C774C3"/>
    <w:rsid w:val="00C86E9B"/>
    <w:rsid w:val="00C918CD"/>
    <w:rsid w:val="00C93312"/>
    <w:rsid w:val="00C9390A"/>
    <w:rsid w:val="00C9614F"/>
    <w:rsid w:val="00CA307A"/>
    <w:rsid w:val="00CB6416"/>
    <w:rsid w:val="00CC0A42"/>
    <w:rsid w:val="00CC0BD1"/>
    <w:rsid w:val="00CC1315"/>
    <w:rsid w:val="00CC295B"/>
    <w:rsid w:val="00CD0691"/>
    <w:rsid w:val="00CD43E9"/>
    <w:rsid w:val="00CD776E"/>
    <w:rsid w:val="00CE032C"/>
    <w:rsid w:val="00CE484E"/>
    <w:rsid w:val="00CF6A60"/>
    <w:rsid w:val="00D1427C"/>
    <w:rsid w:val="00D17602"/>
    <w:rsid w:val="00D211B9"/>
    <w:rsid w:val="00D24C72"/>
    <w:rsid w:val="00D26FBF"/>
    <w:rsid w:val="00D335DE"/>
    <w:rsid w:val="00D42982"/>
    <w:rsid w:val="00D46127"/>
    <w:rsid w:val="00D46B04"/>
    <w:rsid w:val="00D50D8E"/>
    <w:rsid w:val="00D50FE4"/>
    <w:rsid w:val="00D5155B"/>
    <w:rsid w:val="00D60A94"/>
    <w:rsid w:val="00D61180"/>
    <w:rsid w:val="00D63E6C"/>
    <w:rsid w:val="00D66A52"/>
    <w:rsid w:val="00D66BA1"/>
    <w:rsid w:val="00D71A97"/>
    <w:rsid w:val="00D73A17"/>
    <w:rsid w:val="00D80EA2"/>
    <w:rsid w:val="00D957A4"/>
    <w:rsid w:val="00D96EF1"/>
    <w:rsid w:val="00DA474E"/>
    <w:rsid w:val="00DA560F"/>
    <w:rsid w:val="00DB6826"/>
    <w:rsid w:val="00DD1D4A"/>
    <w:rsid w:val="00DD27F4"/>
    <w:rsid w:val="00DE129F"/>
    <w:rsid w:val="00DE57CF"/>
    <w:rsid w:val="00DE6D4F"/>
    <w:rsid w:val="00DF0834"/>
    <w:rsid w:val="00DF275F"/>
    <w:rsid w:val="00E01D7A"/>
    <w:rsid w:val="00E03CE4"/>
    <w:rsid w:val="00E10BB6"/>
    <w:rsid w:val="00E1492B"/>
    <w:rsid w:val="00E178BD"/>
    <w:rsid w:val="00E230A1"/>
    <w:rsid w:val="00E233CB"/>
    <w:rsid w:val="00E23F7F"/>
    <w:rsid w:val="00E2503E"/>
    <w:rsid w:val="00E25F46"/>
    <w:rsid w:val="00E32DA1"/>
    <w:rsid w:val="00E35825"/>
    <w:rsid w:val="00E42A9F"/>
    <w:rsid w:val="00E5014F"/>
    <w:rsid w:val="00E53C33"/>
    <w:rsid w:val="00E5465E"/>
    <w:rsid w:val="00E547FA"/>
    <w:rsid w:val="00E55A91"/>
    <w:rsid w:val="00E608D2"/>
    <w:rsid w:val="00E61343"/>
    <w:rsid w:val="00E6290C"/>
    <w:rsid w:val="00E62D72"/>
    <w:rsid w:val="00E67EDA"/>
    <w:rsid w:val="00E71B0C"/>
    <w:rsid w:val="00E7525F"/>
    <w:rsid w:val="00E76858"/>
    <w:rsid w:val="00E77683"/>
    <w:rsid w:val="00E84036"/>
    <w:rsid w:val="00E851D0"/>
    <w:rsid w:val="00E855E9"/>
    <w:rsid w:val="00E86E82"/>
    <w:rsid w:val="00E90E21"/>
    <w:rsid w:val="00E961D4"/>
    <w:rsid w:val="00E96983"/>
    <w:rsid w:val="00EA4082"/>
    <w:rsid w:val="00EA5997"/>
    <w:rsid w:val="00EB1AA3"/>
    <w:rsid w:val="00EB21D6"/>
    <w:rsid w:val="00EB68F3"/>
    <w:rsid w:val="00EC1AC2"/>
    <w:rsid w:val="00EC5269"/>
    <w:rsid w:val="00EC6425"/>
    <w:rsid w:val="00EC73C3"/>
    <w:rsid w:val="00ED1145"/>
    <w:rsid w:val="00ED4C02"/>
    <w:rsid w:val="00ED68BD"/>
    <w:rsid w:val="00EE2431"/>
    <w:rsid w:val="00EE790C"/>
    <w:rsid w:val="00EF559C"/>
    <w:rsid w:val="00EF5EE2"/>
    <w:rsid w:val="00F04EC0"/>
    <w:rsid w:val="00F06326"/>
    <w:rsid w:val="00F116EE"/>
    <w:rsid w:val="00F12918"/>
    <w:rsid w:val="00F14B8D"/>
    <w:rsid w:val="00F1596E"/>
    <w:rsid w:val="00F16A1F"/>
    <w:rsid w:val="00F26949"/>
    <w:rsid w:val="00F3206C"/>
    <w:rsid w:val="00F405F1"/>
    <w:rsid w:val="00F41076"/>
    <w:rsid w:val="00F42917"/>
    <w:rsid w:val="00F45070"/>
    <w:rsid w:val="00F47E06"/>
    <w:rsid w:val="00F576D6"/>
    <w:rsid w:val="00F64EA5"/>
    <w:rsid w:val="00F72262"/>
    <w:rsid w:val="00F77188"/>
    <w:rsid w:val="00F94221"/>
    <w:rsid w:val="00F948FE"/>
    <w:rsid w:val="00F96A0A"/>
    <w:rsid w:val="00F96EEF"/>
    <w:rsid w:val="00FA07C0"/>
    <w:rsid w:val="00FA23F2"/>
    <w:rsid w:val="00FB2B1E"/>
    <w:rsid w:val="00FB47FB"/>
    <w:rsid w:val="00FC48DC"/>
    <w:rsid w:val="00FC4FDE"/>
    <w:rsid w:val="00FD0808"/>
    <w:rsid w:val="00FD10CA"/>
    <w:rsid w:val="00FF5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04EE3"/>
  <w15:docId w15:val="{102E0369-6AE6-451D-B173-962592D8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1AB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543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422F8"/>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01ABE"/>
    <w:pPr>
      <w:tabs>
        <w:tab w:val="center" w:pos="4536"/>
        <w:tab w:val="right" w:pos="9072"/>
      </w:tabs>
    </w:pPr>
  </w:style>
  <w:style w:type="character" w:customStyle="1" w:styleId="ZpatChar">
    <w:name w:val="Zápatí Char"/>
    <w:basedOn w:val="Standardnpsmoodstavce"/>
    <w:link w:val="Zpat"/>
    <w:rsid w:val="00901ABE"/>
    <w:rPr>
      <w:rFonts w:ascii="Times New Roman" w:eastAsia="Times New Roman" w:hAnsi="Times New Roman" w:cs="Times New Roman"/>
      <w:sz w:val="24"/>
      <w:szCs w:val="24"/>
      <w:lang w:eastAsia="cs-CZ"/>
    </w:rPr>
  </w:style>
  <w:style w:type="character" w:styleId="slostrnky">
    <w:name w:val="page number"/>
    <w:basedOn w:val="Standardnpsmoodstavce"/>
    <w:rsid w:val="00901ABE"/>
  </w:style>
  <w:style w:type="character" w:styleId="Odkaznakoment">
    <w:name w:val="annotation reference"/>
    <w:basedOn w:val="Standardnpsmoodstavce"/>
    <w:uiPriority w:val="99"/>
    <w:semiHidden/>
    <w:unhideWhenUsed/>
    <w:rsid w:val="0037006C"/>
    <w:rPr>
      <w:sz w:val="16"/>
      <w:szCs w:val="16"/>
    </w:rPr>
  </w:style>
  <w:style w:type="paragraph" w:styleId="Textkomente">
    <w:name w:val="annotation text"/>
    <w:basedOn w:val="Normln"/>
    <w:link w:val="TextkomenteChar"/>
    <w:uiPriority w:val="99"/>
    <w:unhideWhenUsed/>
    <w:rsid w:val="0037006C"/>
    <w:rPr>
      <w:sz w:val="20"/>
      <w:szCs w:val="20"/>
    </w:rPr>
  </w:style>
  <w:style w:type="character" w:customStyle="1" w:styleId="TextkomenteChar">
    <w:name w:val="Text komentáře Char"/>
    <w:basedOn w:val="Standardnpsmoodstavce"/>
    <w:link w:val="Textkomente"/>
    <w:uiPriority w:val="99"/>
    <w:rsid w:val="0037006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006C"/>
    <w:rPr>
      <w:b/>
      <w:bCs/>
    </w:rPr>
  </w:style>
  <w:style w:type="character" w:customStyle="1" w:styleId="PedmtkomenteChar">
    <w:name w:val="Předmět komentáře Char"/>
    <w:basedOn w:val="TextkomenteChar"/>
    <w:link w:val="Pedmtkomente"/>
    <w:uiPriority w:val="99"/>
    <w:semiHidden/>
    <w:rsid w:val="0037006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7006C"/>
    <w:rPr>
      <w:rFonts w:ascii="Tahoma" w:hAnsi="Tahoma" w:cs="Tahoma"/>
      <w:sz w:val="16"/>
      <w:szCs w:val="16"/>
    </w:rPr>
  </w:style>
  <w:style w:type="character" w:customStyle="1" w:styleId="TextbublinyChar">
    <w:name w:val="Text bubliny Char"/>
    <w:basedOn w:val="Standardnpsmoodstavce"/>
    <w:link w:val="Textbubliny"/>
    <w:uiPriority w:val="99"/>
    <w:semiHidden/>
    <w:rsid w:val="0037006C"/>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37006C"/>
    <w:rPr>
      <w:color w:val="0000FF" w:themeColor="hyperlink"/>
      <w:u w:val="single"/>
    </w:rPr>
  </w:style>
  <w:style w:type="paragraph" w:styleId="Odstavecseseznamem">
    <w:name w:val="List Paragraph"/>
    <w:aliases w:val="Numbered List Paragraph,Numbered Paragraph,Main numbered paragraph,List Paragraph1,Normal bullet 2,Table of contents numbered,body 2,List_Paragraph,Multilevel para_II,List1,Dot pt,F5 List Paragraph,List Paragraph (numbered (a)),Nad"/>
    <w:basedOn w:val="Normln"/>
    <w:link w:val="OdstavecseseznamemChar"/>
    <w:uiPriority w:val="34"/>
    <w:qFormat/>
    <w:rsid w:val="00E23F7F"/>
    <w:pPr>
      <w:ind w:left="720"/>
      <w:contextualSpacing/>
    </w:pPr>
  </w:style>
  <w:style w:type="paragraph" w:styleId="Zkladntextodsazen">
    <w:name w:val="Body Text Indent"/>
    <w:basedOn w:val="Normln"/>
    <w:link w:val="ZkladntextodsazenChar"/>
    <w:semiHidden/>
    <w:rsid w:val="00E23F7F"/>
    <w:pPr>
      <w:ind w:firstLine="284"/>
    </w:pPr>
    <w:rPr>
      <w:szCs w:val="20"/>
    </w:rPr>
  </w:style>
  <w:style w:type="character" w:customStyle="1" w:styleId="ZkladntextodsazenChar">
    <w:name w:val="Základní text odsazený Char"/>
    <w:basedOn w:val="Standardnpsmoodstavce"/>
    <w:link w:val="Zkladntextodsazen"/>
    <w:semiHidden/>
    <w:rsid w:val="00E23F7F"/>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543840"/>
    <w:rPr>
      <w:rFonts w:asciiTheme="majorHAnsi" w:eastAsiaTheme="majorEastAsia" w:hAnsiTheme="majorHAnsi" w:cstheme="majorBidi"/>
      <w:b/>
      <w:bCs/>
      <w:color w:val="4F81BD" w:themeColor="accent1"/>
      <w:sz w:val="26"/>
      <w:szCs w:val="26"/>
      <w:lang w:eastAsia="cs-CZ"/>
    </w:rPr>
  </w:style>
  <w:style w:type="character" w:styleId="Znakapoznpodarou">
    <w:name w:val="footnote reference"/>
    <w:basedOn w:val="Standardnpsmoodstavce"/>
    <w:uiPriority w:val="99"/>
    <w:semiHidden/>
    <w:rsid w:val="005F6BA9"/>
    <w:rPr>
      <w:rFonts w:cs="Times New Roman"/>
      <w:vertAlign w:val="superscript"/>
    </w:rPr>
  </w:style>
  <w:style w:type="character" w:customStyle="1" w:styleId="Nevyeenzmnka1">
    <w:name w:val="Nevyřešená zmínka1"/>
    <w:basedOn w:val="Standardnpsmoodstavce"/>
    <w:uiPriority w:val="99"/>
    <w:semiHidden/>
    <w:unhideWhenUsed/>
    <w:rsid w:val="00F94221"/>
    <w:rPr>
      <w:color w:val="605E5C"/>
      <w:shd w:val="clear" w:color="auto" w:fill="E1DFDD"/>
    </w:rPr>
  </w:style>
  <w:style w:type="paragraph" w:customStyle="1" w:styleId="xmsonormal">
    <w:name w:val="x_msonormal"/>
    <w:basedOn w:val="Normln"/>
    <w:rsid w:val="007E4179"/>
    <w:pPr>
      <w:spacing w:before="100" w:beforeAutospacing="1" w:after="100" w:afterAutospacing="1"/>
    </w:pPr>
  </w:style>
  <w:style w:type="paragraph" w:customStyle="1" w:styleId="xmsolistparagraph">
    <w:name w:val="x_msolistparagraph"/>
    <w:basedOn w:val="Normln"/>
    <w:rsid w:val="007E4179"/>
    <w:pPr>
      <w:spacing w:before="100" w:beforeAutospacing="1" w:after="100" w:afterAutospacing="1"/>
    </w:pPr>
  </w:style>
  <w:style w:type="paragraph" w:styleId="Normlnweb">
    <w:name w:val="Normal (Web)"/>
    <w:basedOn w:val="Normln"/>
    <w:uiPriority w:val="99"/>
    <w:semiHidden/>
    <w:unhideWhenUsed/>
    <w:rsid w:val="00E76858"/>
    <w:pPr>
      <w:spacing w:before="100" w:beforeAutospacing="1" w:after="100" w:afterAutospacing="1"/>
    </w:pPr>
    <w:rPr>
      <w:rFonts w:ascii="Calibri" w:eastAsiaTheme="minorHAnsi" w:hAnsi="Calibri" w:cs="Calibri"/>
      <w:sz w:val="22"/>
      <w:szCs w:val="22"/>
    </w:rPr>
  </w:style>
  <w:style w:type="paragraph" w:customStyle="1" w:styleId="NormalConseil">
    <w:name w:val="NormalConseil"/>
    <w:basedOn w:val="Normln"/>
    <w:rsid w:val="00CC295B"/>
    <w:rPr>
      <w:szCs w:val="20"/>
      <w:lang w:val="en-GB" w:eastAsia="fr-BE"/>
    </w:rPr>
  </w:style>
  <w:style w:type="paragraph" w:styleId="Zkladntext">
    <w:name w:val="Body Text"/>
    <w:basedOn w:val="Normln"/>
    <w:link w:val="ZkladntextChar"/>
    <w:uiPriority w:val="99"/>
    <w:semiHidden/>
    <w:unhideWhenUsed/>
    <w:rsid w:val="00CC295B"/>
    <w:pPr>
      <w:spacing w:after="120"/>
    </w:pPr>
  </w:style>
  <w:style w:type="character" w:customStyle="1" w:styleId="ZkladntextChar">
    <w:name w:val="Základní text Char"/>
    <w:basedOn w:val="Standardnpsmoodstavce"/>
    <w:link w:val="Zkladntext"/>
    <w:uiPriority w:val="99"/>
    <w:semiHidden/>
    <w:rsid w:val="00CC295B"/>
    <w:rPr>
      <w:rFonts w:ascii="Times New Roman" w:eastAsia="Times New Roman" w:hAnsi="Times New Roman" w:cs="Times New Roman"/>
      <w:sz w:val="24"/>
      <w:szCs w:val="24"/>
      <w:lang w:eastAsia="cs-CZ"/>
    </w:rPr>
  </w:style>
  <w:style w:type="paragraph" w:customStyle="1" w:styleId="Default">
    <w:name w:val="Default"/>
    <w:rsid w:val="00CC29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Point1">
    <w:name w:val="Point 1"/>
    <w:basedOn w:val="Normln"/>
    <w:rsid w:val="006810D6"/>
    <w:pPr>
      <w:spacing w:before="120" w:after="120"/>
      <w:ind w:left="1417" w:hanging="567"/>
      <w:jc w:val="both"/>
    </w:pPr>
    <w:rPr>
      <w:rFonts w:eastAsiaTheme="minorHAnsi"/>
      <w:szCs w:val="22"/>
      <w:lang w:eastAsia="en-US"/>
    </w:rPr>
  </w:style>
  <w:style w:type="paragraph" w:styleId="Textpoznpodarou">
    <w:name w:val="footnote text"/>
    <w:basedOn w:val="Normln"/>
    <w:link w:val="TextpoznpodarouChar"/>
    <w:uiPriority w:val="99"/>
    <w:semiHidden/>
    <w:unhideWhenUsed/>
    <w:rsid w:val="00BF0BF8"/>
    <w:pPr>
      <w:ind w:left="720" w:hanging="720"/>
      <w:jc w:val="both"/>
    </w:pPr>
    <w:rPr>
      <w:rFonts w:eastAsiaTheme="minorHAnsi"/>
      <w:sz w:val="20"/>
      <w:szCs w:val="20"/>
      <w:lang w:eastAsia="en-US"/>
    </w:rPr>
  </w:style>
  <w:style w:type="character" w:customStyle="1" w:styleId="TextpoznpodarouChar">
    <w:name w:val="Text pozn. pod čarou Char"/>
    <w:basedOn w:val="Standardnpsmoodstavce"/>
    <w:link w:val="Textpoznpodarou"/>
    <w:uiPriority w:val="99"/>
    <w:semiHidden/>
    <w:rsid w:val="00BF0BF8"/>
    <w:rPr>
      <w:rFonts w:ascii="Times New Roman" w:hAnsi="Times New Roman" w:cs="Times New Roman"/>
      <w:sz w:val="20"/>
      <w:szCs w:val="20"/>
    </w:rPr>
  </w:style>
  <w:style w:type="paragraph" w:customStyle="1" w:styleId="Point0">
    <w:name w:val="Point 0"/>
    <w:basedOn w:val="Normln"/>
    <w:rsid w:val="005A572C"/>
    <w:pPr>
      <w:spacing w:before="120" w:after="120"/>
      <w:ind w:left="850" w:hanging="850"/>
      <w:jc w:val="both"/>
    </w:pPr>
    <w:rPr>
      <w:rFonts w:eastAsiaTheme="minorHAnsi"/>
      <w:szCs w:val="22"/>
      <w:lang w:eastAsia="en-US"/>
    </w:rPr>
  </w:style>
  <w:style w:type="paragraph" w:styleId="Revize">
    <w:name w:val="Revision"/>
    <w:hidden/>
    <w:uiPriority w:val="99"/>
    <w:semiHidden/>
    <w:rsid w:val="001A33E2"/>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umbered List Paragraph Char,Numbered Paragraph Char,Main numbered paragraph Char,List Paragraph1 Char,Normal bullet 2 Char,Table of contents numbered Char,body 2 Char,List_Paragraph Char,Multilevel para_II Char,List1 Char"/>
    <w:link w:val="Odstavecseseznamem"/>
    <w:uiPriority w:val="34"/>
    <w:qFormat/>
    <w:locked/>
    <w:rsid w:val="00C720D1"/>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5422F8"/>
    <w:rPr>
      <w:rFonts w:asciiTheme="majorHAnsi" w:eastAsiaTheme="majorEastAsia" w:hAnsiTheme="majorHAnsi" w:cstheme="majorBidi"/>
      <w:color w:val="243F60" w:themeColor="accent1" w:themeShade="7F"/>
      <w:sz w:val="24"/>
      <w:szCs w:val="24"/>
      <w:lang w:eastAsia="cs-CZ"/>
    </w:rPr>
  </w:style>
  <w:style w:type="paragraph" w:customStyle="1" w:styleId="l6">
    <w:name w:val="l6"/>
    <w:basedOn w:val="Normln"/>
    <w:rsid w:val="005422F8"/>
    <w:pPr>
      <w:spacing w:before="100" w:beforeAutospacing="1" w:after="100" w:afterAutospacing="1"/>
    </w:pPr>
  </w:style>
  <w:style w:type="character" w:styleId="PromnnHTML">
    <w:name w:val="HTML Variable"/>
    <w:basedOn w:val="Standardnpsmoodstavce"/>
    <w:uiPriority w:val="99"/>
    <w:semiHidden/>
    <w:unhideWhenUsed/>
    <w:rsid w:val="005422F8"/>
    <w:rPr>
      <w:i/>
      <w:iCs/>
    </w:rPr>
  </w:style>
  <w:style w:type="paragraph" w:customStyle="1" w:styleId="para">
    <w:name w:val="para"/>
    <w:basedOn w:val="Normln"/>
    <w:rsid w:val="005422F8"/>
    <w:pPr>
      <w:spacing w:before="100" w:beforeAutospacing="1" w:after="100" w:afterAutospacing="1"/>
    </w:pPr>
  </w:style>
  <w:style w:type="paragraph" w:customStyle="1" w:styleId="oddil">
    <w:name w:val="oddil"/>
    <w:basedOn w:val="Normln"/>
    <w:rsid w:val="005422F8"/>
    <w:pPr>
      <w:spacing w:before="100" w:beforeAutospacing="1" w:after="100" w:afterAutospacing="1"/>
    </w:pPr>
  </w:style>
  <w:style w:type="paragraph" w:customStyle="1" w:styleId="ManualNumPar1">
    <w:name w:val="Manual NumPar 1"/>
    <w:basedOn w:val="Normln"/>
    <w:next w:val="Normln"/>
    <w:rsid w:val="00B862EF"/>
    <w:pPr>
      <w:spacing w:before="120" w:after="120"/>
      <w:ind w:left="850" w:hanging="850"/>
      <w:jc w:val="both"/>
    </w:pPr>
    <w:rPr>
      <w:rFonts w:eastAsiaTheme="minorHAnsi"/>
      <w:szCs w:val="20"/>
      <w:lang w:val="cs"/>
    </w:rPr>
  </w:style>
  <w:style w:type="paragraph" w:customStyle="1" w:styleId="ListDash1">
    <w:name w:val="List Dash 1"/>
    <w:basedOn w:val="Normln"/>
    <w:rsid w:val="00B862EF"/>
    <w:pPr>
      <w:numPr>
        <w:numId w:val="21"/>
      </w:numPr>
      <w:spacing w:before="120" w:after="120"/>
      <w:jc w:val="both"/>
    </w:pPr>
    <w:rPr>
      <w:rFonts w:eastAsiaTheme="minorHAnsi"/>
      <w:szCs w:val="20"/>
      <w:lang w:val="cs"/>
    </w:rPr>
  </w:style>
  <w:style w:type="character" w:customStyle="1" w:styleId="cf01">
    <w:name w:val="cf01"/>
    <w:basedOn w:val="Standardnpsmoodstavce"/>
    <w:rsid w:val="00162A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134">
      <w:bodyDiv w:val="1"/>
      <w:marLeft w:val="0"/>
      <w:marRight w:val="0"/>
      <w:marTop w:val="0"/>
      <w:marBottom w:val="0"/>
      <w:divBdr>
        <w:top w:val="none" w:sz="0" w:space="0" w:color="auto"/>
        <w:left w:val="none" w:sz="0" w:space="0" w:color="auto"/>
        <w:bottom w:val="none" w:sz="0" w:space="0" w:color="auto"/>
        <w:right w:val="none" w:sz="0" w:space="0" w:color="auto"/>
      </w:divBdr>
    </w:div>
    <w:div w:id="607546576">
      <w:bodyDiv w:val="1"/>
      <w:marLeft w:val="0"/>
      <w:marRight w:val="0"/>
      <w:marTop w:val="0"/>
      <w:marBottom w:val="0"/>
      <w:divBdr>
        <w:top w:val="none" w:sz="0" w:space="0" w:color="auto"/>
        <w:left w:val="none" w:sz="0" w:space="0" w:color="auto"/>
        <w:bottom w:val="none" w:sz="0" w:space="0" w:color="auto"/>
        <w:right w:val="none" w:sz="0" w:space="0" w:color="auto"/>
      </w:divBdr>
    </w:div>
    <w:div w:id="934482043">
      <w:bodyDiv w:val="1"/>
      <w:marLeft w:val="0"/>
      <w:marRight w:val="0"/>
      <w:marTop w:val="0"/>
      <w:marBottom w:val="0"/>
      <w:divBdr>
        <w:top w:val="none" w:sz="0" w:space="0" w:color="auto"/>
        <w:left w:val="none" w:sz="0" w:space="0" w:color="auto"/>
        <w:bottom w:val="none" w:sz="0" w:space="0" w:color="auto"/>
        <w:right w:val="none" w:sz="0" w:space="0" w:color="auto"/>
      </w:divBdr>
    </w:div>
    <w:div w:id="936060395">
      <w:bodyDiv w:val="1"/>
      <w:marLeft w:val="0"/>
      <w:marRight w:val="0"/>
      <w:marTop w:val="0"/>
      <w:marBottom w:val="0"/>
      <w:divBdr>
        <w:top w:val="none" w:sz="0" w:space="0" w:color="auto"/>
        <w:left w:val="none" w:sz="0" w:space="0" w:color="auto"/>
        <w:bottom w:val="none" w:sz="0" w:space="0" w:color="auto"/>
        <w:right w:val="none" w:sz="0" w:space="0" w:color="auto"/>
      </w:divBdr>
    </w:div>
    <w:div w:id="999967368">
      <w:bodyDiv w:val="1"/>
      <w:marLeft w:val="0"/>
      <w:marRight w:val="0"/>
      <w:marTop w:val="0"/>
      <w:marBottom w:val="0"/>
      <w:divBdr>
        <w:top w:val="none" w:sz="0" w:space="0" w:color="auto"/>
        <w:left w:val="none" w:sz="0" w:space="0" w:color="auto"/>
        <w:bottom w:val="none" w:sz="0" w:space="0" w:color="auto"/>
        <w:right w:val="none" w:sz="0" w:space="0" w:color="auto"/>
      </w:divBdr>
    </w:div>
    <w:div w:id="1195338872">
      <w:bodyDiv w:val="1"/>
      <w:marLeft w:val="0"/>
      <w:marRight w:val="0"/>
      <w:marTop w:val="0"/>
      <w:marBottom w:val="0"/>
      <w:divBdr>
        <w:top w:val="none" w:sz="0" w:space="0" w:color="auto"/>
        <w:left w:val="none" w:sz="0" w:space="0" w:color="auto"/>
        <w:bottom w:val="none" w:sz="0" w:space="0" w:color="auto"/>
        <w:right w:val="none" w:sz="0" w:space="0" w:color="auto"/>
      </w:divBdr>
    </w:div>
    <w:div w:id="1275555165">
      <w:bodyDiv w:val="1"/>
      <w:marLeft w:val="0"/>
      <w:marRight w:val="0"/>
      <w:marTop w:val="0"/>
      <w:marBottom w:val="0"/>
      <w:divBdr>
        <w:top w:val="none" w:sz="0" w:space="0" w:color="auto"/>
        <w:left w:val="none" w:sz="0" w:space="0" w:color="auto"/>
        <w:bottom w:val="none" w:sz="0" w:space="0" w:color="auto"/>
        <w:right w:val="none" w:sz="0" w:space="0" w:color="auto"/>
      </w:divBdr>
    </w:div>
    <w:div w:id="1313564747">
      <w:bodyDiv w:val="1"/>
      <w:marLeft w:val="0"/>
      <w:marRight w:val="0"/>
      <w:marTop w:val="0"/>
      <w:marBottom w:val="0"/>
      <w:divBdr>
        <w:top w:val="none" w:sz="0" w:space="0" w:color="auto"/>
        <w:left w:val="none" w:sz="0" w:space="0" w:color="auto"/>
        <w:bottom w:val="none" w:sz="0" w:space="0" w:color="auto"/>
        <w:right w:val="none" w:sz="0" w:space="0" w:color="auto"/>
      </w:divBdr>
    </w:div>
    <w:div w:id="1396273614">
      <w:bodyDiv w:val="1"/>
      <w:marLeft w:val="0"/>
      <w:marRight w:val="0"/>
      <w:marTop w:val="0"/>
      <w:marBottom w:val="0"/>
      <w:divBdr>
        <w:top w:val="none" w:sz="0" w:space="0" w:color="auto"/>
        <w:left w:val="none" w:sz="0" w:space="0" w:color="auto"/>
        <w:bottom w:val="none" w:sz="0" w:space="0" w:color="auto"/>
        <w:right w:val="none" w:sz="0" w:space="0" w:color="auto"/>
      </w:divBdr>
    </w:div>
    <w:div w:id="1485195319">
      <w:bodyDiv w:val="1"/>
      <w:marLeft w:val="0"/>
      <w:marRight w:val="0"/>
      <w:marTop w:val="0"/>
      <w:marBottom w:val="0"/>
      <w:divBdr>
        <w:top w:val="none" w:sz="0" w:space="0" w:color="auto"/>
        <w:left w:val="none" w:sz="0" w:space="0" w:color="auto"/>
        <w:bottom w:val="none" w:sz="0" w:space="0" w:color="auto"/>
        <w:right w:val="none" w:sz="0" w:space="0" w:color="auto"/>
      </w:divBdr>
    </w:div>
    <w:div w:id="1492332131">
      <w:bodyDiv w:val="1"/>
      <w:marLeft w:val="0"/>
      <w:marRight w:val="0"/>
      <w:marTop w:val="0"/>
      <w:marBottom w:val="0"/>
      <w:divBdr>
        <w:top w:val="none" w:sz="0" w:space="0" w:color="auto"/>
        <w:left w:val="none" w:sz="0" w:space="0" w:color="auto"/>
        <w:bottom w:val="none" w:sz="0" w:space="0" w:color="auto"/>
        <w:right w:val="none" w:sz="0" w:space="0" w:color="auto"/>
      </w:divBdr>
    </w:div>
    <w:div w:id="1513103498">
      <w:bodyDiv w:val="1"/>
      <w:marLeft w:val="0"/>
      <w:marRight w:val="0"/>
      <w:marTop w:val="0"/>
      <w:marBottom w:val="0"/>
      <w:divBdr>
        <w:top w:val="none" w:sz="0" w:space="0" w:color="auto"/>
        <w:left w:val="none" w:sz="0" w:space="0" w:color="auto"/>
        <w:bottom w:val="none" w:sz="0" w:space="0" w:color="auto"/>
        <w:right w:val="none" w:sz="0" w:space="0" w:color="auto"/>
      </w:divBdr>
    </w:div>
    <w:div w:id="1548494988">
      <w:bodyDiv w:val="1"/>
      <w:marLeft w:val="0"/>
      <w:marRight w:val="0"/>
      <w:marTop w:val="0"/>
      <w:marBottom w:val="0"/>
      <w:divBdr>
        <w:top w:val="none" w:sz="0" w:space="0" w:color="auto"/>
        <w:left w:val="none" w:sz="0" w:space="0" w:color="auto"/>
        <w:bottom w:val="none" w:sz="0" w:space="0" w:color="auto"/>
        <w:right w:val="none" w:sz="0" w:space="0" w:color="auto"/>
      </w:divBdr>
    </w:div>
    <w:div w:id="1805007135">
      <w:bodyDiv w:val="1"/>
      <w:marLeft w:val="0"/>
      <w:marRight w:val="0"/>
      <w:marTop w:val="0"/>
      <w:marBottom w:val="0"/>
      <w:divBdr>
        <w:top w:val="none" w:sz="0" w:space="0" w:color="auto"/>
        <w:left w:val="none" w:sz="0" w:space="0" w:color="auto"/>
        <w:bottom w:val="none" w:sz="0" w:space="0" w:color="auto"/>
        <w:right w:val="none" w:sz="0" w:space="0" w:color="auto"/>
      </w:divBdr>
    </w:div>
    <w:div w:id="19168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hacaperkova@mps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DA44-A5F7-4449-B0E5-319B075F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5209</Words>
  <Characters>30737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Ambrožová Jana</dc:creator>
  <cp:lastModifiedBy>Fuchs Miroslav JUDr. (MPSV)</cp:lastModifiedBy>
  <cp:revision>2</cp:revision>
  <cp:lastPrinted>2023-09-15T09:35:00Z</cp:lastPrinted>
  <dcterms:created xsi:type="dcterms:W3CDTF">2023-09-25T12:35:00Z</dcterms:created>
  <dcterms:modified xsi:type="dcterms:W3CDTF">2023-09-25T12:35:00Z</dcterms:modified>
</cp:coreProperties>
</file>