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F0A1" w14:textId="13314CE4" w:rsidR="004B7AAF" w:rsidRDefault="004B7AAF" w:rsidP="004B7AAF">
      <w:pPr>
        <w:keepNext/>
        <w:spacing w:before="120" w:after="120" w:line="252" w:lineRule="auto"/>
        <w:jc w:val="center"/>
        <w:outlineLvl w:val="1"/>
        <w:rPr>
          <w:rFonts w:ascii="Calibri" w:eastAsia="Times New Roman" w:hAnsi="Calibri" w:cs="Calibri"/>
          <w:b/>
          <w:kern w:val="0"/>
          <w:sz w:val="23"/>
          <w:szCs w:val="23"/>
          <w:lang w:eastAsia="cs-CZ"/>
          <w14:ligatures w14:val="none"/>
        </w:rPr>
      </w:pPr>
      <w:r>
        <w:rPr>
          <w:rFonts w:ascii="Calibri" w:eastAsia="Times New Roman" w:hAnsi="Calibri" w:cs="Calibri"/>
          <w:b/>
          <w:noProof/>
          <w:kern w:val="0"/>
          <w:sz w:val="23"/>
          <w:szCs w:val="23"/>
          <w:lang w:eastAsia="cs-CZ"/>
          <w14:ligatures w14:val="none"/>
        </w:rPr>
        <w:drawing>
          <wp:inline distT="0" distB="0" distL="0" distR="0" wp14:anchorId="6EB90A20" wp14:editId="48274B6F">
            <wp:extent cx="3943046" cy="1474816"/>
            <wp:effectExtent l="0" t="0" r="635" b="0"/>
            <wp:docPr id="840967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230" cy="1479747"/>
                    </a:xfrm>
                    <a:prstGeom prst="rect">
                      <a:avLst/>
                    </a:prstGeom>
                    <a:noFill/>
                    <a:ln>
                      <a:noFill/>
                    </a:ln>
                  </pic:spPr>
                </pic:pic>
              </a:graphicData>
            </a:graphic>
          </wp:inline>
        </w:drawing>
      </w:r>
    </w:p>
    <w:p w14:paraId="55099C44" w14:textId="70AC43E7" w:rsidR="007F3488" w:rsidRDefault="007F3488" w:rsidP="007F3488">
      <w:pPr>
        <w:keepNext/>
        <w:spacing w:before="120" w:after="120" w:line="252" w:lineRule="auto"/>
        <w:outlineLvl w:val="1"/>
        <w:rPr>
          <w:rFonts w:ascii="Calibri" w:eastAsia="Times New Roman" w:hAnsi="Calibri" w:cs="Calibri"/>
          <w:b/>
          <w:kern w:val="0"/>
          <w:sz w:val="23"/>
          <w:szCs w:val="23"/>
          <w:lang w:eastAsia="cs-CZ"/>
          <w14:ligatures w14:val="none"/>
        </w:rPr>
      </w:pPr>
      <w:r>
        <w:rPr>
          <w:rFonts w:ascii="Calibri" w:eastAsia="Times New Roman" w:hAnsi="Calibri" w:cs="Calibri"/>
          <w:b/>
          <w:kern w:val="0"/>
          <w:sz w:val="23"/>
          <w:szCs w:val="23"/>
          <w:lang w:eastAsia="cs-CZ"/>
          <w14:ligatures w14:val="none"/>
        </w:rPr>
        <w:t xml:space="preserve">Připomínky NRZP ČR </w:t>
      </w:r>
      <w:r w:rsidRPr="007F3488">
        <w:rPr>
          <w:rFonts w:ascii="Calibri" w:eastAsia="Times New Roman" w:hAnsi="Calibri" w:cs="Calibri"/>
          <w:b/>
          <w:kern w:val="0"/>
          <w:sz w:val="23"/>
          <w:szCs w:val="23"/>
          <w:lang w:eastAsia="cs-CZ"/>
          <w14:ligatures w14:val="none"/>
        </w:rPr>
        <w:t>k návrhu zákona, kterým se mění zákon č. 111/1998 Sb., o vysokých školách a o změně a doplnění dalších zákonů (zákon o vysokých školách), ve znění pozdějších předpisů, a další související předpisy</w:t>
      </w:r>
    </w:p>
    <w:p w14:paraId="5667272F" w14:textId="77777777" w:rsidR="007F3488" w:rsidRPr="007F3488" w:rsidRDefault="007F3488" w:rsidP="007F3488">
      <w:pPr>
        <w:keepNext/>
        <w:spacing w:before="120" w:after="120" w:line="252" w:lineRule="auto"/>
        <w:outlineLvl w:val="1"/>
        <w:rPr>
          <w:rFonts w:ascii="Calibri" w:eastAsia="Times New Roman" w:hAnsi="Calibri" w:cs="Calibri"/>
          <w:b/>
          <w:kern w:val="0"/>
          <w:sz w:val="23"/>
          <w:szCs w:val="23"/>
          <w:lang w:eastAsia="cs-CZ"/>
          <w14:ligatures w14:val="none"/>
        </w:rPr>
      </w:pPr>
    </w:p>
    <w:p w14:paraId="206E7041" w14:textId="34BEE115" w:rsidR="007F3488" w:rsidRPr="007F3488" w:rsidRDefault="007F3488" w:rsidP="007F3488">
      <w:pPr>
        <w:keepNext/>
        <w:spacing w:before="120" w:after="120" w:line="252" w:lineRule="auto"/>
        <w:outlineLvl w:val="1"/>
        <w:rPr>
          <w:rFonts w:ascii="Calibri" w:eastAsia="Times New Roman" w:hAnsi="Calibri" w:cs="Calibri"/>
          <w:b/>
          <w:kern w:val="0"/>
          <w:sz w:val="23"/>
          <w:szCs w:val="23"/>
          <w:lang w:eastAsia="cs-CZ"/>
          <w14:ligatures w14:val="none"/>
        </w:rPr>
      </w:pPr>
      <w:r w:rsidRPr="007F3488">
        <w:rPr>
          <w:rFonts w:ascii="Calibri" w:eastAsia="Times New Roman" w:hAnsi="Calibri" w:cs="Calibri"/>
          <w:b/>
          <w:kern w:val="0"/>
          <w:sz w:val="23"/>
          <w:szCs w:val="23"/>
          <w:lang w:eastAsia="cs-CZ"/>
          <w14:ligatures w14:val="none"/>
        </w:rPr>
        <w:t>KONKRÉTNÍ PŘIPOMÍNKY</w:t>
      </w:r>
    </w:p>
    <w:p w14:paraId="47D5322C" w14:textId="77777777" w:rsidR="007F3488" w:rsidRPr="007F3488" w:rsidRDefault="007F3488" w:rsidP="007F3488">
      <w:pPr>
        <w:keepNext/>
        <w:numPr>
          <w:ilvl w:val="0"/>
          <w:numId w:val="1"/>
        </w:numPr>
        <w:spacing w:before="120" w:after="120" w:line="252" w:lineRule="auto"/>
        <w:outlineLvl w:val="3"/>
        <w:rPr>
          <w:rFonts w:ascii="Calibri" w:eastAsia="Times New Roman" w:hAnsi="Calibri" w:cs="Calibri"/>
          <w:b/>
          <w:kern w:val="0"/>
          <w:sz w:val="23"/>
          <w:szCs w:val="23"/>
          <w:lang w:eastAsia="cs-CZ"/>
          <w14:ligatures w14:val="none"/>
        </w:rPr>
      </w:pPr>
      <w:r w:rsidRPr="007F3488">
        <w:rPr>
          <w:rFonts w:ascii="Calibri" w:eastAsia="Times New Roman" w:hAnsi="Calibri" w:cs="Calibri"/>
          <w:b/>
          <w:kern w:val="0"/>
          <w:sz w:val="23"/>
          <w:szCs w:val="23"/>
          <w:lang w:eastAsia="cs-CZ"/>
          <w14:ligatures w14:val="none"/>
        </w:rPr>
        <w:t>K části první, změna zákona o vysokých školách</w:t>
      </w:r>
    </w:p>
    <w:p w14:paraId="58F2A38A" w14:textId="77777777" w:rsidR="007F3488" w:rsidRPr="007F3488" w:rsidRDefault="007F3488" w:rsidP="007F3488">
      <w:pPr>
        <w:keepNext/>
        <w:numPr>
          <w:ilvl w:val="0"/>
          <w:numId w:val="2"/>
        </w:numPr>
        <w:spacing w:before="120" w:after="120" w:line="252" w:lineRule="auto"/>
        <w:outlineLvl w:val="3"/>
        <w:rPr>
          <w:rFonts w:ascii="Calibri" w:eastAsia="Times New Roman" w:hAnsi="Calibri" w:cs="Calibri"/>
          <w:b/>
          <w:kern w:val="0"/>
          <w:sz w:val="23"/>
          <w:szCs w:val="23"/>
          <w:lang w:eastAsia="cs-CZ"/>
          <w14:ligatures w14:val="none"/>
        </w:rPr>
      </w:pPr>
      <w:r w:rsidRPr="007F3488">
        <w:rPr>
          <w:rFonts w:ascii="Calibri" w:eastAsia="Times New Roman" w:hAnsi="Calibri" w:cs="Calibri"/>
          <w:b/>
          <w:kern w:val="0"/>
          <w:sz w:val="23"/>
          <w:szCs w:val="23"/>
          <w:lang w:eastAsia="cs-CZ"/>
          <w14:ligatures w14:val="none"/>
        </w:rPr>
        <w:t>K bodu 19 (§ 21 odst. 5)</w:t>
      </w:r>
    </w:p>
    <w:p w14:paraId="6F78D200" w14:textId="77777777" w:rsidR="007F3488" w:rsidRPr="007F3488" w:rsidRDefault="007F3488" w:rsidP="007F3488">
      <w:pPr>
        <w:spacing w:before="200" w:after="200" w:line="252" w:lineRule="auto"/>
        <w:ind w:left="436"/>
        <w:jc w:val="both"/>
        <w:rPr>
          <w:rFonts w:ascii="Calibri" w:eastAsia="Calibri" w:hAnsi="Calibri" w:cs="Times New Roman"/>
          <w:kern w:val="0"/>
          <w:sz w:val="23"/>
          <w:szCs w:val="23"/>
          <w:lang w:eastAsia="cs-CZ"/>
          <w14:ligatures w14:val="none"/>
        </w:rPr>
      </w:pPr>
      <w:r w:rsidRPr="007F3488">
        <w:rPr>
          <w:rFonts w:ascii="Calibri" w:eastAsia="MS Mincho" w:hAnsi="Calibri" w:cs="Calibri"/>
          <w:i/>
          <w:kern w:val="0"/>
          <w:sz w:val="24"/>
          <w:szCs w:val="24"/>
          <w14:ligatures w14:val="none"/>
        </w:rPr>
        <w:t xml:space="preserve">„Veřejná </w:t>
      </w:r>
      <w:r w:rsidRPr="007F3488">
        <w:rPr>
          <w:rFonts w:ascii="Calibri" w:eastAsia="MS Mincho" w:hAnsi="Calibri" w:cs="Calibri"/>
          <w:bCs/>
          <w:i/>
          <w:kern w:val="0"/>
          <w:sz w:val="24"/>
          <w:szCs w:val="24"/>
          <w14:ligatures w14:val="none"/>
        </w:rPr>
        <w:t>vysoká škola zajišťuje přiměřená podpůrná opatření pro vyrovnání příležitostí studovat na vysoké škole podle pravidel stanovených vnitřním předpisem vysoké školy. Přiměřená podpůrná opatření zajišťuje pro uchazeče a studenty se specifickými potřebami, zejména pro uchazeče a studenty se zrakovým, sluchovým nebo pohybovým postižením, se specifickými poruchami učení, s poruchou autistického spektra nebo s jinými obtížemi danými zdravotním postižením nebo zdravotním stavem, které mají dopad na průběh přijímacího řízení nebo na plnění studijních povinností, není-li to v rozporu s požadavky na zdravotní způsobilost ke studiu příslušného studijního programu.</w:t>
      </w:r>
      <w:r w:rsidRPr="007F3488">
        <w:rPr>
          <w:rFonts w:ascii="Calibri" w:eastAsia="MS Mincho" w:hAnsi="Calibri" w:cs="Calibri"/>
          <w:i/>
          <w:kern w:val="0"/>
          <w:sz w:val="24"/>
          <w:szCs w:val="24"/>
          <w14:ligatures w14:val="none"/>
        </w:rPr>
        <w:t>“</w:t>
      </w:r>
    </w:p>
    <w:p w14:paraId="091D4749" w14:textId="089E66FB" w:rsidR="007F3488" w:rsidRPr="007F3488" w:rsidRDefault="007F3488" w:rsidP="007F3488">
      <w:pPr>
        <w:widowControl w:val="0"/>
        <w:tabs>
          <w:tab w:val="left" w:pos="851"/>
        </w:tabs>
        <w:spacing w:after="120" w:line="240" w:lineRule="auto"/>
        <w:jc w:val="both"/>
        <w:rPr>
          <w:rFonts w:ascii="Calibri" w:eastAsia="MS Mincho" w:hAnsi="Calibri" w:cs="Calibri"/>
          <w:kern w:val="0"/>
          <w:sz w:val="23"/>
          <w:szCs w:val="23"/>
          <w:lang w:eastAsia="cs-CZ"/>
          <w14:ligatures w14:val="none"/>
        </w:rPr>
      </w:pPr>
      <w:r w:rsidRPr="007F3488">
        <w:rPr>
          <w:rFonts w:ascii="Calibri" w:eastAsia="MS Mincho" w:hAnsi="Calibri" w:cs="Calibri"/>
          <w:kern w:val="0"/>
          <w:sz w:val="23"/>
          <w:szCs w:val="23"/>
          <w:lang w:eastAsia="cs-CZ"/>
          <w14:ligatures w14:val="none"/>
        </w:rPr>
        <w:t>Nesouhlasím</w:t>
      </w:r>
      <w:r w:rsidR="004B7AAF">
        <w:rPr>
          <w:rFonts w:ascii="Calibri" w:eastAsia="MS Mincho" w:hAnsi="Calibri" w:cs="Calibri"/>
          <w:kern w:val="0"/>
          <w:sz w:val="23"/>
          <w:szCs w:val="23"/>
          <w:lang w:eastAsia="cs-CZ"/>
          <w14:ligatures w14:val="none"/>
        </w:rPr>
        <w:t>e</w:t>
      </w:r>
      <w:r w:rsidRPr="007F3488">
        <w:rPr>
          <w:rFonts w:ascii="Calibri" w:eastAsia="MS Mincho" w:hAnsi="Calibri" w:cs="Calibri"/>
          <w:kern w:val="0"/>
          <w:sz w:val="23"/>
          <w:szCs w:val="23"/>
          <w:lang w:eastAsia="cs-CZ"/>
          <w14:ligatures w14:val="none"/>
        </w:rPr>
        <w:t xml:space="preserve"> s návrhem zajištění podpůrných opatření podle pravidel, která mají být stanovena ve vnitřních předpisech školy. Hrozí, že určité vysoké školy nastaví vnitřním předpisem zcela minimální opatření, která sice budou v souladu s tímto zákonem, ale reálně studentům se specifickými vzdělávacími potřebami poskytovat potřebnou podporu nebudou. Z toho důvodu považuj</w:t>
      </w:r>
      <w:r w:rsidR="004B7AAF">
        <w:rPr>
          <w:rFonts w:ascii="Calibri" w:eastAsia="MS Mincho" w:hAnsi="Calibri" w:cs="Calibri"/>
          <w:kern w:val="0"/>
          <w:sz w:val="23"/>
          <w:szCs w:val="23"/>
          <w:lang w:eastAsia="cs-CZ"/>
          <w14:ligatures w14:val="none"/>
        </w:rPr>
        <w:t>eme</w:t>
      </w:r>
      <w:r w:rsidRPr="007F3488">
        <w:rPr>
          <w:rFonts w:ascii="Calibri" w:eastAsia="MS Mincho" w:hAnsi="Calibri" w:cs="Calibri"/>
          <w:kern w:val="0"/>
          <w:sz w:val="23"/>
          <w:szCs w:val="23"/>
          <w:lang w:eastAsia="cs-CZ"/>
          <w14:ligatures w14:val="none"/>
        </w:rPr>
        <w:t xml:space="preserve"> za vhodné, analogicky s úpravou pro jiné stupně vzdělávání, upravit konkrétněji pravidla na legislativní úrovni nebo alespoň formou jiných nástrojů MŠMT např. metodických pokynů.</w:t>
      </w:r>
    </w:p>
    <w:p w14:paraId="4344639B" w14:textId="77777777" w:rsidR="007F3488" w:rsidRPr="007F3488" w:rsidRDefault="007F3488" w:rsidP="007F3488">
      <w:pPr>
        <w:widowControl w:val="0"/>
        <w:tabs>
          <w:tab w:val="left" w:pos="851"/>
        </w:tabs>
        <w:spacing w:after="120" w:line="240" w:lineRule="auto"/>
        <w:jc w:val="both"/>
        <w:rPr>
          <w:rFonts w:ascii="Calibri" w:eastAsia="Times New Roman" w:hAnsi="Calibri" w:cs="Calibri"/>
          <w:b/>
          <w:iCs/>
          <w:color w:val="000000"/>
          <w:kern w:val="0"/>
          <w:sz w:val="23"/>
          <w:szCs w:val="23"/>
          <w:lang w:eastAsia="cs-CZ"/>
          <w14:ligatures w14:val="none"/>
        </w:rPr>
      </w:pPr>
      <w:r w:rsidRPr="007F3488">
        <w:rPr>
          <w:rFonts w:ascii="Calibri" w:eastAsia="Times New Roman" w:hAnsi="Calibri" w:cs="Calibri"/>
          <w:b/>
          <w:iCs/>
          <w:color w:val="000000"/>
          <w:kern w:val="0"/>
          <w:sz w:val="23"/>
          <w:szCs w:val="23"/>
          <w:lang w:eastAsia="cs-CZ"/>
          <w14:ligatures w14:val="none"/>
        </w:rPr>
        <w:t xml:space="preserve">Tato připomínka je zásadní. </w:t>
      </w:r>
    </w:p>
    <w:p w14:paraId="31AE11F8" w14:textId="77777777" w:rsidR="007F3488" w:rsidRPr="007F3488" w:rsidRDefault="007F3488" w:rsidP="007F3488">
      <w:pPr>
        <w:widowControl w:val="0"/>
        <w:tabs>
          <w:tab w:val="left" w:pos="851"/>
        </w:tabs>
        <w:spacing w:after="120" w:line="240" w:lineRule="auto"/>
        <w:jc w:val="both"/>
        <w:rPr>
          <w:rFonts w:ascii="Calibri" w:eastAsia="Times New Roman" w:hAnsi="Calibri" w:cs="Calibri"/>
          <w:b/>
          <w:iCs/>
          <w:color w:val="000000"/>
          <w:kern w:val="0"/>
          <w:sz w:val="23"/>
          <w:szCs w:val="23"/>
          <w:lang w:eastAsia="cs-CZ"/>
          <w14:ligatures w14:val="none"/>
        </w:rPr>
      </w:pPr>
      <w:r w:rsidRPr="007F3488">
        <w:rPr>
          <w:rFonts w:ascii="Calibri" w:eastAsia="Times New Roman" w:hAnsi="Calibri" w:cs="Calibri"/>
          <w:b/>
          <w:iCs/>
          <w:color w:val="000000"/>
          <w:kern w:val="0"/>
          <w:sz w:val="23"/>
          <w:szCs w:val="23"/>
          <w:lang w:eastAsia="cs-CZ"/>
          <w14:ligatures w14:val="none"/>
        </w:rPr>
        <w:t>2.    K bodu 36 (§ 42 odst. 5)</w:t>
      </w:r>
    </w:p>
    <w:p w14:paraId="7DF416B4" w14:textId="3FE16B2C" w:rsidR="007F3488" w:rsidRPr="007F3488" w:rsidRDefault="007F3488" w:rsidP="007F3488">
      <w:pPr>
        <w:widowControl w:val="0"/>
        <w:tabs>
          <w:tab w:val="left" w:pos="851"/>
        </w:tabs>
        <w:spacing w:after="120" w:line="240" w:lineRule="auto"/>
        <w:jc w:val="both"/>
        <w:rPr>
          <w:rFonts w:ascii="Calibri" w:eastAsia="Times New Roman" w:hAnsi="Calibri" w:cs="Calibri"/>
          <w:iCs/>
          <w:color w:val="000000"/>
          <w:kern w:val="0"/>
          <w:sz w:val="23"/>
          <w:szCs w:val="23"/>
          <w:lang w:eastAsia="cs-CZ"/>
          <w14:ligatures w14:val="none"/>
        </w:rPr>
      </w:pPr>
      <w:r w:rsidRPr="007F3488">
        <w:rPr>
          <w:rFonts w:ascii="Calibri" w:eastAsia="Times New Roman" w:hAnsi="Calibri" w:cs="Calibri"/>
          <w:iCs/>
          <w:color w:val="000000"/>
          <w:kern w:val="0"/>
          <w:sz w:val="23"/>
          <w:szCs w:val="23"/>
          <w:lang w:eastAsia="cs-CZ"/>
          <w14:ligatures w14:val="none"/>
        </w:rPr>
        <w:t>Vše uvedené v předchozím bodu se vztahuje i na soukromé vysoké školy, tedy § 42 odst. 5 zákona o vysokých školách. Zároveň však mám</w:t>
      </w:r>
      <w:r w:rsidR="004B7AAF">
        <w:rPr>
          <w:rFonts w:ascii="Calibri" w:eastAsia="Times New Roman" w:hAnsi="Calibri" w:cs="Calibri"/>
          <w:iCs/>
          <w:color w:val="000000"/>
          <w:kern w:val="0"/>
          <w:sz w:val="23"/>
          <w:szCs w:val="23"/>
          <w:lang w:eastAsia="cs-CZ"/>
          <w14:ligatures w14:val="none"/>
        </w:rPr>
        <w:t>e</w:t>
      </w:r>
      <w:r w:rsidRPr="007F3488">
        <w:rPr>
          <w:rFonts w:ascii="Calibri" w:eastAsia="Times New Roman" w:hAnsi="Calibri" w:cs="Calibri"/>
          <w:iCs/>
          <w:color w:val="000000"/>
          <w:kern w:val="0"/>
          <w:sz w:val="23"/>
          <w:szCs w:val="23"/>
          <w:lang w:eastAsia="cs-CZ"/>
          <w14:ligatures w14:val="none"/>
        </w:rPr>
        <w:t xml:space="preserve"> za to, že je sociální úlohou státu, aby s uložením povinnosti poskytovat podpůrná opatření spojil také adekvátní možnost pro soukromé vysoké školy </w:t>
      </w:r>
      <w:r w:rsidRPr="007F3488">
        <w:rPr>
          <w:rFonts w:ascii="Calibri" w:eastAsia="Times New Roman" w:hAnsi="Calibri" w:cs="Times New Roman"/>
          <w:kern w:val="0"/>
          <w:sz w:val="23"/>
          <w:szCs w:val="23"/>
          <w14:ligatures w14:val="none"/>
        </w:rPr>
        <w:t xml:space="preserve">čerpat státní příspěvek k jejich financování. Materiál v důvodové zprávě kalkuluje pouze s finanční náročností návrhu pro veřejné vysoké školy, otázka spolufinancování podpůrných opatření u soukromých vysokých škol zcela absentuje. </w:t>
      </w:r>
    </w:p>
    <w:p w14:paraId="1817FFC3" w14:textId="77777777" w:rsidR="007F3488" w:rsidRPr="007F3488" w:rsidRDefault="007F3488" w:rsidP="007F3488">
      <w:pPr>
        <w:widowControl w:val="0"/>
        <w:tabs>
          <w:tab w:val="left" w:pos="851"/>
        </w:tabs>
        <w:spacing w:after="120" w:line="240" w:lineRule="auto"/>
        <w:jc w:val="both"/>
        <w:rPr>
          <w:rFonts w:ascii="Calibri" w:eastAsia="Times New Roman" w:hAnsi="Calibri" w:cs="Calibri"/>
          <w:b/>
          <w:iCs/>
          <w:color w:val="000000"/>
          <w:kern w:val="0"/>
          <w:sz w:val="23"/>
          <w:szCs w:val="23"/>
          <w:lang w:eastAsia="cs-CZ"/>
          <w14:ligatures w14:val="none"/>
        </w:rPr>
      </w:pPr>
      <w:r w:rsidRPr="007F3488">
        <w:rPr>
          <w:rFonts w:ascii="Calibri" w:eastAsia="Times New Roman" w:hAnsi="Calibri" w:cs="Calibri"/>
          <w:b/>
          <w:iCs/>
          <w:color w:val="000000"/>
          <w:kern w:val="0"/>
          <w:sz w:val="23"/>
          <w:szCs w:val="23"/>
          <w:lang w:eastAsia="cs-CZ"/>
          <w14:ligatures w14:val="none"/>
        </w:rPr>
        <w:t xml:space="preserve">Tato připomínka je zásadní. </w:t>
      </w:r>
    </w:p>
    <w:p w14:paraId="6BBBA5CB" w14:textId="45D95578" w:rsidR="007F3488" w:rsidRPr="007F3488" w:rsidRDefault="007F3488" w:rsidP="007F3488">
      <w:pPr>
        <w:keepNext/>
        <w:spacing w:before="120" w:after="120" w:line="252" w:lineRule="auto"/>
        <w:ind w:hanging="284"/>
        <w:outlineLvl w:val="3"/>
        <w:rPr>
          <w:rFonts w:ascii="Calibri" w:eastAsia="Times New Roman" w:hAnsi="Calibri" w:cs="Times New Roman"/>
          <w:b/>
          <w:kern w:val="0"/>
          <w:sz w:val="23"/>
          <w:szCs w:val="23"/>
          <w:lang w:eastAsia="cs-CZ"/>
          <w14:ligatures w14:val="none"/>
        </w:rPr>
      </w:pPr>
      <w:r w:rsidRPr="007F3488">
        <w:rPr>
          <w:rFonts w:ascii="Calibri" w:eastAsia="Times New Roman" w:hAnsi="Calibri" w:cs="Times New Roman"/>
          <w:b/>
          <w:kern w:val="0"/>
          <w:sz w:val="23"/>
          <w:szCs w:val="23"/>
          <w:lang w:eastAsia="cs-CZ"/>
          <w14:ligatures w14:val="none"/>
        </w:rPr>
        <w:lastRenderedPageBreak/>
        <w:t>Žádám</w:t>
      </w:r>
      <w:r w:rsidR="004B7AAF">
        <w:rPr>
          <w:rFonts w:ascii="Calibri" w:eastAsia="Times New Roman" w:hAnsi="Calibri" w:cs="Times New Roman"/>
          <w:b/>
          <w:kern w:val="0"/>
          <w:sz w:val="23"/>
          <w:szCs w:val="23"/>
          <w:lang w:eastAsia="cs-CZ"/>
          <w14:ligatures w14:val="none"/>
        </w:rPr>
        <w:t>e</w:t>
      </w:r>
      <w:r w:rsidRPr="007F3488">
        <w:rPr>
          <w:rFonts w:ascii="Calibri" w:eastAsia="Times New Roman" w:hAnsi="Calibri" w:cs="Times New Roman"/>
          <w:b/>
          <w:kern w:val="0"/>
          <w:sz w:val="23"/>
          <w:szCs w:val="23"/>
          <w:lang w:eastAsia="cs-CZ"/>
          <w14:ligatures w14:val="none"/>
        </w:rPr>
        <w:t xml:space="preserve"> o zařazení do části týkající se členění školy (veřejné i soukromé) povinnost zřídit na každé vysoké škole specializované centrum pro studující s postižením. </w:t>
      </w:r>
    </w:p>
    <w:p w14:paraId="18D4414D" w14:textId="7D1858D5" w:rsidR="007F3488" w:rsidRPr="007F3488" w:rsidRDefault="007F3488" w:rsidP="007F3488">
      <w:pPr>
        <w:keepNext/>
        <w:spacing w:before="120" w:after="120" w:line="252" w:lineRule="auto"/>
        <w:jc w:val="both"/>
        <w:outlineLvl w:val="3"/>
        <w:rPr>
          <w:rFonts w:ascii="Calibri" w:eastAsia="Times New Roman" w:hAnsi="Calibri" w:cs="Times New Roman"/>
          <w:kern w:val="0"/>
          <w:sz w:val="23"/>
          <w:szCs w:val="23"/>
          <w:lang w:eastAsia="cs-CZ"/>
          <w14:ligatures w14:val="none"/>
        </w:rPr>
      </w:pPr>
      <w:r w:rsidRPr="007F3488">
        <w:rPr>
          <w:rFonts w:ascii="Calibri" w:eastAsia="Times New Roman" w:hAnsi="Calibri" w:cs="Calibri"/>
          <w:kern w:val="0"/>
          <w:sz w:val="23"/>
          <w:szCs w:val="23"/>
          <w:lang w:eastAsia="cs-CZ"/>
          <w14:ligatures w14:val="none"/>
        </w:rPr>
        <w:t>Považuj</w:t>
      </w:r>
      <w:r w:rsidR="004B7AAF">
        <w:rPr>
          <w:rFonts w:ascii="Calibri" w:eastAsia="Times New Roman" w:hAnsi="Calibri" w:cs="Calibri"/>
          <w:kern w:val="0"/>
          <w:sz w:val="23"/>
          <w:szCs w:val="23"/>
          <w:lang w:eastAsia="cs-CZ"/>
          <w14:ligatures w14:val="none"/>
        </w:rPr>
        <w:t>eme</w:t>
      </w:r>
      <w:r w:rsidRPr="007F3488">
        <w:rPr>
          <w:rFonts w:ascii="Calibri" w:eastAsia="Times New Roman" w:hAnsi="Calibri" w:cs="Calibri"/>
          <w:kern w:val="0"/>
          <w:sz w:val="23"/>
          <w:szCs w:val="23"/>
          <w:lang w:eastAsia="cs-CZ"/>
          <w14:ligatures w14:val="none"/>
        </w:rPr>
        <w:t xml:space="preserve"> za zásadní, aby zákonná úprava obsahovala tuto povinnost, tak aby se měli možnost uchazeči a studenti s postižením obrátit ohledně potřebných podpůrných opatření na specializované centrum, které je schopno poskytnout kvalifikované služby na dostatečné úrovni. Centra nejsou pouze informačními místy, ale jsou nezbytná pro nastavení opatření dle individuálních potřeb uchazeče nebo studenta,</w:t>
      </w:r>
      <w:r w:rsidRPr="007F3488">
        <w:rPr>
          <w:rFonts w:ascii="Calibri" w:eastAsia="Times New Roman" w:hAnsi="Calibri" w:cs="Times New Roman"/>
          <w:b/>
          <w:kern w:val="0"/>
          <w:sz w:val="23"/>
          <w:szCs w:val="23"/>
          <w:lang w:eastAsia="cs-CZ"/>
          <w14:ligatures w14:val="none"/>
        </w:rPr>
        <w:t xml:space="preserve"> </w:t>
      </w:r>
      <w:r w:rsidRPr="007F3488">
        <w:rPr>
          <w:rFonts w:ascii="Calibri" w:eastAsia="Times New Roman" w:hAnsi="Calibri" w:cs="Times New Roman"/>
          <w:kern w:val="0"/>
          <w:sz w:val="23"/>
          <w:szCs w:val="23"/>
          <w:lang w:eastAsia="cs-CZ"/>
          <w14:ligatures w14:val="none"/>
        </w:rPr>
        <w:t xml:space="preserve">poskytují např. kompenzační pomůcky, zajišťují přizpůsobení přijímacích zkoušek, úpravu prostředí, dostupnost digitalizovaných studijních materiálů a výpočetní techniky, metodicky vedou vyučující, napomáhají komunikaci mezi studentem a vyučujícím atd. </w:t>
      </w:r>
    </w:p>
    <w:p w14:paraId="21D9F7D3" w14:textId="77777777" w:rsidR="007F3488" w:rsidRPr="007F3488" w:rsidRDefault="007F3488" w:rsidP="007F3488">
      <w:pPr>
        <w:widowControl w:val="0"/>
        <w:tabs>
          <w:tab w:val="left" w:pos="851"/>
        </w:tabs>
        <w:spacing w:after="120" w:line="240" w:lineRule="auto"/>
        <w:jc w:val="both"/>
        <w:rPr>
          <w:rFonts w:ascii="Calibri" w:eastAsia="Times New Roman" w:hAnsi="Calibri" w:cs="Calibri"/>
          <w:b/>
          <w:iCs/>
          <w:color w:val="000000"/>
          <w:kern w:val="0"/>
          <w:sz w:val="23"/>
          <w:szCs w:val="23"/>
          <w:lang w:eastAsia="cs-CZ"/>
          <w14:ligatures w14:val="none"/>
        </w:rPr>
      </w:pPr>
      <w:r w:rsidRPr="007F3488">
        <w:rPr>
          <w:rFonts w:ascii="Calibri" w:eastAsia="Times New Roman" w:hAnsi="Calibri" w:cs="Calibri"/>
          <w:b/>
          <w:iCs/>
          <w:color w:val="000000"/>
          <w:kern w:val="0"/>
          <w:sz w:val="23"/>
          <w:szCs w:val="23"/>
          <w:lang w:eastAsia="cs-CZ"/>
          <w14:ligatures w14:val="none"/>
        </w:rPr>
        <w:t xml:space="preserve">Tato připomínka je zásadní. </w:t>
      </w:r>
    </w:p>
    <w:p w14:paraId="42050CC1" w14:textId="77777777" w:rsidR="007F3488" w:rsidRPr="007F3488" w:rsidRDefault="007F3488" w:rsidP="007F3488">
      <w:pPr>
        <w:keepNext/>
        <w:spacing w:before="120" w:after="120" w:line="252" w:lineRule="auto"/>
        <w:ind w:hanging="284"/>
        <w:outlineLvl w:val="3"/>
        <w:rPr>
          <w:rFonts w:ascii="Calibri" w:eastAsia="Times New Roman" w:hAnsi="Calibri" w:cs="Calibri"/>
          <w:b/>
          <w:kern w:val="0"/>
          <w:sz w:val="23"/>
          <w:szCs w:val="23"/>
          <w:lang w:eastAsia="cs-CZ"/>
          <w14:ligatures w14:val="none"/>
        </w:rPr>
      </w:pPr>
      <w:r w:rsidRPr="007F3488">
        <w:rPr>
          <w:rFonts w:ascii="Calibri" w:eastAsia="Times New Roman" w:hAnsi="Calibri" w:cs="Calibri"/>
          <w:b/>
          <w:kern w:val="0"/>
          <w:sz w:val="23"/>
          <w:szCs w:val="23"/>
          <w:lang w:eastAsia="cs-CZ"/>
          <w14:ligatures w14:val="none"/>
        </w:rPr>
        <w:t xml:space="preserve">Do § 21 doplnit odst. 6, který bude znít následovně: </w:t>
      </w:r>
    </w:p>
    <w:p w14:paraId="56C71D4E" w14:textId="77777777" w:rsidR="007F3488" w:rsidRPr="007F3488" w:rsidRDefault="007F3488" w:rsidP="007F3488">
      <w:pPr>
        <w:keepNext/>
        <w:spacing w:before="120" w:after="120" w:line="252" w:lineRule="auto"/>
        <w:jc w:val="both"/>
        <w:outlineLvl w:val="3"/>
        <w:rPr>
          <w:rFonts w:ascii="Calibri" w:eastAsia="Times New Roman" w:hAnsi="Calibri" w:cs="Calibri"/>
          <w:i/>
          <w:kern w:val="0"/>
          <w:sz w:val="23"/>
          <w:szCs w:val="23"/>
          <w:lang w:eastAsia="cs-CZ"/>
          <w14:ligatures w14:val="none"/>
        </w:rPr>
      </w:pPr>
      <w:proofErr w:type="gramStart"/>
      <w:r w:rsidRPr="007F3488">
        <w:rPr>
          <w:rFonts w:ascii="Calibri" w:eastAsia="Times New Roman" w:hAnsi="Calibri" w:cs="Calibri"/>
          <w:i/>
          <w:kern w:val="0"/>
          <w:sz w:val="23"/>
          <w:szCs w:val="23"/>
          <w:lang w:eastAsia="cs-CZ"/>
          <w14:ligatures w14:val="none"/>
        </w:rPr>
        <w:t>,,</w:t>
      </w:r>
      <w:proofErr w:type="gramEnd"/>
      <w:r w:rsidRPr="007F3488">
        <w:rPr>
          <w:rFonts w:ascii="Calibri" w:eastAsia="Times New Roman" w:hAnsi="Calibri" w:cs="Calibri"/>
          <w:i/>
          <w:kern w:val="0"/>
          <w:sz w:val="23"/>
          <w:szCs w:val="23"/>
          <w:lang w:eastAsia="cs-CZ"/>
          <w14:ligatures w14:val="none"/>
        </w:rPr>
        <w:t>Veřejná vysoká škola zajistí zpřístupnění vnitřního virtuálního prostředí, tak aby jej mohli používat studující s postižením. Požadavky na přístupnost jsou upraveny v jiném právním předpisu (odkázat na zákon č. 99/2019 Sb., o přístupnosti internetových stránek a mobilních aplikací).‘‘</w:t>
      </w:r>
    </w:p>
    <w:p w14:paraId="2FBC2755" w14:textId="2A14F08C" w:rsidR="007F3488" w:rsidRPr="007F3488" w:rsidRDefault="007F3488" w:rsidP="007F3488">
      <w:pPr>
        <w:spacing w:before="200" w:after="200" w:line="252" w:lineRule="auto"/>
        <w:jc w:val="both"/>
        <w:rPr>
          <w:rFonts w:ascii="Calibri" w:eastAsia="Calibri" w:hAnsi="Calibri" w:cs="Times New Roman"/>
          <w:kern w:val="0"/>
          <w:sz w:val="23"/>
          <w:szCs w:val="23"/>
          <w:lang w:eastAsia="cs-CZ"/>
          <w14:ligatures w14:val="none"/>
        </w:rPr>
      </w:pPr>
      <w:r w:rsidRPr="007F3488">
        <w:rPr>
          <w:rFonts w:ascii="Calibri" w:eastAsia="Calibri" w:hAnsi="Calibri" w:cs="Times New Roman"/>
          <w:kern w:val="0"/>
          <w:sz w:val="23"/>
          <w:szCs w:val="23"/>
          <w:lang w:eastAsia="cs-CZ"/>
          <w14:ligatures w14:val="none"/>
        </w:rPr>
        <w:t>Jako zásadní vnímám</w:t>
      </w:r>
      <w:r w:rsidR="004B7AAF">
        <w:rPr>
          <w:rFonts w:ascii="Calibri" w:eastAsia="Calibri" w:hAnsi="Calibri" w:cs="Times New Roman"/>
          <w:kern w:val="0"/>
          <w:sz w:val="23"/>
          <w:szCs w:val="23"/>
          <w:lang w:eastAsia="cs-CZ"/>
          <w14:ligatures w14:val="none"/>
        </w:rPr>
        <w:t>e</w:t>
      </w:r>
      <w:r w:rsidRPr="007F3488">
        <w:rPr>
          <w:rFonts w:ascii="Calibri" w:eastAsia="Calibri" w:hAnsi="Calibri" w:cs="Times New Roman"/>
          <w:kern w:val="0"/>
          <w:sz w:val="23"/>
          <w:szCs w:val="23"/>
          <w:lang w:eastAsia="cs-CZ"/>
          <w14:ligatures w14:val="none"/>
        </w:rPr>
        <w:t xml:space="preserve"> nutnost zpřístupnit vnitřní virtuální systém všech vysokých škol, tak aby jej mohli bez dalších problémů plnohodnotně využívat studentky a studenti s postižením. Se zásadními problémy se setkávají zejména studující s těžkým zrakovým postižením, kteří používají odečítač obrazovky, pomocí něhož získávají informace. Mnoho vnitřních systémů je však pro odečítač obrazovky zcela nepřístupných. S problémy se potýkají i studující se sluchovým postižením, kdy například výuková videa nejsou opatřena titulky, tudíž je pro tyto studující obsah zcela nepřístupný. </w:t>
      </w:r>
    </w:p>
    <w:p w14:paraId="603DB43B" w14:textId="14B79E57" w:rsidR="007F3488" w:rsidRPr="007F3488" w:rsidRDefault="007F3488" w:rsidP="007F3488">
      <w:pPr>
        <w:spacing w:before="200" w:after="200" w:line="252" w:lineRule="auto"/>
        <w:jc w:val="both"/>
        <w:rPr>
          <w:rFonts w:ascii="Calibri" w:eastAsia="Calibri" w:hAnsi="Calibri" w:cs="Times New Roman"/>
          <w:kern w:val="0"/>
          <w:sz w:val="23"/>
          <w:szCs w:val="23"/>
          <w:lang w:eastAsia="cs-CZ"/>
          <w14:ligatures w14:val="none"/>
        </w:rPr>
      </w:pPr>
      <w:r w:rsidRPr="007F3488">
        <w:rPr>
          <w:rFonts w:ascii="Calibri" w:eastAsia="Calibri" w:hAnsi="Calibri" w:cs="Times New Roman"/>
          <w:kern w:val="0"/>
          <w:sz w:val="23"/>
          <w:szCs w:val="23"/>
          <w:lang w:eastAsia="cs-CZ"/>
          <w14:ligatures w14:val="none"/>
        </w:rPr>
        <w:t xml:space="preserve">Je </w:t>
      </w:r>
      <w:r w:rsidR="004B7AAF">
        <w:rPr>
          <w:rFonts w:ascii="Calibri" w:eastAsia="Calibri" w:hAnsi="Calibri" w:cs="Times New Roman"/>
          <w:kern w:val="0"/>
          <w:sz w:val="23"/>
          <w:szCs w:val="23"/>
          <w:lang w:eastAsia="cs-CZ"/>
          <w14:ligatures w14:val="none"/>
        </w:rPr>
        <w:t>nám</w:t>
      </w:r>
      <w:r w:rsidRPr="007F3488">
        <w:rPr>
          <w:rFonts w:ascii="Calibri" w:eastAsia="Calibri" w:hAnsi="Calibri" w:cs="Times New Roman"/>
          <w:kern w:val="0"/>
          <w:sz w:val="23"/>
          <w:szCs w:val="23"/>
          <w:lang w:eastAsia="cs-CZ"/>
          <w14:ligatures w14:val="none"/>
        </w:rPr>
        <w:t xml:space="preserve"> známa skutečnost, že vysoké školy mají dle zákona č. 99/2019 Sb., o přístupnosti internetových stránek a mobilních aplikací udělenou výjimku ze zpřístupňování obsahu internetových stránek, nepovažuj</w:t>
      </w:r>
      <w:r w:rsidR="004B7AAF">
        <w:rPr>
          <w:rFonts w:ascii="Calibri" w:eastAsia="Calibri" w:hAnsi="Calibri" w:cs="Times New Roman"/>
          <w:kern w:val="0"/>
          <w:sz w:val="23"/>
          <w:szCs w:val="23"/>
          <w:lang w:eastAsia="cs-CZ"/>
          <w14:ligatures w14:val="none"/>
        </w:rPr>
        <w:t>eme</w:t>
      </w:r>
      <w:r w:rsidRPr="007F3488">
        <w:rPr>
          <w:rFonts w:ascii="Calibri" w:eastAsia="Calibri" w:hAnsi="Calibri" w:cs="Times New Roman"/>
          <w:kern w:val="0"/>
          <w:sz w:val="23"/>
          <w:szCs w:val="23"/>
          <w:lang w:eastAsia="cs-CZ"/>
          <w14:ligatures w14:val="none"/>
        </w:rPr>
        <w:t xml:space="preserve"> to však za správné, jelikož studující s postižením mají dle Úmluvy OSN o právech osob se zdravotním postižením právo na přístup k informacím a virtuálním systémům ve stejném rozsahu jako studující bez postižení. Zákon č. 99/2019 Sb. se v současné době dle ustanovení § 3 odst. 3 vztahuje na veřejné vysoké školy pouze, jedná-li se o obsah internetových stránek, který je vysoká škola povinna zveřejňovat na svých internetových stránkách podle jiného právního předpisu v rámci výkonu působnosti v oblasti veřejné správy na úseku školství, vědy, výzkumu, vývoje, inovací, jiné tvůrčí činnosti a péče o děti a mládež nebo podle zákona o svobodném přístupu k informacím. Jak už je uvedeno výše, tato úprava je nevyhovující. Studující musí mít přístup k veškerým zveřejňovaným informacím a vnitřním virtuálním systémům.</w:t>
      </w:r>
    </w:p>
    <w:p w14:paraId="3A3818CC" w14:textId="77777777" w:rsidR="007F3488" w:rsidRPr="007F3488" w:rsidRDefault="007F3488" w:rsidP="007F3488">
      <w:pPr>
        <w:spacing w:before="200" w:after="200" w:line="252" w:lineRule="auto"/>
        <w:jc w:val="both"/>
        <w:rPr>
          <w:rFonts w:ascii="Calibri" w:eastAsia="Calibri" w:hAnsi="Calibri" w:cs="Calibri"/>
          <w:b/>
          <w:kern w:val="0"/>
          <w:sz w:val="23"/>
          <w:szCs w:val="23"/>
          <w:lang w:eastAsia="cs-CZ"/>
          <w14:ligatures w14:val="none"/>
        </w:rPr>
      </w:pPr>
      <w:r w:rsidRPr="007F3488">
        <w:rPr>
          <w:rFonts w:ascii="Calibri" w:eastAsia="Calibri" w:hAnsi="Calibri" w:cs="Calibri"/>
          <w:b/>
          <w:kern w:val="0"/>
          <w:sz w:val="23"/>
          <w:szCs w:val="23"/>
          <w:lang w:eastAsia="cs-CZ"/>
          <w14:ligatures w14:val="none"/>
        </w:rPr>
        <w:t xml:space="preserve">Tato připomínka je zásadní. </w:t>
      </w:r>
    </w:p>
    <w:p w14:paraId="151C0A07" w14:textId="77777777" w:rsidR="007F3488" w:rsidRPr="007F3488" w:rsidRDefault="007F3488" w:rsidP="007F3488">
      <w:pPr>
        <w:keepNext/>
        <w:spacing w:before="120" w:after="120" w:line="252" w:lineRule="auto"/>
        <w:ind w:hanging="284"/>
        <w:outlineLvl w:val="3"/>
        <w:rPr>
          <w:rFonts w:ascii="Calibri" w:eastAsia="Times New Roman" w:hAnsi="Calibri" w:cs="Calibri"/>
          <w:b/>
          <w:kern w:val="0"/>
          <w:sz w:val="23"/>
          <w:szCs w:val="23"/>
          <w:lang w:eastAsia="cs-CZ"/>
          <w14:ligatures w14:val="none"/>
        </w:rPr>
      </w:pPr>
      <w:r w:rsidRPr="007F3488">
        <w:rPr>
          <w:rFonts w:ascii="Calibri" w:eastAsia="Times New Roman" w:hAnsi="Calibri" w:cs="Calibri"/>
          <w:b/>
          <w:kern w:val="0"/>
          <w:sz w:val="23"/>
          <w:szCs w:val="23"/>
          <w:lang w:eastAsia="cs-CZ"/>
          <w14:ligatures w14:val="none"/>
        </w:rPr>
        <w:t xml:space="preserve">Do § 42 doplnit odst. 6, který bude znít následovně: </w:t>
      </w:r>
    </w:p>
    <w:p w14:paraId="6FB95FB1" w14:textId="77777777" w:rsidR="007F3488" w:rsidRPr="007F3488" w:rsidRDefault="007F3488" w:rsidP="007F3488">
      <w:pPr>
        <w:keepNext/>
        <w:spacing w:before="120" w:after="120" w:line="252" w:lineRule="auto"/>
        <w:outlineLvl w:val="3"/>
        <w:rPr>
          <w:rFonts w:ascii="Calibri" w:eastAsia="Times New Roman" w:hAnsi="Calibri" w:cs="Calibri"/>
          <w:i/>
          <w:kern w:val="0"/>
          <w:sz w:val="23"/>
          <w:szCs w:val="23"/>
          <w:lang w:eastAsia="cs-CZ"/>
          <w14:ligatures w14:val="none"/>
        </w:rPr>
      </w:pPr>
      <w:proofErr w:type="gramStart"/>
      <w:r w:rsidRPr="007F3488">
        <w:rPr>
          <w:rFonts w:ascii="Calibri" w:eastAsia="Times New Roman" w:hAnsi="Calibri" w:cs="Calibri"/>
          <w:i/>
          <w:kern w:val="0"/>
          <w:sz w:val="23"/>
          <w:szCs w:val="23"/>
          <w:lang w:eastAsia="cs-CZ"/>
          <w14:ligatures w14:val="none"/>
        </w:rPr>
        <w:t>,,</w:t>
      </w:r>
      <w:proofErr w:type="gramEnd"/>
      <w:r w:rsidRPr="007F3488">
        <w:rPr>
          <w:rFonts w:ascii="Calibri" w:eastAsia="Times New Roman" w:hAnsi="Calibri" w:cs="Calibri"/>
          <w:i/>
          <w:kern w:val="0"/>
          <w:sz w:val="23"/>
          <w:szCs w:val="23"/>
          <w:lang w:eastAsia="cs-CZ"/>
          <w14:ligatures w14:val="none"/>
        </w:rPr>
        <w:t>Soukromá vysoká škola zajistí zpřístupnění vnitřního virtuálního prostředí, tak aby jej mohli používat studující s postižením. Požadavky na přístupnost jsou upraveny v jiném právním předpisu (odkázat na zákon č. 99/2019 Sb., o přístupnosti internetových stránek a mobilních aplikací).‘‘</w:t>
      </w:r>
    </w:p>
    <w:p w14:paraId="35990F80" w14:textId="77777777" w:rsidR="007F3488" w:rsidRPr="007F3488" w:rsidRDefault="007F3488" w:rsidP="007F3488">
      <w:pPr>
        <w:spacing w:before="200" w:after="200" w:line="252" w:lineRule="auto"/>
        <w:jc w:val="both"/>
        <w:rPr>
          <w:rFonts w:ascii="Calibri" w:eastAsia="Calibri" w:hAnsi="Calibri" w:cs="Calibri"/>
          <w:kern w:val="0"/>
          <w:sz w:val="23"/>
          <w:szCs w:val="23"/>
          <w:lang w:eastAsia="cs-CZ"/>
          <w14:ligatures w14:val="none"/>
        </w:rPr>
      </w:pPr>
      <w:r w:rsidRPr="007F3488">
        <w:rPr>
          <w:rFonts w:ascii="Calibri" w:eastAsia="Calibri" w:hAnsi="Calibri" w:cs="Calibri"/>
          <w:kern w:val="0"/>
          <w:sz w:val="23"/>
          <w:szCs w:val="23"/>
          <w:lang w:eastAsia="cs-CZ"/>
          <w14:ligatures w14:val="none"/>
        </w:rPr>
        <w:t xml:space="preserve">Odůvodnění totožné jako u předchozího bodu u veřejných vysokých škol. </w:t>
      </w:r>
    </w:p>
    <w:p w14:paraId="4BF46143" w14:textId="77777777" w:rsidR="007F3488" w:rsidRPr="007F3488" w:rsidRDefault="007F3488" w:rsidP="007F3488">
      <w:pPr>
        <w:spacing w:before="200" w:after="200" w:line="252" w:lineRule="auto"/>
        <w:jc w:val="both"/>
        <w:rPr>
          <w:rFonts w:ascii="Calibri" w:eastAsia="Calibri" w:hAnsi="Calibri" w:cs="Calibri"/>
          <w:b/>
          <w:kern w:val="0"/>
          <w:sz w:val="23"/>
          <w:szCs w:val="23"/>
          <w:lang w:eastAsia="cs-CZ"/>
          <w14:ligatures w14:val="none"/>
        </w:rPr>
      </w:pPr>
      <w:r w:rsidRPr="007F3488">
        <w:rPr>
          <w:rFonts w:ascii="Calibri" w:eastAsia="Calibri" w:hAnsi="Calibri" w:cs="Calibri"/>
          <w:b/>
          <w:kern w:val="0"/>
          <w:sz w:val="23"/>
          <w:szCs w:val="23"/>
          <w:lang w:eastAsia="cs-CZ"/>
          <w14:ligatures w14:val="none"/>
        </w:rPr>
        <w:lastRenderedPageBreak/>
        <w:t xml:space="preserve">Tato připomínka je zásadní. </w:t>
      </w:r>
    </w:p>
    <w:p w14:paraId="570200DE" w14:textId="77777777" w:rsidR="007F3488" w:rsidRPr="007F3488" w:rsidRDefault="007F3488" w:rsidP="007F3488">
      <w:pPr>
        <w:spacing w:before="200" w:after="200" w:line="252" w:lineRule="auto"/>
        <w:jc w:val="both"/>
        <w:rPr>
          <w:rFonts w:ascii="Calibri" w:eastAsia="Calibri" w:hAnsi="Calibri" w:cs="Times New Roman"/>
          <w:kern w:val="0"/>
          <w:sz w:val="23"/>
          <w:szCs w:val="23"/>
          <w14:ligatures w14:val="none"/>
        </w:rPr>
      </w:pPr>
      <w:r w:rsidRPr="007F3488">
        <w:rPr>
          <w:rFonts w:ascii="Calibri" w:eastAsia="Calibri" w:hAnsi="Calibri" w:cs="Times New Roman"/>
          <w:kern w:val="0"/>
          <w:sz w:val="23"/>
          <w:szCs w:val="23"/>
          <w14:ligatures w14:val="none"/>
        </w:rPr>
        <w:t xml:space="preserve">V souladu s výše uvedeným konkrétně navrhuji změnu odst. 3 navrhovaného ustanovení § 57a zákona o vysokých školách, a to následujícím způsobem: </w:t>
      </w:r>
    </w:p>
    <w:p w14:paraId="02E8254F" w14:textId="77777777" w:rsidR="007F3488" w:rsidRPr="007F3488" w:rsidRDefault="007F3488" w:rsidP="007F3488">
      <w:pPr>
        <w:spacing w:before="200" w:after="200" w:line="252" w:lineRule="auto"/>
        <w:jc w:val="both"/>
        <w:rPr>
          <w:rFonts w:ascii="Calibri" w:eastAsia="Calibri" w:hAnsi="Calibri" w:cs="Times New Roman"/>
          <w:i/>
          <w:iCs/>
          <w:kern w:val="0"/>
          <w:sz w:val="23"/>
          <w:szCs w:val="23"/>
          <w14:ligatures w14:val="none"/>
        </w:rPr>
      </w:pPr>
      <w:r w:rsidRPr="007F3488">
        <w:rPr>
          <w:rFonts w:ascii="Calibri" w:eastAsia="Calibri" w:hAnsi="Calibri" w:cs="Times New Roman"/>
          <w:i/>
          <w:iCs/>
          <w:kern w:val="0"/>
          <w:sz w:val="23"/>
          <w:szCs w:val="23"/>
          <w14:ligatures w14:val="none"/>
        </w:rPr>
        <w:t>„(3) Vysoká škola může stanovit poplatek, který činí</w:t>
      </w:r>
    </w:p>
    <w:p w14:paraId="1EEC0751" w14:textId="77777777" w:rsidR="007F3488" w:rsidRPr="007F3488" w:rsidRDefault="007F3488" w:rsidP="007F3488">
      <w:pPr>
        <w:spacing w:before="200" w:after="200" w:line="252" w:lineRule="auto"/>
        <w:jc w:val="both"/>
        <w:rPr>
          <w:rFonts w:ascii="Calibri" w:eastAsia="Calibri" w:hAnsi="Calibri" w:cs="Times New Roman"/>
          <w:i/>
          <w:iCs/>
          <w:kern w:val="0"/>
          <w:sz w:val="23"/>
          <w:szCs w:val="23"/>
          <w14:ligatures w14:val="none"/>
        </w:rPr>
      </w:pPr>
      <w:r w:rsidRPr="007F3488">
        <w:rPr>
          <w:rFonts w:ascii="Calibri" w:eastAsia="Calibri" w:hAnsi="Calibri" w:cs="Times New Roman"/>
          <w:i/>
          <w:iCs/>
          <w:kern w:val="0"/>
          <w:sz w:val="23"/>
          <w:szCs w:val="23"/>
          <w14:ligatures w14:val="none"/>
        </w:rPr>
        <w:t xml:space="preserve">a) nejvýše 4 000 Kč za úkony spojené s vyhotovením nového dokladu podle odstavce 1, </w:t>
      </w:r>
    </w:p>
    <w:p w14:paraId="5FE16A12" w14:textId="77777777" w:rsidR="007F3488" w:rsidRPr="007F3488" w:rsidRDefault="007F3488" w:rsidP="007F3488">
      <w:pPr>
        <w:spacing w:before="200" w:after="200" w:line="252" w:lineRule="auto"/>
        <w:jc w:val="both"/>
        <w:rPr>
          <w:rFonts w:ascii="Calibri" w:eastAsia="Calibri" w:hAnsi="Calibri" w:cs="Times New Roman"/>
          <w:i/>
          <w:iCs/>
          <w:kern w:val="0"/>
          <w:sz w:val="23"/>
          <w:szCs w:val="23"/>
          <w14:ligatures w14:val="none"/>
        </w:rPr>
      </w:pPr>
      <w:r w:rsidRPr="007F3488">
        <w:rPr>
          <w:rFonts w:ascii="Calibri" w:eastAsia="Calibri" w:hAnsi="Calibri" w:cs="Times New Roman"/>
          <w:i/>
          <w:iCs/>
          <w:kern w:val="0"/>
          <w:sz w:val="23"/>
          <w:szCs w:val="23"/>
          <w14:ligatures w14:val="none"/>
        </w:rPr>
        <w:t xml:space="preserve">b) nejvýše 1 000 Kč za úkony spojené s vyhotovením vysokoškolského diplomu nebo dodatku k diplomu podle odstavce 2. Od tohoto poplatku jsou osvobozeny úkony spojené s vyhotovením vysokoškolského diplomu nebo dodatku k diplomu z důvodu změny jména a příjmení absolventa v případě změny pohlaví.“ </w:t>
      </w:r>
    </w:p>
    <w:p w14:paraId="65AF157F" w14:textId="77777777" w:rsidR="007F3488" w:rsidRPr="007F3488" w:rsidRDefault="007F3488" w:rsidP="007F3488">
      <w:pPr>
        <w:spacing w:before="200" w:after="200" w:line="252" w:lineRule="auto"/>
        <w:jc w:val="both"/>
        <w:rPr>
          <w:rFonts w:ascii="Calibri" w:eastAsia="Calibri" w:hAnsi="Calibri" w:cs="Times New Roman"/>
          <w:i/>
          <w:iCs/>
          <w:kern w:val="0"/>
          <w:sz w:val="23"/>
          <w:szCs w:val="23"/>
          <w14:ligatures w14:val="none"/>
        </w:rPr>
      </w:pPr>
      <w:r w:rsidRPr="007F3488">
        <w:rPr>
          <w:rFonts w:ascii="Calibri" w:eastAsia="Calibri" w:hAnsi="Calibri" w:cs="Times New Roman"/>
          <w:i/>
          <w:iCs/>
          <w:kern w:val="0"/>
          <w:sz w:val="23"/>
          <w:szCs w:val="23"/>
          <w14:ligatures w14:val="none"/>
        </w:rPr>
        <w:t>Poplatek je příjmem vysoké školy.“</w:t>
      </w:r>
    </w:p>
    <w:p w14:paraId="08D884A1" w14:textId="77777777" w:rsidR="007F3488" w:rsidRPr="007F3488" w:rsidRDefault="007F3488" w:rsidP="007F3488">
      <w:pPr>
        <w:spacing w:before="200" w:after="200" w:line="252" w:lineRule="auto"/>
        <w:jc w:val="both"/>
        <w:rPr>
          <w:rFonts w:ascii="Calibri" w:eastAsia="Calibri" w:hAnsi="Calibri" w:cs="Times New Roman"/>
          <w:kern w:val="0"/>
          <w:sz w:val="23"/>
          <w:szCs w:val="23"/>
          <w14:ligatures w14:val="none"/>
        </w:rPr>
      </w:pPr>
      <w:r w:rsidRPr="007F3488">
        <w:rPr>
          <w:rFonts w:ascii="Calibri" w:eastAsia="Calibri" w:hAnsi="Calibri" w:cs="Times New Roman"/>
          <w:b/>
          <w:bCs/>
          <w:kern w:val="0"/>
          <w:sz w:val="23"/>
          <w:szCs w:val="23"/>
          <w14:ligatures w14:val="none"/>
        </w:rPr>
        <w:t>Tato připomínka je zásadní.</w:t>
      </w:r>
    </w:p>
    <w:p w14:paraId="7564BFA5" w14:textId="77777777" w:rsidR="007F3488" w:rsidRPr="007F3488" w:rsidRDefault="007F3488" w:rsidP="007F3488">
      <w:pPr>
        <w:keepNext/>
        <w:spacing w:before="120" w:after="120" w:line="252" w:lineRule="auto"/>
        <w:ind w:hanging="284"/>
        <w:outlineLvl w:val="2"/>
        <w:rPr>
          <w:rFonts w:ascii="Calibri" w:eastAsia="MS Mincho" w:hAnsi="Calibri" w:cs="Times New Roman"/>
          <w:b/>
          <w:kern w:val="0"/>
          <w:sz w:val="23"/>
          <w:szCs w:val="23"/>
          <w:lang w:eastAsia="cs-CZ"/>
          <w14:ligatures w14:val="none"/>
        </w:rPr>
      </w:pPr>
      <w:r w:rsidRPr="007F3488">
        <w:rPr>
          <w:rFonts w:ascii="Calibri" w:eastAsia="MS Mincho" w:hAnsi="Calibri" w:cs="Times New Roman"/>
          <w:b/>
          <w:kern w:val="0"/>
          <w:sz w:val="23"/>
          <w:szCs w:val="23"/>
          <w:lang w:eastAsia="cs-CZ"/>
          <w14:ligatures w14:val="none"/>
        </w:rPr>
        <w:t xml:space="preserve">K části páté, změna zákona o komunikačních systémech neslyšících a hluchoslepých osob </w:t>
      </w:r>
    </w:p>
    <w:p w14:paraId="35190EC2" w14:textId="77777777" w:rsidR="007F3488" w:rsidRPr="007F3488" w:rsidRDefault="007F3488" w:rsidP="007F3488">
      <w:pPr>
        <w:keepNext/>
        <w:spacing w:before="120" w:after="120" w:line="252" w:lineRule="auto"/>
        <w:ind w:hanging="284"/>
        <w:outlineLvl w:val="3"/>
        <w:rPr>
          <w:rFonts w:ascii="Calibri" w:eastAsia="MS Mincho" w:hAnsi="Calibri" w:cs="Times New Roman"/>
          <w:b/>
          <w:kern w:val="0"/>
          <w:sz w:val="23"/>
          <w:szCs w:val="23"/>
          <w:lang w:eastAsia="cs-CZ"/>
          <w14:ligatures w14:val="none"/>
        </w:rPr>
      </w:pPr>
      <w:r w:rsidRPr="007F3488">
        <w:rPr>
          <w:rFonts w:ascii="Calibri" w:eastAsia="MS Mincho" w:hAnsi="Calibri" w:cs="Times New Roman"/>
          <w:b/>
          <w:kern w:val="0"/>
          <w:sz w:val="23"/>
          <w:szCs w:val="23"/>
          <w:lang w:eastAsia="cs-CZ"/>
          <w14:ligatures w14:val="none"/>
        </w:rPr>
        <w:t xml:space="preserve">K bodu 2 (§ 8 odst. 3) </w:t>
      </w:r>
    </w:p>
    <w:p w14:paraId="1D57FF05" w14:textId="77777777" w:rsidR="007F3488" w:rsidRPr="007F3488" w:rsidRDefault="007F3488" w:rsidP="007F3488">
      <w:pPr>
        <w:keepNext/>
        <w:spacing w:before="120" w:after="120" w:line="252" w:lineRule="auto"/>
        <w:jc w:val="both"/>
        <w:outlineLvl w:val="3"/>
        <w:rPr>
          <w:rFonts w:ascii="Calibri" w:eastAsia="MS Mincho" w:hAnsi="Calibri" w:cs="Calibri"/>
          <w:b/>
          <w:kern w:val="0"/>
          <w:sz w:val="23"/>
          <w:szCs w:val="23"/>
          <w:lang w:eastAsia="cs-CZ"/>
          <w14:ligatures w14:val="none"/>
        </w:rPr>
      </w:pPr>
      <w:r w:rsidRPr="007F3488">
        <w:rPr>
          <w:rFonts w:ascii="Calibri" w:eastAsia="MS Mincho" w:hAnsi="Calibri" w:cs="Calibri"/>
          <w:kern w:val="0"/>
          <w:sz w:val="23"/>
          <w:szCs w:val="23"/>
          <w:lang w:eastAsia="cs-CZ"/>
          <w14:ligatures w14:val="none"/>
        </w:rPr>
        <w:t xml:space="preserve">Tímto navrhovaným ustanovením dochází ke zrušení konkrétního ustanovení o bezplatnosti jedné z finančně nejnáročnějších služeb pro studenty se sluchovým postižením a kombinovaným sluchovým a zrakovým postižením, kdy úpravu ponechává na zákonu o vysokých školách, tedy na provádění opatření upravených vnitřními předpisy daných vysokých škol. Tímto navrhovaným ustanovením je v ohrožení opatření tlumočení a tím celé studium studentů, kteří jsou neslyšící či mají kombinované sluchové a zrakové postižení, což je pro mě nepřijatelné. V zákoně o vysokých školách musí být explicitně bezplatné tlumočení pro studenty uvedeno. Studenti musí mít právní jistotu, že jim budou i nadále tlumočnické služby při studiu zajišťovány a to bezplatně. </w:t>
      </w:r>
    </w:p>
    <w:p w14:paraId="53DF34C9" w14:textId="77777777" w:rsidR="007F3488" w:rsidRPr="007F3488" w:rsidRDefault="007F3488" w:rsidP="007F3488">
      <w:pPr>
        <w:widowControl w:val="0"/>
        <w:tabs>
          <w:tab w:val="left" w:pos="851"/>
        </w:tabs>
        <w:spacing w:after="120" w:line="240" w:lineRule="auto"/>
        <w:jc w:val="both"/>
        <w:rPr>
          <w:rFonts w:ascii="Calibri" w:eastAsia="Times New Roman" w:hAnsi="Calibri" w:cs="Calibri"/>
          <w:i/>
          <w:iCs/>
          <w:color w:val="000000"/>
          <w:kern w:val="0"/>
          <w:sz w:val="23"/>
          <w:szCs w:val="23"/>
          <w:lang w:eastAsia="cs-CZ"/>
          <w14:ligatures w14:val="none"/>
        </w:rPr>
      </w:pPr>
      <w:r w:rsidRPr="007F3488">
        <w:rPr>
          <w:rFonts w:ascii="Calibri" w:eastAsia="MS Mincho" w:hAnsi="Calibri" w:cs="Calibri"/>
          <w:kern w:val="0"/>
          <w:sz w:val="23"/>
          <w:szCs w:val="23"/>
          <w:lang w:eastAsia="cs-CZ"/>
          <w14:ligatures w14:val="none"/>
        </w:rPr>
        <w:t>S tímto souvisí i bod 3, kdy se zrušuje následující ustanovení</w:t>
      </w:r>
      <w:proofErr w:type="gramStart"/>
      <w:r w:rsidRPr="007F3488">
        <w:rPr>
          <w:rFonts w:ascii="Calibri" w:eastAsia="MS Mincho" w:hAnsi="Calibri" w:cs="Calibri"/>
          <w:kern w:val="0"/>
          <w:sz w:val="23"/>
          <w:szCs w:val="23"/>
          <w:lang w:eastAsia="cs-CZ"/>
          <w14:ligatures w14:val="none"/>
        </w:rPr>
        <w:t xml:space="preserve">: </w:t>
      </w:r>
      <w:r w:rsidRPr="007F3488">
        <w:rPr>
          <w:rFonts w:ascii="Calibri" w:eastAsia="MS Mincho" w:hAnsi="Calibri" w:cs="Calibri"/>
          <w:i/>
          <w:kern w:val="0"/>
          <w:sz w:val="23"/>
          <w:szCs w:val="23"/>
          <w:lang w:eastAsia="cs-CZ"/>
          <w14:ligatures w14:val="none"/>
        </w:rPr>
        <w:t>,,</w:t>
      </w:r>
      <w:r w:rsidRPr="007F3488">
        <w:rPr>
          <w:rFonts w:ascii="Calibri" w:eastAsia="Times New Roman" w:hAnsi="Calibri" w:cs="Calibri"/>
          <w:i/>
          <w:iCs/>
          <w:color w:val="000000"/>
          <w:kern w:val="0"/>
          <w:sz w:val="23"/>
          <w:szCs w:val="23"/>
          <w:lang w:eastAsia="cs-CZ"/>
          <w14:ligatures w14:val="none"/>
        </w:rPr>
        <w:t>Ministerstvo</w:t>
      </w:r>
      <w:proofErr w:type="gramEnd"/>
      <w:r w:rsidRPr="007F3488">
        <w:rPr>
          <w:rFonts w:ascii="Calibri" w:eastAsia="Times New Roman" w:hAnsi="Calibri" w:cs="Calibri"/>
          <w:i/>
          <w:iCs/>
          <w:color w:val="000000"/>
          <w:kern w:val="0"/>
          <w:sz w:val="23"/>
          <w:szCs w:val="23"/>
          <w:lang w:eastAsia="cs-CZ"/>
          <w14:ligatures w14:val="none"/>
        </w:rPr>
        <w:t xml:space="preserve"> školství, mládeže a tělovýchovy stanoví vyhláškou a) podmínky a rozsah tlumočnických služeb poskytovaných bezplatně neslyšícím a hluchoslepým žákům a studentům podle § 8 odst. 3‘‘. </w:t>
      </w:r>
    </w:p>
    <w:p w14:paraId="34F8F849" w14:textId="77777777" w:rsidR="007F3488" w:rsidRDefault="007F3488" w:rsidP="007F3488">
      <w:pPr>
        <w:widowControl w:val="0"/>
        <w:tabs>
          <w:tab w:val="left" w:pos="851"/>
        </w:tabs>
        <w:spacing w:after="120" w:line="240" w:lineRule="auto"/>
        <w:jc w:val="both"/>
        <w:rPr>
          <w:rFonts w:ascii="Calibri" w:eastAsia="MS Mincho" w:hAnsi="Calibri" w:cs="Calibri"/>
          <w:b/>
          <w:kern w:val="0"/>
          <w:sz w:val="23"/>
          <w:szCs w:val="23"/>
          <w:lang w:eastAsia="cs-CZ"/>
          <w14:ligatures w14:val="none"/>
        </w:rPr>
      </w:pPr>
      <w:r w:rsidRPr="007F3488">
        <w:rPr>
          <w:rFonts w:ascii="Calibri" w:eastAsia="MS Mincho" w:hAnsi="Calibri" w:cs="Calibri"/>
          <w:b/>
          <w:kern w:val="0"/>
          <w:sz w:val="23"/>
          <w:szCs w:val="23"/>
          <w:lang w:eastAsia="cs-CZ"/>
          <w14:ligatures w14:val="none"/>
        </w:rPr>
        <w:t xml:space="preserve">Tato připomínka je zásadní. </w:t>
      </w:r>
    </w:p>
    <w:p w14:paraId="3E54334F" w14:textId="77777777" w:rsidR="004B7AAF" w:rsidRDefault="004B7AAF" w:rsidP="007F3488">
      <w:pPr>
        <w:widowControl w:val="0"/>
        <w:tabs>
          <w:tab w:val="left" w:pos="851"/>
        </w:tabs>
        <w:spacing w:after="120" w:line="240" w:lineRule="auto"/>
        <w:jc w:val="both"/>
        <w:rPr>
          <w:rFonts w:ascii="Calibri" w:eastAsia="MS Mincho" w:hAnsi="Calibri" w:cs="Calibri"/>
          <w:b/>
          <w:kern w:val="0"/>
          <w:sz w:val="23"/>
          <w:szCs w:val="23"/>
          <w:lang w:eastAsia="cs-CZ"/>
          <w14:ligatures w14:val="none"/>
        </w:rPr>
      </w:pPr>
    </w:p>
    <w:p w14:paraId="43D9FC5B" w14:textId="77777777" w:rsidR="004B7AAF" w:rsidRDefault="004B7AAF" w:rsidP="007F3488">
      <w:pPr>
        <w:widowControl w:val="0"/>
        <w:tabs>
          <w:tab w:val="left" w:pos="851"/>
        </w:tabs>
        <w:spacing w:after="120" w:line="240" w:lineRule="auto"/>
        <w:jc w:val="both"/>
        <w:rPr>
          <w:rFonts w:ascii="Calibri" w:eastAsia="MS Mincho" w:hAnsi="Calibri" w:cs="Calibri"/>
          <w:b/>
          <w:kern w:val="0"/>
          <w:sz w:val="23"/>
          <w:szCs w:val="23"/>
          <w:lang w:eastAsia="cs-CZ"/>
          <w14:ligatures w14:val="none"/>
        </w:rPr>
      </w:pPr>
    </w:p>
    <w:p w14:paraId="1D015EDD" w14:textId="5F5B5BDD" w:rsidR="004B7AAF" w:rsidRDefault="004B7AAF" w:rsidP="004B7AAF">
      <w:pPr>
        <w:widowControl w:val="0"/>
        <w:tabs>
          <w:tab w:val="left" w:pos="851"/>
        </w:tabs>
        <w:spacing w:after="120" w:line="240" w:lineRule="auto"/>
        <w:jc w:val="right"/>
        <w:rPr>
          <w:rFonts w:ascii="Calibri" w:eastAsia="MS Mincho" w:hAnsi="Calibri" w:cs="Calibri"/>
          <w:bCs/>
          <w:kern w:val="0"/>
          <w:sz w:val="23"/>
          <w:szCs w:val="23"/>
          <w:lang w:eastAsia="cs-CZ"/>
          <w14:ligatures w14:val="none"/>
        </w:rPr>
      </w:pPr>
      <w:r w:rsidRPr="004B7AAF">
        <w:rPr>
          <w:rFonts w:ascii="Calibri" w:eastAsia="MS Mincho" w:hAnsi="Calibri" w:cs="Calibri"/>
          <w:bCs/>
          <w:kern w:val="0"/>
          <w:sz w:val="23"/>
          <w:szCs w:val="23"/>
          <w:lang w:eastAsia="cs-CZ"/>
          <w14:ligatures w14:val="none"/>
        </w:rPr>
        <w:t>V Praze dne 24. 8. 2023</w:t>
      </w:r>
    </w:p>
    <w:p w14:paraId="06CE2226" w14:textId="77777777" w:rsidR="004B7AAF" w:rsidRDefault="004B7AAF" w:rsidP="004B7AAF">
      <w:pPr>
        <w:widowControl w:val="0"/>
        <w:tabs>
          <w:tab w:val="left" w:pos="851"/>
        </w:tabs>
        <w:spacing w:after="120" w:line="240" w:lineRule="auto"/>
        <w:jc w:val="right"/>
        <w:rPr>
          <w:rFonts w:ascii="Calibri" w:eastAsia="MS Mincho" w:hAnsi="Calibri" w:cs="Calibri"/>
          <w:bCs/>
          <w:kern w:val="0"/>
          <w:sz w:val="23"/>
          <w:szCs w:val="23"/>
          <w:lang w:eastAsia="cs-CZ"/>
          <w14:ligatures w14:val="none"/>
        </w:rPr>
      </w:pPr>
    </w:p>
    <w:p w14:paraId="126ECB0B" w14:textId="77777777" w:rsidR="004B7AAF" w:rsidRDefault="004B7AAF" w:rsidP="004B7AAF">
      <w:pPr>
        <w:widowControl w:val="0"/>
        <w:tabs>
          <w:tab w:val="left" w:pos="851"/>
        </w:tabs>
        <w:spacing w:after="120" w:line="240" w:lineRule="auto"/>
        <w:jc w:val="right"/>
        <w:rPr>
          <w:rFonts w:ascii="Calibri" w:eastAsia="MS Mincho" w:hAnsi="Calibri" w:cs="Calibri"/>
          <w:bCs/>
          <w:kern w:val="0"/>
          <w:sz w:val="23"/>
          <w:szCs w:val="23"/>
          <w:lang w:eastAsia="cs-CZ"/>
          <w14:ligatures w14:val="none"/>
        </w:rPr>
      </w:pPr>
    </w:p>
    <w:p w14:paraId="4D952707" w14:textId="03095E94" w:rsidR="004B7AAF" w:rsidRPr="007F3488" w:rsidRDefault="004B7AAF" w:rsidP="004B7AAF">
      <w:pPr>
        <w:widowControl w:val="0"/>
        <w:tabs>
          <w:tab w:val="left" w:pos="851"/>
        </w:tabs>
        <w:spacing w:after="120" w:line="240" w:lineRule="auto"/>
        <w:rPr>
          <w:rFonts w:ascii="Calibri" w:eastAsia="MS Mincho" w:hAnsi="Calibri" w:cs="Calibri"/>
          <w:bCs/>
          <w:kern w:val="0"/>
          <w:sz w:val="23"/>
          <w:szCs w:val="23"/>
          <w:lang w:eastAsia="cs-CZ"/>
          <w14:ligatures w14:val="none"/>
        </w:rPr>
      </w:pPr>
      <w:r>
        <w:rPr>
          <w:rFonts w:ascii="Calibri" w:eastAsia="MS Mincho" w:hAnsi="Calibri" w:cs="Calibri"/>
          <w:bCs/>
          <w:kern w:val="0"/>
          <w:sz w:val="23"/>
          <w:szCs w:val="23"/>
          <w:lang w:eastAsia="cs-CZ"/>
          <w14:ligatures w14:val="none"/>
        </w:rPr>
        <w:t>Vypracoval: Mgr. Václav Krása, předseda NRZP ČR</w:t>
      </w:r>
    </w:p>
    <w:sectPr w:rsidR="004B7AAF" w:rsidRPr="007F3488" w:rsidSect="007F3488">
      <w:footerReference w:type="default" r:id="rId8"/>
      <w:footerReference w:type="first" r:id="rId9"/>
      <w:pgSz w:w="11906" w:h="16838"/>
      <w:pgMar w:top="1418" w:right="1701" w:bottom="1418" w:left="170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6293" w14:textId="77777777" w:rsidR="00A343AD" w:rsidRDefault="00A343AD" w:rsidP="007F3488">
      <w:pPr>
        <w:spacing w:after="0" w:line="240" w:lineRule="auto"/>
      </w:pPr>
      <w:r>
        <w:separator/>
      </w:r>
    </w:p>
  </w:endnote>
  <w:endnote w:type="continuationSeparator" w:id="0">
    <w:p w14:paraId="35EA668F" w14:textId="77777777" w:rsidR="00A343AD" w:rsidRDefault="00A343AD" w:rsidP="007F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343418"/>
      <w:docPartObj>
        <w:docPartGallery w:val="Page Numbers (Bottom of Page)"/>
        <w:docPartUnique/>
      </w:docPartObj>
    </w:sdtPr>
    <w:sdtContent>
      <w:p w14:paraId="7A33D4C9" w14:textId="77777777" w:rsidR="00000000" w:rsidRDefault="00000000">
        <w:pPr>
          <w:pStyle w:val="Zpat"/>
          <w:jc w:val="right"/>
        </w:pPr>
        <w:r>
          <w:fldChar w:fldCharType="begin"/>
        </w:r>
        <w:r>
          <w:instrText>PAGE   \* M</w:instrText>
        </w:r>
        <w:r>
          <w:instrText>ERGEFORMAT</w:instrText>
        </w:r>
        <w:r>
          <w:fldChar w:fldCharType="separate"/>
        </w:r>
        <w:r>
          <w:rPr>
            <w:noProof/>
          </w:rPr>
          <w:t>4</w:t>
        </w:r>
        <w:r>
          <w:fldChar w:fldCharType="end"/>
        </w:r>
      </w:p>
    </w:sdtContent>
  </w:sdt>
  <w:p w14:paraId="3177222D" w14:textId="77777777" w:rsidR="00000000" w:rsidRPr="00C62ED8" w:rsidRDefault="00000000" w:rsidP="00190FA8">
    <w:pPr>
      <w:tabs>
        <w:tab w:val="left" w:pos="7938"/>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72866"/>
      <w:docPartObj>
        <w:docPartGallery w:val="Page Numbers (Bottom of Page)"/>
        <w:docPartUnique/>
      </w:docPartObj>
    </w:sdtPr>
    <w:sdtContent>
      <w:p w14:paraId="73E48858" w14:textId="77777777" w:rsidR="00000000" w:rsidRDefault="00000000">
        <w:pPr>
          <w:pStyle w:val="Zpat"/>
          <w:jc w:val="right"/>
        </w:pPr>
        <w:r>
          <w:fldChar w:fldCharType="begin"/>
        </w:r>
        <w:r>
          <w:instrText>PAGE   \* MERGEFORMAT</w:instrText>
        </w:r>
        <w:r>
          <w:fldChar w:fldCharType="separate"/>
        </w:r>
        <w:r>
          <w:rPr>
            <w:noProof/>
          </w:rPr>
          <w:t>1</w:t>
        </w:r>
        <w:r>
          <w:fldChar w:fldCharType="end"/>
        </w:r>
      </w:p>
    </w:sdtContent>
  </w:sdt>
  <w:p w14:paraId="214F7B53" w14:textId="77777777" w:rsidR="00000000"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F67D" w14:textId="77777777" w:rsidR="00A343AD" w:rsidRDefault="00A343AD" w:rsidP="007F3488">
      <w:pPr>
        <w:spacing w:after="0" w:line="240" w:lineRule="auto"/>
      </w:pPr>
      <w:r>
        <w:separator/>
      </w:r>
    </w:p>
  </w:footnote>
  <w:footnote w:type="continuationSeparator" w:id="0">
    <w:p w14:paraId="2A820933" w14:textId="77777777" w:rsidR="00A343AD" w:rsidRDefault="00A343AD" w:rsidP="007F3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55DA6"/>
    <w:multiLevelType w:val="hybridMultilevel"/>
    <w:tmpl w:val="EBE2F184"/>
    <w:lvl w:ilvl="0" w:tplc="4ED0F202">
      <w:start w:val="1"/>
      <w:numFmt w:val="upp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 w15:restartNumberingAfterBreak="0">
    <w:nsid w:val="650A7900"/>
    <w:multiLevelType w:val="hybridMultilevel"/>
    <w:tmpl w:val="4CA822EA"/>
    <w:lvl w:ilvl="0" w:tplc="D1ECD404">
      <w:start w:val="1"/>
      <w:numFmt w:val="decimal"/>
      <w:lvlText w:val="%1."/>
      <w:lvlJc w:val="left"/>
      <w:pPr>
        <w:ind w:left="436"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num w:numId="1" w16cid:durableId="1814102876">
    <w:abstractNumId w:val="0"/>
  </w:num>
  <w:num w:numId="2" w16cid:durableId="27999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1"/>
    <w:rsid w:val="004B7AAF"/>
    <w:rsid w:val="00586301"/>
    <w:rsid w:val="00731915"/>
    <w:rsid w:val="007F3488"/>
    <w:rsid w:val="00A34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E8AC"/>
  <w15:chartTrackingRefBased/>
  <w15:docId w15:val="{EB476947-537D-4FBD-9E20-38C37A86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F348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3488"/>
    <w:rPr>
      <w:sz w:val="20"/>
      <w:szCs w:val="20"/>
    </w:rPr>
  </w:style>
  <w:style w:type="character" w:styleId="Znakapoznpodarou">
    <w:name w:val="footnote reference"/>
    <w:aliases w:val="4_G,4_G Char Char,Footnote Reference1 Char Char,Footnotes refss Char Char,ftref Char Char,BVI fnr Char Char,BVI fnr Car Car Char Char,BVI fnr Car Char Char,BVI fnr Car Car Car Car Char Char1,BVI fnr Char Car Car Car Char Char"/>
    <w:link w:val="4GChar"/>
    <w:uiPriority w:val="99"/>
    <w:qFormat/>
    <w:rsid w:val="007F3488"/>
    <w:rPr>
      <w:b/>
      <w:color w:val="008576"/>
      <w:vertAlign w:val="superscript"/>
    </w:rPr>
  </w:style>
  <w:style w:type="paragraph" w:styleId="Zpat">
    <w:name w:val="footer"/>
    <w:basedOn w:val="Normln"/>
    <w:link w:val="ZpatChar"/>
    <w:uiPriority w:val="99"/>
    <w:rsid w:val="007F3488"/>
    <w:pPr>
      <w:tabs>
        <w:tab w:val="center" w:pos="4536"/>
        <w:tab w:val="right" w:pos="9072"/>
      </w:tabs>
      <w:spacing w:after="0" w:line="240" w:lineRule="auto"/>
    </w:pPr>
    <w:rPr>
      <w:rFonts w:ascii="Calibri" w:eastAsia="Times New Roman" w:hAnsi="Calibri" w:cs="Times New Roman"/>
      <w:kern w:val="0"/>
      <w:sz w:val="23"/>
      <w:szCs w:val="23"/>
      <w:lang w:eastAsia="cs-CZ"/>
      <w14:ligatures w14:val="none"/>
    </w:rPr>
  </w:style>
  <w:style w:type="character" w:customStyle="1" w:styleId="ZpatChar">
    <w:name w:val="Zápatí Char"/>
    <w:basedOn w:val="Standardnpsmoodstavce"/>
    <w:link w:val="Zpat"/>
    <w:uiPriority w:val="99"/>
    <w:rsid w:val="007F3488"/>
    <w:rPr>
      <w:rFonts w:ascii="Calibri" w:eastAsia="Times New Roman" w:hAnsi="Calibri" w:cs="Times New Roman"/>
      <w:kern w:val="0"/>
      <w:sz w:val="23"/>
      <w:szCs w:val="23"/>
      <w:lang w:eastAsia="cs-CZ"/>
      <w14:ligatures w14:val="none"/>
    </w:rPr>
  </w:style>
  <w:style w:type="paragraph" w:customStyle="1" w:styleId="4GChar">
    <w:name w:val="4_G Char"/>
    <w:aliases w:val="Footnote Reference1 Char,Footnotes refss Char,ftref Char,BVI fnr Char,BVI fnr Car Car Char,BVI fnr Car Char,BVI fnr Car Car Car Car Char,BVI fnr Char Car Car Car Char,Footnote Reference1,Footnotes refss,ftref,BVI fnr Car Car"/>
    <w:basedOn w:val="Normln"/>
    <w:link w:val="Znakapoznpodarou"/>
    <w:uiPriority w:val="99"/>
    <w:rsid w:val="007F3488"/>
    <w:pPr>
      <w:spacing w:line="240" w:lineRule="exact"/>
      <w:jc w:val="both"/>
    </w:pPr>
    <w:rPr>
      <w:b/>
      <w:color w:val="008576"/>
      <w:vertAlign w:val="superscript"/>
    </w:rPr>
  </w:style>
  <w:style w:type="paragraph" w:styleId="Zhlav">
    <w:name w:val="header"/>
    <w:basedOn w:val="Normln"/>
    <w:link w:val="ZhlavChar"/>
    <w:uiPriority w:val="99"/>
    <w:unhideWhenUsed/>
    <w:rsid w:val="007F34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1052</Words>
  <Characters>6209</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Kubíčková</dc:creator>
  <cp:keywords/>
  <dc:description/>
  <cp:lastModifiedBy>Michaela Kubíčková</cp:lastModifiedBy>
  <cp:revision>4</cp:revision>
  <dcterms:created xsi:type="dcterms:W3CDTF">2023-08-24T08:53:00Z</dcterms:created>
  <dcterms:modified xsi:type="dcterms:W3CDTF">2023-08-24T09:02:00Z</dcterms:modified>
</cp:coreProperties>
</file>