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7B63F" w14:textId="07C3D2AC" w:rsidR="00451CB6" w:rsidRPr="005009C8" w:rsidRDefault="00451CB6" w:rsidP="00451CB6">
      <w:pPr>
        <w:pStyle w:val="Nadpis2"/>
        <w:tabs>
          <w:tab w:val="left" w:pos="360"/>
        </w:tabs>
        <w:spacing w:before="0" w:after="120"/>
        <w:jc w:val="right"/>
        <w:rPr>
          <w:b w:val="0"/>
          <w:sz w:val="24"/>
          <w:szCs w:val="24"/>
        </w:rPr>
      </w:pPr>
      <w:bookmarkStart w:id="0" w:name="_GoBack"/>
      <w:bookmarkEnd w:id="0"/>
      <w:r w:rsidRPr="005009C8">
        <w:rPr>
          <w:b w:val="0"/>
          <w:sz w:val="24"/>
          <w:szCs w:val="24"/>
        </w:rPr>
        <w:t>I</w:t>
      </w:r>
      <w:r w:rsidR="004F0A73">
        <w:rPr>
          <w:b w:val="0"/>
          <w:sz w:val="24"/>
          <w:szCs w:val="24"/>
        </w:rPr>
        <w:t>V</w:t>
      </w:r>
      <w:r w:rsidRPr="005009C8">
        <w:rPr>
          <w:b w:val="0"/>
          <w:sz w:val="24"/>
          <w:szCs w:val="24"/>
        </w:rPr>
        <w:t>.</w:t>
      </w:r>
    </w:p>
    <w:p w14:paraId="554784F9" w14:textId="77777777" w:rsidR="00930209" w:rsidRPr="005009C8" w:rsidRDefault="00E32F40" w:rsidP="00E32F40">
      <w:pPr>
        <w:pStyle w:val="Nadpis2"/>
        <w:tabs>
          <w:tab w:val="left" w:pos="360"/>
        </w:tabs>
        <w:spacing w:before="0" w:after="120"/>
        <w:jc w:val="center"/>
        <w:rPr>
          <w:sz w:val="24"/>
          <w:szCs w:val="24"/>
          <w:u w:val="single"/>
        </w:rPr>
      </w:pPr>
      <w:r w:rsidRPr="005009C8">
        <w:rPr>
          <w:sz w:val="24"/>
          <w:szCs w:val="24"/>
          <w:u w:val="single"/>
        </w:rPr>
        <w:t>ROZDÍLOVÁ TABULKA NÁVRHU PŘEDPISU ČR S LEGISLATIVOU EU</w:t>
      </w:r>
    </w:p>
    <w:p w14:paraId="33C5287D" w14:textId="48E318C9" w:rsidR="00907A04" w:rsidRPr="005009C8" w:rsidRDefault="00620D3C" w:rsidP="00907A04">
      <w:pPr>
        <w:jc w:val="center"/>
        <w:rPr>
          <w:b/>
        </w:rPr>
      </w:pPr>
      <w:r w:rsidRPr="005009C8">
        <w:rPr>
          <w:b/>
        </w:rPr>
        <w:t xml:space="preserve">Návrh </w:t>
      </w:r>
      <w:r w:rsidR="00A96F87" w:rsidRPr="005009C8">
        <w:rPr>
          <w:b/>
        </w:rPr>
        <w:t>vyhlášky o požadavcích na výstavbu</w:t>
      </w:r>
    </w:p>
    <w:p w14:paraId="2DAF09B2" w14:textId="77777777" w:rsidR="00907A04" w:rsidRPr="005009C8" w:rsidRDefault="00907A04" w:rsidP="00907A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4729"/>
        <w:gridCol w:w="1805"/>
        <w:gridCol w:w="1746"/>
        <w:gridCol w:w="4248"/>
      </w:tblGrid>
      <w:tr w:rsidR="00930209" w:rsidRPr="005009C8" w14:paraId="486508EE" w14:textId="77777777" w:rsidTr="00CE3F49">
        <w:trPr>
          <w:tblHeader/>
        </w:trPr>
        <w:tc>
          <w:tcPr>
            <w:tcW w:w="2213" w:type="pct"/>
            <w:gridSpan w:val="2"/>
            <w:shd w:val="clear" w:color="auto" w:fill="D9D9D9"/>
            <w:vAlign w:val="center"/>
          </w:tcPr>
          <w:p w14:paraId="2F13B3AD" w14:textId="07DFA430" w:rsidR="00930209" w:rsidRPr="005009C8" w:rsidRDefault="00014706" w:rsidP="00A96F87">
            <w:pPr>
              <w:jc w:val="center"/>
              <w:rPr>
                <w:b/>
              </w:rPr>
            </w:pPr>
            <w:r w:rsidRPr="005009C8">
              <w:rPr>
                <w:b/>
              </w:rPr>
              <w:t xml:space="preserve">Návrh </w:t>
            </w:r>
            <w:r w:rsidR="00A96F87" w:rsidRPr="005009C8">
              <w:rPr>
                <w:b/>
              </w:rPr>
              <w:t>vyhlášky o požadavcích na výstavbu</w:t>
            </w:r>
            <w:r w:rsidRPr="005009C8">
              <w:rPr>
                <w:b/>
              </w:rPr>
              <w:t xml:space="preserve">, ID </w:t>
            </w:r>
            <w:r w:rsidR="00A96F87" w:rsidRPr="005009C8">
              <w:rPr>
                <w:b/>
              </w:rPr>
              <w:t>10896</w:t>
            </w:r>
          </w:p>
        </w:tc>
        <w:tc>
          <w:tcPr>
            <w:tcW w:w="2787" w:type="pct"/>
            <w:gridSpan w:val="3"/>
            <w:shd w:val="clear" w:color="auto" w:fill="D9D9D9"/>
            <w:vAlign w:val="center"/>
          </w:tcPr>
          <w:p w14:paraId="21E0CEAA" w14:textId="77777777" w:rsidR="005431DE" w:rsidRPr="005009C8" w:rsidRDefault="00E7337B" w:rsidP="00907A04">
            <w:pPr>
              <w:jc w:val="center"/>
              <w:rPr>
                <w:b/>
              </w:rPr>
            </w:pPr>
            <w:r w:rsidRPr="005009C8">
              <w:rPr>
                <w:b/>
              </w:rPr>
              <w:t>Odpovídající předpis EU</w:t>
            </w:r>
          </w:p>
        </w:tc>
      </w:tr>
      <w:tr w:rsidR="00930209" w:rsidRPr="005009C8" w14:paraId="58A624FE" w14:textId="77777777" w:rsidTr="00CE3F49">
        <w:trPr>
          <w:tblHeader/>
        </w:trPr>
        <w:tc>
          <w:tcPr>
            <w:tcW w:w="523" w:type="pct"/>
            <w:shd w:val="clear" w:color="auto" w:fill="D9D9D9"/>
            <w:vAlign w:val="center"/>
          </w:tcPr>
          <w:p w14:paraId="67145CA3" w14:textId="77777777" w:rsidR="005431DE" w:rsidRPr="005009C8" w:rsidRDefault="005431DE" w:rsidP="00E32F40">
            <w:pPr>
              <w:jc w:val="center"/>
              <w:rPr>
                <w:b/>
              </w:rPr>
            </w:pPr>
            <w:r w:rsidRPr="005009C8">
              <w:rPr>
                <w:b/>
              </w:rPr>
              <w:t>Ustanovení</w:t>
            </w:r>
          </w:p>
        </w:tc>
        <w:tc>
          <w:tcPr>
            <w:tcW w:w="1690" w:type="pct"/>
            <w:shd w:val="clear" w:color="auto" w:fill="D9D9D9"/>
            <w:vAlign w:val="center"/>
          </w:tcPr>
          <w:p w14:paraId="1332D2AD" w14:textId="77777777" w:rsidR="005431DE" w:rsidRPr="005009C8" w:rsidRDefault="005431DE" w:rsidP="00E32F40">
            <w:pPr>
              <w:jc w:val="center"/>
              <w:rPr>
                <w:b/>
              </w:rPr>
            </w:pPr>
            <w:r w:rsidRPr="005009C8">
              <w:rPr>
                <w:b/>
              </w:rPr>
              <w:t>Obsah</w:t>
            </w:r>
          </w:p>
        </w:tc>
        <w:tc>
          <w:tcPr>
            <w:tcW w:w="645" w:type="pct"/>
            <w:shd w:val="clear" w:color="auto" w:fill="D9D9D9"/>
            <w:vAlign w:val="center"/>
          </w:tcPr>
          <w:p w14:paraId="1FC8FB2F" w14:textId="77777777" w:rsidR="005431DE" w:rsidRPr="005009C8" w:rsidRDefault="00E32F40" w:rsidP="00E32F40">
            <w:pPr>
              <w:jc w:val="center"/>
              <w:rPr>
                <w:b/>
              </w:rPr>
            </w:pPr>
            <w:r w:rsidRPr="005009C8">
              <w:rPr>
                <w:b/>
              </w:rPr>
              <w:t>CELEX</w:t>
            </w:r>
            <w:r w:rsidR="005431DE" w:rsidRPr="005009C8">
              <w:rPr>
                <w:b/>
              </w:rPr>
              <w:t xml:space="preserve"> č.</w:t>
            </w:r>
          </w:p>
        </w:tc>
        <w:tc>
          <w:tcPr>
            <w:tcW w:w="624" w:type="pct"/>
            <w:shd w:val="clear" w:color="auto" w:fill="D9D9D9"/>
            <w:vAlign w:val="center"/>
          </w:tcPr>
          <w:p w14:paraId="7C5906B9" w14:textId="77777777" w:rsidR="005431DE" w:rsidRPr="005009C8" w:rsidRDefault="005431DE" w:rsidP="00E32F40">
            <w:pPr>
              <w:jc w:val="center"/>
              <w:rPr>
                <w:b/>
              </w:rPr>
            </w:pPr>
            <w:r w:rsidRPr="005009C8">
              <w:rPr>
                <w:b/>
              </w:rPr>
              <w:t>Ustanovení</w:t>
            </w:r>
          </w:p>
        </w:tc>
        <w:tc>
          <w:tcPr>
            <w:tcW w:w="1518" w:type="pct"/>
            <w:shd w:val="clear" w:color="auto" w:fill="D9D9D9"/>
            <w:vAlign w:val="center"/>
          </w:tcPr>
          <w:p w14:paraId="7E63E070" w14:textId="77777777" w:rsidR="005431DE" w:rsidRPr="005009C8" w:rsidRDefault="005431DE" w:rsidP="00E32F40">
            <w:pPr>
              <w:jc w:val="center"/>
              <w:rPr>
                <w:b/>
              </w:rPr>
            </w:pPr>
            <w:r w:rsidRPr="005009C8">
              <w:rPr>
                <w:b/>
              </w:rPr>
              <w:t>Obsah</w:t>
            </w:r>
          </w:p>
        </w:tc>
      </w:tr>
      <w:tr w:rsidR="00835DCF" w:rsidRPr="005009C8" w14:paraId="757F3420" w14:textId="77777777" w:rsidTr="00CE3F49">
        <w:tc>
          <w:tcPr>
            <w:tcW w:w="523" w:type="pct"/>
            <w:shd w:val="clear" w:color="auto" w:fill="auto"/>
          </w:tcPr>
          <w:p w14:paraId="2AD8A235" w14:textId="713FEB71" w:rsidR="00835DCF" w:rsidRPr="005009C8" w:rsidRDefault="00835DCF" w:rsidP="00835DCF">
            <w:r w:rsidRPr="005009C8">
              <w:t>§ 18</w:t>
            </w:r>
          </w:p>
        </w:tc>
        <w:tc>
          <w:tcPr>
            <w:tcW w:w="1690" w:type="pct"/>
            <w:shd w:val="clear" w:color="auto" w:fill="auto"/>
          </w:tcPr>
          <w:p w14:paraId="21BA2383" w14:textId="56B752F1" w:rsidR="00835DCF" w:rsidRPr="005009C8" w:rsidRDefault="00835DCF" w:rsidP="00835DCF">
            <w:pPr>
              <w:jc w:val="both"/>
              <w:rPr>
                <w:u w:val="single"/>
              </w:rPr>
            </w:pPr>
            <w:r w:rsidRPr="005009C8">
              <w:rPr>
                <w:u w:val="single"/>
              </w:rPr>
              <w:t>Stavba musí být navržena tak, aby její stavební konstrukce odolaly předvídatelným vlivům.</w:t>
            </w:r>
          </w:p>
          <w:p w14:paraId="53D397AE" w14:textId="77777777" w:rsidR="00835DCF" w:rsidRPr="005009C8" w:rsidRDefault="00835DCF" w:rsidP="00835DCF">
            <w:pPr>
              <w:jc w:val="both"/>
              <w:rPr>
                <w:u w:val="single"/>
              </w:rPr>
            </w:pPr>
          </w:p>
        </w:tc>
        <w:tc>
          <w:tcPr>
            <w:tcW w:w="645" w:type="pct"/>
            <w:shd w:val="clear" w:color="auto" w:fill="auto"/>
          </w:tcPr>
          <w:p w14:paraId="776EDE0A" w14:textId="55557EC7" w:rsidR="00835DCF" w:rsidRPr="005009C8" w:rsidRDefault="00835DCF" w:rsidP="00835DCF">
            <w:r w:rsidRPr="005009C8">
              <w:t>32018L0844</w:t>
            </w:r>
          </w:p>
        </w:tc>
        <w:tc>
          <w:tcPr>
            <w:tcW w:w="624" w:type="pct"/>
            <w:shd w:val="clear" w:color="auto" w:fill="auto"/>
          </w:tcPr>
          <w:p w14:paraId="73491679" w14:textId="4BED7235" w:rsidR="00835DCF" w:rsidRPr="005009C8" w:rsidRDefault="00835DCF" w:rsidP="00835DCF">
            <w:r w:rsidRPr="005009C8">
              <w:t>Článek 1 odst. 4</w:t>
            </w:r>
          </w:p>
        </w:tc>
        <w:tc>
          <w:tcPr>
            <w:tcW w:w="1518" w:type="pct"/>
            <w:shd w:val="clear" w:color="auto" w:fill="auto"/>
          </w:tcPr>
          <w:p w14:paraId="6F4333E4" w14:textId="77777777" w:rsidR="00835DCF" w:rsidRPr="005009C8" w:rsidRDefault="00835DCF" w:rsidP="00835DCF">
            <w:pPr>
              <w:pStyle w:val="CM4"/>
              <w:spacing w:before="60" w:after="60"/>
              <w:jc w:val="both"/>
              <w:rPr>
                <w:rFonts w:ascii="Times New Roman" w:hAnsi="Times New Roman"/>
              </w:rPr>
            </w:pPr>
            <w:r w:rsidRPr="005009C8">
              <w:rPr>
                <w:rFonts w:ascii="Times New Roman" w:hAnsi="Times New Roman"/>
              </w:rPr>
              <w:t xml:space="preserve">4) V článku 7 se pátý pododstavec nahrazuje tímto: </w:t>
            </w:r>
          </w:p>
          <w:p w14:paraId="55F00F13" w14:textId="002AAD77" w:rsidR="00835DCF" w:rsidRPr="005009C8" w:rsidRDefault="00835DCF" w:rsidP="00835DCF">
            <w:pPr>
              <w:pStyle w:val="CM4"/>
              <w:spacing w:before="60" w:after="60"/>
              <w:jc w:val="both"/>
              <w:rPr>
                <w:rFonts w:ascii="Times New Roman" w:hAnsi="Times New Roman"/>
              </w:rPr>
            </w:pPr>
            <w:r w:rsidRPr="005009C8">
              <w:t>„Členské státy podporují v souvislosti s budovami podstupujícími větší renovace vysoce účinné alternativní systémy, pokud je to technicky, funkčně a ekonomicky proveditelné, a věnují pozornost otázkám zdravého vnitřního prostředí, požární bezpečnosti a rizikům spojeným s intenzivní seismickou aktivitou.“</w:t>
            </w:r>
          </w:p>
        </w:tc>
      </w:tr>
      <w:tr w:rsidR="006550DC" w:rsidRPr="005009C8" w14:paraId="7D6AFDAE" w14:textId="77777777" w:rsidTr="00CE3F49">
        <w:tc>
          <w:tcPr>
            <w:tcW w:w="523" w:type="pct"/>
            <w:shd w:val="clear" w:color="auto" w:fill="auto"/>
          </w:tcPr>
          <w:p w14:paraId="7332A0DA" w14:textId="448A2FD8" w:rsidR="006550DC" w:rsidRPr="005009C8" w:rsidRDefault="00204B1B" w:rsidP="006550DC">
            <w:r w:rsidRPr="005009C8">
              <w:t>§</w:t>
            </w:r>
            <w:r w:rsidR="00F95B75" w:rsidRPr="005009C8">
              <w:t xml:space="preserve"> </w:t>
            </w:r>
            <w:r w:rsidR="007F5AC8" w:rsidRPr="005009C8">
              <w:t>21</w:t>
            </w:r>
            <w:r w:rsidR="00F95B75" w:rsidRPr="005009C8">
              <w:t xml:space="preserve"> odst. 1 a 2</w:t>
            </w:r>
          </w:p>
          <w:p w14:paraId="4ADC648B" w14:textId="0409FB39" w:rsidR="004E1739" w:rsidRPr="005009C8" w:rsidRDefault="004E1739" w:rsidP="006550DC"/>
          <w:p w14:paraId="0DF75B34" w14:textId="657294C8" w:rsidR="004E1739" w:rsidRPr="005009C8" w:rsidRDefault="004E1739" w:rsidP="006550DC"/>
          <w:p w14:paraId="77C2B404" w14:textId="0380E4DC" w:rsidR="004E1739" w:rsidRPr="005009C8" w:rsidRDefault="004E1739" w:rsidP="006550DC"/>
          <w:p w14:paraId="02D87284" w14:textId="44ADD3F8" w:rsidR="004E1739" w:rsidRPr="005009C8" w:rsidRDefault="004E1739" w:rsidP="006550DC"/>
          <w:p w14:paraId="3F290CC7" w14:textId="726EA735" w:rsidR="00CF6E82" w:rsidRPr="005009C8" w:rsidRDefault="00CF6E82" w:rsidP="006550DC"/>
        </w:tc>
        <w:tc>
          <w:tcPr>
            <w:tcW w:w="1690" w:type="pct"/>
            <w:shd w:val="clear" w:color="auto" w:fill="auto"/>
          </w:tcPr>
          <w:p w14:paraId="4115FF59" w14:textId="055158F5" w:rsidR="00B9606E" w:rsidRPr="00B9606E" w:rsidRDefault="00CF6E82" w:rsidP="00B9606E">
            <w:pPr>
              <w:jc w:val="both"/>
              <w:rPr>
                <w:u w:val="single"/>
              </w:rPr>
            </w:pPr>
            <w:r w:rsidRPr="005009C8">
              <w:t xml:space="preserve">(1) </w:t>
            </w:r>
            <w:r w:rsidR="00B9606E" w:rsidRPr="00B9606E">
              <w:rPr>
                <w:u w:val="single"/>
              </w:rPr>
              <w:t xml:space="preserve">Obytné a pobytové místnosti musí mít zajištěno dostatečné přirozené, nucené nebo kombinované větrání v souladu s požadavky podle určené normy. </w:t>
            </w:r>
          </w:p>
          <w:p w14:paraId="1B4D6C1B" w14:textId="77777777" w:rsidR="00B9606E" w:rsidRDefault="00B9606E" w:rsidP="00B9606E">
            <w:pPr>
              <w:jc w:val="both"/>
            </w:pPr>
          </w:p>
          <w:p w14:paraId="7B436B0B" w14:textId="09444666" w:rsidR="0024244F" w:rsidRPr="005009C8" w:rsidRDefault="00B9606E" w:rsidP="00B9606E">
            <w:pPr>
              <w:jc w:val="both"/>
            </w:pPr>
            <w:r w:rsidRPr="00B9606E">
              <w:t>(2)</w:t>
            </w:r>
            <w:r>
              <w:rPr>
                <w:u w:val="single"/>
              </w:rPr>
              <w:t xml:space="preserve"> </w:t>
            </w:r>
            <w:r w:rsidRPr="00B9606E">
              <w:rPr>
                <w:u w:val="single"/>
              </w:rPr>
              <w:t>Obytné a pobytové místnosti musí mít zajištěnu kvalitu vnitřního vzduchu s možností regulace v souladu s požadavky podle určené normy</w:t>
            </w:r>
            <w:r w:rsidR="0024244F" w:rsidRPr="005009C8">
              <w:rPr>
                <w:u w:val="single"/>
              </w:rPr>
              <w:t>.</w:t>
            </w:r>
            <w:r w:rsidR="0024244F" w:rsidRPr="005009C8">
              <w:t xml:space="preserve">  </w:t>
            </w:r>
          </w:p>
          <w:p w14:paraId="29E66BDD" w14:textId="2A0B7AD6" w:rsidR="00CF6E82" w:rsidRPr="005009C8" w:rsidRDefault="00CF6E82" w:rsidP="00DC6705">
            <w:pPr>
              <w:jc w:val="both"/>
            </w:pPr>
          </w:p>
          <w:p w14:paraId="636C47E4" w14:textId="1DE699DE" w:rsidR="004E1739" w:rsidRPr="005009C8" w:rsidRDefault="004E1739" w:rsidP="00DC6705">
            <w:pPr>
              <w:jc w:val="both"/>
            </w:pPr>
          </w:p>
          <w:p w14:paraId="24DC03B7" w14:textId="50C822E5" w:rsidR="004E1739" w:rsidRPr="005009C8" w:rsidRDefault="004E1739" w:rsidP="00DC6705">
            <w:pPr>
              <w:jc w:val="both"/>
            </w:pPr>
          </w:p>
        </w:tc>
        <w:tc>
          <w:tcPr>
            <w:tcW w:w="645" w:type="pct"/>
            <w:shd w:val="clear" w:color="auto" w:fill="auto"/>
          </w:tcPr>
          <w:p w14:paraId="278739A8" w14:textId="7400BD12" w:rsidR="006550DC" w:rsidRPr="005009C8" w:rsidRDefault="006550DC" w:rsidP="006550DC">
            <w:bookmarkStart w:id="1" w:name="_Hlk120627535"/>
            <w:r w:rsidRPr="005009C8">
              <w:t>32018L0844</w:t>
            </w:r>
            <w:bookmarkEnd w:id="1"/>
          </w:p>
        </w:tc>
        <w:tc>
          <w:tcPr>
            <w:tcW w:w="624" w:type="pct"/>
            <w:shd w:val="clear" w:color="auto" w:fill="auto"/>
          </w:tcPr>
          <w:p w14:paraId="09BBA206" w14:textId="70CD45B4" w:rsidR="006550DC" w:rsidRPr="005009C8" w:rsidRDefault="006550DC" w:rsidP="006550DC">
            <w:r w:rsidRPr="005009C8">
              <w:t>Článek 1 odst. 4</w:t>
            </w:r>
          </w:p>
        </w:tc>
        <w:tc>
          <w:tcPr>
            <w:tcW w:w="1518" w:type="pct"/>
            <w:shd w:val="clear" w:color="auto" w:fill="auto"/>
          </w:tcPr>
          <w:p w14:paraId="3E075134" w14:textId="77777777" w:rsidR="006550DC" w:rsidRPr="005009C8" w:rsidRDefault="006550DC" w:rsidP="00AF5A26">
            <w:pPr>
              <w:pStyle w:val="CM4"/>
              <w:spacing w:before="60" w:after="60"/>
              <w:jc w:val="both"/>
              <w:rPr>
                <w:rFonts w:ascii="Times New Roman" w:hAnsi="Times New Roman"/>
              </w:rPr>
            </w:pPr>
            <w:r w:rsidRPr="005009C8">
              <w:rPr>
                <w:rFonts w:ascii="Times New Roman" w:hAnsi="Times New Roman"/>
              </w:rPr>
              <w:t xml:space="preserve">4) V článku 7 se pátý pododstavec nahrazuje tímto: </w:t>
            </w:r>
          </w:p>
          <w:p w14:paraId="7E43784C" w14:textId="39C30990" w:rsidR="006550DC" w:rsidRPr="005009C8" w:rsidRDefault="006550DC" w:rsidP="00AF5A26">
            <w:pPr>
              <w:spacing w:after="240"/>
              <w:jc w:val="both"/>
            </w:pPr>
            <w:r w:rsidRPr="005009C8">
              <w:t>„Členské státy podporují v souvislosti s budovami podstupujícími větší renovace vysoce účinné alternativní systémy, pokud je to technicky, funkčně a ekonomicky proveditelné, a věnují pozornost otázkám zdravého vnitřního prostředí, požární bezpečnosti a rizikům spojeným s intenzivní seismickou aktivitou.“</w:t>
            </w:r>
          </w:p>
        </w:tc>
      </w:tr>
      <w:tr w:rsidR="005E48A8" w:rsidRPr="005009C8" w14:paraId="38972524" w14:textId="77777777" w:rsidTr="00CE3F49">
        <w:tc>
          <w:tcPr>
            <w:tcW w:w="523" w:type="pct"/>
            <w:vMerge w:val="restart"/>
            <w:shd w:val="clear" w:color="auto" w:fill="auto"/>
          </w:tcPr>
          <w:p w14:paraId="46111253" w14:textId="1405BF1A" w:rsidR="005E48A8" w:rsidRPr="005009C8" w:rsidRDefault="005E48A8" w:rsidP="005E48A8">
            <w:r w:rsidRPr="005009C8">
              <w:t xml:space="preserve">§ </w:t>
            </w:r>
            <w:r w:rsidR="007F5AC8" w:rsidRPr="005009C8">
              <w:t>22</w:t>
            </w:r>
            <w:r w:rsidR="00F95B75" w:rsidRPr="005009C8">
              <w:t xml:space="preserve"> odst. 1 až 3</w:t>
            </w:r>
          </w:p>
        </w:tc>
        <w:tc>
          <w:tcPr>
            <w:tcW w:w="1690" w:type="pct"/>
            <w:vMerge w:val="restart"/>
            <w:shd w:val="clear" w:color="auto" w:fill="auto"/>
          </w:tcPr>
          <w:p w14:paraId="5BABBBF8" w14:textId="5C17F74D" w:rsidR="00B9606E" w:rsidRPr="00B9606E" w:rsidRDefault="007F5AC8" w:rsidP="00B9606E">
            <w:pPr>
              <w:jc w:val="both"/>
              <w:rPr>
                <w:u w:val="single"/>
              </w:rPr>
            </w:pPr>
            <w:r w:rsidRPr="005009C8">
              <w:t>(1)</w:t>
            </w:r>
            <w:r w:rsidR="00CF7BE2">
              <w:t xml:space="preserve"> </w:t>
            </w:r>
            <w:r w:rsidR="00B9606E" w:rsidRPr="00B9606E">
              <w:rPr>
                <w:u w:val="single"/>
              </w:rPr>
              <w:t xml:space="preserve">Obytná místnost musí splňovat požadavky na denní osvětlení v obytném prostoru podle </w:t>
            </w:r>
            <w:r w:rsidR="00B9606E" w:rsidRPr="00B9606E">
              <w:rPr>
                <w:u w:val="single"/>
              </w:rPr>
              <w:lastRenderedPageBreak/>
              <w:t>přílohy č. 3 k této vyhlášce, případně přiměřeně v souladu s požadavky určené normy. Požadavky platí také pro pobytové místnosti ve stavbách pro výchovu a vzdělávání, stavbách pro sociální služby podle zákona o sociálních službách, stavbách ubytovacího zařízení, stavbách pro účely vězeňské služby a pro prostor lůžek ve zdravotnických zařízeních.</w:t>
            </w:r>
          </w:p>
          <w:p w14:paraId="5B58DE0F" w14:textId="77777777" w:rsidR="00B9606E" w:rsidRDefault="00B9606E" w:rsidP="00B9606E">
            <w:pPr>
              <w:jc w:val="both"/>
              <w:rPr>
                <w:u w:val="single"/>
              </w:rPr>
            </w:pPr>
          </w:p>
          <w:p w14:paraId="6656F601" w14:textId="1D9EAFD4" w:rsidR="00B9606E" w:rsidRPr="00B9606E" w:rsidRDefault="00B9606E" w:rsidP="00B9606E">
            <w:pPr>
              <w:jc w:val="both"/>
              <w:rPr>
                <w:u w:val="single"/>
              </w:rPr>
            </w:pPr>
            <w:r w:rsidRPr="00B9606E">
              <w:t>(2)</w:t>
            </w:r>
            <w:r>
              <w:rPr>
                <w:u w:val="single"/>
              </w:rPr>
              <w:t xml:space="preserve"> </w:t>
            </w:r>
            <w:r w:rsidRPr="00B9606E">
              <w:rPr>
                <w:u w:val="single"/>
              </w:rPr>
              <w:t xml:space="preserve">Umělé osvětlení obytných místností v bytech, pobytových místností ve stavbách pro sociální služby podle zákona o sociálních službách, stavbách ubytovacího zařízení a stavbách pro účely vězeňské služby musí být navrženo v souladu s požadavky určené normy. </w:t>
            </w:r>
          </w:p>
          <w:p w14:paraId="0EAAE965" w14:textId="77777777" w:rsidR="00B9606E" w:rsidRDefault="00B9606E" w:rsidP="00B9606E">
            <w:pPr>
              <w:rPr>
                <w:u w:val="single"/>
              </w:rPr>
            </w:pPr>
          </w:p>
          <w:p w14:paraId="17F8CFF3" w14:textId="21DBD342" w:rsidR="005E48A8" w:rsidRPr="005009C8" w:rsidRDefault="00B9606E" w:rsidP="00B9606E">
            <w:pPr>
              <w:rPr>
                <w:u w:val="single"/>
              </w:rPr>
            </w:pPr>
            <w:r w:rsidRPr="00B9606E">
              <w:t>(3)</w:t>
            </w:r>
            <w:r>
              <w:rPr>
                <w:u w:val="single"/>
              </w:rPr>
              <w:t xml:space="preserve"> </w:t>
            </w:r>
            <w:r w:rsidRPr="00B9606E">
              <w:rPr>
                <w:u w:val="single"/>
              </w:rPr>
              <w:t>Umělé a sdružené osvětlení prostoru lůžek ve zdravotnických zařízeních musí být navrženo v souladu s požadavky určené normy</w:t>
            </w:r>
            <w:r w:rsidR="007F5AC8" w:rsidRPr="005009C8">
              <w:rPr>
                <w:u w:val="single"/>
              </w:rPr>
              <w:t>.</w:t>
            </w:r>
          </w:p>
        </w:tc>
        <w:tc>
          <w:tcPr>
            <w:tcW w:w="645" w:type="pct"/>
            <w:vMerge w:val="restart"/>
            <w:shd w:val="clear" w:color="auto" w:fill="auto"/>
          </w:tcPr>
          <w:p w14:paraId="3F4E4FEE" w14:textId="4D14AF13" w:rsidR="005E48A8" w:rsidRPr="005009C8" w:rsidRDefault="005E48A8" w:rsidP="005E48A8">
            <w:r w:rsidRPr="005009C8">
              <w:lastRenderedPageBreak/>
              <w:t>32018L0844</w:t>
            </w:r>
          </w:p>
        </w:tc>
        <w:tc>
          <w:tcPr>
            <w:tcW w:w="624" w:type="pct"/>
            <w:shd w:val="clear" w:color="auto" w:fill="auto"/>
          </w:tcPr>
          <w:p w14:paraId="3A5D2F35" w14:textId="2D8D4020" w:rsidR="005E48A8" w:rsidRPr="005009C8" w:rsidRDefault="005E48A8" w:rsidP="005E48A8">
            <w:r w:rsidRPr="005009C8">
              <w:t>Článek 1 odst. 4</w:t>
            </w:r>
          </w:p>
        </w:tc>
        <w:tc>
          <w:tcPr>
            <w:tcW w:w="1518" w:type="pct"/>
            <w:shd w:val="clear" w:color="auto" w:fill="auto"/>
          </w:tcPr>
          <w:p w14:paraId="1EE1C566" w14:textId="77777777" w:rsidR="005E48A8" w:rsidRPr="005009C8" w:rsidRDefault="005E48A8" w:rsidP="005E48A8">
            <w:pPr>
              <w:pStyle w:val="CM4"/>
              <w:spacing w:before="60" w:after="60"/>
              <w:jc w:val="both"/>
              <w:rPr>
                <w:rFonts w:ascii="Times New Roman" w:hAnsi="Times New Roman"/>
              </w:rPr>
            </w:pPr>
            <w:r w:rsidRPr="005009C8">
              <w:rPr>
                <w:rFonts w:ascii="Times New Roman" w:hAnsi="Times New Roman"/>
              </w:rPr>
              <w:t xml:space="preserve">4) V článku 7 se pátý pododstavec nahrazuje tímto: </w:t>
            </w:r>
          </w:p>
          <w:p w14:paraId="23E8E49D" w14:textId="565E8F41" w:rsidR="005E48A8" w:rsidRPr="005009C8" w:rsidRDefault="005E48A8" w:rsidP="005E48A8">
            <w:pPr>
              <w:pStyle w:val="CM4"/>
              <w:spacing w:before="60" w:after="60"/>
              <w:jc w:val="both"/>
              <w:rPr>
                <w:rFonts w:ascii="Times New Roman" w:hAnsi="Times New Roman"/>
              </w:rPr>
            </w:pPr>
            <w:r w:rsidRPr="005009C8">
              <w:lastRenderedPageBreak/>
              <w:t>„Členské státy podporují v souvislosti s budovami podstupujícími větší renovace vysoce účinné alternativní systémy, pokud je to technicky, funkčně a ekonomicky proveditelné, a věnují pozornost otázkám zdravého vnitřního prostředí, požární bezpečnosti a rizikům spojeným s intenzivní seismickou aktivitou.“</w:t>
            </w:r>
          </w:p>
        </w:tc>
      </w:tr>
      <w:tr w:rsidR="005E48A8" w:rsidRPr="005009C8" w14:paraId="6259BF1A" w14:textId="77777777" w:rsidTr="00CE3F49">
        <w:tc>
          <w:tcPr>
            <w:tcW w:w="523" w:type="pct"/>
            <w:vMerge/>
            <w:shd w:val="clear" w:color="auto" w:fill="auto"/>
          </w:tcPr>
          <w:p w14:paraId="4ADF4D81" w14:textId="77777777" w:rsidR="005E48A8" w:rsidRPr="005009C8" w:rsidRDefault="005E48A8" w:rsidP="005E48A8"/>
        </w:tc>
        <w:tc>
          <w:tcPr>
            <w:tcW w:w="1690" w:type="pct"/>
            <w:vMerge/>
            <w:shd w:val="clear" w:color="auto" w:fill="auto"/>
          </w:tcPr>
          <w:p w14:paraId="73AD1F4F" w14:textId="77777777" w:rsidR="005E48A8" w:rsidRPr="005009C8" w:rsidRDefault="005E48A8" w:rsidP="005E48A8"/>
        </w:tc>
        <w:tc>
          <w:tcPr>
            <w:tcW w:w="645" w:type="pct"/>
            <w:vMerge/>
            <w:shd w:val="clear" w:color="auto" w:fill="auto"/>
          </w:tcPr>
          <w:p w14:paraId="5397048C" w14:textId="77777777" w:rsidR="005E48A8" w:rsidRPr="005009C8" w:rsidRDefault="005E48A8" w:rsidP="005E48A8"/>
        </w:tc>
        <w:tc>
          <w:tcPr>
            <w:tcW w:w="624" w:type="pct"/>
            <w:shd w:val="clear" w:color="auto" w:fill="auto"/>
          </w:tcPr>
          <w:p w14:paraId="63964998" w14:textId="6BA361E1" w:rsidR="005E48A8" w:rsidRPr="005009C8" w:rsidRDefault="005E48A8" w:rsidP="005E48A8">
            <w:r w:rsidRPr="005009C8">
              <w:t xml:space="preserve">Příloha bod 1 písm. b) </w:t>
            </w:r>
          </w:p>
        </w:tc>
        <w:tc>
          <w:tcPr>
            <w:tcW w:w="1518" w:type="pct"/>
            <w:shd w:val="clear" w:color="auto" w:fill="auto"/>
          </w:tcPr>
          <w:p w14:paraId="75EEDCE3" w14:textId="77777777" w:rsidR="005E48A8" w:rsidRPr="005009C8" w:rsidRDefault="005E48A8" w:rsidP="005E48A8">
            <w:pPr>
              <w:pStyle w:val="CM4"/>
              <w:spacing w:before="60" w:after="60"/>
              <w:jc w:val="both"/>
              <w:rPr>
                <w:rFonts w:ascii="Times New Roman" w:hAnsi="Times New Roman"/>
              </w:rPr>
            </w:pPr>
            <w:r w:rsidRPr="005009C8">
              <w:rPr>
                <w:rFonts w:ascii="Times New Roman" w:hAnsi="Times New Roman"/>
              </w:rPr>
              <w:t xml:space="preserve">bod 2 se nahrazuje tímto: </w:t>
            </w:r>
          </w:p>
          <w:p w14:paraId="679CDCE2" w14:textId="77777777" w:rsidR="005E48A8" w:rsidRPr="005009C8" w:rsidRDefault="005E48A8" w:rsidP="005E48A8">
            <w:pPr>
              <w:jc w:val="both"/>
            </w:pPr>
            <w:r w:rsidRPr="005009C8">
              <w:t>„2. Energetické potřeby týkající se vytápění prostor, chlazení prostor, přípravy teplé vody, větrání, osvětlení a dalších technických systémů budovy se vypočítají za účelem dosažení optimální úrovně zdravého vnitřního prostředí, kvality vnitřního vzduchu a komfortu stanovených členskými státy na vnitrostátní nebo regionální úrovni.</w:t>
            </w:r>
          </w:p>
          <w:p w14:paraId="07D2C403" w14:textId="77777777" w:rsidR="005E48A8" w:rsidRPr="005009C8" w:rsidRDefault="005E48A8" w:rsidP="005E48A8">
            <w:pPr>
              <w:jc w:val="both"/>
            </w:pPr>
            <w:r w:rsidRPr="005009C8">
              <w:t>Výpočet primární energie je založen na primárních energetických nebo váhových faktorech pro jednotlivé energetické nosiče, jež mohou být založeny na vnitrostátních, regionálních či místních ročních, případně též sezónních či měsíčních vážených průměrech nebo na konkrétnějších informacích dostupných pro jednotlivé dálkové soustavy.</w:t>
            </w:r>
          </w:p>
          <w:p w14:paraId="3BB66EDF" w14:textId="77777777" w:rsidR="005E48A8" w:rsidRPr="005009C8" w:rsidRDefault="005E48A8" w:rsidP="005E48A8">
            <w:pPr>
              <w:pStyle w:val="CM4"/>
              <w:spacing w:before="60" w:after="60"/>
              <w:jc w:val="both"/>
              <w:rPr>
                <w:rFonts w:ascii="Times New Roman" w:hAnsi="Times New Roman"/>
              </w:rPr>
            </w:pPr>
            <w:r w:rsidRPr="005009C8">
              <w:rPr>
                <w:rFonts w:ascii="Times New Roman" w:hAnsi="Times New Roman"/>
              </w:rPr>
              <w:t xml:space="preserve">Primární energetické faktory nebo váhové faktory vymezí členské státy. Při </w:t>
            </w:r>
            <w:r w:rsidRPr="005009C8">
              <w:rPr>
                <w:rFonts w:ascii="Times New Roman" w:hAnsi="Times New Roman"/>
              </w:rPr>
              <w:lastRenderedPageBreak/>
              <w:t xml:space="preserve">uplatňování těchto faktorů na výpočet energetické náročnosti členské státy zajistí, aby cílem byla optimální energetická náročnost pláště budovy. </w:t>
            </w:r>
          </w:p>
          <w:p w14:paraId="17924B26" w14:textId="60C83B4C" w:rsidR="005E48A8" w:rsidRPr="005009C8" w:rsidRDefault="005E48A8" w:rsidP="005E48A8">
            <w:pPr>
              <w:pStyle w:val="CM4"/>
              <w:spacing w:before="60" w:after="60"/>
              <w:jc w:val="both"/>
              <w:rPr>
                <w:rFonts w:ascii="Times New Roman" w:hAnsi="Times New Roman"/>
              </w:rPr>
            </w:pPr>
            <w:r w:rsidRPr="005009C8">
              <w:t>Při výpočtech primárních energetických faktorů za účelem výpočtu energetické náročnosti budov mohou členské státy zohlednit obnovitelné zdroje energie dodávané energetickým nosičem a obnovitelné zdroje energie vyráběné a využívané na místě za předpokladu, že je uplatňování nediskriminační.“;</w:t>
            </w:r>
          </w:p>
        </w:tc>
      </w:tr>
      <w:tr w:rsidR="00494029" w:rsidRPr="005009C8" w14:paraId="04A3C9DA" w14:textId="77777777" w:rsidTr="00CE3F49">
        <w:tc>
          <w:tcPr>
            <w:tcW w:w="523" w:type="pct"/>
            <w:shd w:val="clear" w:color="auto" w:fill="auto"/>
          </w:tcPr>
          <w:p w14:paraId="6B3C8320" w14:textId="1B43F79D" w:rsidR="00494029" w:rsidRPr="005009C8" w:rsidRDefault="00494029" w:rsidP="00494029">
            <w:r w:rsidRPr="005009C8">
              <w:lastRenderedPageBreak/>
              <w:t>§ 23 odst. 1 až 3</w:t>
            </w:r>
          </w:p>
        </w:tc>
        <w:tc>
          <w:tcPr>
            <w:tcW w:w="1690" w:type="pct"/>
            <w:shd w:val="clear" w:color="auto" w:fill="auto"/>
          </w:tcPr>
          <w:p w14:paraId="030D166F" w14:textId="1805B52B" w:rsidR="00B9606E" w:rsidRPr="00B9606E" w:rsidRDefault="00494029" w:rsidP="00B9606E">
            <w:pPr>
              <w:pStyle w:val="l2"/>
              <w:jc w:val="both"/>
              <w:rPr>
                <w:u w:val="single"/>
              </w:rPr>
            </w:pPr>
            <w:r w:rsidRPr="005009C8">
              <w:t xml:space="preserve">(1) </w:t>
            </w:r>
            <w:r w:rsidR="00B9606E" w:rsidRPr="00B9606E">
              <w:rPr>
                <w:u w:val="single"/>
              </w:rPr>
              <w:t>Stavba s byty musí mít všechny byty prosluněny s výjimkou</w:t>
            </w:r>
          </w:p>
          <w:p w14:paraId="282243B1" w14:textId="6A11970C" w:rsidR="00B9606E" w:rsidRPr="00B9606E" w:rsidRDefault="00B9606E" w:rsidP="00B9606E">
            <w:pPr>
              <w:pStyle w:val="l2"/>
              <w:jc w:val="both"/>
              <w:rPr>
                <w:u w:val="single"/>
              </w:rPr>
            </w:pPr>
            <w:r w:rsidRPr="00B9606E">
              <w:t>a)</w:t>
            </w:r>
            <w:r>
              <w:rPr>
                <w:u w:val="single"/>
              </w:rPr>
              <w:t xml:space="preserve"> </w:t>
            </w:r>
            <w:r w:rsidRPr="00B9606E">
              <w:rPr>
                <w:u w:val="single"/>
              </w:rPr>
              <w:t xml:space="preserve">bytů o jedné obytné místnosti, </w:t>
            </w:r>
          </w:p>
          <w:p w14:paraId="458BACF4" w14:textId="0F237057" w:rsidR="00B9606E" w:rsidRPr="00B9606E" w:rsidRDefault="00B9606E" w:rsidP="00B9606E">
            <w:pPr>
              <w:pStyle w:val="l2"/>
              <w:jc w:val="both"/>
              <w:rPr>
                <w:u w:val="single"/>
              </w:rPr>
            </w:pPr>
            <w:r w:rsidRPr="00B9606E">
              <w:t>b)</w:t>
            </w:r>
            <w:r>
              <w:rPr>
                <w:u w:val="single"/>
              </w:rPr>
              <w:t xml:space="preserve"> </w:t>
            </w:r>
            <w:r w:rsidRPr="00B9606E">
              <w:rPr>
                <w:u w:val="single"/>
              </w:rPr>
              <w:t xml:space="preserve">bytů v podzemním podlaží a </w:t>
            </w:r>
          </w:p>
          <w:p w14:paraId="1A76DA58" w14:textId="2F563E32" w:rsidR="00B9606E" w:rsidRPr="00B9606E" w:rsidRDefault="00B9606E" w:rsidP="00B9606E">
            <w:pPr>
              <w:pStyle w:val="l2"/>
              <w:jc w:val="both"/>
              <w:rPr>
                <w:u w:val="single"/>
              </w:rPr>
            </w:pPr>
            <w:r w:rsidRPr="00B9606E">
              <w:t>c)</w:t>
            </w:r>
            <w:r>
              <w:rPr>
                <w:u w:val="single"/>
              </w:rPr>
              <w:t xml:space="preserve"> </w:t>
            </w:r>
            <w:r w:rsidRPr="00B9606E">
              <w:rPr>
                <w:u w:val="single"/>
              </w:rPr>
              <w:t>bytů v bytových domech</w:t>
            </w:r>
            <w:r>
              <w:rPr>
                <w:u w:val="single"/>
              </w:rPr>
              <w:t>,</w:t>
            </w:r>
            <w:r w:rsidRPr="00B9606E">
              <w:rPr>
                <w:u w:val="single"/>
              </w:rPr>
              <w:t xml:space="preserve"> pokud se nachází v podzemním podlaží nebo v prvních dvou navazujících nadzemních podlažích.</w:t>
            </w:r>
          </w:p>
          <w:p w14:paraId="5CA3234E" w14:textId="676BD84F" w:rsidR="00B9606E" w:rsidRPr="00B9606E" w:rsidRDefault="00B9606E" w:rsidP="00B9606E">
            <w:pPr>
              <w:pStyle w:val="l2"/>
              <w:jc w:val="both"/>
              <w:rPr>
                <w:u w:val="single"/>
              </w:rPr>
            </w:pPr>
            <w:r w:rsidRPr="00B9606E">
              <w:t>(2)</w:t>
            </w:r>
            <w:r>
              <w:rPr>
                <w:u w:val="single"/>
              </w:rPr>
              <w:t xml:space="preserve"> </w:t>
            </w:r>
            <w:r w:rsidRPr="00B9606E">
              <w:rPr>
                <w:u w:val="single"/>
              </w:rPr>
              <w:t>Byt je prosluněn, pokud je prosluněn alespoň jeden obytný prostor. Požadavky na proslunění bytů jsou stanoveny v příloze č. 4 k této vyhlášce.</w:t>
            </w:r>
          </w:p>
          <w:p w14:paraId="6A331770" w14:textId="7E0DBCD5" w:rsidR="00494029" w:rsidRPr="005009C8" w:rsidRDefault="00B9606E" w:rsidP="00B9606E">
            <w:pPr>
              <w:pStyle w:val="l2"/>
              <w:jc w:val="both"/>
              <w:rPr>
                <w:u w:val="single"/>
              </w:rPr>
            </w:pPr>
            <w:r w:rsidRPr="00B9606E">
              <w:t>(3)</w:t>
            </w:r>
            <w:r>
              <w:rPr>
                <w:u w:val="single"/>
              </w:rPr>
              <w:t xml:space="preserve"> </w:t>
            </w:r>
            <w:r w:rsidRPr="00B9606E">
              <w:rPr>
                <w:u w:val="single"/>
              </w:rPr>
              <w:t xml:space="preserve">Požadavek na proslunění se uplatní i pro pobytové místnosti ve stavbách pro sociální </w:t>
            </w:r>
            <w:r w:rsidRPr="00B9606E">
              <w:rPr>
                <w:u w:val="single"/>
              </w:rPr>
              <w:lastRenderedPageBreak/>
              <w:t>služby podle zákona o sociálních službách a herny mateřských škol</w:t>
            </w:r>
            <w:r w:rsidR="00494029" w:rsidRPr="005009C8">
              <w:rPr>
                <w:u w:val="single"/>
              </w:rPr>
              <w:t>.</w:t>
            </w:r>
          </w:p>
          <w:p w14:paraId="0B7F51BF" w14:textId="394A15CC" w:rsidR="00494029" w:rsidRPr="005009C8" w:rsidRDefault="00494029" w:rsidP="00494029">
            <w:pPr>
              <w:pStyle w:val="l2"/>
              <w:jc w:val="both"/>
            </w:pPr>
          </w:p>
        </w:tc>
        <w:tc>
          <w:tcPr>
            <w:tcW w:w="645" w:type="pct"/>
            <w:shd w:val="clear" w:color="auto" w:fill="auto"/>
          </w:tcPr>
          <w:p w14:paraId="2E6FCE40" w14:textId="3F4E31C2" w:rsidR="00494029" w:rsidRPr="005009C8" w:rsidRDefault="00494029" w:rsidP="00494029">
            <w:r w:rsidRPr="005009C8">
              <w:lastRenderedPageBreak/>
              <w:t>32018L0844</w:t>
            </w:r>
          </w:p>
        </w:tc>
        <w:tc>
          <w:tcPr>
            <w:tcW w:w="624" w:type="pct"/>
            <w:shd w:val="clear" w:color="auto" w:fill="auto"/>
          </w:tcPr>
          <w:p w14:paraId="12483A21" w14:textId="4A8F574E" w:rsidR="00494029" w:rsidRPr="005009C8" w:rsidRDefault="00494029" w:rsidP="00494029">
            <w:r w:rsidRPr="005009C8">
              <w:t>Článek 1 odst. 4</w:t>
            </w:r>
          </w:p>
        </w:tc>
        <w:tc>
          <w:tcPr>
            <w:tcW w:w="1518" w:type="pct"/>
            <w:shd w:val="clear" w:color="auto" w:fill="auto"/>
          </w:tcPr>
          <w:p w14:paraId="5A11F4B6"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 xml:space="preserve">4) V článku 7 se pátý pododstavec nahrazuje tímto: </w:t>
            </w:r>
          </w:p>
          <w:p w14:paraId="77EAC566" w14:textId="7DE5CF58"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„Členské státy podporují v souvislosti s budovami podstupujícími větší renovace vysoce účinné alternativní systémy, pokud je to technicky, funkčně a ekonomicky proveditelné, a věnují pozornost otázkám zdravého vnitřního prostředí, požární bezpečnosti a rizikům spojeným s intenzivní seismickou aktivitou.“</w:t>
            </w:r>
          </w:p>
        </w:tc>
      </w:tr>
      <w:tr w:rsidR="00494029" w:rsidRPr="005009C8" w14:paraId="6D14272E" w14:textId="77777777" w:rsidTr="00CE3F49">
        <w:tc>
          <w:tcPr>
            <w:tcW w:w="523" w:type="pct"/>
            <w:shd w:val="clear" w:color="auto" w:fill="auto"/>
          </w:tcPr>
          <w:p w14:paraId="52112D42" w14:textId="0BF89C1F" w:rsidR="00494029" w:rsidRPr="005009C8" w:rsidRDefault="00494029" w:rsidP="00494029">
            <w:r w:rsidRPr="005009C8">
              <w:t>§ 24 odst. 1 až 3</w:t>
            </w:r>
          </w:p>
        </w:tc>
        <w:tc>
          <w:tcPr>
            <w:tcW w:w="1690" w:type="pct"/>
            <w:shd w:val="clear" w:color="auto" w:fill="auto"/>
          </w:tcPr>
          <w:p w14:paraId="5A6DAEC9" w14:textId="0C935D8C" w:rsidR="00494029" w:rsidRPr="005009C8" w:rsidRDefault="00494029" w:rsidP="00494029">
            <w:pPr>
              <w:pStyle w:val="l2"/>
              <w:jc w:val="both"/>
              <w:rPr>
                <w:u w:val="single"/>
              </w:rPr>
            </w:pPr>
            <w:r w:rsidRPr="005009C8">
              <w:t>(1)</w:t>
            </w:r>
            <w:r w:rsidRPr="005009C8">
              <w:rPr>
                <w:u w:val="single"/>
              </w:rPr>
              <w:t xml:space="preserve"> V obytných prostorech a pobytových místnostech stávajících budov, vyjma pobytových místností ve stavbách pro bydlení, ovlivněných navr</w:t>
            </w:r>
            <w:r w:rsidR="00DF5BFB">
              <w:rPr>
                <w:u w:val="single"/>
              </w:rPr>
              <w:t>že</w:t>
            </w:r>
            <w:r w:rsidRPr="005009C8">
              <w:rPr>
                <w:u w:val="single"/>
              </w:rPr>
              <w:t>nou stavbou musí být splněna</w:t>
            </w:r>
          </w:p>
          <w:p w14:paraId="3CD72A10" w14:textId="793FC723" w:rsidR="00494029" w:rsidRPr="005009C8" w:rsidRDefault="00494029" w:rsidP="00494029">
            <w:pPr>
              <w:pStyle w:val="l2"/>
              <w:jc w:val="both"/>
              <w:rPr>
                <w:u w:val="single"/>
              </w:rPr>
            </w:pPr>
            <w:r w:rsidRPr="005009C8">
              <w:rPr>
                <w:u w:val="single"/>
              </w:rPr>
              <w:t>a) úroveň denního osvětlení podle přílohy č. 3 k této vyhlášce, nebo</w:t>
            </w:r>
          </w:p>
          <w:p w14:paraId="257587DF" w14:textId="671FB842" w:rsidR="00494029" w:rsidRPr="005009C8" w:rsidRDefault="00494029" w:rsidP="00494029">
            <w:pPr>
              <w:pStyle w:val="l2"/>
              <w:jc w:val="both"/>
              <w:rPr>
                <w:u w:val="single"/>
              </w:rPr>
            </w:pPr>
            <w:r w:rsidRPr="005009C8">
              <w:rPr>
                <w:u w:val="single"/>
              </w:rPr>
              <w:t xml:space="preserve">b) minimální hodnota činitele denní osvětlenosti roviny vnějšího líce obvodového pláště budovy v místě středu okna </w:t>
            </w:r>
            <w:proofErr w:type="spellStart"/>
            <w:r w:rsidRPr="005009C8">
              <w:rPr>
                <w:u w:val="single"/>
              </w:rPr>
              <w:t>Dw</w:t>
            </w:r>
            <w:proofErr w:type="spellEnd"/>
            <w:r w:rsidRPr="005009C8">
              <w:rPr>
                <w:u w:val="single"/>
              </w:rPr>
              <w:t xml:space="preserve"> = 29 %.</w:t>
            </w:r>
          </w:p>
          <w:p w14:paraId="28EA4A9C" w14:textId="2DB2F335" w:rsidR="00494029" w:rsidRPr="005009C8" w:rsidRDefault="00494029" w:rsidP="00494029">
            <w:pPr>
              <w:pStyle w:val="l2"/>
              <w:jc w:val="both"/>
              <w:rPr>
                <w:u w:val="single"/>
              </w:rPr>
            </w:pPr>
            <w:r w:rsidRPr="005009C8">
              <w:t>(2)</w:t>
            </w:r>
            <w:r w:rsidRPr="005009C8">
              <w:tab/>
            </w:r>
            <w:r w:rsidRPr="005009C8">
              <w:rPr>
                <w:u w:val="single"/>
              </w:rPr>
              <w:t>Nevyhovuje-li obytný prostor podmínkám podle odstavce 1 ani před zastíněním navr</w:t>
            </w:r>
            <w:r w:rsidR="00DF5BFB">
              <w:rPr>
                <w:u w:val="single"/>
              </w:rPr>
              <w:t>že</w:t>
            </w:r>
            <w:r w:rsidRPr="005009C8">
              <w:rPr>
                <w:u w:val="single"/>
              </w:rPr>
              <w:t xml:space="preserve">nou stavbou, bude stínění považováno za vyhovující, jestliže nebude snížena </w:t>
            </w:r>
          </w:p>
          <w:p w14:paraId="3F3CF8EC" w14:textId="77777777" w:rsidR="00494029" w:rsidRPr="005009C8" w:rsidRDefault="00494029" w:rsidP="00494029">
            <w:pPr>
              <w:pStyle w:val="l2"/>
              <w:jc w:val="both"/>
              <w:rPr>
                <w:u w:val="single"/>
              </w:rPr>
            </w:pPr>
            <w:r w:rsidRPr="005009C8">
              <w:t>a)</w:t>
            </w:r>
            <w:r w:rsidRPr="005009C8">
              <w:tab/>
            </w:r>
            <w:r w:rsidRPr="005009C8">
              <w:rPr>
                <w:u w:val="single"/>
              </w:rPr>
              <w:t xml:space="preserve">stávající hodnota činitele denní osvětlenosti roviny vnějšího líce obvodového pláště budovy v místě středu okna </w:t>
            </w:r>
            <w:proofErr w:type="spellStart"/>
            <w:r w:rsidRPr="005009C8">
              <w:rPr>
                <w:u w:val="single"/>
              </w:rPr>
              <w:t>Dw</w:t>
            </w:r>
            <w:proofErr w:type="spellEnd"/>
            <w:r w:rsidRPr="005009C8">
              <w:rPr>
                <w:u w:val="single"/>
              </w:rPr>
              <w:t xml:space="preserve"> (%), nebo</w:t>
            </w:r>
          </w:p>
          <w:p w14:paraId="21263CB2" w14:textId="77777777" w:rsidR="00494029" w:rsidRPr="005009C8" w:rsidRDefault="00494029" w:rsidP="00494029">
            <w:pPr>
              <w:pStyle w:val="l2"/>
              <w:jc w:val="both"/>
              <w:rPr>
                <w:u w:val="single"/>
              </w:rPr>
            </w:pPr>
            <w:r w:rsidRPr="005009C8">
              <w:lastRenderedPageBreak/>
              <w:t>b)</w:t>
            </w:r>
            <w:r w:rsidRPr="005009C8">
              <w:tab/>
            </w:r>
            <w:r w:rsidRPr="005009C8">
              <w:rPr>
                <w:u w:val="single"/>
              </w:rPr>
              <w:t xml:space="preserve">stávající úroveň denního osvětlení podle přílohy č. 3 k této vyhlášce. </w:t>
            </w:r>
          </w:p>
          <w:p w14:paraId="52F32CAA" w14:textId="3C7F396B" w:rsidR="00494029" w:rsidRPr="005009C8" w:rsidRDefault="00494029" w:rsidP="00494029">
            <w:pPr>
              <w:pStyle w:val="l2"/>
              <w:jc w:val="both"/>
              <w:rPr>
                <w:u w:val="single"/>
              </w:rPr>
            </w:pPr>
            <w:r w:rsidRPr="005009C8">
              <w:t>(3)</w:t>
            </w:r>
            <w:r w:rsidRPr="005009C8">
              <w:tab/>
            </w:r>
            <w:r w:rsidRPr="005009C8">
              <w:rPr>
                <w:u w:val="single"/>
              </w:rPr>
              <w:t>V jednom obytném prostoru stavby pro bydlení a v pobytových místnostech ve stavbě pro sociální služby podle zákona o sociálních službách a hernách mateřské školy ovlivněných navr</w:t>
            </w:r>
            <w:r w:rsidR="00DF5BFB">
              <w:rPr>
                <w:u w:val="single"/>
              </w:rPr>
              <w:t>že</w:t>
            </w:r>
            <w:r w:rsidRPr="005009C8">
              <w:rPr>
                <w:u w:val="single"/>
              </w:rPr>
              <w:t>nou stavbou musí být splněna</w:t>
            </w:r>
          </w:p>
          <w:p w14:paraId="560551D8" w14:textId="1F48075D" w:rsidR="00494029" w:rsidRPr="005009C8" w:rsidRDefault="00494029" w:rsidP="00494029">
            <w:pPr>
              <w:pStyle w:val="l2"/>
              <w:jc w:val="both"/>
              <w:rPr>
                <w:u w:val="single"/>
              </w:rPr>
            </w:pPr>
            <w:r w:rsidRPr="005009C8">
              <w:t>a)</w:t>
            </w:r>
            <w:r w:rsidRPr="005009C8">
              <w:rPr>
                <w:u w:val="single"/>
              </w:rPr>
              <w:t xml:space="preserve"> doba proslunění podle přílohy č. 4 k této vyhlášce, nebo</w:t>
            </w:r>
          </w:p>
          <w:p w14:paraId="30AD9D74" w14:textId="77777777" w:rsidR="00494029" w:rsidRPr="005009C8" w:rsidRDefault="00494029" w:rsidP="00494029">
            <w:pPr>
              <w:pStyle w:val="l2"/>
              <w:jc w:val="both"/>
              <w:rPr>
                <w:u w:val="single"/>
              </w:rPr>
            </w:pPr>
            <w:r w:rsidRPr="005009C8">
              <w:t>b)</w:t>
            </w:r>
            <w:r w:rsidRPr="005009C8">
              <w:rPr>
                <w:u w:val="single"/>
              </w:rPr>
              <w:t xml:space="preserve"> doba proslunění podle přílohy č. 4 k této vyhlášce, kde se kritický bod umístí do roviny vnějšího líce obvodové stěny ve výšce 300 mm nad středem spodní hrany osvětlovacího otvoru, ale nejméně 1,2 m nad úrovní podlahy místnosti; do proslunění se v takovém případě nezapočítává doba, kdy svislý průmět slunečního paprsku do vodorovné roviny se odchyluje od směru průčelí (fasády) o méně než </w:t>
            </w:r>
            <w:r w:rsidRPr="005009C8">
              <w:rPr>
                <w:rFonts w:ascii="Cambria Math" w:hAnsi="Cambria Math" w:cs="Cambria Math"/>
                <w:u w:val="single"/>
              </w:rPr>
              <w:t>𝛽</w:t>
            </w:r>
            <w:r w:rsidRPr="005009C8">
              <w:rPr>
                <w:u w:val="single"/>
              </w:rPr>
              <w:t xml:space="preserve"> = 25°.</w:t>
            </w:r>
          </w:p>
          <w:p w14:paraId="182B69BA" w14:textId="47375466" w:rsidR="00494029" w:rsidRPr="005009C8" w:rsidRDefault="00494029" w:rsidP="00494029">
            <w:pPr>
              <w:pStyle w:val="l2"/>
              <w:jc w:val="both"/>
              <w:rPr>
                <w:u w:val="single"/>
              </w:rPr>
            </w:pPr>
            <w:r w:rsidRPr="005009C8">
              <w:rPr>
                <w:u w:val="single"/>
              </w:rPr>
              <w:t>Požadavek neplatí pro byty o jedné obytné místnosti a pro byty v podzemním podlaží a prvních dvou navazujících nadzemních podlažích.</w:t>
            </w:r>
          </w:p>
          <w:p w14:paraId="780218D6" w14:textId="42FBE199" w:rsidR="00494029" w:rsidRPr="005009C8" w:rsidRDefault="00494029" w:rsidP="00494029">
            <w:pPr>
              <w:pStyle w:val="l2"/>
              <w:spacing w:before="0" w:beforeAutospacing="0" w:after="0" w:afterAutospacing="0"/>
              <w:jc w:val="both"/>
              <w:rPr>
                <w:u w:val="single"/>
              </w:rPr>
            </w:pPr>
          </w:p>
        </w:tc>
        <w:tc>
          <w:tcPr>
            <w:tcW w:w="645" w:type="pct"/>
            <w:shd w:val="clear" w:color="auto" w:fill="auto"/>
          </w:tcPr>
          <w:p w14:paraId="037FBE1C" w14:textId="270D3615" w:rsidR="00494029" w:rsidRPr="005009C8" w:rsidRDefault="00494029" w:rsidP="00494029">
            <w:r w:rsidRPr="005009C8">
              <w:lastRenderedPageBreak/>
              <w:t>32018L0844</w:t>
            </w:r>
          </w:p>
        </w:tc>
        <w:tc>
          <w:tcPr>
            <w:tcW w:w="624" w:type="pct"/>
            <w:shd w:val="clear" w:color="auto" w:fill="auto"/>
          </w:tcPr>
          <w:p w14:paraId="56ACEF18" w14:textId="18B0DFC4" w:rsidR="00494029" w:rsidRPr="005009C8" w:rsidRDefault="00494029" w:rsidP="00494029">
            <w:r w:rsidRPr="005009C8">
              <w:t>Článek 1 odst. 4</w:t>
            </w:r>
          </w:p>
        </w:tc>
        <w:tc>
          <w:tcPr>
            <w:tcW w:w="1518" w:type="pct"/>
            <w:shd w:val="clear" w:color="auto" w:fill="auto"/>
          </w:tcPr>
          <w:p w14:paraId="628A4F7D"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 xml:space="preserve">4) V článku 7 se pátý pododstavec nahrazuje tímto: </w:t>
            </w:r>
          </w:p>
          <w:p w14:paraId="435D4B07" w14:textId="6F186099"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„Členské státy podporují v souvislosti s budovami podstupujícími větší renovace vysoce účinné alternativní systémy, pokud je to technicky, funkčně a ekonomicky proveditelné, a věnují pozornost otázkám zdravého vnitřního prostředí, požární bezpečnosti a rizikům spojeným s intenzivní seismickou aktivitou.“</w:t>
            </w:r>
          </w:p>
        </w:tc>
      </w:tr>
      <w:tr w:rsidR="00494029" w:rsidRPr="005009C8" w14:paraId="4A0FE29B" w14:textId="77777777" w:rsidTr="00CE3F49">
        <w:tc>
          <w:tcPr>
            <w:tcW w:w="523" w:type="pct"/>
            <w:shd w:val="clear" w:color="auto" w:fill="auto"/>
          </w:tcPr>
          <w:p w14:paraId="0F2D92AD" w14:textId="12B03035" w:rsidR="00494029" w:rsidRPr="005009C8" w:rsidRDefault="00494029" w:rsidP="00494029">
            <w:bookmarkStart w:id="2" w:name="_Hlk120628012"/>
            <w:r w:rsidRPr="005009C8">
              <w:lastRenderedPageBreak/>
              <w:t>§ 25</w:t>
            </w:r>
            <w:r w:rsidR="00835DCF" w:rsidRPr="005009C8">
              <w:t xml:space="preserve"> odst. 1 až 3</w:t>
            </w:r>
          </w:p>
        </w:tc>
        <w:tc>
          <w:tcPr>
            <w:tcW w:w="1690" w:type="pct"/>
            <w:shd w:val="clear" w:color="auto" w:fill="auto"/>
          </w:tcPr>
          <w:p w14:paraId="56295AD4" w14:textId="0CC48C9B" w:rsidR="00B9606E" w:rsidRPr="00B9606E" w:rsidRDefault="00835DCF" w:rsidP="00B9606E">
            <w:pPr>
              <w:keepNext/>
              <w:keepLines/>
              <w:spacing w:before="160" w:after="120"/>
              <w:jc w:val="both"/>
              <w:outlineLvl w:val="4"/>
              <w:rPr>
                <w:u w:val="single"/>
              </w:rPr>
            </w:pPr>
            <w:r w:rsidRPr="005009C8">
              <w:t>(</w:t>
            </w:r>
            <w:r w:rsidR="007C45FE" w:rsidRPr="005009C8">
              <w:t xml:space="preserve">1) </w:t>
            </w:r>
            <w:r w:rsidR="00B9606E" w:rsidRPr="00B9606E">
              <w:rPr>
                <w:u w:val="single"/>
              </w:rPr>
              <w:t>Stavba musí být navržena tak, aby byly splněny hygienické limity hluku a vibrací stanovené jinými právními předpisy</w:t>
            </w:r>
            <w:r w:rsidR="00B9606E" w:rsidRPr="00B9606E">
              <w:rPr>
                <w:u w:val="single"/>
                <w:vertAlign w:val="superscript"/>
              </w:rPr>
              <w:t>5)</w:t>
            </w:r>
            <w:r w:rsidR="00B9606E" w:rsidRPr="00B9606E">
              <w:rPr>
                <w:u w:val="single"/>
              </w:rPr>
              <w:t>.</w:t>
            </w:r>
          </w:p>
          <w:p w14:paraId="0B8E59ED" w14:textId="2C42F5C0" w:rsidR="00B9606E" w:rsidRPr="00B9606E" w:rsidRDefault="00B9606E" w:rsidP="00B9606E">
            <w:pPr>
              <w:keepNext/>
              <w:keepLines/>
              <w:spacing w:before="160" w:after="120"/>
              <w:jc w:val="both"/>
              <w:outlineLvl w:val="4"/>
              <w:rPr>
                <w:u w:val="single"/>
              </w:rPr>
            </w:pPr>
            <w:r w:rsidRPr="00B9606E">
              <w:t>(2)</w:t>
            </w:r>
            <w:r>
              <w:rPr>
                <w:u w:val="single"/>
              </w:rPr>
              <w:t xml:space="preserve"> </w:t>
            </w:r>
            <w:r w:rsidRPr="00B9606E">
              <w:rPr>
                <w:u w:val="single"/>
              </w:rPr>
              <w:t>Zabudovaná technická zařízení a jejich rozvody působící hluk a vibrace musí být v budově s obytnými místnostmi navržena tak, aby byl omezen přenos hluku a vibrací do stavební konstrukce, zejména do chráněného vnitřního prostoru stavby. Požadavky na maximální přípustné hladiny hluku v obytných místnostech musí být v souladu s požadavky určené normy. U stavby pro sociální služby podle zákona o sociálních službách se postupuje obdobně.</w:t>
            </w:r>
          </w:p>
          <w:p w14:paraId="6260B689" w14:textId="59E817FA" w:rsidR="00494029" w:rsidRPr="005009C8" w:rsidRDefault="00B9606E" w:rsidP="00B9606E">
            <w:pPr>
              <w:keepNext/>
              <w:keepLines/>
              <w:spacing w:before="160" w:after="120"/>
              <w:jc w:val="both"/>
              <w:outlineLvl w:val="4"/>
            </w:pPr>
            <w:r w:rsidRPr="00B9606E">
              <w:t>(3)</w:t>
            </w:r>
            <w:r>
              <w:rPr>
                <w:u w:val="single"/>
              </w:rPr>
              <w:t xml:space="preserve"> </w:t>
            </w:r>
            <w:r w:rsidRPr="00B9606E">
              <w:rPr>
                <w:u w:val="single"/>
              </w:rPr>
              <w:t>Zvuková izolace mezi místnostmi vnitřních konstrukcí budov a zvuková izolace obvodového pláště včetně výplní otvorů musí být navrženy v souladu s požadavky určené normy</w:t>
            </w:r>
            <w:r w:rsidR="007C45FE" w:rsidRPr="005009C8">
              <w:rPr>
                <w:u w:val="single"/>
              </w:rPr>
              <w:t>.</w:t>
            </w:r>
          </w:p>
        </w:tc>
        <w:tc>
          <w:tcPr>
            <w:tcW w:w="645" w:type="pct"/>
            <w:shd w:val="clear" w:color="auto" w:fill="auto"/>
          </w:tcPr>
          <w:p w14:paraId="33478EBF" w14:textId="16D97B4F" w:rsidR="00494029" w:rsidRPr="005009C8" w:rsidRDefault="00494029" w:rsidP="00494029">
            <w:r w:rsidRPr="005009C8">
              <w:t>32003L0010</w:t>
            </w:r>
          </w:p>
        </w:tc>
        <w:tc>
          <w:tcPr>
            <w:tcW w:w="624" w:type="pct"/>
            <w:shd w:val="clear" w:color="auto" w:fill="auto"/>
          </w:tcPr>
          <w:p w14:paraId="5B3BFB38" w14:textId="4304B4A0" w:rsidR="00494029" w:rsidRPr="005009C8" w:rsidRDefault="00494029" w:rsidP="00494029">
            <w:r w:rsidRPr="005009C8">
              <w:t xml:space="preserve">článek 5 odst. 1 písm. e) </w:t>
            </w:r>
            <w:proofErr w:type="spellStart"/>
            <w:r w:rsidRPr="005009C8">
              <w:t>ii</w:t>
            </w:r>
            <w:proofErr w:type="spellEnd"/>
            <w:r w:rsidRPr="005009C8">
              <w:t>)</w:t>
            </w:r>
          </w:p>
        </w:tc>
        <w:tc>
          <w:tcPr>
            <w:tcW w:w="1518" w:type="pct"/>
            <w:shd w:val="clear" w:color="auto" w:fill="auto"/>
          </w:tcPr>
          <w:p w14:paraId="27217846" w14:textId="48DF7C99" w:rsidR="00494029" w:rsidRPr="005009C8" w:rsidRDefault="00494029" w:rsidP="00494029">
            <w:pPr>
              <w:pStyle w:val="CM4"/>
              <w:spacing w:before="60" w:after="60"/>
              <w:jc w:val="both"/>
              <w:rPr>
                <w:rFonts w:ascii="Times New Roman" w:hAnsi="Times New Roman"/>
              </w:rPr>
            </w:pPr>
            <w:proofErr w:type="spellStart"/>
            <w:r w:rsidRPr="005009C8">
              <w:rPr>
                <w:rFonts w:ascii="Times New Roman" w:hAnsi="Times New Roman"/>
              </w:rPr>
              <w:t>ii</w:t>
            </w:r>
            <w:proofErr w:type="spellEnd"/>
            <w:r w:rsidRPr="005009C8">
              <w:rPr>
                <w:rFonts w:ascii="Times New Roman" w:hAnsi="Times New Roman"/>
              </w:rPr>
              <w:t>) snížení hluku vznikajícího ve stavbách, např. utlumením nebo izolací</w:t>
            </w:r>
          </w:p>
        </w:tc>
      </w:tr>
      <w:bookmarkEnd w:id="2"/>
      <w:tr w:rsidR="00494029" w:rsidRPr="005009C8" w14:paraId="5BC6BB7F" w14:textId="77777777" w:rsidTr="00CE3F49">
        <w:tc>
          <w:tcPr>
            <w:tcW w:w="523" w:type="pct"/>
            <w:shd w:val="clear" w:color="auto" w:fill="auto"/>
          </w:tcPr>
          <w:p w14:paraId="713935BF" w14:textId="3022B02A" w:rsidR="00494029" w:rsidRPr="005009C8" w:rsidRDefault="00494029" w:rsidP="00494029">
            <w:r w:rsidRPr="005009C8">
              <w:lastRenderedPageBreak/>
              <w:t>§ 2</w:t>
            </w:r>
            <w:r w:rsidR="00835DCF" w:rsidRPr="005009C8">
              <w:t>6</w:t>
            </w:r>
            <w:r w:rsidRPr="005009C8">
              <w:t xml:space="preserve"> odst. 1 a 2</w:t>
            </w:r>
          </w:p>
        </w:tc>
        <w:tc>
          <w:tcPr>
            <w:tcW w:w="1690" w:type="pct"/>
            <w:shd w:val="clear" w:color="auto" w:fill="auto"/>
          </w:tcPr>
          <w:p w14:paraId="10372FAF" w14:textId="6EF91FA9" w:rsidR="00494029" w:rsidRPr="005009C8" w:rsidRDefault="00494029" w:rsidP="00494029">
            <w:pPr>
              <w:pStyle w:val="Nadpis5"/>
              <w:jc w:val="both"/>
              <w:rPr>
                <w:rFonts w:ascii="Times New Roman" w:eastAsia="Times New Roman" w:hAnsi="Times New Roman" w:cs="Times New Roman"/>
                <w:color w:val="auto"/>
                <w:u w:val="single"/>
              </w:rPr>
            </w:pPr>
            <w:r w:rsidRPr="005009C8">
              <w:rPr>
                <w:rFonts w:ascii="Times New Roman" w:eastAsia="Times New Roman" w:hAnsi="Times New Roman" w:cs="Times New Roman"/>
                <w:color w:val="auto"/>
              </w:rPr>
              <w:t xml:space="preserve">(1) </w:t>
            </w:r>
            <w:r w:rsidRPr="005009C8">
              <w:rPr>
                <w:rFonts w:ascii="Times New Roman" w:eastAsia="Times New Roman" w:hAnsi="Times New Roman" w:cs="Times New Roman"/>
                <w:color w:val="auto"/>
                <w:u w:val="single"/>
              </w:rPr>
              <w:t>Budova s požadovaným stavem vnitřního prostředí musí být navržena tak, aby byly zajištěny požadavky na</w:t>
            </w:r>
          </w:p>
          <w:p w14:paraId="302D127C" w14:textId="77777777" w:rsidR="00494029" w:rsidRPr="005009C8" w:rsidRDefault="00494029" w:rsidP="00494029">
            <w:pPr>
              <w:pStyle w:val="Nadpis5"/>
              <w:jc w:val="both"/>
              <w:rPr>
                <w:rFonts w:ascii="Times New Roman" w:eastAsia="Times New Roman" w:hAnsi="Times New Roman" w:cs="Times New Roman"/>
                <w:color w:val="auto"/>
                <w:u w:val="single"/>
              </w:rPr>
            </w:pPr>
            <w:r w:rsidRPr="005009C8">
              <w:rPr>
                <w:rFonts w:ascii="Times New Roman" w:eastAsia="Times New Roman" w:hAnsi="Times New Roman" w:cs="Times New Roman"/>
                <w:color w:val="auto"/>
              </w:rPr>
              <w:t>a)</w:t>
            </w:r>
            <w:r w:rsidRPr="005009C8">
              <w:rPr>
                <w:rFonts w:ascii="Times New Roman" w:eastAsia="Times New Roman" w:hAnsi="Times New Roman" w:cs="Times New Roman"/>
                <w:color w:val="auto"/>
              </w:rPr>
              <w:tab/>
            </w:r>
            <w:r w:rsidRPr="005009C8">
              <w:rPr>
                <w:rFonts w:ascii="Times New Roman" w:eastAsia="Times New Roman" w:hAnsi="Times New Roman" w:cs="Times New Roman"/>
                <w:color w:val="auto"/>
                <w:u w:val="single"/>
              </w:rPr>
              <w:t>její tepelnou ochranu,</w:t>
            </w:r>
          </w:p>
          <w:p w14:paraId="4C2AE494" w14:textId="77777777" w:rsidR="00494029" w:rsidRPr="005009C8" w:rsidRDefault="00494029" w:rsidP="00494029">
            <w:pPr>
              <w:pStyle w:val="Nadpis5"/>
              <w:jc w:val="both"/>
              <w:rPr>
                <w:rFonts w:ascii="Times New Roman" w:eastAsia="Times New Roman" w:hAnsi="Times New Roman" w:cs="Times New Roman"/>
                <w:color w:val="auto"/>
                <w:u w:val="single"/>
              </w:rPr>
            </w:pPr>
            <w:r w:rsidRPr="005009C8">
              <w:rPr>
                <w:rFonts w:ascii="Times New Roman" w:eastAsia="Times New Roman" w:hAnsi="Times New Roman" w:cs="Times New Roman"/>
                <w:color w:val="auto"/>
              </w:rPr>
              <w:t>b)</w:t>
            </w:r>
            <w:r w:rsidRPr="005009C8">
              <w:rPr>
                <w:rFonts w:ascii="Times New Roman" w:eastAsia="Times New Roman" w:hAnsi="Times New Roman" w:cs="Times New Roman"/>
                <w:color w:val="auto"/>
              </w:rPr>
              <w:tab/>
            </w:r>
            <w:r w:rsidRPr="005009C8">
              <w:rPr>
                <w:rFonts w:ascii="Times New Roman" w:eastAsia="Times New Roman" w:hAnsi="Times New Roman" w:cs="Times New Roman"/>
                <w:color w:val="auto"/>
                <w:u w:val="single"/>
              </w:rPr>
              <w:t>nejnižší vnitřní povrchovou teplotu,</w:t>
            </w:r>
          </w:p>
          <w:p w14:paraId="248FF130" w14:textId="77777777" w:rsidR="00494029" w:rsidRPr="005009C8" w:rsidRDefault="00494029" w:rsidP="00494029">
            <w:pPr>
              <w:pStyle w:val="Nadpis5"/>
              <w:jc w:val="both"/>
              <w:rPr>
                <w:rFonts w:ascii="Times New Roman" w:eastAsia="Times New Roman" w:hAnsi="Times New Roman" w:cs="Times New Roman"/>
                <w:color w:val="auto"/>
                <w:u w:val="single"/>
              </w:rPr>
            </w:pPr>
            <w:r w:rsidRPr="005009C8">
              <w:rPr>
                <w:rFonts w:ascii="Times New Roman" w:eastAsia="Times New Roman" w:hAnsi="Times New Roman" w:cs="Times New Roman"/>
                <w:color w:val="auto"/>
              </w:rPr>
              <w:t>c)</w:t>
            </w:r>
            <w:r w:rsidRPr="005009C8">
              <w:rPr>
                <w:rFonts w:ascii="Times New Roman" w:eastAsia="Times New Roman" w:hAnsi="Times New Roman" w:cs="Times New Roman"/>
                <w:color w:val="auto"/>
              </w:rPr>
              <w:tab/>
            </w:r>
            <w:r w:rsidRPr="005009C8">
              <w:rPr>
                <w:rFonts w:ascii="Times New Roman" w:eastAsia="Times New Roman" w:hAnsi="Times New Roman" w:cs="Times New Roman"/>
                <w:color w:val="auto"/>
                <w:u w:val="single"/>
              </w:rPr>
              <w:t>zamezení šíření vlhkosti konstrukcí,</w:t>
            </w:r>
          </w:p>
          <w:p w14:paraId="412475BC" w14:textId="77777777" w:rsidR="00494029" w:rsidRPr="005009C8" w:rsidRDefault="00494029" w:rsidP="00494029">
            <w:pPr>
              <w:pStyle w:val="Nadpis5"/>
              <w:jc w:val="both"/>
              <w:rPr>
                <w:rFonts w:ascii="Times New Roman" w:eastAsia="Times New Roman" w:hAnsi="Times New Roman" w:cs="Times New Roman"/>
                <w:color w:val="auto"/>
                <w:u w:val="single"/>
              </w:rPr>
            </w:pPr>
            <w:r w:rsidRPr="005009C8">
              <w:rPr>
                <w:rFonts w:ascii="Times New Roman" w:eastAsia="Times New Roman" w:hAnsi="Times New Roman" w:cs="Times New Roman"/>
                <w:color w:val="auto"/>
              </w:rPr>
              <w:t>d)</w:t>
            </w:r>
            <w:r w:rsidRPr="005009C8">
              <w:rPr>
                <w:rFonts w:ascii="Times New Roman" w:eastAsia="Times New Roman" w:hAnsi="Times New Roman" w:cs="Times New Roman"/>
                <w:color w:val="auto"/>
              </w:rPr>
              <w:tab/>
            </w:r>
            <w:r w:rsidRPr="005009C8">
              <w:rPr>
                <w:rFonts w:ascii="Times New Roman" w:eastAsia="Times New Roman" w:hAnsi="Times New Roman" w:cs="Times New Roman"/>
                <w:color w:val="auto"/>
                <w:u w:val="single"/>
              </w:rPr>
              <w:t>celkovou průvzdušnost obálky budovy,</w:t>
            </w:r>
          </w:p>
          <w:p w14:paraId="2EC58916" w14:textId="77777777" w:rsidR="00494029" w:rsidRPr="005009C8" w:rsidRDefault="00494029" w:rsidP="00494029">
            <w:pPr>
              <w:pStyle w:val="Nadpis5"/>
              <w:jc w:val="both"/>
              <w:rPr>
                <w:rFonts w:ascii="Times New Roman" w:eastAsia="Times New Roman" w:hAnsi="Times New Roman" w:cs="Times New Roman"/>
                <w:color w:val="auto"/>
                <w:u w:val="single"/>
              </w:rPr>
            </w:pPr>
            <w:r w:rsidRPr="005009C8">
              <w:rPr>
                <w:rFonts w:ascii="Times New Roman" w:eastAsia="Times New Roman" w:hAnsi="Times New Roman" w:cs="Times New Roman"/>
                <w:color w:val="auto"/>
              </w:rPr>
              <w:t>e)</w:t>
            </w:r>
            <w:r w:rsidRPr="005009C8">
              <w:rPr>
                <w:rFonts w:ascii="Times New Roman" w:eastAsia="Times New Roman" w:hAnsi="Times New Roman" w:cs="Times New Roman"/>
                <w:color w:val="auto"/>
              </w:rPr>
              <w:tab/>
            </w:r>
            <w:r w:rsidRPr="005009C8">
              <w:rPr>
                <w:rFonts w:ascii="Times New Roman" w:eastAsia="Times New Roman" w:hAnsi="Times New Roman" w:cs="Times New Roman"/>
                <w:color w:val="auto"/>
                <w:u w:val="single"/>
              </w:rPr>
              <w:t>tepelnou stabilitu místností v letním období.</w:t>
            </w:r>
          </w:p>
          <w:p w14:paraId="3ACFD247" w14:textId="7CD065DC" w:rsidR="00494029" w:rsidRPr="005009C8" w:rsidRDefault="00494029" w:rsidP="00494029">
            <w:pPr>
              <w:pStyle w:val="Nadpis5"/>
              <w:jc w:val="both"/>
              <w:rPr>
                <w:rFonts w:ascii="Times New Roman" w:eastAsia="Times New Roman" w:hAnsi="Times New Roman" w:cs="Times New Roman"/>
                <w:color w:val="auto"/>
              </w:rPr>
            </w:pPr>
            <w:r w:rsidRPr="005009C8">
              <w:rPr>
                <w:rFonts w:ascii="Times New Roman" w:eastAsia="Times New Roman" w:hAnsi="Times New Roman" w:cs="Times New Roman"/>
                <w:color w:val="auto"/>
              </w:rPr>
              <w:t xml:space="preserve">(2) </w:t>
            </w:r>
            <w:r w:rsidRPr="005009C8">
              <w:rPr>
                <w:rFonts w:ascii="Times New Roman" w:eastAsia="Times New Roman" w:hAnsi="Times New Roman" w:cs="Times New Roman"/>
                <w:color w:val="auto"/>
                <w:u w:val="single"/>
              </w:rPr>
              <w:t xml:space="preserve">Požadavky uvedené v odstavci 1 jsou stanoveny </w:t>
            </w:r>
            <w:r w:rsidR="00722536" w:rsidRPr="00722536">
              <w:rPr>
                <w:rFonts w:ascii="Times New Roman" w:eastAsia="Times New Roman" w:hAnsi="Times New Roman" w:cs="Times New Roman"/>
                <w:color w:val="auto"/>
                <w:u w:val="single"/>
              </w:rPr>
              <w:t>v souladu s požadavky určené normy</w:t>
            </w:r>
            <w:r w:rsidRPr="005009C8">
              <w:rPr>
                <w:rFonts w:ascii="Times New Roman" w:eastAsia="Times New Roman" w:hAnsi="Times New Roman" w:cs="Times New Roman"/>
                <w:color w:val="auto"/>
                <w:u w:val="single"/>
              </w:rPr>
              <w:t>.</w:t>
            </w:r>
          </w:p>
        </w:tc>
        <w:tc>
          <w:tcPr>
            <w:tcW w:w="645" w:type="pct"/>
            <w:shd w:val="clear" w:color="auto" w:fill="auto"/>
          </w:tcPr>
          <w:p w14:paraId="51C2CB3A" w14:textId="4C8729D2" w:rsidR="00494029" w:rsidRPr="005009C8" w:rsidRDefault="00494029" w:rsidP="00494029">
            <w:r w:rsidRPr="005009C8">
              <w:t>32018L0844</w:t>
            </w:r>
          </w:p>
        </w:tc>
        <w:tc>
          <w:tcPr>
            <w:tcW w:w="624" w:type="pct"/>
            <w:shd w:val="clear" w:color="auto" w:fill="auto"/>
          </w:tcPr>
          <w:p w14:paraId="38FB5D51" w14:textId="35E151DB" w:rsidR="00494029" w:rsidRPr="005009C8" w:rsidRDefault="00494029" w:rsidP="00494029">
            <w:r w:rsidRPr="005009C8">
              <w:t>Článek 1 odst. 4</w:t>
            </w:r>
          </w:p>
        </w:tc>
        <w:tc>
          <w:tcPr>
            <w:tcW w:w="1518" w:type="pct"/>
            <w:shd w:val="clear" w:color="auto" w:fill="auto"/>
          </w:tcPr>
          <w:p w14:paraId="54C96FEF"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 xml:space="preserve">4) V článku 7 se pátý pododstavec nahrazuje tímto: </w:t>
            </w:r>
          </w:p>
          <w:p w14:paraId="1E37BFD3" w14:textId="4ED81929" w:rsidR="00494029" w:rsidRPr="005009C8" w:rsidRDefault="00494029" w:rsidP="00494029">
            <w:pPr>
              <w:spacing w:after="240"/>
              <w:jc w:val="both"/>
            </w:pPr>
            <w:r w:rsidRPr="005009C8">
              <w:t>„Členské státy podporují v souvislosti s budovami podstupujícími větší renovace vysoce účinné alternativní systémy, pokud je to technicky, funkčně a ekonomicky proveditelné, a věnují pozornost otázkám zdravého vnitřního prostředí, požární bezpečnosti a rizikům spojeným s intenzivní seismickou aktivitou.“</w:t>
            </w:r>
          </w:p>
        </w:tc>
      </w:tr>
      <w:tr w:rsidR="00494029" w:rsidRPr="005009C8" w14:paraId="26F4901B" w14:textId="77777777" w:rsidTr="00CE3F49">
        <w:tc>
          <w:tcPr>
            <w:tcW w:w="523" w:type="pct"/>
            <w:shd w:val="clear" w:color="auto" w:fill="auto"/>
          </w:tcPr>
          <w:p w14:paraId="449725F5" w14:textId="3B9506A6" w:rsidR="00494029" w:rsidRPr="005009C8" w:rsidDel="007025E5" w:rsidRDefault="00494029" w:rsidP="00494029">
            <w:r w:rsidRPr="005009C8">
              <w:t>§ 3</w:t>
            </w:r>
            <w:r w:rsidR="007C45FE" w:rsidRPr="005009C8">
              <w:t>7</w:t>
            </w:r>
            <w:r w:rsidRPr="005009C8">
              <w:t xml:space="preserve"> odst. 1 </w:t>
            </w:r>
          </w:p>
        </w:tc>
        <w:tc>
          <w:tcPr>
            <w:tcW w:w="1690" w:type="pct"/>
            <w:shd w:val="clear" w:color="auto" w:fill="auto"/>
          </w:tcPr>
          <w:p w14:paraId="75980A9B" w14:textId="20438827" w:rsidR="00494029" w:rsidRPr="005009C8" w:rsidDel="007025E5" w:rsidRDefault="00494029" w:rsidP="007C45FE">
            <w:pPr>
              <w:pStyle w:val="l2"/>
              <w:spacing w:after="240" w:afterAutospacing="0"/>
              <w:jc w:val="both"/>
              <w:rPr>
                <w:u w:val="single"/>
              </w:rPr>
            </w:pPr>
            <w:r w:rsidRPr="005009C8">
              <w:t xml:space="preserve">(1) </w:t>
            </w:r>
            <w:r w:rsidRPr="005009C8">
              <w:rPr>
                <w:u w:val="single"/>
              </w:rPr>
              <w:t xml:space="preserve">Ve výtahové šachtě nesmí být umístěno žádné vedení nebo jiné technické zařízení, které nesouvisí s provozem výtahu. </w:t>
            </w:r>
          </w:p>
        </w:tc>
        <w:tc>
          <w:tcPr>
            <w:tcW w:w="645" w:type="pct"/>
            <w:shd w:val="clear" w:color="auto" w:fill="auto"/>
          </w:tcPr>
          <w:p w14:paraId="64DBDE02" w14:textId="6D80203A" w:rsidR="00494029" w:rsidRPr="005009C8" w:rsidDel="007025E5" w:rsidRDefault="00494029" w:rsidP="00494029">
            <w:r w:rsidRPr="005009C8">
              <w:t>32014L0033</w:t>
            </w:r>
          </w:p>
        </w:tc>
        <w:tc>
          <w:tcPr>
            <w:tcW w:w="624" w:type="pct"/>
            <w:shd w:val="clear" w:color="auto" w:fill="auto"/>
          </w:tcPr>
          <w:p w14:paraId="67614B34" w14:textId="77777777" w:rsidR="00494029" w:rsidRPr="005009C8" w:rsidRDefault="00494029" w:rsidP="00494029">
            <w:r w:rsidRPr="005009C8">
              <w:t>Článek 6</w:t>
            </w:r>
          </w:p>
          <w:p w14:paraId="61E0DCC0" w14:textId="1A8EE6BB" w:rsidR="00494029" w:rsidRPr="005009C8" w:rsidDel="007025E5" w:rsidRDefault="00494029" w:rsidP="00494029">
            <w:r w:rsidRPr="005009C8">
              <w:t>odst. 2</w:t>
            </w:r>
          </w:p>
        </w:tc>
        <w:tc>
          <w:tcPr>
            <w:tcW w:w="1518" w:type="pct"/>
            <w:shd w:val="clear" w:color="auto" w:fill="auto"/>
          </w:tcPr>
          <w:p w14:paraId="0A818C6B" w14:textId="7736496E" w:rsidR="00494029" w:rsidRPr="005009C8" w:rsidDel="007025E5" w:rsidRDefault="00494029" w:rsidP="00494029">
            <w:pPr>
              <w:jc w:val="both"/>
            </w:pPr>
            <w:r w:rsidRPr="005009C8">
              <w:t>Členské státy přijmou veškerá nezbytná opatření, aby v šachtách určených pro výtahy nebyla umístěna žádná potrubí, elektrická instalace nebo zařízení, které nejsou potřebné pro provoz a bezpečnost výtahu.</w:t>
            </w:r>
          </w:p>
        </w:tc>
      </w:tr>
      <w:tr w:rsidR="00494029" w:rsidRPr="005009C8" w14:paraId="01FBEBF1" w14:textId="77777777" w:rsidTr="00CE3F49">
        <w:tc>
          <w:tcPr>
            <w:tcW w:w="523" w:type="pct"/>
            <w:shd w:val="clear" w:color="auto" w:fill="auto"/>
          </w:tcPr>
          <w:p w14:paraId="32122AB7" w14:textId="15A67DAC" w:rsidR="00494029" w:rsidRPr="005009C8" w:rsidRDefault="00494029" w:rsidP="00494029">
            <w:r w:rsidRPr="005009C8">
              <w:t>§ 4</w:t>
            </w:r>
            <w:r w:rsidR="00F35B9E" w:rsidRPr="005009C8">
              <w:t>7</w:t>
            </w:r>
            <w:r w:rsidRPr="005009C8">
              <w:t xml:space="preserve"> odst. 5 a 6</w:t>
            </w:r>
          </w:p>
        </w:tc>
        <w:tc>
          <w:tcPr>
            <w:tcW w:w="1690" w:type="pct"/>
            <w:shd w:val="clear" w:color="auto" w:fill="auto"/>
          </w:tcPr>
          <w:p w14:paraId="7E1824D7" w14:textId="46FC5D68" w:rsidR="007C45FE" w:rsidRPr="005009C8" w:rsidRDefault="007C45FE" w:rsidP="007C45FE">
            <w:pPr>
              <w:pStyle w:val="l2"/>
              <w:spacing w:after="240"/>
              <w:jc w:val="both"/>
              <w:rPr>
                <w:u w:val="single"/>
              </w:rPr>
            </w:pPr>
            <w:r w:rsidRPr="005009C8">
              <w:t xml:space="preserve">(5) </w:t>
            </w:r>
            <w:r w:rsidRPr="005009C8">
              <w:rPr>
                <w:u w:val="single"/>
              </w:rPr>
              <w:t>Stavba pro bydlení, obchod nebo občanského vybavení musí být vybavena fyzickou infrastrukturou uvnitř budovy připravenou pro zavedení vysokorychlostní sítě elektronických komunikací až do koncového bodu sítě v prostorách koncového uživatele a musí být vybavena přístupovým bodem budovy.</w:t>
            </w:r>
          </w:p>
          <w:p w14:paraId="7F4A3740" w14:textId="423DB8CF" w:rsidR="007C45FE" w:rsidRPr="005009C8" w:rsidRDefault="007C45FE" w:rsidP="007C45FE">
            <w:pPr>
              <w:pStyle w:val="l2"/>
              <w:spacing w:after="240"/>
              <w:jc w:val="both"/>
              <w:rPr>
                <w:u w:val="single"/>
              </w:rPr>
            </w:pPr>
            <w:r w:rsidRPr="005009C8">
              <w:lastRenderedPageBreak/>
              <w:t>(6)</w:t>
            </w:r>
            <w:r w:rsidRPr="005009C8">
              <w:rPr>
                <w:u w:val="single"/>
              </w:rPr>
              <w:t xml:space="preserve"> Požadavek podle odstavce 5 neplatí pro stavby</w:t>
            </w:r>
          </w:p>
          <w:p w14:paraId="5D3688DC" w14:textId="054C8FD8" w:rsidR="007C45FE" w:rsidRPr="005009C8" w:rsidRDefault="00F35B9E" w:rsidP="00F35B9E">
            <w:pPr>
              <w:pStyle w:val="l2"/>
              <w:spacing w:after="240"/>
              <w:jc w:val="both"/>
              <w:rPr>
                <w:u w:val="single"/>
              </w:rPr>
            </w:pPr>
            <w:r w:rsidRPr="005009C8">
              <w:t>a)</w:t>
            </w:r>
            <w:r w:rsidRPr="005009C8">
              <w:rPr>
                <w:u w:val="single"/>
              </w:rPr>
              <w:t xml:space="preserve"> </w:t>
            </w:r>
            <w:r w:rsidR="007C45FE" w:rsidRPr="005009C8">
              <w:rPr>
                <w:u w:val="single"/>
              </w:rPr>
              <w:t>které jsou kulturní památkou a stavby umístěné v památkové rezervaci, památkové zóně nebo v ochranném pásmu nemovité kulturní památky, nemovité národní kulturní památky, památkové rezervace nebo památkové zóny, u kterých mohou být splněním takového požadavku dotčeny zájmy státní památkové péče na jejich ochraně,</w:t>
            </w:r>
          </w:p>
          <w:p w14:paraId="102D4E72" w14:textId="0675F4CF" w:rsidR="007C45FE" w:rsidRPr="005009C8" w:rsidRDefault="00F35B9E" w:rsidP="00F35B9E">
            <w:pPr>
              <w:pStyle w:val="l2"/>
              <w:spacing w:after="240"/>
              <w:jc w:val="both"/>
              <w:rPr>
                <w:u w:val="single"/>
              </w:rPr>
            </w:pPr>
            <w:r w:rsidRPr="005009C8">
              <w:t>b)</w:t>
            </w:r>
            <w:r w:rsidRPr="005009C8">
              <w:rPr>
                <w:u w:val="single"/>
              </w:rPr>
              <w:t xml:space="preserve"> </w:t>
            </w:r>
            <w:r w:rsidR="007C45FE" w:rsidRPr="005009C8">
              <w:rPr>
                <w:u w:val="single"/>
              </w:rPr>
              <w:t>pro bydlení s méně než 2 byty nebo</w:t>
            </w:r>
          </w:p>
          <w:p w14:paraId="35271BD2" w14:textId="4FA91F04" w:rsidR="007C45FE" w:rsidRPr="005009C8" w:rsidRDefault="00F35B9E" w:rsidP="00F35B9E">
            <w:pPr>
              <w:pStyle w:val="l2"/>
              <w:spacing w:after="240"/>
              <w:jc w:val="both"/>
              <w:rPr>
                <w:u w:val="single"/>
              </w:rPr>
            </w:pPr>
            <w:r w:rsidRPr="005009C8">
              <w:t>c)</w:t>
            </w:r>
            <w:r w:rsidRPr="005009C8">
              <w:rPr>
                <w:u w:val="single"/>
              </w:rPr>
              <w:t xml:space="preserve"> </w:t>
            </w:r>
            <w:r w:rsidR="007C45FE" w:rsidRPr="005009C8">
              <w:rPr>
                <w:u w:val="single"/>
              </w:rPr>
              <w:t>důležité pro obranu nebo bezpečnost státu.</w:t>
            </w:r>
          </w:p>
          <w:p w14:paraId="7DFD6D31" w14:textId="0E7A6417" w:rsidR="00494029" w:rsidRPr="005009C8" w:rsidRDefault="00494029" w:rsidP="00494029">
            <w:pPr>
              <w:pStyle w:val="l2"/>
              <w:spacing w:after="240" w:afterAutospacing="0"/>
              <w:jc w:val="both"/>
            </w:pPr>
          </w:p>
        </w:tc>
        <w:tc>
          <w:tcPr>
            <w:tcW w:w="645" w:type="pct"/>
            <w:shd w:val="clear" w:color="auto" w:fill="auto"/>
          </w:tcPr>
          <w:p w14:paraId="7E52F246" w14:textId="53EB5834" w:rsidR="00494029" w:rsidRPr="005009C8" w:rsidRDefault="00494029" w:rsidP="00494029">
            <w:r w:rsidRPr="005009C8">
              <w:lastRenderedPageBreak/>
              <w:t>32014L0061</w:t>
            </w:r>
          </w:p>
        </w:tc>
        <w:tc>
          <w:tcPr>
            <w:tcW w:w="624" w:type="pct"/>
            <w:shd w:val="clear" w:color="auto" w:fill="auto"/>
          </w:tcPr>
          <w:p w14:paraId="4F2562D6" w14:textId="32469E88" w:rsidR="00494029" w:rsidRPr="005009C8" w:rsidRDefault="00494029" w:rsidP="00494029">
            <w:r w:rsidRPr="005009C8">
              <w:t>Článek 8</w:t>
            </w:r>
          </w:p>
        </w:tc>
        <w:tc>
          <w:tcPr>
            <w:tcW w:w="1518" w:type="pct"/>
            <w:shd w:val="clear" w:color="auto" w:fill="auto"/>
          </w:tcPr>
          <w:p w14:paraId="18443EA5" w14:textId="77777777" w:rsidR="00494029" w:rsidRPr="005009C8" w:rsidRDefault="00494029" w:rsidP="00494029">
            <w:pPr>
              <w:jc w:val="both"/>
            </w:pPr>
            <w:r w:rsidRPr="005009C8">
              <w:t>Fyzická infrastruktura uvnitř budovy</w:t>
            </w:r>
          </w:p>
          <w:p w14:paraId="0D241045" w14:textId="77777777" w:rsidR="00494029" w:rsidRPr="005009C8" w:rsidRDefault="00494029" w:rsidP="00494029">
            <w:pPr>
              <w:jc w:val="both"/>
            </w:pPr>
            <w:r w:rsidRPr="005009C8">
              <w:t xml:space="preserve">1. Členské státy zajistí, aby všechny nově postavené </w:t>
            </w:r>
            <w:proofErr w:type="gramStart"/>
            <w:r w:rsidRPr="005009C8">
              <w:t>budovy</w:t>
            </w:r>
            <w:proofErr w:type="gramEnd"/>
            <w:r w:rsidRPr="005009C8">
              <w:t xml:space="preserve"> pro něž byla žádost o stavební povolení podána po 31. prosinci 2016, byly v místě koncového uživatele, včetně prvků těchto budov ve spoluvlastnictví, vybaveny fyzickou infrastrukturou uvnitř budovy, připravenou pro vysokorychlostní připojení, až do koncových bodů sítě. Stejná povinnost platí v případě významné </w:t>
            </w:r>
            <w:r w:rsidRPr="005009C8">
              <w:lastRenderedPageBreak/>
              <w:t>renovace, pro niž byla žádost o stavební povolení podána po 31. prosinci 2016.</w:t>
            </w:r>
          </w:p>
          <w:p w14:paraId="3B90CFC1" w14:textId="77777777" w:rsidR="00494029" w:rsidRPr="005009C8" w:rsidRDefault="00494029" w:rsidP="00494029">
            <w:pPr>
              <w:jc w:val="both"/>
            </w:pPr>
            <w:r w:rsidRPr="005009C8">
              <w:t xml:space="preserve">2. Členské státy zajistí, aby všechny nově postavené </w:t>
            </w:r>
            <w:proofErr w:type="spellStart"/>
            <w:r w:rsidRPr="005009C8">
              <w:t>vícebytové</w:t>
            </w:r>
            <w:proofErr w:type="spellEnd"/>
            <w:r w:rsidRPr="005009C8">
              <w:t xml:space="preserve"> budovy, pro něž byla žádost o stavební povolení podána po 31. prosinci 2016, byly vybaveny přístupovým bodem. Stejná povinnost platí v případě významné renovace týkající se </w:t>
            </w:r>
            <w:proofErr w:type="spellStart"/>
            <w:r w:rsidRPr="005009C8">
              <w:t>vícebytových</w:t>
            </w:r>
            <w:proofErr w:type="spellEnd"/>
            <w:r w:rsidRPr="005009C8">
              <w:t xml:space="preserve"> budov, pro něž byla žádost o stavební povolení podána po 31. prosinci 2016.</w:t>
            </w:r>
          </w:p>
          <w:p w14:paraId="3D7EEACB" w14:textId="77777777" w:rsidR="00494029" w:rsidRPr="005009C8" w:rsidRDefault="00494029" w:rsidP="00494029">
            <w:pPr>
              <w:jc w:val="both"/>
            </w:pPr>
            <w:r w:rsidRPr="005009C8">
              <w:t>3. Budovy vybavené v souladu s tímto článkem jsou způsobilé ke získání dobrovolného označení "připraveno pro širokopásmové připojení" v těch členských státech, které se pro zavedení takového označení rozhodly.</w:t>
            </w:r>
          </w:p>
          <w:p w14:paraId="684D8BE0" w14:textId="490232C1" w:rsidR="00494029" w:rsidRPr="005009C8" w:rsidRDefault="00494029" w:rsidP="00494029">
            <w:pPr>
              <w:jc w:val="both"/>
            </w:pPr>
            <w:r w:rsidRPr="005009C8">
              <w:t xml:space="preserve">4. Členské státy mohou pro určité kategorie budov, zejména budovy s jedním bytem, nebo významné renovace, stanovit výjimky z povinností stanovených v odstavcích 1 a 2, pokud je splnění těchto povinností nepřiměřené, například z hlediska nákladů pro jednotlivé vlastníky nebo společenství vlastníků nebo z hlediska druhů budov, jako jsou zvláštní kategorie památek, historické budovy, rekreační obydlí, vojenské budovy či jiné budovy využívané pro účely národní bezpečnosti. </w:t>
            </w:r>
            <w:r w:rsidRPr="005009C8">
              <w:lastRenderedPageBreak/>
              <w:t>Tyto výjimky se řádně odůvodní. Zúčastněným stranám je poskytnuta příležitost vyjádřit se v přiměřené lhůtě k návrhům výjimek. Každá taková výjimka se oznámí Komisi.</w:t>
            </w:r>
          </w:p>
        </w:tc>
      </w:tr>
      <w:tr w:rsidR="00494029" w:rsidRPr="005009C8" w14:paraId="56AD3AC1" w14:textId="77777777" w:rsidTr="00CE3F49">
        <w:tc>
          <w:tcPr>
            <w:tcW w:w="523" w:type="pct"/>
            <w:shd w:val="clear" w:color="auto" w:fill="auto"/>
          </w:tcPr>
          <w:p w14:paraId="0865F0E6" w14:textId="7AD35D09" w:rsidR="00494029" w:rsidRPr="005009C8" w:rsidRDefault="00494029" w:rsidP="00494029">
            <w:r w:rsidRPr="005009C8">
              <w:lastRenderedPageBreak/>
              <w:t>§ 6</w:t>
            </w:r>
            <w:r w:rsidR="00F35B9E" w:rsidRPr="005009C8">
              <w:t>7</w:t>
            </w:r>
          </w:p>
        </w:tc>
        <w:tc>
          <w:tcPr>
            <w:tcW w:w="1690" w:type="pct"/>
            <w:shd w:val="clear" w:color="auto" w:fill="auto"/>
          </w:tcPr>
          <w:p w14:paraId="7EC08A74" w14:textId="27355A3D" w:rsidR="00494029" w:rsidRPr="005009C8" w:rsidRDefault="00F35B9E" w:rsidP="00494029">
            <w:pPr>
              <w:pStyle w:val="l4"/>
              <w:shd w:val="clear" w:color="auto" w:fill="FFFFFF"/>
              <w:spacing w:before="120" w:beforeAutospacing="0" w:after="120" w:afterAutospacing="0"/>
              <w:jc w:val="both"/>
              <w:rPr>
                <w:u w:val="single"/>
              </w:rPr>
            </w:pPr>
            <w:r w:rsidRPr="005009C8">
              <w:rPr>
                <w:u w:val="single"/>
              </w:rPr>
              <w:t>Požadavky na běžné dobíjecí stanice na střídavý proud, vysoce výkonné dobíjecí stanice na střídavý proud, vysoce výkonné dobíjecí stanice na stejnosměrný proud, veřejně přístupné dobíjecí stanice na střídavý proud, dobíjecí stanice pro elektrické autobusy, na dodávky elektřiny z pevniny pro plavidla vnitrozemské plavby, vodíkové čerpací stanice, na přípojky pro vozidla, kromě motocyklů, vodíkové čerpací stanice a čerpací stanice na zemní plyn jsou uvedeny v příloze č. 9 k této vyhlášce.</w:t>
            </w:r>
            <w:r w:rsidRPr="005009C8">
              <w:rPr>
                <w:u w:val="single"/>
                <w:vertAlign w:val="superscript"/>
              </w:rPr>
              <w:t>8)</w:t>
            </w:r>
          </w:p>
          <w:p w14:paraId="49D76CCA" w14:textId="36085CAE" w:rsidR="00494029" w:rsidRPr="005009C8" w:rsidRDefault="00494029" w:rsidP="00494029">
            <w:pPr>
              <w:pStyle w:val="l1"/>
              <w:jc w:val="both"/>
              <w:rPr>
                <w:u w:val="single"/>
              </w:rPr>
            </w:pPr>
          </w:p>
        </w:tc>
        <w:tc>
          <w:tcPr>
            <w:tcW w:w="645" w:type="pct"/>
            <w:shd w:val="clear" w:color="auto" w:fill="auto"/>
          </w:tcPr>
          <w:p w14:paraId="687554ED" w14:textId="030CE6D0" w:rsidR="00494029" w:rsidRPr="005009C8" w:rsidRDefault="00494029" w:rsidP="00494029">
            <w:bookmarkStart w:id="3" w:name="_Hlk120630614"/>
            <w:r w:rsidRPr="005009C8">
              <w:t>32014L0094</w:t>
            </w:r>
            <w:bookmarkEnd w:id="3"/>
          </w:p>
        </w:tc>
        <w:tc>
          <w:tcPr>
            <w:tcW w:w="624" w:type="pct"/>
            <w:shd w:val="clear" w:color="auto" w:fill="auto"/>
          </w:tcPr>
          <w:p w14:paraId="7847F63D" w14:textId="08E31172" w:rsidR="00494029" w:rsidRPr="005009C8" w:rsidRDefault="00494029" w:rsidP="00494029">
            <w:r w:rsidRPr="005009C8">
              <w:t>Článek 11, odstavec 2</w:t>
            </w:r>
          </w:p>
        </w:tc>
        <w:tc>
          <w:tcPr>
            <w:tcW w:w="1518" w:type="pct"/>
            <w:shd w:val="clear" w:color="auto" w:fill="auto"/>
          </w:tcPr>
          <w:p w14:paraId="7BBE82CF" w14:textId="3D9D2B9A"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Tyto předpisy přijaté členskými státy musí obsahovat odkaz na tuto směrnici nebo musí být takový odkaz učiněn při jejich úředním vyhlášení. Způsob odkazu si stanoví členské státy.</w:t>
            </w:r>
          </w:p>
        </w:tc>
      </w:tr>
      <w:tr w:rsidR="00494029" w:rsidRPr="005009C8" w14:paraId="4767257C" w14:textId="77777777" w:rsidTr="00CE3F49">
        <w:tc>
          <w:tcPr>
            <w:tcW w:w="523" w:type="pct"/>
            <w:vMerge w:val="restart"/>
            <w:shd w:val="clear" w:color="auto" w:fill="auto"/>
          </w:tcPr>
          <w:p w14:paraId="02A90DDB" w14:textId="4A8B64E5" w:rsidR="00494029" w:rsidRPr="005009C8" w:rsidRDefault="00494029" w:rsidP="00494029">
            <w:r w:rsidRPr="005009C8">
              <w:t>§ 6</w:t>
            </w:r>
            <w:r w:rsidR="001523A3" w:rsidRPr="005009C8">
              <w:t>8</w:t>
            </w:r>
            <w:r w:rsidRPr="005009C8">
              <w:t xml:space="preserve"> odst. 1 až 3</w:t>
            </w:r>
          </w:p>
          <w:p w14:paraId="31DC25B8" w14:textId="068A4C98" w:rsidR="00494029" w:rsidRPr="005009C8" w:rsidRDefault="00494029" w:rsidP="00494029"/>
        </w:tc>
        <w:tc>
          <w:tcPr>
            <w:tcW w:w="1690" w:type="pct"/>
            <w:vMerge w:val="restart"/>
            <w:shd w:val="clear" w:color="auto" w:fill="auto"/>
          </w:tcPr>
          <w:p w14:paraId="11E3D49F" w14:textId="240874DD" w:rsidR="001523A3" w:rsidRPr="005009C8" w:rsidRDefault="001523A3" w:rsidP="001523A3">
            <w:pPr>
              <w:pStyle w:val="paragraph"/>
              <w:jc w:val="both"/>
              <w:textAlignment w:val="baseline"/>
              <w:rPr>
                <w:u w:val="single"/>
              </w:rPr>
            </w:pPr>
            <w:r w:rsidRPr="005009C8">
              <w:t>(1)</w:t>
            </w:r>
            <w:r w:rsidRPr="005009C8">
              <w:rPr>
                <w:u w:val="single"/>
              </w:rPr>
              <w:t xml:space="preserve"> Nová stavba a změna dokončené stavby, která má více než 10 parkovacích stání, vyjma stavby pro bydlení, musí být vybavena alespoň jednou dobíjecí stanicí a </w:t>
            </w:r>
            <w:proofErr w:type="spellStart"/>
            <w:r w:rsidRPr="005009C8">
              <w:rPr>
                <w:u w:val="single"/>
              </w:rPr>
              <w:t>kabelovody</w:t>
            </w:r>
            <w:proofErr w:type="spellEnd"/>
            <w:r w:rsidRPr="005009C8">
              <w:rPr>
                <w:u w:val="single"/>
              </w:rPr>
              <w:t xml:space="preserve"> pro pozdější instalaci dobíjecí stanice pro elektrická vozidla pro každé páté parkovací místo, jestliže parkoviště takové stavby</w:t>
            </w:r>
          </w:p>
          <w:p w14:paraId="6C609A4C" w14:textId="5CF0C1F1" w:rsidR="001523A3" w:rsidRPr="005009C8" w:rsidRDefault="001523A3" w:rsidP="001523A3">
            <w:pPr>
              <w:pStyle w:val="paragraph"/>
              <w:jc w:val="both"/>
              <w:textAlignment w:val="baseline"/>
              <w:rPr>
                <w:u w:val="single"/>
              </w:rPr>
            </w:pPr>
            <w:r w:rsidRPr="005009C8">
              <w:t>a)</w:t>
            </w:r>
            <w:r w:rsidRPr="005009C8">
              <w:rPr>
                <w:u w:val="single"/>
              </w:rPr>
              <w:t xml:space="preserve"> je umístěno uvnitř budovy a u změny dokončené stavby se tato změna týká také </w:t>
            </w:r>
            <w:r w:rsidRPr="005009C8">
              <w:rPr>
                <w:u w:val="single"/>
              </w:rPr>
              <w:lastRenderedPageBreak/>
              <w:t>parkoviště nebo elektrických rozvodů budovy, nebo</w:t>
            </w:r>
          </w:p>
          <w:p w14:paraId="510C3AD6" w14:textId="774D8F69" w:rsidR="001523A3" w:rsidRPr="005009C8" w:rsidRDefault="001523A3" w:rsidP="001523A3">
            <w:pPr>
              <w:pStyle w:val="paragraph"/>
              <w:jc w:val="both"/>
              <w:textAlignment w:val="baseline"/>
              <w:rPr>
                <w:u w:val="single"/>
              </w:rPr>
            </w:pPr>
            <w:r w:rsidRPr="005009C8">
              <w:t>b)</w:t>
            </w:r>
            <w:r w:rsidRPr="005009C8">
              <w:rPr>
                <w:u w:val="single"/>
              </w:rPr>
              <w:t xml:space="preserve"> s budovou fyzicky sousedí a u změny dokončené stavby se tato změna týká také parkoviště nebo elektrických rozvodů parkoviště.</w:t>
            </w:r>
          </w:p>
          <w:p w14:paraId="5D3A0CDD" w14:textId="56FF05AF" w:rsidR="001523A3" w:rsidRPr="005009C8" w:rsidRDefault="001523A3" w:rsidP="001523A3">
            <w:pPr>
              <w:pStyle w:val="paragraph"/>
              <w:jc w:val="both"/>
              <w:textAlignment w:val="baseline"/>
              <w:rPr>
                <w:u w:val="single"/>
              </w:rPr>
            </w:pPr>
            <w:r w:rsidRPr="005009C8">
              <w:t>(2)</w:t>
            </w:r>
            <w:r w:rsidRPr="005009C8">
              <w:rPr>
                <w:u w:val="single"/>
              </w:rPr>
              <w:t xml:space="preserve"> Nová stavba pro bydlení a změna dokončené stavby pro bydlení, která má více než 10 parkovacích stání, musí mít instalaci </w:t>
            </w:r>
            <w:proofErr w:type="spellStart"/>
            <w:r w:rsidRPr="005009C8">
              <w:rPr>
                <w:u w:val="single"/>
              </w:rPr>
              <w:t>kabelovodů</w:t>
            </w:r>
            <w:proofErr w:type="spellEnd"/>
            <w:r w:rsidRPr="005009C8">
              <w:rPr>
                <w:u w:val="single"/>
              </w:rPr>
              <w:t xml:space="preserve"> pro každé parkovací místo pro pozdější instalaci dobíjecí stanice pro elektrická vozidla, jestliže parkoviště takové stavby</w:t>
            </w:r>
          </w:p>
          <w:p w14:paraId="170C746C" w14:textId="14EFC97A" w:rsidR="001523A3" w:rsidRPr="005009C8" w:rsidRDefault="001523A3" w:rsidP="001523A3">
            <w:pPr>
              <w:pStyle w:val="paragraph"/>
              <w:jc w:val="both"/>
              <w:textAlignment w:val="baseline"/>
              <w:rPr>
                <w:u w:val="single"/>
              </w:rPr>
            </w:pPr>
            <w:r w:rsidRPr="005009C8">
              <w:t>a)</w:t>
            </w:r>
            <w:r w:rsidRPr="005009C8">
              <w:rPr>
                <w:u w:val="single"/>
              </w:rPr>
              <w:t xml:space="preserve"> je umístěno uvnitř budovy a u změny dokončené stavby se tato změna týká i parkoviště nebo elektrických rozvodů budovy, nebo</w:t>
            </w:r>
          </w:p>
          <w:p w14:paraId="53DB098E" w14:textId="7DB45FA4" w:rsidR="001523A3" w:rsidRPr="005009C8" w:rsidRDefault="001523A3" w:rsidP="001523A3">
            <w:pPr>
              <w:pStyle w:val="paragraph"/>
              <w:jc w:val="both"/>
              <w:textAlignment w:val="baseline"/>
              <w:rPr>
                <w:u w:val="single"/>
              </w:rPr>
            </w:pPr>
            <w:r w:rsidRPr="005009C8">
              <w:t>b)</w:t>
            </w:r>
            <w:r w:rsidRPr="005009C8">
              <w:rPr>
                <w:u w:val="single"/>
              </w:rPr>
              <w:t xml:space="preserve"> s budovou fyzicky sousedí a u změny dokončené stavby se tato změna týká i parkoviště nebo elektrických rozvodů parkoviště.</w:t>
            </w:r>
          </w:p>
          <w:p w14:paraId="659FE04E" w14:textId="46CFA626" w:rsidR="00494029" w:rsidRPr="005009C8" w:rsidRDefault="001523A3" w:rsidP="001523A3">
            <w:pPr>
              <w:pStyle w:val="paragraph"/>
              <w:jc w:val="both"/>
              <w:textAlignment w:val="baseline"/>
              <w:rPr>
                <w:u w:val="single"/>
              </w:rPr>
            </w:pPr>
            <w:r w:rsidRPr="005009C8">
              <w:t>(3)</w:t>
            </w:r>
            <w:r w:rsidRPr="005009C8">
              <w:rPr>
                <w:u w:val="single"/>
              </w:rPr>
              <w:t xml:space="preserve"> Požadavky na stavby uvedené v odstavcích 1 a 2 se nevztahují na změnu dokončené stavby v případě, kdy náklady na instalaci dobíjecí stanice a elektrických rozvodů přesahují 7 % </w:t>
            </w:r>
            <w:r w:rsidRPr="005009C8">
              <w:rPr>
                <w:u w:val="single"/>
              </w:rPr>
              <w:lastRenderedPageBreak/>
              <w:t>celkových nákladů na změnu dokončené stavby.</w:t>
            </w:r>
          </w:p>
        </w:tc>
        <w:tc>
          <w:tcPr>
            <w:tcW w:w="645" w:type="pct"/>
            <w:vMerge w:val="restart"/>
            <w:shd w:val="clear" w:color="auto" w:fill="auto"/>
          </w:tcPr>
          <w:p w14:paraId="416CEFB8" w14:textId="60A81EAB" w:rsidR="00494029" w:rsidRPr="005009C8" w:rsidRDefault="00494029" w:rsidP="00494029">
            <w:r w:rsidRPr="005009C8">
              <w:lastRenderedPageBreak/>
              <w:t>32018L0844</w:t>
            </w:r>
          </w:p>
        </w:tc>
        <w:tc>
          <w:tcPr>
            <w:tcW w:w="624" w:type="pct"/>
            <w:shd w:val="clear" w:color="auto" w:fill="auto"/>
          </w:tcPr>
          <w:p w14:paraId="0B354874" w14:textId="24D2DE5A" w:rsidR="00494029" w:rsidRPr="005009C8" w:rsidRDefault="00494029" w:rsidP="00494029">
            <w:r w:rsidRPr="005009C8">
              <w:t xml:space="preserve">Článek 1 odst. 5 </w:t>
            </w:r>
            <w:proofErr w:type="spellStart"/>
            <w:r w:rsidRPr="005009C8">
              <w:t>podbod</w:t>
            </w:r>
            <w:proofErr w:type="spellEnd"/>
            <w:r w:rsidRPr="005009C8">
              <w:t xml:space="preserve"> 2-4)</w:t>
            </w:r>
          </w:p>
        </w:tc>
        <w:tc>
          <w:tcPr>
            <w:tcW w:w="1518" w:type="pct"/>
            <w:shd w:val="clear" w:color="auto" w:fill="auto"/>
          </w:tcPr>
          <w:p w14:paraId="1BC2C6E3"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 xml:space="preserve">2. Pokud jde o nové jiné než obytné budovy a jiné než obytné budovy procházející větší renovací, které mají více než deset parkovacích míst, zajistí členské státy instalaci nejméně jedné dobíjecí stanice ve smyslu směrnice Evropského parlamentu a Rady 2014/94/EU (*) a </w:t>
            </w:r>
            <w:proofErr w:type="spellStart"/>
            <w:r w:rsidRPr="005009C8">
              <w:rPr>
                <w:rFonts w:ascii="Times New Roman" w:hAnsi="Times New Roman"/>
              </w:rPr>
              <w:t>kabelovodů</w:t>
            </w:r>
            <w:proofErr w:type="spellEnd"/>
            <w:r w:rsidRPr="005009C8">
              <w:rPr>
                <w:rFonts w:ascii="Times New Roman" w:hAnsi="Times New Roman"/>
              </w:rPr>
              <w:t xml:space="preserve">, tedy vedení elektrických kabelů, nejméně pro každé páté parkovací místo, aby byla v pozdější </w:t>
            </w:r>
            <w:r w:rsidRPr="005009C8">
              <w:rPr>
                <w:rFonts w:ascii="Times New Roman" w:hAnsi="Times New Roman"/>
              </w:rPr>
              <w:lastRenderedPageBreak/>
              <w:t xml:space="preserve">fázi umožněna instalace dobíjecích stanic pro elektrická vozidla, pokud: </w:t>
            </w:r>
          </w:p>
          <w:p w14:paraId="1A54AE43"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 xml:space="preserve">a) parkoviště je umístěno uvnitř budovy a u větších renovací se renovační opatření týkají i parkoviště či elektrických rozvodů budovy nebo </w:t>
            </w:r>
          </w:p>
          <w:p w14:paraId="3DADF1DE"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 xml:space="preserve">b) parkoviště s budovou fyzicky sousedí a u větších renovací se renovační opatření týkají i parkoviště či elektrických rozvodů parkoviště. </w:t>
            </w:r>
          </w:p>
          <w:p w14:paraId="5524ADF6" w14:textId="77777777" w:rsidR="00494029" w:rsidRPr="005009C8" w:rsidRDefault="00494029" w:rsidP="00494029">
            <w:pPr>
              <w:jc w:val="both"/>
            </w:pPr>
            <w:r w:rsidRPr="005009C8">
              <w:t>Komise do 1. ledna 2023 podá zprávu Evropskému parlamentu a Radě o tom, jak by politika Unie v oblasti budov mohla případně přispět k podpoře elektromobility, a případně za tím účelem navrhne opatření.</w:t>
            </w:r>
          </w:p>
          <w:p w14:paraId="7B3287D0" w14:textId="77777777" w:rsidR="00494029" w:rsidRPr="005009C8" w:rsidRDefault="00494029" w:rsidP="00494029">
            <w:pPr>
              <w:jc w:val="both"/>
            </w:pPr>
            <w:r w:rsidRPr="005009C8">
              <w:t>3. Do 1. ledna 2025 členské státy stanoví požadavky týkající se instalace minimálního počtu dobíjecích stanic do všech jiných než obytných budov s více než dvaceti parkovacími místy.</w:t>
            </w:r>
          </w:p>
          <w:p w14:paraId="5C912169" w14:textId="77777777" w:rsidR="00494029" w:rsidRPr="005009C8" w:rsidRDefault="00494029" w:rsidP="00494029">
            <w:pPr>
              <w:jc w:val="both"/>
            </w:pPr>
            <w:r w:rsidRPr="005009C8">
              <w:t>4. Členské státy se mohou rozhodnout, že požadavky uvedené v odstavcích 2 a 3 nestanoví nebo nepoužijí ve vztahu k budovám, které vlastní nebo užívají malé a střední podniky definované v hlavě I přílohy doporučení Komise 2003/361/ES (**).</w:t>
            </w:r>
          </w:p>
          <w:p w14:paraId="46BB93E2"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 xml:space="preserve">___________ </w:t>
            </w:r>
          </w:p>
          <w:p w14:paraId="25251DAB" w14:textId="77777777" w:rsidR="00494029" w:rsidRPr="005009C8" w:rsidRDefault="00494029" w:rsidP="00494029">
            <w:pPr>
              <w:jc w:val="both"/>
            </w:pPr>
            <w:r w:rsidRPr="005009C8">
              <w:lastRenderedPageBreak/>
              <w:t>(*) Směrnice Evropského parlamentu a Rady 2014/94/EU ze dne 22. října 2014 o zavádění infrastruktury pro alternativní paliva (</w:t>
            </w:r>
            <w:proofErr w:type="spellStart"/>
            <w:r w:rsidRPr="005009C8">
              <w:t>Úř</w:t>
            </w:r>
            <w:proofErr w:type="spellEnd"/>
            <w:r w:rsidRPr="005009C8">
              <w:t xml:space="preserve">. </w:t>
            </w:r>
            <w:proofErr w:type="spellStart"/>
            <w:r w:rsidRPr="005009C8">
              <w:t>věst</w:t>
            </w:r>
            <w:proofErr w:type="spellEnd"/>
            <w:r w:rsidRPr="005009C8">
              <w:t>. L 307, 28.10.2014, s. 1).</w:t>
            </w:r>
          </w:p>
          <w:p w14:paraId="16293F1E" w14:textId="1BEFF76C" w:rsidR="00494029" w:rsidRPr="005009C8" w:rsidRDefault="00494029" w:rsidP="00494029">
            <w:pPr>
              <w:pStyle w:val="Zpat"/>
              <w:jc w:val="both"/>
            </w:pPr>
            <w:r w:rsidRPr="005009C8">
              <w:t>(**) Doporučení Komise ze dne 6. května 2003 o definici malých a středních podniků (</w:t>
            </w:r>
            <w:proofErr w:type="spellStart"/>
            <w:r w:rsidRPr="005009C8">
              <w:t>Úř</w:t>
            </w:r>
            <w:proofErr w:type="spellEnd"/>
            <w:r w:rsidRPr="005009C8">
              <w:t xml:space="preserve">. </w:t>
            </w:r>
            <w:proofErr w:type="spellStart"/>
            <w:r w:rsidRPr="005009C8">
              <w:t>věst</w:t>
            </w:r>
            <w:proofErr w:type="spellEnd"/>
            <w:r w:rsidRPr="005009C8">
              <w:t>. L 124, 20.5.2003, s. 36).</w:t>
            </w:r>
          </w:p>
        </w:tc>
      </w:tr>
      <w:tr w:rsidR="00494029" w:rsidRPr="005009C8" w14:paraId="687EDCA5" w14:textId="77777777" w:rsidTr="00CE3F49">
        <w:tc>
          <w:tcPr>
            <w:tcW w:w="523" w:type="pct"/>
            <w:vMerge/>
            <w:shd w:val="clear" w:color="auto" w:fill="auto"/>
          </w:tcPr>
          <w:p w14:paraId="22814E65" w14:textId="2A87F4B7" w:rsidR="00494029" w:rsidRPr="005009C8" w:rsidRDefault="00494029" w:rsidP="00494029"/>
        </w:tc>
        <w:tc>
          <w:tcPr>
            <w:tcW w:w="1690" w:type="pct"/>
            <w:vMerge/>
            <w:shd w:val="clear" w:color="auto" w:fill="auto"/>
          </w:tcPr>
          <w:p w14:paraId="55A940D9" w14:textId="77777777" w:rsidR="00494029" w:rsidRPr="005009C8" w:rsidRDefault="00494029" w:rsidP="00494029">
            <w:pPr>
              <w:pStyle w:val="paragraph"/>
              <w:spacing w:before="0" w:beforeAutospacing="0" w:after="0" w:afterAutospacing="0"/>
              <w:ind w:firstLine="705"/>
              <w:jc w:val="both"/>
              <w:textAlignment w:val="baseline"/>
            </w:pPr>
          </w:p>
        </w:tc>
        <w:tc>
          <w:tcPr>
            <w:tcW w:w="645" w:type="pct"/>
            <w:vMerge/>
            <w:shd w:val="clear" w:color="auto" w:fill="auto"/>
          </w:tcPr>
          <w:p w14:paraId="59299B99" w14:textId="5A9FDDFC" w:rsidR="00494029" w:rsidRPr="005009C8" w:rsidRDefault="00494029" w:rsidP="00494029"/>
        </w:tc>
        <w:tc>
          <w:tcPr>
            <w:tcW w:w="624" w:type="pct"/>
            <w:shd w:val="clear" w:color="auto" w:fill="auto"/>
          </w:tcPr>
          <w:p w14:paraId="2C432376" w14:textId="6EE8F77E" w:rsidR="00494029" w:rsidRPr="005009C8" w:rsidRDefault="00494029" w:rsidP="00494029">
            <w:r w:rsidRPr="005009C8">
              <w:t xml:space="preserve">Článek 1 odst. 5 </w:t>
            </w:r>
            <w:proofErr w:type="spellStart"/>
            <w:r w:rsidRPr="005009C8">
              <w:t>podbod</w:t>
            </w:r>
            <w:proofErr w:type="spellEnd"/>
            <w:r w:rsidRPr="005009C8">
              <w:t xml:space="preserve"> 5)</w:t>
            </w:r>
          </w:p>
        </w:tc>
        <w:tc>
          <w:tcPr>
            <w:tcW w:w="1518" w:type="pct"/>
            <w:shd w:val="clear" w:color="auto" w:fill="auto"/>
          </w:tcPr>
          <w:p w14:paraId="3BD188F1" w14:textId="77777777" w:rsidR="00494029" w:rsidRPr="005009C8" w:rsidRDefault="00494029" w:rsidP="00494029">
            <w:pPr>
              <w:jc w:val="both"/>
            </w:pPr>
            <w:r w:rsidRPr="005009C8">
              <w:t xml:space="preserve">5. Pokud jde o nové obytné budovy a obytné budovy procházející větší renovací, které mají více než deset parkovacích míst, zajistí členské státy instalaci </w:t>
            </w:r>
            <w:proofErr w:type="spellStart"/>
            <w:r w:rsidRPr="005009C8">
              <w:t>kabelovodů</w:t>
            </w:r>
            <w:proofErr w:type="spellEnd"/>
            <w:r w:rsidRPr="005009C8">
              <w:t>, tedy vedení pro elektrické kabely, pro každé parkovací místo, aby byla v pozdější fázi umožněna instalace dobíjecích stanic pro elektrická vozidla, pokud:</w:t>
            </w:r>
          </w:p>
          <w:p w14:paraId="707F671B"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 xml:space="preserve">a) parkoviště je umístěno uvnitř budovy a u větších renovací se renovační opatření týkají i parkoviště či elektrických rozvodů budovy nebo </w:t>
            </w:r>
          </w:p>
          <w:p w14:paraId="26B42868" w14:textId="62A363AD" w:rsidR="00494029" w:rsidRPr="005009C8" w:rsidRDefault="00494029" w:rsidP="00494029">
            <w:pPr>
              <w:pStyle w:val="Zpat"/>
              <w:jc w:val="both"/>
            </w:pPr>
            <w:r w:rsidRPr="005009C8">
              <w:t>b) parkoviště s budovou fyzicky sousedí a u větších renovací se renovační opatření týkají i parkoviště či elektrických rozvodů parkoviště.</w:t>
            </w:r>
          </w:p>
        </w:tc>
      </w:tr>
      <w:tr w:rsidR="00494029" w:rsidRPr="005009C8" w14:paraId="127359CA" w14:textId="77777777" w:rsidTr="00CE3F49">
        <w:tc>
          <w:tcPr>
            <w:tcW w:w="523" w:type="pct"/>
            <w:vMerge/>
            <w:shd w:val="clear" w:color="auto" w:fill="auto"/>
          </w:tcPr>
          <w:p w14:paraId="7CF94FB2" w14:textId="752DEEB8" w:rsidR="00494029" w:rsidRPr="005009C8" w:rsidRDefault="00494029" w:rsidP="00494029"/>
        </w:tc>
        <w:tc>
          <w:tcPr>
            <w:tcW w:w="1690" w:type="pct"/>
            <w:vMerge/>
            <w:shd w:val="clear" w:color="auto" w:fill="auto"/>
          </w:tcPr>
          <w:p w14:paraId="03736138" w14:textId="77777777" w:rsidR="00494029" w:rsidRPr="005009C8" w:rsidRDefault="00494029" w:rsidP="00494029">
            <w:pPr>
              <w:shd w:val="clear" w:color="auto" w:fill="FFFFFF" w:themeFill="background1"/>
              <w:spacing w:after="160"/>
              <w:jc w:val="both"/>
            </w:pPr>
          </w:p>
        </w:tc>
        <w:tc>
          <w:tcPr>
            <w:tcW w:w="645" w:type="pct"/>
            <w:vMerge/>
            <w:shd w:val="clear" w:color="auto" w:fill="auto"/>
          </w:tcPr>
          <w:p w14:paraId="7C655710" w14:textId="2965D1FA" w:rsidR="00494029" w:rsidRPr="005009C8" w:rsidRDefault="00494029" w:rsidP="00494029"/>
        </w:tc>
        <w:tc>
          <w:tcPr>
            <w:tcW w:w="624" w:type="pct"/>
            <w:shd w:val="clear" w:color="auto" w:fill="auto"/>
          </w:tcPr>
          <w:p w14:paraId="56CA0A14" w14:textId="56D9FD9D" w:rsidR="00494029" w:rsidRPr="005009C8" w:rsidRDefault="00494029" w:rsidP="00494029">
            <w:r w:rsidRPr="005009C8">
              <w:t xml:space="preserve">Článek 1 odst. 5 </w:t>
            </w:r>
            <w:proofErr w:type="spellStart"/>
            <w:r w:rsidRPr="005009C8">
              <w:t>podbod</w:t>
            </w:r>
            <w:proofErr w:type="spellEnd"/>
            <w:r w:rsidRPr="005009C8">
              <w:t xml:space="preserve"> 6)</w:t>
            </w:r>
          </w:p>
        </w:tc>
        <w:tc>
          <w:tcPr>
            <w:tcW w:w="1518" w:type="pct"/>
            <w:shd w:val="clear" w:color="auto" w:fill="auto"/>
          </w:tcPr>
          <w:p w14:paraId="16C0C296" w14:textId="77777777" w:rsidR="00494029" w:rsidRPr="005009C8" w:rsidRDefault="00494029" w:rsidP="00494029">
            <w:pPr>
              <w:tabs>
                <w:tab w:val="left" w:pos="1129"/>
              </w:tabs>
              <w:jc w:val="both"/>
            </w:pPr>
            <w:r w:rsidRPr="005009C8">
              <w:t>6. Členské státy se mohou rozhodnout nepoužít odstavce 2, 3 a 5 na konkrétní kategorie budov v těchto případech:</w:t>
            </w:r>
          </w:p>
          <w:p w14:paraId="7BF5BCB8"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lastRenderedPageBreak/>
              <w:t xml:space="preserve">a) pokud jde o odstavce 2 a 5, žádosti o stavební povolení či rovnocenné žádosti byly podány před 10. březnem 2021; </w:t>
            </w:r>
          </w:p>
          <w:p w14:paraId="1D55E2F2"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 xml:space="preserve">b) požadované </w:t>
            </w:r>
            <w:proofErr w:type="spellStart"/>
            <w:r w:rsidRPr="005009C8">
              <w:rPr>
                <w:rFonts w:ascii="Times New Roman" w:hAnsi="Times New Roman"/>
              </w:rPr>
              <w:t>kabelovody</w:t>
            </w:r>
            <w:proofErr w:type="spellEnd"/>
            <w:r w:rsidRPr="005009C8">
              <w:rPr>
                <w:rFonts w:ascii="Times New Roman" w:hAnsi="Times New Roman"/>
              </w:rPr>
              <w:t xml:space="preserve"> by závisely na izolovaných </w:t>
            </w:r>
            <w:proofErr w:type="spellStart"/>
            <w:r w:rsidRPr="005009C8">
              <w:rPr>
                <w:rFonts w:ascii="Times New Roman" w:hAnsi="Times New Roman"/>
              </w:rPr>
              <w:t>mikrosoustavách</w:t>
            </w:r>
            <w:proofErr w:type="spellEnd"/>
            <w:r w:rsidRPr="005009C8">
              <w:rPr>
                <w:rFonts w:ascii="Times New Roman" w:hAnsi="Times New Roman"/>
              </w:rPr>
              <w:t xml:space="preserve"> nebo se budovy nacházejí v nejvzdálenějších regionech ve smyslu článku 349 Smlouvy o fungování EU, pokud by to mělo za důsledek zásadní problémy pro provoz místní energetické soustavy a ohrožení stability místní sítě; </w:t>
            </w:r>
          </w:p>
          <w:p w14:paraId="02F01A63" w14:textId="77777777" w:rsidR="00494029" w:rsidRPr="005009C8" w:rsidRDefault="00494029" w:rsidP="00494029">
            <w:pPr>
              <w:pStyle w:val="CM4"/>
              <w:spacing w:before="60" w:after="60"/>
              <w:jc w:val="both"/>
              <w:rPr>
                <w:rFonts w:ascii="Times New Roman" w:hAnsi="Times New Roman"/>
              </w:rPr>
            </w:pPr>
            <w:r w:rsidRPr="005009C8">
              <w:rPr>
                <w:rFonts w:ascii="Times New Roman" w:hAnsi="Times New Roman"/>
              </w:rPr>
              <w:t xml:space="preserve">c) náklady na instalaci dobíjecích stanic a </w:t>
            </w:r>
            <w:proofErr w:type="spellStart"/>
            <w:r w:rsidRPr="005009C8">
              <w:rPr>
                <w:rFonts w:ascii="Times New Roman" w:hAnsi="Times New Roman"/>
              </w:rPr>
              <w:t>kabelovodů</w:t>
            </w:r>
            <w:proofErr w:type="spellEnd"/>
            <w:r w:rsidRPr="005009C8">
              <w:rPr>
                <w:rFonts w:ascii="Times New Roman" w:hAnsi="Times New Roman"/>
              </w:rPr>
              <w:t xml:space="preserve"> přesahují 7 % celkových nákladů na danou větší renovaci budovy; </w:t>
            </w:r>
          </w:p>
          <w:p w14:paraId="1FF1987B" w14:textId="5030EB7B" w:rsidR="00494029" w:rsidRPr="005009C8" w:rsidRDefault="00494029" w:rsidP="00494029">
            <w:pPr>
              <w:pStyle w:val="Zpat"/>
              <w:jc w:val="both"/>
            </w:pPr>
            <w:r w:rsidRPr="005009C8">
              <w:t>d) na veřejnou budovu se již vztahují srovnatelné požadavky v souladu s provedením směrnice 2014/94/EU</w:t>
            </w:r>
          </w:p>
        </w:tc>
      </w:tr>
      <w:tr w:rsidR="00494029" w:rsidRPr="005009C8" w14:paraId="255A12DF" w14:textId="77777777" w:rsidTr="00CE3F49">
        <w:tc>
          <w:tcPr>
            <w:tcW w:w="523" w:type="pct"/>
            <w:shd w:val="clear" w:color="auto" w:fill="auto"/>
          </w:tcPr>
          <w:p w14:paraId="78E60B4C" w14:textId="2F796302" w:rsidR="00494029" w:rsidRPr="005009C8" w:rsidRDefault="00494029" w:rsidP="00494029">
            <w:r w:rsidRPr="005009C8">
              <w:lastRenderedPageBreak/>
              <w:t>§ 7</w:t>
            </w:r>
            <w:r w:rsidR="00202057" w:rsidRPr="005009C8">
              <w:t>5</w:t>
            </w:r>
            <w:r w:rsidRPr="005009C8">
              <w:t xml:space="preserve"> odst. 2, 3 a 5</w:t>
            </w:r>
          </w:p>
        </w:tc>
        <w:tc>
          <w:tcPr>
            <w:tcW w:w="1690" w:type="pct"/>
            <w:shd w:val="clear" w:color="auto" w:fill="auto"/>
          </w:tcPr>
          <w:p w14:paraId="5861FCBD" w14:textId="33DE1450" w:rsidR="00494029" w:rsidRPr="005009C8" w:rsidRDefault="00494029" w:rsidP="00494029">
            <w:pPr>
              <w:pStyle w:val="paragraph"/>
              <w:jc w:val="both"/>
              <w:textAlignment w:val="baseline"/>
              <w:rPr>
                <w:u w:val="single"/>
              </w:rPr>
            </w:pPr>
            <w:r w:rsidRPr="005009C8">
              <w:t xml:space="preserve">(2) </w:t>
            </w:r>
            <w:r w:rsidR="004036DA" w:rsidRPr="004036DA">
              <w:rPr>
                <w:u w:val="single"/>
              </w:rPr>
              <w:t>Při vypracování návrhu a výstavbě stokových sítí se postupuje podle požadavků stanovených v souladu s požadavky určené normy</w:t>
            </w:r>
            <w:r w:rsidR="00202057" w:rsidRPr="005009C8">
              <w:rPr>
                <w:u w:val="single"/>
              </w:rPr>
              <w:t>.</w:t>
            </w:r>
            <w:r w:rsidRPr="005009C8">
              <w:rPr>
                <w:u w:val="single"/>
              </w:rPr>
              <w:t xml:space="preserve"> </w:t>
            </w:r>
          </w:p>
          <w:p w14:paraId="4229BB6C" w14:textId="65C0E355" w:rsidR="00494029" w:rsidRPr="005009C8" w:rsidRDefault="00494029" w:rsidP="00494029">
            <w:pPr>
              <w:pStyle w:val="paragraph"/>
              <w:jc w:val="both"/>
              <w:textAlignment w:val="baseline"/>
              <w:rPr>
                <w:u w:val="single"/>
              </w:rPr>
            </w:pPr>
            <w:r w:rsidRPr="005009C8">
              <w:t xml:space="preserve">(3) </w:t>
            </w:r>
            <w:r w:rsidR="004036DA" w:rsidRPr="004036DA">
              <w:rPr>
                <w:u w:val="single"/>
              </w:rPr>
              <w:t>Stokové sítě se navrhují s ohledem na dlouhodobou životnost stokové sítě podle požadavků stanovených v souladu s požadavky určené normy, obtížnost sanačních prací a na výhledový stav odkanalizovaného území</w:t>
            </w:r>
            <w:r w:rsidR="00202057" w:rsidRPr="005009C8">
              <w:rPr>
                <w:u w:val="single"/>
              </w:rPr>
              <w:t>.</w:t>
            </w:r>
          </w:p>
          <w:p w14:paraId="159C68B1" w14:textId="51E57280" w:rsidR="00494029" w:rsidRPr="005009C8" w:rsidRDefault="00494029" w:rsidP="00494029">
            <w:pPr>
              <w:pStyle w:val="paragraph"/>
              <w:spacing w:before="0" w:beforeAutospacing="0" w:after="0" w:afterAutospacing="0"/>
              <w:jc w:val="both"/>
              <w:textAlignment w:val="baseline"/>
              <w:rPr>
                <w:u w:val="single"/>
              </w:rPr>
            </w:pPr>
            <w:r w:rsidRPr="005009C8">
              <w:lastRenderedPageBreak/>
              <w:t xml:space="preserve">(5) </w:t>
            </w:r>
            <w:r w:rsidR="004036DA" w:rsidRPr="004036DA">
              <w:rPr>
                <w:u w:val="single"/>
              </w:rPr>
              <w:t>Stoky, objekty a jejich spoje se navrhují a provádějí jako vodotěsné konstrukce.  Vodotěsnost se prokazuje podle požadavků stanovených v souladu s požadavky určené normy.</w:t>
            </w:r>
          </w:p>
          <w:p w14:paraId="2C4C5972" w14:textId="2F1361D1" w:rsidR="00494029" w:rsidRPr="005009C8" w:rsidRDefault="00494029" w:rsidP="00494029">
            <w:pPr>
              <w:pStyle w:val="paragraph"/>
              <w:spacing w:before="0" w:beforeAutospacing="0" w:after="0" w:afterAutospacing="0"/>
              <w:jc w:val="both"/>
              <w:textAlignment w:val="baseline"/>
            </w:pPr>
          </w:p>
        </w:tc>
        <w:tc>
          <w:tcPr>
            <w:tcW w:w="645" w:type="pct"/>
            <w:shd w:val="clear" w:color="auto" w:fill="auto"/>
          </w:tcPr>
          <w:p w14:paraId="7395BD98" w14:textId="1EDD6F43" w:rsidR="00494029" w:rsidRPr="005009C8" w:rsidRDefault="00494029" w:rsidP="00494029">
            <w:r w:rsidRPr="005009C8">
              <w:lastRenderedPageBreak/>
              <w:t>31991L0271</w:t>
            </w:r>
          </w:p>
        </w:tc>
        <w:tc>
          <w:tcPr>
            <w:tcW w:w="624" w:type="pct"/>
            <w:shd w:val="clear" w:color="auto" w:fill="auto"/>
          </w:tcPr>
          <w:p w14:paraId="52975419" w14:textId="3F04641D" w:rsidR="00494029" w:rsidRPr="005009C8" w:rsidRDefault="00494029" w:rsidP="00494029">
            <w:r w:rsidRPr="005009C8">
              <w:t>Příloha I A</w:t>
            </w:r>
          </w:p>
        </w:tc>
        <w:tc>
          <w:tcPr>
            <w:tcW w:w="1518" w:type="pct"/>
            <w:shd w:val="clear" w:color="auto" w:fill="auto"/>
          </w:tcPr>
          <w:p w14:paraId="31D4C247" w14:textId="77777777" w:rsidR="00494029" w:rsidRPr="005009C8" w:rsidRDefault="00494029" w:rsidP="00494029">
            <w:pPr>
              <w:pStyle w:val="Zpat"/>
              <w:jc w:val="both"/>
            </w:pPr>
            <w:r w:rsidRPr="005009C8">
              <w:t>POŽADAVKY NA MĚSTSKÉ ODPADNÍ VODY</w:t>
            </w:r>
          </w:p>
          <w:p w14:paraId="4A2DF0E3" w14:textId="77777777" w:rsidR="00494029" w:rsidRPr="005009C8" w:rsidRDefault="00494029" w:rsidP="00494029">
            <w:pPr>
              <w:pStyle w:val="Zpat"/>
              <w:jc w:val="both"/>
            </w:pPr>
            <w:r w:rsidRPr="005009C8">
              <w:t>A. Stokové soustavy [1]</w:t>
            </w:r>
          </w:p>
          <w:p w14:paraId="5F7F1F29" w14:textId="77777777" w:rsidR="00494029" w:rsidRPr="005009C8" w:rsidRDefault="00494029" w:rsidP="00494029">
            <w:pPr>
              <w:pStyle w:val="Zpat"/>
              <w:jc w:val="both"/>
            </w:pPr>
            <w:r w:rsidRPr="005009C8">
              <w:t>Stokové soustavy berou v úvahu požadavky čištění odpadních vod.</w:t>
            </w:r>
          </w:p>
          <w:p w14:paraId="2ADB5AE9" w14:textId="77777777" w:rsidR="00494029" w:rsidRPr="005009C8" w:rsidRDefault="00494029" w:rsidP="00494029">
            <w:pPr>
              <w:pStyle w:val="Zpat"/>
              <w:jc w:val="both"/>
            </w:pPr>
            <w:r w:rsidRPr="005009C8">
              <w:t>Projektování, výstavba a udržování stokových soustav se provádí v souladu s nejlepšími technickými znalostmi, nepřináší-li to nadměrné náklady, zejména pokud jde o:</w:t>
            </w:r>
          </w:p>
          <w:p w14:paraId="3C3B6F84" w14:textId="77777777" w:rsidR="00494029" w:rsidRPr="005009C8" w:rsidRDefault="00494029" w:rsidP="00494029">
            <w:pPr>
              <w:pStyle w:val="Zpat"/>
              <w:jc w:val="both"/>
            </w:pPr>
            <w:r w:rsidRPr="005009C8">
              <w:t>- objem a charakter městských odpadních vod,</w:t>
            </w:r>
          </w:p>
          <w:p w14:paraId="4F31F0BF" w14:textId="77777777" w:rsidR="00494029" w:rsidRPr="005009C8" w:rsidRDefault="00494029" w:rsidP="00494029">
            <w:pPr>
              <w:pStyle w:val="Zpat"/>
              <w:jc w:val="both"/>
            </w:pPr>
            <w:r w:rsidRPr="005009C8">
              <w:lastRenderedPageBreak/>
              <w:t>- předcházení průsakům,</w:t>
            </w:r>
          </w:p>
          <w:p w14:paraId="128221DF" w14:textId="49EDA867" w:rsidR="00494029" w:rsidRPr="005009C8" w:rsidRDefault="00494029" w:rsidP="00494029">
            <w:pPr>
              <w:jc w:val="both"/>
            </w:pPr>
            <w:r w:rsidRPr="005009C8">
              <w:t>- omezování znečištění recipientů v důsledku silných dešťů.</w:t>
            </w:r>
          </w:p>
        </w:tc>
      </w:tr>
      <w:tr w:rsidR="00494029" w:rsidRPr="005009C8" w14:paraId="4DCB231E" w14:textId="77777777" w:rsidTr="00CE3F49">
        <w:tc>
          <w:tcPr>
            <w:tcW w:w="523" w:type="pct"/>
            <w:vMerge w:val="restart"/>
            <w:shd w:val="clear" w:color="auto" w:fill="auto"/>
          </w:tcPr>
          <w:p w14:paraId="06F7EBD8" w14:textId="033DCC09" w:rsidR="00494029" w:rsidRPr="005009C8" w:rsidRDefault="00494029" w:rsidP="00494029">
            <w:r w:rsidRPr="005009C8">
              <w:lastRenderedPageBreak/>
              <w:t>Příloha č. 9 bod 1 až 5</w:t>
            </w:r>
            <w:r w:rsidR="00F83331" w:rsidRPr="005009C8">
              <w:t xml:space="preserve"> </w:t>
            </w:r>
          </w:p>
        </w:tc>
        <w:tc>
          <w:tcPr>
            <w:tcW w:w="1690" w:type="pct"/>
            <w:vMerge w:val="restart"/>
            <w:shd w:val="clear" w:color="auto" w:fill="auto"/>
          </w:tcPr>
          <w:p w14:paraId="3A737585" w14:textId="034BB5B1" w:rsidR="00494029" w:rsidRPr="005009C8" w:rsidRDefault="00494029" w:rsidP="00494029">
            <w:pPr>
              <w:pStyle w:val="l4"/>
              <w:jc w:val="both"/>
              <w:rPr>
                <w:u w:val="single"/>
              </w:rPr>
            </w:pPr>
            <w:r w:rsidRPr="005009C8">
              <w:t>1</w:t>
            </w:r>
            <w:r w:rsidRPr="005009C8">
              <w:rPr>
                <w:u w:val="single"/>
              </w:rPr>
              <w:t>. Běžné dobíjecí stanice na střídavý proud pro elektrická vozidla musí být vybaveny alespoň zásuvkami nebo vozidlovými zásuvkovými přípojkami s 1 kolíkem a 2 dutinkami. Požadavky se považují za splněné, jsou-li naplněny jejich parametry podle určené normy.</w:t>
            </w:r>
          </w:p>
          <w:p w14:paraId="247DCC89" w14:textId="64C974F5" w:rsidR="00494029" w:rsidRPr="005009C8" w:rsidRDefault="00494029" w:rsidP="00494029">
            <w:pPr>
              <w:pStyle w:val="l4"/>
              <w:spacing w:before="0" w:beforeAutospacing="0" w:after="0" w:afterAutospacing="0"/>
              <w:jc w:val="both"/>
              <w:rPr>
                <w:u w:val="single"/>
              </w:rPr>
            </w:pPr>
            <w:r w:rsidRPr="005009C8">
              <w:t xml:space="preserve">2. </w:t>
            </w:r>
            <w:r w:rsidRPr="005009C8">
              <w:rPr>
                <w:u w:val="single"/>
              </w:rPr>
              <w:t>Vysoce výkonné dobíjecí stanice na střídavý proud pro elektrická vozidla musí být vybaveny alespoň zásuvkovými přípojkami s 1 kolíkem a 2 dutinkami. Požadavky se považují za splněné, jsou-li naplněny jejich parametry podle určené normy.</w:t>
            </w:r>
          </w:p>
          <w:p w14:paraId="1F3A9E56" w14:textId="77777777" w:rsidR="00494029" w:rsidRPr="005009C8" w:rsidRDefault="00494029" w:rsidP="00494029">
            <w:pPr>
              <w:pStyle w:val="l4"/>
              <w:spacing w:before="0" w:beforeAutospacing="0" w:after="0" w:afterAutospacing="0"/>
              <w:jc w:val="both"/>
              <w:rPr>
                <w:u w:val="single"/>
              </w:rPr>
            </w:pPr>
          </w:p>
          <w:p w14:paraId="3F2CD5EB" w14:textId="4E37B996" w:rsidR="00494029" w:rsidRPr="005009C8" w:rsidRDefault="00494029" w:rsidP="00494029">
            <w:pPr>
              <w:pStyle w:val="l4"/>
              <w:spacing w:before="0" w:beforeAutospacing="0" w:after="0" w:afterAutospacing="0"/>
              <w:jc w:val="both"/>
              <w:rPr>
                <w:u w:val="single"/>
              </w:rPr>
            </w:pPr>
            <w:r w:rsidRPr="005009C8">
              <w:t xml:space="preserve">3. </w:t>
            </w:r>
            <w:r w:rsidRPr="005009C8">
              <w:rPr>
                <w:u w:val="single"/>
              </w:rPr>
              <w:t>Vysoce výkonné dobíjecí stanice na stejnosměrný proud pro elektrická vozidla musí být vybaveny alespoň zásuvkovými přípojkami kombinovaného nabíjecího systému typu Combo 2. Požadavky se považují za splněné, jsou-li naplněny jejich parametry podle určené normy.</w:t>
            </w:r>
          </w:p>
          <w:p w14:paraId="4AD79D43" w14:textId="4CB8F126" w:rsidR="00494029" w:rsidRPr="005009C8" w:rsidRDefault="00494029" w:rsidP="00494029">
            <w:pPr>
              <w:pStyle w:val="l4"/>
              <w:spacing w:before="0" w:beforeAutospacing="0" w:after="0" w:afterAutospacing="0"/>
              <w:jc w:val="both"/>
              <w:rPr>
                <w:u w:val="single"/>
              </w:rPr>
            </w:pPr>
          </w:p>
          <w:p w14:paraId="3FFCA89D" w14:textId="77777777" w:rsidR="00494029" w:rsidRPr="005009C8" w:rsidRDefault="00494029" w:rsidP="00494029">
            <w:pPr>
              <w:pStyle w:val="l4"/>
              <w:jc w:val="both"/>
              <w:rPr>
                <w:u w:val="single"/>
              </w:rPr>
            </w:pPr>
            <w:r w:rsidRPr="005009C8">
              <w:rPr>
                <w:u w:val="single"/>
              </w:rPr>
              <w:lastRenderedPageBreak/>
              <w:t xml:space="preserve">4. Veřejně přístupné dobíjecí stanice na střídavý proud se zdánlivým výkonem nejvýše 3,7 </w:t>
            </w:r>
            <w:proofErr w:type="spellStart"/>
            <w:r w:rsidRPr="005009C8">
              <w:rPr>
                <w:u w:val="single"/>
              </w:rPr>
              <w:t>kVA</w:t>
            </w:r>
            <w:proofErr w:type="spellEnd"/>
            <w:r w:rsidRPr="005009C8">
              <w:rPr>
                <w:u w:val="single"/>
              </w:rPr>
              <w:t xml:space="preserve"> vyhrazené pro elektrická vozidla kategorie L musí být vybaveny alespoň</w:t>
            </w:r>
          </w:p>
          <w:p w14:paraId="5ADD55B1" w14:textId="77777777" w:rsidR="00494029" w:rsidRPr="005009C8" w:rsidRDefault="00494029" w:rsidP="00494029">
            <w:pPr>
              <w:pStyle w:val="l4"/>
              <w:jc w:val="both"/>
              <w:rPr>
                <w:u w:val="single"/>
              </w:rPr>
            </w:pPr>
            <w:r w:rsidRPr="005009C8">
              <w:rPr>
                <w:u w:val="single"/>
              </w:rPr>
              <w:t>a)</w:t>
            </w:r>
            <w:r w:rsidRPr="005009C8">
              <w:rPr>
                <w:u w:val="single"/>
              </w:rPr>
              <w:tab/>
              <w:t>zásuvkami nebo vozidlovými zásuvkovými přípojkami typu 3 A u režimu nabíjení 3; požadavky se považují za splněné, jsou-li naplněny jejich parametry podle určené normy,</w:t>
            </w:r>
          </w:p>
          <w:p w14:paraId="6E082887" w14:textId="782D4C27" w:rsidR="00494029" w:rsidRPr="005009C8" w:rsidRDefault="00494029" w:rsidP="00494029">
            <w:pPr>
              <w:pStyle w:val="l4"/>
              <w:spacing w:before="0" w:beforeAutospacing="0" w:after="0" w:afterAutospacing="0"/>
              <w:jc w:val="both"/>
              <w:rPr>
                <w:u w:val="single"/>
              </w:rPr>
            </w:pPr>
            <w:r w:rsidRPr="005009C8">
              <w:rPr>
                <w:u w:val="single"/>
              </w:rPr>
              <w:t>b)</w:t>
            </w:r>
            <w:r w:rsidRPr="005009C8">
              <w:rPr>
                <w:u w:val="single"/>
              </w:rPr>
              <w:tab/>
              <w:t>zásuvkami u režimu nabíjení 1 nebo 2; požadavky se považují za splněné, jsou-li naplněny jejich parametry podle určené normy.</w:t>
            </w:r>
          </w:p>
          <w:p w14:paraId="015D6C5A" w14:textId="77777777" w:rsidR="00494029" w:rsidRPr="005009C8" w:rsidRDefault="00494029" w:rsidP="00494029">
            <w:pPr>
              <w:pStyle w:val="l4"/>
              <w:spacing w:before="0" w:beforeAutospacing="0" w:after="0" w:afterAutospacing="0"/>
              <w:jc w:val="both"/>
            </w:pPr>
          </w:p>
          <w:p w14:paraId="121F2DEF" w14:textId="77777777" w:rsidR="00494029" w:rsidRPr="005009C8" w:rsidRDefault="00494029" w:rsidP="00494029">
            <w:pPr>
              <w:pStyle w:val="l4"/>
              <w:spacing w:before="0" w:beforeAutospacing="0" w:after="0" w:afterAutospacing="0"/>
              <w:jc w:val="both"/>
              <w:rPr>
                <w:u w:val="single"/>
              </w:rPr>
            </w:pPr>
            <w:r w:rsidRPr="005009C8">
              <w:t xml:space="preserve">5. </w:t>
            </w:r>
            <w:r w:rsidRPr="005009C8">
              <w:rPr>
                <w:u w:val="single"/>
              </w:rPr>
              <w:t xml:space="preserve">Veřejně přístupné dobíjecí stanice na střídavý proud se zdánlivým výkonem vyšším než 3,7 </w:t>
            </w:r>
            <w:proofErr w:type="spellStart"/>
            <w:r w:rsidRPr="005009C8">
              <w:rPr>
                <w:u w:val="single"/>
              </w:rPr>
              <w:t>kVA</w:t>
            </w:r>
            <w:proofErr w:type="spellEnd"/>
            <w:r w:rsidRPr="005009C8">
              <w:rPr>
                <w:u w:val="single"/>
              </w:rPr>
              <w:t xml:space="preserve"> vyhrazené pro elektrická vozidla kategorie L musí být vybaveny alespoň zásuvkami nebo vozidlovými přípojkami typu 2. Požadavky se považují za splněné, jsou-li naplněny jejich parametry podle určené normy.</w:t>
            </w:r>
          </w:p>
          <w:p w14:paraId="701F7D88" w14:textId="3B17F966" w:rsidR="00F83331" w:rsidRPr="005009C8" w:rsidRDefault="00F83331" w:rsidP="00F83331">
            <w:pPr>
              <w:pStyle w:val="l4"/>
              <w:spacing w:before="0" w:beforeAutospacing="0" w:after="0" w:afterAutospacing="0"/>
              <w:jc w:val="both"/>
            </w:pPr>
          </w:p>
        </w:tc>
        <w:tc>
          <w:tcPr>
            <w:tcW w:w="645" w:type="pct"/>
            <w:vMerge w:val="restart"/>
            <w:shd w:val="clear" w:color="auto" w:fill="auto"/>
          </w:tcPr>
          <w:p w14:paraId="031FAFDD" w14:textId="24A5CEA8" w:rsidR="00494029" w:rsidRPr="005009C8" w:rsidRDefault="00494029" w:rsidP="00494029">
            <w:bookmarkStart w:id="4" w:name="_Hlk120631623"/>
            <w:r w:rsidRPr="005009C8">
              <w:lastRenderedPageBreak/>
              <w:t>32014L0094</w:t>
            </w:r>
            <w:bookmarkEnd w:id="4"/>
          </w:p>
        </w:tc>
        <w:tc>
          <w:tcPr>
            <w:tcW w:w="624" w:type="pct"/>
            <w:shd w:val="clear" w:color="auto" w:fill="auto"/>
          </w:tcPr>
          <w:p w14:paraId="71AA62A9" w14:textId="6EA2226B" w:rsidR="00494029" w:rsidRPr="005009C8" w:rsidRDefault="00494029" w:rsidP="00494029">
            <w:r w:rsidRPr="005009C8">
              <w:t>Článek 4, odstavec 4</w:t>
            </w:r>
          </w:p>
        </w:tc>
        <w:tc>
          <w:tcPr>
            <w:tcW w:w="1518" w:type="pct"/>
            <w:shd w:val="clear" w:color="auto" w:fill="auto"/>
          </w:tcPr>
          <w:p w14:paraId="59F1B64B" w14:textId="77777777" w:rsidR="00494029" w:rsidRPr="005009C8" w:rsidRDefault="00494029" w:rsidP="00494029">
            <w:pPr>
              <w:jc w:val="both"/>
            </w:pPr>
            <w:r w:rsidRPr="005009C8">
              <w:t>Členské státy zajistí, aby běžné dobíjecí stanice pro elektrická vozidla, s výjimkou bezdrátových či indukčních jednotek, zavedené nebo obnovené od 18. listopadu 2017 splňovaly alespoň technické specifikace stanovené v bodě 1.1 přílohy II a zvláštní bezpečnostní požadavky platné na vnitrostátní úrovni.</w:t>
            </w:r>
          </w:p>
          <w:p w14:paraId="28EB4832" w14:textId="77777777" w:rsidR="00494029" w:rsidRPr="005009C8" w:rsidRDefault="00494029" w:rsidP="00494029">
            <w:pPr>
              <w:jc w:val="both"/>
            </w:pPr>
          </w:p>
          <w:p w14:paraId="167B646B" w14:textId="77777777" w:rsidR="00494029" w:rsidRPr="005009C8" w:rsidRDefault="00494029" w:rsidP="00494029">
            <w:pPr>
              <w:jc w:val="both"/>
            </w:pPr>
            <w:r w:rsidRPr="005009C8">
              <w:t>Členské státy zajistí, aby vysoce výkonné dobíjecí stanice pro elektrická vozidla, s výjimkou bezdrátových či indukčních jednotek, zavedené nebo obnovené od 18. listopadu 2017 splňovaly alespoň technické specifikace stanovené v bodě 1.2 přílohy II.</w:t>
            </w:r>
          </w:p>
          <w:p w14:paraId="3097E223" w14:textId="3C1BEDB7" w:rsidR="00494029" w:rsidRPr="005009C8" w:rsidRDefault="00494029" w:rsidP="00494029">
            <w:pPr>
              <w:jc w:val="both"/>
            </w:pPr>
          </w:p>
        </w:tc>
      </w:tr>
      <w:tr w:rsidR="00494029" w:rsidRPr="005009C8" w14:paraId="2153A989" w14:textId="77777777" w:rsidTr="00CE3F49">
        <w:tc>
          <w:tcPr>
            <w:tcW w:w="523" w:type="pct"/>
            <w:vMerge/>
            <w:shd w:val="clear" w:color="auto" w:fill="auto"/>
          </w:tcPr>
          <w:p w14:paraId="3BCBBEEB" w14:textId="77777777" w:rsidR="00494029" w:rsidRPr="005009C8" w:rsidRDefault="00494029" w:rsidP="00494029"/>
        </w:tc>
        <w:tc>
          <w:tcPr>
            <w:tcW w:w="1690" w:type="pct"/>
            <w:vMerge/>
            <w:shd w:val="clear" w:color="auto" w:fill="auto"/>
          </w:tcPr>
          <w:p w14:paraId="1268047B" w14:textId="77777777" w:rsidR="00494029" w:rsidRPr="005009C8" w:rsidRDefault="00494029" w:rsidP="00494029">
            <w:pPr>
              <w:pStyle w:val="l4"/>
              <w:ind w:firstLine="708"/>
              <w:jc w:val="both"/>
            </w:pPr>
          </w:p>
        </w:tc>
        <w:tc>
          <w:tcPr>
            <w:tcW w:w="645" w:type="pct"/>
            <w:vMerge/>
            <w:shd w:val="clear" w:color="auto" w:fill="auto"/>
          </w:tcPr>
          <w:p w14:paraId="3B80A49F" w14:textId="070479A7" w:rsidR="00494029" w:rsidRPr="005009C8" w:rsidRDefault="00494029" w:rsidP="00494029"/>
        </w:tc>
        <w:tc>
          <w:tcPr>
            <w:tcW w:w="624" w:type="pct"/>
            <w:shd w:val="clear" w:color="auto" w:fill="auto"/>
          </w:tcPr>
          <w:p w14:paraId="51383B9B" w14:textId="3A62A52A" w:rsidR="00494029" w:rsidRPr="005009C8" w:rsidRDefault="00494029" w:rsidP="00494029">
            <w:r w:rsidRPr="005009C8">
              <w:t>Příloha II, odst. 1</w:t>
            </w:r>
          </w:p>
        </w:tc>
        <w:tc>
          <w:tcPr>
            <w:tcW w:w="1518" w:type="pct"/>
            <w:shd w:val="clear" w:color="auto" w:fill="auto"/>
          </w:tcPr>
          <w:p w14:paraId="1DA19366" w14:textId="77777777" w:rsidR="00494029" w:rsidRPr="005009C8" w:rsidRDefault="00494029" w:rsidP="00494029">
            <w:pPr>
              <w:jc w:val="both"/>
            </w:pPr>
            <w:r w:rsidRPr="005009C8">
              <w:t>Technické specifikace</w:t>
            </w:r>
          </w:p>
          <w:p w14:paraId="5AA077D6" w14:textId="77777777" w:rsidR="00494029" w:rsidRPr="005009C8" w:rsidRDefault="00494029" w:rsidP="00494029">
            <w:pPr>
              <w:jc w:val="both"/>
            </w:pPr>
          </w:p>
          <w:p w14:paraId="59222708" w14:textId="77777777" w:rsidR="00494029" w:rsidRPr="005009C8" w:rsidRDefault="00494029" w:rsidP="00494029">
            <w:pPr>
              <w:jc w:val="both"/>
            </w:pPr>
            <w:r w:rsidRPr="005009C8">
              <w:t xml:space="preserve">1. Technické specifikace pro dobíjecí stanice </w:t>
            </w:r>
          </w:p>
          <w:p w14:paraId="0E403307" w14:textId="77777777" w:rsidR="00494029" w:rsidRPr="005009C8" w:rsidRDefault="00494029" w:rsidP="00494029">
            <w:pPr>
              <w:jc w:val="both"/>
            </w:pPr>
          </w:p>
          <w:p w14:paraId="4FF25435" w14:textId="77777777" w:rsidR="00494029" w:rsidRPr="005009C8" w:rsidRDefault="00494029" w:rsidP="00494029">
            <w:pPr>
              <w:jc w:val="both"/>
            </w:pPr>
            <w:r w:rsidRPr="005009C8">
              <w:t xml:space="preserve"> 1.1 Běžné dobíjecí stanice pro motorová vozidla</w:t>
            </w:r>
          </w:p>
          <w:p w14:paraId="1E9545BB" w14:textId="77777777" w:rsidR="00494029" w:rsidRPr="005009C8" w:rsidRDefault="00494029" w:rsidP="00494029">
            <w:pPr>
              <w:jc w:val="both"/>
            </w:pPr>
          </w:p>
          <w:p w14:paraId="5FA0CD8E" w14:textId="77777777" w:rsidR="00494029" w:rsidRPr="005009C8" w:rsidRDefault="00494029" w:rsidP="00494029">
            <w:pPr>
              <w:jc w:val="both"/>
            </w:pPr>
            <w:r w:rsidRPr="005009C8">
              <w:t>Běžné dobíjecí stanice na střídavý proud pro elektrická vozidla musí být pro účely interoperability vybaveny alespoň zásuvkami nebo vozidlovými zásuvkovými přípojkami typu 2, jak je popsáno v normě EN 62196-2. Při zachování kompatibility s typem 2 mohou být tyto zásuvky vybaveny prvky, jako jsou mechanické záklopky.</w:t>
            </w:r>
          </w:p>
          <w:p w14:paraId="36FAAA63" w14:textId="77777777" w:rsidR="00494029" w:rsidRPr="005009C8" w:rsidRDefault="00494029" w:rsidP="00494029">
            <w:pPr>
              <w:jc w:val="both"/>
            </w:pPr>
          </w:p>
          <w:p w14:paraId="49675DB9" w14:textId="77777777" w:rsidR="00494029" w:rsidRPr="005009C8" w:rsidRDefault="00494029" w:rsidP="00494029">
            <w:pPr>
              <w:jc w:val="both"/>
            </w:pPr>
            <w:r w:rsidRPr="005009C8">
              <w:t xml:space="preserve"> 1.2 Vysoce výkonné dobíjecí stanice pro motorová vozidla</w:t>
            </w:r>
          </w:p>
          <w:p w14:paraId="1D83602B" w14:textId="77777777" w:rsidR="00494029" w:rsidRPr="005009C8" w:rsidRDefault="00494029" w:rsidP="00494029">
            <w:pPr>
              <w:jc w:val="both"/>
            </w:pPr>
          </w:p>
          <w:p w14:paraId="540D22EB" w14:textId="77777777" w:rsidR="00494029" w:rsidRPr="005009C8" w:rsidRDefault="00494029" w:rsidP="00494029">
            <w:pPr>
              <w:jc w:val="both"/>
            </w:pPr>
            <w:r w:rsidRPr="005009C8">
              <w:t>Vysoce výkonné dobíjecí stanice na střídavý proud pro elektrická vozidla musí být pro účely interoperability vybaveny alespoň zásuvkovými přípojkami typu 2, jak je popsáno v normě EN 62196-2.</w:t>
            </w:r>
          </w:p>
          <w:p w14:paraId="17016E49" w14:textId="77777777" w:rsidR="00494029" w:rsidRPr="005009C8" w:rsidRDefault="00494029" w:rsidP="00494029">
            <w:pPr>
              <w:jc w:val="both"/>
            </w:pPr>
          </w:p>
          <w:p w14:paraId="2CF0A2FD" w14:textId="77777777" w:rsidR="00494029" w:rsidRPr="005009C8" w:rsidRDefault="00494029" w:rsidP="00494029">
            <w:pPr>
              <w:jc w:val="both"/>
            </w:pPr>
            <w:r w:rsidRPr="005009C8">
              <w:t>Vysoce výkonné dobíjecí stanice na stejnosměrný proud pro elektrická vozidla musí být pro účely interoperability vybaveny alespoň zásuvkovými přípojkami kombinovaného nabíjecího systému typu Combo 2, jak je popsáno v normě EN 62196-3.</w:t>
            </w:r>
          </w:p>
          <w:p w14:paraId="26A98DCB" w14:textId="77777777" w:rsidR="00494029" w:rsidRPr="005009C8" w:rsidRDefault="00494029" w:rsidP="00494029">
            <w:pPr>
              <w:jc w:val="both"/>
            </w:pPr>
          </w:p>
          <w:p w14:paraId="51B15BF8" w14:textId="77777777" w:rsidR="00494029" w:rsidRPr="005009C8" w:rsidRDefault="00494029" w:rsidP="00494029">
            <w:pPr>
              <w:jc w:val="both"/>
            </w:pPr>
            <w:r w:rsidRPr="005009C8">
              <w:t xml:space="preserve"> 1.3 Bezdrátové dobíjecí stanice pro motorová vozidla</w:t>
            </w:r>
          </w:p>
          <w:p w14:paraId="1C220DEA" w14:textId="77777777" w:rsidR="00494029" w:rsidRPr="005009C8" w:rsidRDefault="00494029" w:rsidP="00494029">
            <w:pPr>
              <w:jc w:val="both"/>
            </w:pPr>
          </w:p>
          <w:p w14:paraId="617C9529" w14:textId="77777777" w:rsidR="00494029" w:rsidRPr="005009C8" w:rsidRDefault="00494029" w:rsidP="00494029">
            <w:pPr>
              <w:jc w:val="both"/>
            </w:pPr>
            <w:r w:rsidRPr="005009C8">
              <w:t xml:space="preserve"> 1.4 Výměna baterií pro motorová vozidla</w:t>
            </w:r>
          </w:p>
          <w:p w14:paraId="037326DB" w14:textId="77777777" w:rsidR="00494029" w:rsidRPr="005009C8" w:rsidRDefault="00494029" w:rsidP="00494029">
            <w:pPr>
              <w:jc w:val="both"/>
            </w:pPr>
          </w:p>
          <w:p w14:paraId="73A654AE" w14:textId="77777777" w:rsidR="00494029" w:rsidRPr="005009C8" w:rsidRDefault="00494029" w:rsidP="00494029">
            <w:pPr>
              <w:jc w:val="both"/>
            </w:pPr>
            <w:r w:rsidRPr="005009C8">
              <w:t xml:space="preserve"> 1.5 Dobíjecí stanice pro motorová vozidla kategorie L</w:t>
            </w:r>
          </w:p>
          <w:p w14:paraId="4F0B8F18" w14:textId="77777777" w:rsidR="00494029" w:rsidRPr="005009C8" w:rsidRDefault="00494029" w:rsidP="00494029">
            <w:pPr>
              <w:jc w:val="both"/>
            </w:pPr>
          </w:p>
          <w:p w14:paraId="097D7D8A" w14:textId="77777777" w:rsidR="00494029" w:rsidRPr="005009C8" w:rsidRDefault="00494029" w:rsidP="00494029">
            <w:pPr>
              <w:jc w:val="both"/>
            </w:pPr>
            <w:r w:rsidRPr="005009C8">
              <w:t xml:space="preserve"> 1.6 Dobíjecí stanice pro elektrické autobusy</w:t>
            </w:r>
          </w:p>
          <w:p w14:paraId="2E45C73D" w14:textId="77777777" w:rsidR="00494029" w:rsidRPr="005009C8" w:rsidRDefault="00494029" w:rsidP="00494029">
            <w:pPr>
              <w:jc w:val="both"/>
            </w:pPr>
          </w:p>
          <w:p w14:paraId="45F93A2A" w14:textId="77777777" w:rsidR="00494029" w:rsidRPr="005009C8" w:rsidRDefault="00494029" w:rsidP="00494029">
            <w:pPr>
              <w:jc w:val="both"/>
            </w:pPr>
            <w:r w:rsidRPr="005009C8">
              <w:t xml:space="preserve"> 1.7 Dodávka elektřiny z pevniny pro námořní lodě</w:t>
            </w:r>
          </w:p>
          <w:p w14:paraId="05393048" w14:textId="77777777" w:rsidR="00494029" w:rsidRPr="005009C8" w:rsidRDefault="00494029" w:rsidP="00494029">
            <w:pPr>
              <w:jc w:val="both"/>
            </w:pPr>
          </w:p>
          <w:p w14:paraId="7DFDF785" w14:textId="77777777" w:rsidR="00494029" w:rsidRPr="005009C8" w:rsidRDefault="00494029" w:rsidP="00494029">
            <w:pPr>
              <w:jc w:val="both"/>
            </w:pPr>
            <w:r w:rsidRPr="005009C8">
              <w:t>Dodávka elektřiny z pevniny pro námořní lodě, včetně návrhu, instalace a zkoušení systémů, musí splňovat technické specifikace normy IEC/ISO/IEEE 80005-1.</w:t>
            </w:r>
          </w:p>
          <w:p w14:paraId="130DA075" w14:textId="77777777" w:rsidR="00494029" w:rsidRPr="005009C8" w:rsidRDefault="00494029" w:rsidP="00494029">
            <w:pPr>
              <w:jc w:val="both"/>
            </w:pPr>
          </w:p>
          <w:p w14:paraId="75538CF6" w14:textId="0CD154CA" w:rsidR="00494029" w:rsidRPr="005009C8" w:rsidRDefault="00494029" w:rsidP="00494029">
            <w:pPr>
              <w:jc w:val="both"/>
            </w:pPr>
            <w:r w:rsidRPr="005009C8">
              <w:t xml:space="preserve"> 1.8 Dodávka elektřiny z pevniny pro plavidla vnitrozemské plavby</w:t>
            </w:r>
          </w:p>
        </w:tc>
      </w:tr>
      <w:tr w:rsidR="00494029" w:rsidRPr="005009C8" w14:paraId="19EE5D79" w14:textId="77777777" w:rsidTr="00CE3F49">
        <w:tc>
          <w:tcPr>
            <w:tcW w:w="523" w:type="pct"/>
            <w:shd w:val="clear" w:color="auto" w:fill="auto"/>
          </w:tcPr>
          <w:p w14:paraId="11566694" w14:textId="403ACE08" w:rsidR="00494029" w:rsidRPr="005009C8" w:rsidRDefault="00494029" w:rsidP="00494029">
            <w:r w:rsidRPr="005009C8">
              <w:lastRenderedPageBreak/>
              <w:t>Příloha č. 9, bod 4 a 5</w:t>
            </w:r>
          </w:p>
        </w:tc>
        <w:tc>
          <w:tcPr>
            <w:tcW w:w="1690" w:type="pct"/>
            <w:shd w:val="clear" w:color="auto" w:fill="auto"/>
          </w:tcPr>
          <w:p w14:paraId="42CCBA30" w14:textId="7FD1F384" w:rsidR="0082178B" w:rsidRPr="005009C8" w:rsidRDefault="0082178B" w:rsidP="0082178B">
            <w:pPr>
              <w:pStyle w:val="l5"/>
              <w:jc w:val="both"/>
            </w:pPr>
            <w:r w:rsidRPr="005009C8">
              <w:t xml:space="preserve">4. </w:t>
            </w:r>
            <w:r w:rsidRPr="005009C8">
              <w:rPr>
                <w:u w:val="single"/>
              </w:rPr>
              <w:t xml:space="preserve">Veřejně přístupné dobíjecí stanice na střídavý proud se zdánlivým výkonem nejvýše 3,7 </w:t>
            </w:r>
            <w:proofErr w:type="spellStart"/>
            <w:r w:rsidRPr="005009C8">
              <w:rPr>
                <w:u w:val="single"/>
              </w:rPr>
              <w:t>kVA</w:t>
            </w:r>
            <w:proofErr w:type="spellEnd"/>
            <w:r w:rsidRPr="005009C8">
              <w:rPr>
                <w:u w:val="single"/>
              </w:rPr>
              <w:t xml:space="preserve"> vyhrazené pro elektrická vozidla kategorie L musí být vybaveny alespoň</w:t>
            </w:r>
          </w:p>
          <w:p w14:paraId="430FA166" w14:textId="4F961493" w:rsidR="0082178B" w:rsidRPr="005009C8" w:rsidRDefault="0082178B" w:rsidP="0082178B">
            <w:pPr>
              <w:pStyle w:val="l5"/>
              <w:jc w:val="both"/>
              <w:rPr>
                <w:u w:val="single"/>
              </w:rPr>
            </w:pPr>
            <w:r w:rsidRPr="005009C8">
              <w:rPr>
                <w:u w:val="single"/>
              </w:rPr>
              <w:t>a) zásuvkami nebo vozidlovými zásuvkovými přípojkami typu 3 A u režimu nabíjení 3; požadavky se považují za splněné, jsou-li naplněny jejich parametry podle určené normy,</w:t>
            </w:r>
          </w:p>
          <w:p w14:paraId="49AF975A" w14:textId="5D54BF0F" w:rsidR="0082178B" w:rsidRPr="005009C8" w:rsidRDefault="0082178B" w:rsidP="0082178B">
            <w:pPr>
              <w:pStyle w:val="l5"/>
              <w:jc w:val="both"/>
            </w:pPr>
            <w:r w:rsidRPr="005009C8">
              <w:rPr>
                <w:u w:val="single"/>
              </w:rPr>
              <w:lastRenderedPageBreak/>
              <w:t>b) zásuvkami u režimu nabíjení 1 nebo 2; požadavky se považují za splněné, jsou-li naplněny jejich parametry podle určené normy</w:t>
            </w:r>
            <w:r w:rsidRPr="005009C8">
              <w:t>.</w:t>
            </w:r>
          </w:p>
          <w:p w14:paraId="7446C310" w14:textId="658DF376" w:rsidR="00494029" w:rsidRPr="005009C8" w:rsidRDefault="0082178B" w:rsidP="0082178B">
            <w:pPr>
              <w:pStyle w:val="l4"/>
              <w:spacing w:before="0" w:beforeAutospacing="0" w:after="0" w:afterAutospacing="0"/>
              <w:jc w:val="both"/>
              <w:rPr>
                <w:u w:val="single"/>
              </w:rPr>
            </w:pPr>
            <w:r w:rsidRPr="005009C8">
              <w:t xml:space="preserve">5. </w:t>
            </w:r>
            <w:r w:rsidRPr="005009C8">
              <w:rPr>
                <w:u w:val="single"/>
              </w:rPr>
              <w:t xml:space="preserve">Veřejně přístupné dobíjecí stanice na střídavý proud se zdánlivým výkonem vyšším než 3,7 </w:t>
            </w:r>
            <w:proofErr w:type="spellStart"/>
            <w:r w:rsidRPr="005009C8">
              <w:rPr>
                <w:u w:val="single"/>
              </w:rPr>
              <w:t>kVA</w:t>
            </w:r>
            <w:proofErr w:type="spellEnd"/>
            <w:r w:rsidRPr="005009C8">
              <w:rPr>
                <w:u w:val="single"/>
              </w:rPr>
              <w:t xml:space="preserve"> vyhrazené pro elektrická vozidla kategorie L musí být vybaveny alespoň zásuvkami nebo vozidlovými přípojkami typu 2. Požadavky se považují za splněné, jsou-li naplněny jejich parametry podle určené normy.</w:t>
            </w:r>
          </w:p>
          <w:p w14:paraId="3AA9EEDE" w14:textId="07E16754" w:rsidR="00494029" w:rsidRPr="005009C8" w:rsidRDefault="00494029" w:rsidP="00494029">
            <w:pPr>
              <w:tabs>
                <w:tab w:val="left" w:pos="284"/>
                <w:tab w:val="left" w:pos="567"/>
              </w:tabs>
              <w:spacing w:beforeAutospacing="1" w:afterAutospacing="1"/>
              <w:jc w:val="both"/>
            </w:pPr>
          </w:p>
        </w:tc>
        <w:tc>
          <w:tcPr>
            <w:tcW w:w="645" w:type="pct"/>
            <w:shd w:val="clear" w:color="auto" w:fill="auto"/>
          </w:tcPr>
          <w:p w14:paraId="243D8FD8" w14:textId="4200C419" w:rsidR="00494029" w:rsidRPr="005009C8" w:rsidRDefault="00494029" w:rsidP="00494029">
            <w:bookmarkStart w:id="5" w:name="_Hlk120631720"/>
            <w:r w:rsidRPr="005009C8">
              <w:lastRenderedPageBreak/>
              <w:t>32019R1745</w:t>
            </w:r>
            <w:bookmarkEnd w:id="5"/>
          </w:p>
        </w:tc>
        <w:tc>
          <w:tcPr>
            <w:tcW w:w="624" w:type="pct"/>
            <w:shd w:val="clear" w:color="auto" w:fill="auto"/>
          </w:tcPr>
          <w:p w14:paraId="68C41919" w14:textId="4F0A51BB" w:rsidR="00494029" w:rsidRPr="005009C8" w:rsidRDefault="00494029" w:rsidP="00494029">
            <w:r w:rsidRPr="005009C8">
              <w:t>Článek 1</w:t>
            </w:r>
          </w:p>
        </w:tc>
        <w:tc>
          <w:tcPr>
            <w:tcW w:w="1518" w:type="pct"/>
            <w:shd w:val="clear" w:color="auto" w:fill="auto"/>
          </w:tcPr>
          <w:p w14:paraId="44FE9486" w14:textId="77777777" w:rsidR="00494029" w:rsidRPr="005009C8" w:rsidRDefault="00494029" w:rsidP="00494029">
            <w:pPr>
              <w:pStyle w:val="Zpat"/>
              <w:jc w:val="both"/>
            </w:pPr>
            <w:r w:rsidRPr="005009C8">
              <w:t>Dobíjecí stanice pro motorová vozidla kategorie L</w:t>
            </w:r>
          </w:p>
          <w:p w14:paraId="7594B91A" w14:textId="77777777" w:rsidR="00494029" w:rsidRPr="005009C8" w:rsidRDefault="00494029" w:rsidP="00494029">
            <w:pPr>
              <w:pStyle w:val="Zpat"/>
              <w:jc w:val="both"/>
            </w:pPr>
          </w:p>
          <w:p w14:paraId="658E0298" w14:textId="77777777" w:rsidR="00494029" w:rsidRPr="005009C8" w:rsidRDefault="00494029" w:rsidP="00494029">
            <w:pPr>
              <w:pStyle w:val="Zpat"/>
              <w:jc w:val="both"/>
            </w:pPr>
            <w:r w:rsidRPr="005009C8">
              <w:t>Pro dobíjecí stanice pro motorová vozidla kategorie L, uvedené v bodě 1.5 přílohy II směrnice 2014/94/EU, platí následující technické specifikace:</w:t>
            </w:r>
          </w:p>
          <w:p w14:paraId="14066DA5" w14:textId="77777777" w:rsidR="00494029" w:rsidRPr="005009C8" w:rsidRDefault="00494029" w:rsidP="00494029">
            <w:pPr>
              <w:pStyle w:val="Zpat"/>
              <w:jc w:val="both"/>
            </w:pPr>
          </w:p>
          <w:p w14:paraId="55A9000C" w14:textId="77777777" w:rsidR="00494029" w:rsidRPr="005009C8" w:rsidRDefault="00494029" w:rsidP="00494029">
            <w:pPr>
              <w:pStyle w:val="Zpat"/>
              <w:jc w:val="both"/>
            </w:pPr>
            <w:r w:rsidRPr="005009C8">
              <w:t xml:space="preserve">(1) Veřejně přístupné dobíjecí stanice na střídavý proud se zdánlivým výkonem </w:t>
            </w:r>
            <w:r w:rsidRPr="005009C8">
              <w:lastRenderedPageBreak/>
              <w:t xml:space="preserve">nejvýše 3,7 </w:t>
            </w:r>
            <w:proofErr w:type="spellStart"/>
            <w:r w:rsidRPr="005009C8">
              <w:t>kVA</w:t>
            </w:r>
            <w:proofErr w:type="spellEnd"/>
            <w:r w:rsidRPr="005009C8">
              <w:t xml:space="preserve"> vyhrazené pro elektrická vozidla kategorie L musí být pro účely interoperability vybaveny alespoň:</w:t>
            </w:r>
          </w:p>
          <w:p w14:paraId="4F73B389" w14:textId="77777777" w:rsidR="00494029" w:rsidRPr="005009C8" w:rsidRDefault="00494029" w:rsidP="00494029">
            <w:pPr>
              <w:pStyle w:val="Zpat"/>
              <w:jc w:val="both"/>
            </w:pPr>
          </w:p>
          <w:p w14:paraId="24BB6D2E" w14:textId="77777777" w:rsidR="00494029" w:rsidRPr="005009C8" w:rsidRDefault="00494029" w:rsidP="00494029">
            <w:pPr>
              <w:pStyle w:val="Zpat"/>
              <w:jc w:val="both"/>
            </w:pPr>
            <w:r w:rsidRPr="005009C8">
              <w:t>(a) zásuvkami nebo vozidlovými zásuvkovými přípojkami typu 3 A, jak je popsáno v normě EN 62196-2 (u režimu nabíjení 3);</w:t>
            </w:r>
          </w:p>
          <w:p w14:paraId="45585274" w14:textId="77777777" w:rsidR="00494029" w:rsidRPr="005009C8" w:rsidRDefault="00494029" w:rsidP="00494029">
            <w:pPr>
              <w:pStyle w:val="Zpat"/>
              <w:jc w:val="both"/>
            </w:pPr>
          </w:p>
          <w:p w14:paraId="686016B0" w14:textId="77777777" w:rsidR="00494029" w:rsidRPr="005009C8" w:rsidRDefault="00494029" w:rsidP="00494029">
            <w:pPr>
              <w:pStyle w:val="Zpat"/>
              <w:jc w:val="both"/>
            </w:pPr>
            <w:r w:rsidRPr="005009C8">
              <w:t>(b) zásuvkami vyhovující normě IEC 60884-1 (u režimů nabíjení 1 nebo 2).</w:t>
            </w:r>
          </w:p>
          <w:p w14:paraId="49534304" w14:textId="77777777" w:rsidR="00494029" w:rsidRPr="005009C8" w:rsidRDefault="00494029" w:rsidP="00494029">
            <w:pPr>
              <w:pStyle w:val="Zpat"/>
              <w:jc w:val="both"/>
            </w:pPr>
          </w:p>
          <w:p w14:paraId="4603C6CC" w14:textId="1A3ECB92" w:rsidR="00494029" w:rsidRPr="005009C8" w:rsidRDefault="00494029" w:rsidP="00494029">
            <w:pPr>
              <w:jc w:val="both"/>
            </w:pPr>
            <w:r w:rsidRPr="005009C8">
              <w:t xml:space="preserve">(2) Veřejně přístupné dobíjecí stanice na střídavý proud se zdánlivým výkonem vyšším než 3,7 </w:t>
            </w:r>
            <w:proofErr w:type="spellStart"/>
            <w:r w:rsidRPr="005009C8">
              <w:t>kVA</w:t>
            </w:r>
            <w:proofErr w:type="spellEnd"/>
            <w:r w:rsidRPr="005009C8">
              <w:t xml:space="preserve"> vyhrazené pro elektrická vozidla kategorie L musí být pro účely interoperability vybaveny alespoň zásuvkami nebo vozidlovými přípojkami typu 2, jak je popsáno v normě EN 62196-2.</w:t>
            </w:r>
          </w:p>
        </w:tc>
      </w:tr>
      <w:tr w:rsidR="00494029" w:rsidRPr="005009C8" w14:paraId="4CBA647D" w14:textId="77777777" w:rsidTr="00CE3F49">
        <w:tc>
          <w:tcPr>
            <w:tcW w:w="523" w:type="pct"/>
            <w:shd w:val="clear" w:color="auto" w:fill="auto"/>
          </w:tcPr>
          <w:p w14:paraId="61BF9847" w14:textId="5DFD57D3" w:rsidR="00494029" w:rsidRPr="005009C8" w:rsidRDefault="00494029" w:rsidP="00494029">
            <w:r w:rsidRPr="005009C8">
              <w:lastRenderedPageBreak/>
              <w:t>Příloha č. 9, bod 6</w:t>
            </w:r>
          </w:p>
        </w:tc>
        <w:tc>
          <w:tcPr>
            <w:tcW w:w="1690" w:type="pct"/>
            <w:shd w:val="clear" w:color="auto" w:fill="auto"/>
          </w:tcPr>
          <w:p w14:paraId="156952C5" w14:textId="77777777" w:rsidR="005C2700" w:rsidRPr="005009C8" w:rsidRDefault="00494029" w:rsidP="005C2700">
            <w:pPr>
              <w:pStyle w:val="l5"/>
              <w:jc w:val="both"/>
              <w:rPr>
                <w:u w:val="single"/>
              </w:rPr>
            </w:pPr>
            <w:r w:rsidRPr="005009C8">
              <w:t xml:space="preserve">6. </w:t>
            </w:r>
            <w:r w:rsidR="005C2700" w:rsidRPr="005009C8">
              <w:rPr>
                <w:u w:val="single"/>
              </w:rPr>
              <w:t>Dobíjecí stanice pro elektrické autobusy musí být pro účely interoperability vybaveny takto</w:t>
            </w:r>
          </w:p>
          <w:p w14:paraId="049906F1" w14:textId="3907D6BD" w:rsidR="005C2700" w:rsidRPr="005009C8" w:rsidRDefault="005C2700" w:rsidP="005C2700">
            <w:pPr>
              <w:pStyle w:val="l5"/>
              <w:jc w:val="both"/>
              <w:rPr>
                <w:u w:val="single"/>
              </w:rPr>
            </w:pPr>
            <w:r w:rsidRPr="005009C8">
              <w:rPr>
                <w:u w:val="single"/>
              </w:rPr>
              <w:t>a) běžné a vysoce výkonné dobíjecí stanice na střídavý proud pro elektrické autobusy musí být vybaveny alespoň zásuvkovými přípojkami typu 2; požadavky se považují za splněné, jsou-</w:t>
            </w:r>
            <w:r w:rsidRPr="005009C8">
              <w:rPr>
                <w:u w:val="single"/>
              </w:rPr>
              <w:lastRenderedPageBreak/>
              <w:t>li naplněny jejich parametry podle určené normy,</w:t>
            </w:r>
          </w:p>
          <w:p w14:paraId="7DAC07F1" w14:textId="4D779C8E" w:rsidR="005C2700" w:rsidRPr="005009C8" w:rsidRDefault="005C2700" w:rsidP="005C2700">
            <w:pPr>
              <w:pStyle w:val="l5"/>
              <w:jc w:val="both"/>
              <w:rPr>
                <w:u w:val="single"/>
              </w:rPr>
            </w:pPr>
            <w:r w:rsidRPr="005009C8">
              <w:rPr>
                <w:u w:val="single"/>
              </w:rPr>
              <w:t>b) běžné a vysoce výkonné dobíjecí stanice na stejnosměrný proud pro elektrické autobusy musí být vybaveny alespoň zásuvkovými přípojkami kombinovaného nabíjecího systému typu Combo 2; požadavky se považují za splněné, jsou-li naplněny jejich parametry podle určené normy,</w:t>
            </w:r>
          </w:p>
          <w:p w14:paraId="0E41B6C2" w14:textId="0BF4A67B" w:rsidR="00494029" w:rsidRPr="005009C8" w:rsidRDefault="005C2700" w:rsidP="005C2700">
            <w:pPr>
              <w:pStyle w:val="l5"/>
              <w:spacing w:before="0" w:beforeAutospacing="0" w:after="0" w:afterAutospacing="0"/>
              <w:jc w:val="both"/>
              <w:rPr>
                <w:u w:val="single"/>
              </w:rPr>
            </w:pPr>
            <w:r w:rsidRPr="005009C8">
              <w:rPr>
                <w:u w:val="single"/>
              </w:rPr>
              <w:t>c) automatizované zařízení s kontaktním rozhraním pro elektrické autobusy s vodivým dobíjením v režimu 4 podle určené normy, pokud jde o automatické připojovací zařízení (dále jen „ACD“) namontované na infrastruktuře (reverzní pantograf), ACD namontované na střeše vozidla, ACD namontované pod vozidlem a ACD namontované na infrastruktuře a připojujícího se na bok nebo střechu vozidla, musí být vybaveno mechanickými a elektrickými rozhraními, jak je stanoveno určenou normou.</w:t>
            </w:r>
          </w:p>
        </w:tc>
        <w:tc>
          <w:tcPr>
            <w:tcW w:w="645" w:type="pct"/>
            <w:shd w:val="clear" w:color="auto" w:fill="auto"/>
          </w:tcPr>
          <w:p w14:paraId="0A0CF796" w14:textId="4C0AF643" w:rsidR="00494029" w:rsidRPr="005009C8" w:rsidRDefault="00494029" w:rsidP="00494029">
            <w:r w:rsidRPr="005009C8">
              <w:lastRenderedPageBreak/>
              <w:t>32021R1444</w:t>
            </w:r>
          </w:p>
        </w:tc>
        <w:tc>
          <w:tcPr>
            <w:tcW w:w="624" w:type="pct"/>
            <w:shd w:val="clear" w:color="auto" w:fill="auto"/>
          </w:tcPr>
          <w:p w14:paraId="2E82F76E" w14:textId="45251D5A" w:rsidR="00494029" w:rsidRPr="005009C8" w:rsidRDefault="00494029" w:rsidP="00494029">
            <w:r w:rsidRPr="005009C8">
              <w:t>Článek 1</w:t>
            </w:r>
          </w:p>
        </w:tc>
        <w:tc>
          <w:tcPr>
            <w:tcW w:w="1518" w:type="pct"/>
            <w:shd w:val="clear" w:color="auto" w:fill="auto"/>
          </w:tcPr>
          <w:p w14:paraId="085C97D9" w14:textId="77777777" w:rsidR="00494029" w:rsidRPr="005009C8" w:rsidRDefault="00494029" w:rsidP="00494029">
            <w:pPr>
              <w:pStyle w:val="Zpat"/>
              <w:jc w:val="both"/>
            </w:pPr>
            <w:r w:rsidRPr="005009C8">
              <w:t>Dobíjecí stanice pro elektrické autobusy uvedené v bodě 1.6 přílohy II směrnice 2014/94/EU musí být pro účely interoperability vybaveny takto:</w:t>
            </w:r>
          </w:p>
          <w:tbl>
            <w:tblPr>
              <w:tblW w:w="5000" w:type="pct"/>
              <w:shd w:val="clear" w:color="auto" w:fill="FFFFFF"/>
              <w:tblCellMar>
                <w:left w:w="0" w:type="dxa"/>
                <w:right w:w="0" w:type="dxa"/>
              </w:tblCellMar>
              <w:tblLook w:val="04A0" w:firstRow="1" w:lastRow="0" w:firstColumn="1" w:lastColumn="0" w:noHBand="0" w:noVBand="1"/>
            </w:tblPr>
            <w:tblGrid>
              <w:gridCol w:w="250"/>
              <w:gridCol w:w="3782"/>
            </w:tblGrid>
            <w:tr w:rsidR="00494029" w:rsidRPr="005009C8" w14:paraId="6E2CDCAE" w14:textId="77777777" w:rsidTr="00216EF5">
              <w:tc>
                <w:tcPr>
                  <w:tcW w:w="270" w:type="dxa"/>
                  <w:shd w:val="clear" w:color="auto" w:fill="FFFFFF"/>
                  <w:hideMark/>
                </w:tcPr>
                <w:p w14:paraId="633A1375" w14:textId="77777777" w:rsidR="00494029" w:rsidRPr="005009C8" w:rsidRDefault="00494029" w:rsidP="00494029">
                  <w:pPr>
                    <w:pStyle w:val="Zpat"/>
                    <w:jc w:val="both"/>
                  </w:pPr>
                  <w:r w:rsidRPr="005009C8">
                    <w:t>—</w:t>
                  </w:r>
                </w:p>
              </w:tc>
              <w:tc>
                <w:tcPr>
                  <w:tcW w:w="8802" w:type="dxa"/>
                  <w:shd w:val="clear" w:color="auto" w:fill="FFFFFF"/>
                  <w:hideMark/>
                </w:tcPr>
                <w:p w14:paraId="46094F1D" w14:textId="77777777" w:rsidR="00494029" w:rsidRPr="005009C8" w:rsidRDefault="00494029" w:rsidP="00494029">
                  <w:pPr>
                    <w:pStyle w:val="Zpat"/>
                    <w:jc w:val="both"/>
                  </w:pPr>
                  <w:r w:rsidRPr="005009C8">
                    <w:t xml:space="preserve"> běžné a vysoce výkonné dobíjecí stanice na střídavý proud pro elektrické autobusy musí být vybaveny alespoň zásuvkovými přípojkami typu 2, jak je popsáno v normě EN 62196-2;</w:t>
                  </w:r>
                </w:p>
              </w:tc>
            </w:tr>
          </w:tbl>
          <w:p w14:paraId="4A1AF48C" w14:textId="77777777" w:rsidR="00494029" w:rsidRPr="005009C8" w:rsidRDefault="00494029" w:rsidP="00494029">
            <w:pPr>
              <w:pStyle w:val="Zpat"/>
              <w:jc w:val="both"/>
            </w:pPr>
          </w:p>
          <w:tbl>
            <w:tblPr>
              <w:tblW w:w="5000" w:type="pct"/>
              <w:shd w:val="clear" w:color="auto" w:fill="FFFFFF"/>
              <w:tblCellMar>
                <w:left w:w="0" w:type="dxa"/>
                <w:right w:w="0" w:type="dxa"/>
              </w:tblCellMar>
              <w:tblLook w:val="04A0" w:firstRow="1" w:lastRow="0" w:firstColumn="1" w:lastColumn="0" w:noHBand="0" w:noVBand="1"/>
            </w:tblPr>
            <w:tblGrid>
              <w:gridCol w:w="249"/>
              <w:gridCol w:w="3783"/>
            </w:tblGrid>
            <w:tr w:rsidR="00494029" w:rsidRPr="005009C8" w14:paraId="5AF06F0D" w14:textId="77777777" w:rsidTr="00216EF5">
              <w:tc>
                <w:tcPr>
                  <w:tcW w:w="270" w:type="dxa"/>
                  <w:shd w:val="clear" w:color="auto" w:fill="FFFFFF"/>
                  <w:hideMark/>
                </w:tcPr>
                <w:p w14:paraId="07248A16" w14:textId="77777777" w:rsidR="00494029" w:rsidRPr="005009C8" w:rsidRDefault="00494029" w:rsidP="00494029">
                  <w:pPr>
                    <w:pStyle w:val="Zpat"/>
                    <w:jc w:val="both"/>
                  </w:pPr>
                  <w:r w:rsidRPr="005009C8">
                    <w:lastRenderedPageBreak/>
                    <w:t>—</w:t>
                  </w:r>
                </w:p>
              </w:tc>
              <w:tc>
                <w:tcPr>
                  <w:tcW w:w="8802" w:type="dxa"/>
                  <w:shd w:val="clear" w:color="auto" w:fill="FFFFFF"/>
                  <w:hideMark/>
                </w:tcPr>
                <w:p w14:paraId="1FD21EB3" w14:textId="77777777" w:rsidR="00494029" w:rsidRPr="005009C8" w:rsidRDefault="00494029" w:rsidP="00494029">
                  <w:pPr>
                    <w:pStyle w:val="Zpat"/>
                    <w:jc w:val="both"/>
                  </w:pPr>
                  <w:r w:rsidRPr="005009C8">
                    <w:t xml:space="preserve"> běžné a vysoce výkonné dobíjecí stanice na stejnosměrný proud pro elektrické autobusy musí být vybaveny alespoň zásuvkovými přípojkami kombinovaného nabíjecího systému typu Combo 2, jak je popsáno v normě EN 62196-3;</w:t>
                  </w:r>
                </w:p>
              </w:tc>
            </w:tr>
          </w:tbl>
          <w:p w14:paraId="54E11E23" w14:textId="77777777" w:rsidR="00494029" w:rsidRPr="005009C8" w:rsidRDefault="00494029" w:rsidP="00494029">
            <w:pPr>
              <w:pStyle w:val="Zpat"/>
              <w:jc w:val="both"/>
            </w:pPr>
          </w:p>
          <w:tbl>
            <w:tblPr>
              <w:tblW w:w="5000" w:type="pct"/>
              <w:shd w:val="clear" w:color="auto" w:fill="FFFFFF"/>
              <w:tblCellMar>
                <w:left w:w="0" w:type="dxa"/>
                <w:right w:w="0" w:type="dxa"/>
              </w:tblCellMar>
              <w:tblLook w:val="04A0" w:firstRow="1" w:lastRow="0" w:firstColumn="1" w:lastColumn="0" w:noHBand="0" w:noVBand="1"/>
            </w:tblPr>
            <w:tblGrid>
              <w:gridCol w:w="249"/>
              <w:gridCol w:w="3783"/>
            </w:tblGrid>
            <w:tr w:rsidR="00494029" w:rsidRPr="005009C8" w14:paraId="6441658F" w14:textId="77777777" w:rsidTr="00216EF5">
              <w:trPr>
                <w:trHeight w:val="80"/>
              </w:trPr>
              <w:tc>
                <w:tcPr>
                  <w:tcW w:w="270" w:type="dxa"/>
                  <w:shd w:val="clear" w:color="auto" w:fill="FFFFFF"/>
                  <w:hideMark/>
                </w:tcPr>
                <w:p w14:paraId="5B4E0B71" w14:textId="77777777" w:rsidR="00494029" w:rsidRPr="005009C8" w:rsidRDefault="00494029" w:rsidP="00494029">
                  <w:pPr>
                    <w:pStyle w:val="Zpat"/>
                    <w:jc w:val="both"/>
                  </w:pPr>
                  <w:r w:rsidRPr="005009C8">
                    <w:t>—</w:t>
                  </w:r>
                </w:p>
              </w:tc>
              <w:tc>
                <w:tcPr>
                  <w:tcW w:w="8802" w:type="dxa"/>
                  <w:shd w:val="clear" w:color="auto" w:fill="FFFFFF"/>
                  <w:hideMark/>
                </w:tcPr>
                <w:p w14:paraId="5C19C903" w14:textId="77777777" w:rsidR="00494029" w:rsidRPr="005009C8" w:rsidRDefault="00494029" w:rsidP="00494029">
                  <w:pPr>
                    <w:pStyle w:val="Zpat"/>
                    <w:jc w:val="both"/>
                  </w:pPr>
                  <w:r w:rsidRPr="005009C8">
                    <w:t xml:space="preserve"> automatizované zařízení s kontaktním rozhraním pro elektrické autobusy s vodivým dobíjením v režimu 4 podle normy EN 61851-23-1, pokud jde o automatické připojovací zařízení (dále jen „ACD“) namontované na infrastruktuře (reverzní pantograf), ACD namontované na střeše vozidla, ACD namontované pod vozidlem a ACD namontované na infrastruktuře a připojujícího se na bok nebo střechu vozidla, musí být vybaveno mechanickými a elektrickými rozhraními, jak je definováno v normě EN 50696.</w:t>
                  </w:r>
                </w:p>
              </w:tc>
            </w:tr>
          </w:tbl>
          <w:p w14:paraId="715B0ACE" w14:textId="77777777" w:rsidR="00494029" w:rsidRPr="005009C8" w:rsidRDefault="00494029" w:rsidP="00494029">
            <w:pPr>
              <w:jc w:val="both"/>
            </w:pPr>
          </w:p>
        </w:tc>
      </w:tr>
      <w:tr w:rsidR="00494029" w:rsidRPr="005009C8" w14:paraId="17FE4D31" w14:textId="77777777" w:rsidTr="00CE3F49">
        <w:tc>
          <w:tcPr>
            <w:tcW w:w="523" w:type="pct"/>
            <w:shd w:val="clear" w:color="auto" w:fill="auto"/>
          </w:tcPr>
          <w:p w14:paraId="25ADFFBB" w14:textId="04A283B0" w:rsidR="00494029" w:rsidRPr="005009C8" w:rsidRDefault="00494029" w:rsidP="00494029">
            <w:r w:rsidRPr="005009C8">
              <w:lastRenderedPageBreak/>
              <w:t>Příloha č. 9, bod 7</w:t>
            </w:r>
          </w:p>
        </w:tc>
        <w:tc>
          <w:tcPr>
            <w:tcW w:w="1690" w:type="pct"/>
            <w:shd w:val="clear" w:color="auto" w:fill="auto"/>
          </w:tcPr>
          <w:p w14:paraId="1F386720" w14:textId="086E2B9E" w:rsidR="00494029" w:rsidRPr="005009C8" w:rsidRDefault="00494029" w:rsidP="00494029">
            <w:pPr>
              <w:pStyle w:val="l4"/>
              <w:jc w:val="both"/>
            </w:pPr>
            <w:r w:rsidRPr="005009C8">
              <w:t xml:space="preserve">7. </w:t>
            </w:r>
            <w:r w:rsidRPr="005009C8">
              <w:rPr>
                <w:u w:val="single"/>
              </w:rPr>
              <w:t>Dodávka elektřiny z pevniny pro plavidla vnitrozemské plavby musí být v souladu s požadavky podle určené normy.</w:t>
            </w:r>
          </w:p>
        </w:tc>
        <w:tc>
          <w:tcPr>
            <w:tcW w:w="645" w:type="pct"/>
            <w:shd w:val="clear" w:color="auto" w:fill="auto"/>
          </w:tcPr>
          <w:p w14:paraId="51D90752" w14:textId="194767AB" w:rsidR="00494029" w:rsidRPr="005009C8" w:rsidRDefault="00494029" w:rsidP="00494029">
            <w:r w:rsidRPr="005009C8">
              <w:t>32019R1745</w:t>
            </w:r>
          </w:p>
        </w:tc>
        <w:tc>
          <w:tcPr>
            <w:tcW w:w="624" w:type="pct"/>
            <w:shd w:val="clear" w:color="auto" w:fill="auto"/>
          </w:tcPr>
          <w:p w14:paraId="0DFAC6AF" w14:textId="6ED79BA2" w:rsidR="00494029" w:rsidRPr="005009C8" w:rsidRDefault="00494029" w:rsidP="00494029">
            <w:r w:rsidRPr="005009C8">
              <w:t>Článek 2</w:t>
            </w:r>
          </w:p>
        </w:tc>
        <w:tc>
          <w:tcPr>
            <w:tcW w:w="1518" w:type="pct"/>
            <w:shd w:val="clear" w:color="auto" w:fill="auto"/>
          </w:tcPr>
          <w:p w14:paraId="25A5496B" w14:textId="77777777" w:rsidR="00494029" w:rsidRPr="005009C8" w:rsidRDefault="00494029" w:rsidP="00494029">
            <w:pPr>
              <w:jc w:val="both"/>
            </w:pPr>
            <w:r w:rsidRPr="005009C8">
              <w:t>Dodávka elektřiny z pevniny pro plavidla vnitrozemské plavby</w:t>
            </w:r>
          </w:p>
          <w:p w14:paraId="50FE6610" w14:textId="77777777" w:rsidR="00494029" w:rsidRPr="005009C8" w:rsidRDefault="00494029" w:rsidP="00494029">
            <w:pPr>
              <w:jc w:val="both"/>
            </w:pPr>
          </w:p>
          <w:p w14:paraId="4A9E45A2" w14:textId="77777777" w:rsidR="00494029" w:rsidRPr="005009C8" w:rsidRDefault="00494029" w:rsidP="00494029">
            <w:pPr>
              <w:jc w:val="both"/>
            </w:pPr>
            <w:r w:rsidRPr="005009C8">
              <w:t>Pro dodávky elektřiny z pevniny pro plavidla vnitrozemské plavby, uvedené v bodě 1.8 přílohy II směrnice 2014/94/EU, platí následující technická specifikace:</w:t>
            </w:r>
          </w:p>
          <w:p w14:paraId="34E23F2E" w14:textId="77777777" w:rsidR="00494029" w:rsidRPr="005009C8" w:rsidRDefault="00494029" w:rsidP="00494029">
            <w:pPr>
              <w:jc w:val="both"/>
            </w:pPr>
          </w:p>
          <w:p w14:paraId="68A4DEA5" w14:textId="669E8DB1" w:rsidR="00494029" w:rsidRPr="005009C8" w:rsidRDefault="00494029" w:rsidP="00494029">
            <w:pPr>
              <w:jc w:val="both"/>
            </w:pPr>
            <w:r w:rsidRPr="005009C8">
              <w:t>Dodávky elektřiny z pevniny pro plavidla vnitrozemské plavby musí v závislosti na požadavcích na energii vyhovovat normě EN 15869-2 nebo normě EN 16840.</w:t>
            </w:r>
          </w:p>
        </w:tc>
      </w:tr>
      <w:tr w:rsidR="00494029" w:rsidRPr="005009C8" w14:paraId="78E7529B" w14:textId="77777777" w:rsidTr="00CE3F49">
        <w:tc>
          <w:tcPr>
            <w:tcW w:w="523" w:type="pct"/>
            <w:vMerge w:val="restart"/>
            <w:shd w:val="clear" w:color="auto" w:fill="auto"/>
          </w:tcPr>
          <w:p w14:paraId="7EC82776" w14:textId="3904E56D" w:rsidR="00494029" w:rsidRPr="005009C8" w:rsidRDefault="00494029" w:rsidP="00494029">
            <w:r w:rsidRPr="005009C8">
              <w:lastRenderedPageBreak/>
              <w:t>Příloha č. 9, bod 8</w:t>
            </w:r>
          </w:p>
        </w:tc>
        <w:tc>
          <w:tcPr>
            <w:tcW w:w="1690" w:type="pct"/>
            <w:vMerge w:val="restart"/>
            <w:shd w:val="clear" w:color="auto" w:fill="auto"/>
          </w:tcPr>
          <w:p w14:paraId="5F9ECB3B" w14:textId="2D7BFD5A" w:rsidR="00494029" w:rsidRPr="005009C8" w:rsidRDefault="00494029" w:rsidP="00494029">
            <w:pPr>
              <w:pStyle w:val="l4"/>
              <w:jc w:val="both"/>
            </w:pPr>
            <w:r w:rsidRPr="005009C8">
              <w:t xml:space="preserve">8. </w:t>
            </w:r>
            <w:r w:rsidR="0082178B" w:rsidRPr="005009C8">
              <w:rPr>
                <w:u w:val="single"/>
              </w:rPr>
              <w:t>Venkovní vodíkové čerpací stanice vydávající plynný vodík používaný jako palivo v motorových vozidlech musí splňovat technické specifikace pro dodávky plynného vodíku jako paliva. Požadavky se považují za splněné, jsou-li naplněny jejich parametry podle určené normy.</w:t>
            </w:r>
          </w:p>
        </w:tc>
        <w:tc>
          <w:tcPr>
            <w:tcW w:w="645" w:type="pct"/>
            <w:shd w:val="clear" w:color="auto" w:fill="auto"/>
          </w:tcPr>
          <w:p w14:paraId="69E78FE4" w14:textId="1B55BA41" w:rsidR="00494029" w:rsidRPr="005009C8" w:rsidRDefault="00494029" w:rsidP="00494029">
            <w:r w:rsidRPr="005009C8">
              <w:t>32019R1745</w:t>
            </w:r>
          </w:p>
        </w:tc>
        <w:tc>
          <w:tcPr>
            <w:tcW w:w="624" w:type="pct"/>
            <w:shd w:val="clear" w:color="auto" w:fill="auto"/>
          </w:tcPr>
          <w:p w14:paraId="73880886" w14:textId="1D31EEFB" w:rsidR="00494029" w:rsidRPr="005009C8" w:rsidRDefault="00494029" w:rsidP="00494029">
            <w:r w:rsidRPr="005009C8">
              <w:t>Článek 6 bod 1</w:t>
            </w:r>
          </w:p>
        </w:tc>
        <w:tc>
          <w:tcPr>
            <w:tcW w:w="1518" w:type="pct"/>
            <w:shd w:val="clear" w:color="auto" w:fill="auto"/>
          </w:tcPr>
          <w:p w14:paraId="5FE5337B" w14:textId="77777777" w:rsidR="00494029" w:rsidRPr="005009C8" w:rsidRDefault="00494029" w:rsidP="00494029">
            <w:pPr>
              <w:jc w:val="both"/>
            </w:pPr>
            <w:r w:rsidRPr="005009C8">
              <w:t>Příloha II směrnice 2014/94/EU se mění takto:</w:t>
            </w:r>
          </w:p>
          <w:p w14:paraId="76F4D969" w14:textId="77777777" w:rsidR="00494029" w:rsidRPr="005009C8" w:rsidRDefault="00494029" w:rsidP="00494029">
            <w:pPr>
              <w:jc w:val="both"/>
            </w:pPr>
          </w:p>
          <w:p w14:paraId="2A458848" w14:textId="77777777" w:rsidR="00494029" w:rsidRPr="005009C8" w:rsidRDefault="00494029" w:rsidP="00494029">
            <w:pPr>
              <w:jc w:val="both"/>
            </w:pPr>
            <w:r w:rsidRPr="005009C8">
              <w:t>(1) bod 2.1 se nahrazuje tímto:</w:t>
            </w:r>
          </w:p>
          <w:p w14:paraId="488A04CD" w14:textId="77777777" w:rsidR="00494029" w:rsidRPr="005009C8" w:rsidRDefault="00494029" w:rsidP="00494029">
            <w:pPr>
              <w:jc w:val="both"/>
            </w:pPr>
          </w:p>
          <w:p w14:paraId="44BBEFB2" w14:textId="71E713B9" w:rsidR="00494029" w:rsidRPr="005009C8" w:rsidRDefault="00494029" w:rsidP="00494029">
            <w:pPr>
              <w:jc w:val="both"/>
            </w:pPr>
            <w:r w:rsidRPr="005009C8">
              <w:t>„2. 1 Venkovní vodíkové plnicí stanice vydávající plynný vodík používaný jako palivo v motorových vozidlech musí splňovat požadavky na interoperabilitu popsané v normě EN 17127 „Venkovní výdejní vodíkové čerpací stanice na plynný vodík s plnicími protokoly“.“;</w:t>
            </w:r>
          </w:p>
        </w:tc>
      </w:tr>
      <w:tr w:rsidR="00494029" w:rsidRPr="005009C8" w14:paraId="65328282" w14:textId="77777777" w:rsidTr="00CE3F49">
        <w:tc>
          <w:tcPr>
            <w:tcW w:w="523" w:type="pct"/>
            <w:vMerge/>
            <w:shd w:val="clear" w:color="auto" w:fill="auto"/>
          </w:tcPr>
          <w:p w14:paraId="00C9E127" w14:textId="77777777" w:rsidR="00494029" w:rsidRPr="005009C8" w:rsidRDefault="00494029" w:rsidP="00494029">
            <w:pPr>
              <w:rPr>
                <w:sz w:val="18"/>
                <w:szCs w:val="18"/>
              </w:rPr>
            </w:pPr>
          </w:p>
        </w:tc>
        <w:tc>
          <w:tcPr>
            <w:tcW w:w="1690" w:type="pct"/>
            <w:vMerge/>
            <w:shd w:val="clear" w:color="auto" w:fill="auto"/>
          </w:tcPr>
          <w:p w14:paraId="5BCF4798" w14:textId="77777777" w:rsidR="00494029" w:rsidRPr="005009C8" w:rsidRDefault="00494029" w:rsidP="00494029">
            <w:pPr>
              <w:pStyle w:val="l4"/>
              <w:ind w:firstLine="708"/>
              <w:jc w:val="both"/>
              <w:rPr>
                <w:sz w:val="18"/>
                <w:szCs w:val="18"/>
              </w:rPr>
            </w:pPr>
          </w:p>
        </w:tc>
        <w:tc>
          <w:tcPr>
            <w:tcW w:w="645" w:type="pct"/>
            <w:vMerge w:val="restart"/>
            <w:shd w:val="clear" w:color="auto" w:fill="auto"/>
          </w:tcPr>
          <w:p w14:paraId="39FA756D" w14:textId="0FED7912" w:rsidR="00494029" w:rsidRPr="005009C8" w:rsidRDefault="00494029" w:rsidP="00494029">
            <w:r w:rsidRPr="005009C8">
              <w:t>32014L0094</w:t>
            </w:r>
          </w:p>
        </w:tc>
        <w:tc>
          <w:tcPr>
            <w:tcW w:w="624" w:type="pct"/>
            <w:shd w:val="clear" w:color="auto" w:fill="auto"/>
          </w:tcPr>
          <w:p w14:paraId="5877A86B" w14:textId="176BCA77" w:rsidR="00494029" w:rsidRPr="005009C8" w:rsidRDefault="00494029" w:rsidP="00494029">
            <w:r w:rsidRPr="005009C8">
              <w:t>Článek 5, odstavec 2</w:t>
            </w:r>
          </w:p>
        </w:tc>
        <w:tc>
          <w:tcPr>
            <w:tcW w:w="1518" w:type="pct"/>
            <w:shd w:val="clear" w:color="auto" w:fill="auto"/>
          </w:tcPr>
          <w:p w14:paraId="0184F834" w14:textId="7B0CEB6C" w:rsidR="00494029" w:rsidRPr="005009C8" w:rsidRDefault="00494029" w:rsidP="00494029">
            <w:pPr>
              <w:jc w:val="both"/>
            </w:pPr>
            <w:r w:rsidRPr="005009C8">
              <w:t>Členské státy zajistí, aby veřejně přístupné vodíkové plnicí stanice zavedené nebo obnovené od 18. listopadu 2017 splňovaly technické specifikace stanovené v bodě 2 přílohy II.</w:t>
            </w:r>
          </w:p>
        </w:tc>
      </w:tr>
      <w:tr w:rsidR="00494029" w:rsidRPr="005009C8" w14:paraId="2853ED70" w14:textId="77777777" w:rsidTr="00CE3F49">
        <w:tc>
          <w:tcPr>
            <w:tcW w:w="523" w:type="pct"/>
            <w:vMerge/>
            <w:shd w:val="clear" w:color="auto" w:fill="auto"/>
          </w:tcPr>
          <w:p w14:paraId="4869B2EE" w14:textId="77777777" w:rsidR="00494029" w:rsidRPr="005009C8" w:rsidRDefault="00494029" w:rsidP="00494029">
            <w:pPr>
              <w:rPr>
                <w:sz w:val="18"/>
                <w:szCs w:val="18"/>
              </w:rPr>
            </w:pPr>
          </w:p>
        </w:tc>
        <w:tc>
          <w:tcPr>
            <w:tcW w:w="1690" w:type="pct"/>
            <w:vMerge/>
            <w:shd w:val="clear" w:color="auto" w:fill="auto"/>
          </w:tcPr>
          <w:p w14:paraId="1A0224F0" w14:textId="77777777" w:rsidR="00494029" w:rsidRPr="005009C8" w:rsidRDefault="00494029" w:rsidP="00494029">
            <w:pPr>
              <w:pStyle w:val="l4"/>
              <w:ind w:firstLine="708"/>
              <w:jc w:val="both"/>
              <w:rPr>
                <w:sz w:val="18"/>
                <w:szCs w:val="18"/>
              </w:rPr>
            </w:pPr>
          </w:p>
        </w:tc>
        <w:tc>
          <w:tcPr>
            <w:tcW w:w="645" w:type="pct"/>
            <w:vMerge/>
            <w:shd w:val="clear" w:color="auto" w:fill="auto"/>
          </w:tcPr>
          <w:p w14:paraId="5F4FC1CF" w14:textId="5C15E8DB" w:rsidR="00494029" w:rsidRPr="005009C8" w:rsidRDefault="00494029" w:rsidP="00494029"/>
        </w:tc>
        <w:tc>
          <w:tcPr>
            <w:tcW w:w="624" w:type="pct"/>
            <w:shd w:val="clear" w:color="auto" w:fill="auto"/>
          </w:tcPr>
          <w:p w14:paraId="11CB0C00" w14:textId="4F4FED0D" w:rsidR="00494029" w:rsidRPr="005009C8" w:rsidRDefault="00494029" w:rsidP="00494029">
            <w:r w:rsidRPr="005009C8">
              <w:t>Příloha II, odst. 2, bod 2.1</w:t>
            </w:r>
          </w:p>
        </w:tc>
        <w:tc>
          <w:tcPr>
            <w:tcW w:w="1518" w:type="pct"/>
            <w:shd w:val="clear" w:color="auto" w:fill="auto"/>
          </w:tcPr>
          <w:p w14:paraId="0B083190" w14:textId="77777777" w:rsidR="00494029" w:rsidRPr="005009C8" w:rsidRDefault="00494029" w:rsidP="00494029">
            <w:pPr>
              <w:jc w:val="both"/>
            </w:pPr>
            <w:r w:rsidRPr="005009C8">
              <w:t xml:space="preserve">2. Technické specifikace pro vodíkové plnicí stanice pro motorová vozidla </w:t>
            </w:r>
          </w:p>
          <w:p w14:paraId="546227E5" w14:textId="77777777" w:rsidR="00494029" w:rsidRPr="005009C8" w:rsidRDefault="00494029" w:rsidP="00494029">
            <w:pPr>
              <w:jc w:val="both"/>
            </w:pPr>
          </w:p>
          <w:p w14:paraId="359821C2" w14:textId="54A15A13" w:rsidR="00494029" w:rsidRPr="005009C8" w:rsidRDefault="00494029" w:rsidP="00494029">
            <w:pPr>
              <w:jc w:val="both"/>
            </w:pPr>
            <w:r w:rsidRPr="005009C8">
              <w:t xml:space="preserve"> 2.1 Venkovní vodíkové plnicí stanice vydávající plynný vodík používaný jako palivo v motorových vozidlech musí splňovat technické specifikace normy </w:t>
            </w:r>
            <w:r w:rsidRPr="005009C8">
              <w:lastRenderedPageBreak/>
              <w:t>ISO/TS 20100 pro dodávky plynného vodíku jako paliva.</w:t>
            </w:r>
          </w:p>
        </w:tc>
      </w:tr>
      <w:tr w:rsidR="00494029" w:rsidRPr="005009C8" w14:paraId="54594E3C" w14:textId="77777777" w:rsidTr="00CE3F49">
        <w:tc>
          <w:tcPr>
            <w:tcW w:w="523" w:type="pct"/>
            <w:vMerge w:val="restart"/>
            <w:shd w:val="clear" w:color="auto" w:fill="auto"/>
          </w:tcPr>
          <w:p w14:paraId="5FA9F45C" w14:textId="69620E67" w:rsidR="00494029" w:rsidRPr="005009C8" w:rsidRDefault="00494029" w:rsidP="00494029">
            <w:r w:rsidRPr="005009C8">
              <w:lastRenderedPageBreak/>
              <w:t>Příloha č. 9, bod 9</w:t>
            </w:r>
          </w:p>
        </w:tc>
        <w:tc>
          <w:tcPr>
            <w:tcW w:w="1690" w:type="pct"/>
            <w:vMerge w:val="restart"/>
            <w:shd w:val="clear" w:color="auto" w:fill="auto"/>
          </w:tcPr>
          <w:p w14:paraId="1610623D" w14:textId="0D244A72" w:rsidR="00494029" w:rsidRPr="005009C8" w:rsidRDefault="00494029" w:rsidP="00494029">
            <w:pPr>
              <w:pStyle w:val="l4"/>
              <w:jc w:val="both"/>
            </w:pPr>
            <w:r w:rsidRPr="005009C8">
              <w:t xml:space="preserve">9. </w:t>
            </w:r>
            <w:r w:rsidR="00202057" w:rsidRPr="005009C8">
              <w:rPr>
                <w:u w:val="single"/>
              </w:rPr>
              <w:t>Vodíkové čerpací stanice vydávající plynný vodík používaný jako palivo v motorových vozidlech musí používat algoritmy plnění paliva a vybavení, které splňují příslušné specifikace pro dodávky plynného vodíku jako paliva. Požadavky se považují za splněné, jsou-li naplněny jejich parametry podle určené normy.</w:t>
            </w:r>
          </w:p>
        </w:tc>
        <w:tc>
          <w:tcPr>
            <w:tcW w:w="645" w:type="pct"/>
            <w:shd w:val="clear" w:color="auto" w:fill="auto"/>
          </w:tcPr>
          <w:p w14:paraId="0D957875" w14:textId="3D6721D0" w:rsidR="00494029" w:rsidRPr="005009C8" w:rsidRDefault="00494029" w:rsidP="00494029">
            <w:r w:rsidRPr="005009C8">
              <w:t>32019R1745</w:t>
            </w:r>
          </w:p>
        </w:tc>
        <w:tc>
          <w:tcPr>
            <w:tcW w:w="624" w:type="pct"/>
            <w:shd w:val="clear" w:color="auto" w:fill="auto"/>
          </w:tcPr>
          <w:p w14:paraId="3A3AE01E" w14:textId="75CEAAD8" w:rsidR="00494029" w:rsidRPr="005009C8" w:rsidRDefault="00494029" w:rsidP="00494029">
            <w:r w:rsidRPr="005009C8">
              <w:t>Článek 6 bod 3</w:t>
            </w:r>
          </w:p>
        </w:tc>
        <w:tc>
          <w:tcPr>
            <w:tcW w:w="1518" w:type="pct"/>
            <w:shd w:val="clear" w:color="auto" w:fill="auto"/>
          </w:tcPr>
          <w:p w14:paraId="341642E4" w14:textId="77777777" w:rsidR="00494029" w:rsidRPr="005009C8" w:rsidRDefault="00494029" w:rsidP="00494029">
            <w:pPr>
              <w:jc w:val="both"/>
            </w:pPr>
            <w:r w:rsidRPr="005009C8">
              <w:t>Příloha II směrnice 2014/94/EU se mění takto:</w:t>
            </w:r>
          </w:p>
          <w:p w14:paraId="5510FD05" w14:textId="77777777" w:rsidR="00494029" w:rsidRPr="005009C8" w:rsidRDefault="00494029" w:rsidP="00494029">
            <w:pPr>
              <w:jc w:val="both"/>
            </w:pPr>
            <w:r w:rsidRPr="005009C8">
              <w:t>…….</w:t>
            </w:r>
          </w:p>
          <w:p w14:paraId="07C77AA4" w14:textId="77777777" w:rsidR="00494029" w:rsidRPr="005009C8" w:rsidRDefault="00494029" w:rsidP="00494029">
            <w:pPr>
              <w:jc w:val="both"/>
            </w:pPr>
            <w:r w:rsidRPr="005009C8">
              <w:t>(3) bod 2.3 se nahrazuje tímto:</w:t>
            </w:r>
          </w:p>
          <w:p w14:paraId="0AB8A68B" w14:textId="77777777" w:rsidR="00494029" w:rsidRPr="005009C8" w:rsidRDefault="00494029" w:rsidP="00494029">
            <w:pPr>
              <w:jc w:val="both"/>
            </w:pPr>
          </w:p>
          <w:p w14:paraId="7FB4C0E7" w14:textId="68D9E87A" w:rsidR="00494029" w:rsidRPr="005009C8" w:rsidRDefault="00494029" w:rsidP="00494029">
            <w:pPr>
              <w:jc w:val="both"/>
            </w:pPr>
            <w:r w:rsidRPr="005009C8">
              <w:t>„2.3 Algoritmus plnění paliva musí splňovat požadavky normy EN 17127 „Venkovní výdejní vodíkové čerpací stanice na plynný vodík s plnicími protokoly“.“;</w:t>
            </w:r>
          </w:p>
        </w:tc>
      </w:tr>
      <w:tr w:rsidR="00494029" w:rsidRPr="005009C8" w14:paraId="501B616E" w14:textId="77777777" w:rsidTr="00CE3F49">
        <w:tc>
          <w:tcPr>
            <w:tcW w:w="523" w:type="pct"/>
            <w:vMerge/>
            <w:shd w:val="clear" w:color="auto" w:fill="auto"/>
          </w:tcPr>
          <w:p w14:paraId="6FDA9BDB" w14:textId="77777777" w:rsidR="00494029" w:rsidRPr="005009C8" w:rsidRDefault="00494029" w:rsidP="00494029">
            <w:pPr>
              <w:rPr>
                <w:sz w:val="18"/>
                <w:szCs w:val="18"/>
              </w:rPr>
            </w:pPr>
          </w:p>
        </w:tc>
        <w:tc>
          <w:tcPr>
            <w:tcW w:w="1690" w:type="pct"/>
            <w:vMerge/>
            <w:shd w:val="clear" w:color="auto" w:fill="auto"/>
          </w:tcPr>
          <w:p w14:paraId="309A22DC" w14:textId="77777777" w:rsidR="00494029" w:rsidRPr="005009C8" w:rsidRDefault="00494029" w:rsidP="00494029">
            <w:pPr>
              <w:pStyle w:val="l4"/>
              <w:ind w:firstLine="708"/>
              <w:jc w:val="both"/>
              <w:rPr>
                <w:sz w:val="18"/>
                <w:szCs w:val="18"/>
              </w:rPr>
            </w:pPr>
          </w:p>
        </w:tc>
        <w:tc>
          <w:tcPr>
            <w:tcW w:w="645" w:type="pct"/>
            <w:vMerge w:val="restart"/>
            <w:shd w:val="clear" w:color="auto" w:fill="auto"/>
          </w:tcPr>
          <w:p w14:paraId="243826F8" w14:textId="6CACF977" w:rsidR="00494029" w:rsidRPr="005009C8" w:rsidRDefault="00494029" w:rsidP="00494029">
            <w:r w:rsidRPr="005009C8">
              <w:t>32014L0094</w:t>
            </w:r>
          </w:p>
        </w:tc>
        <w:tc>
          <w:tcPr>
            <w:tcW w:w="624" w:type="pct"/>
            <w:shd w:val="clear" w:color="auto" w:fill="auto"/>
          </w:tcPr>
          <w:p w14:paraId="193BB1CB" w14:textId="60DC6AB1" w:rsidR="00494029" w:rsidRPr="005009C8" w:rsidRDefault="00494029" w:rsidP="00494029">
            <w:r w:rsidRPr="005009C8">
              <w:t>Článek 5, odstavec 2</w:t>
            </w:r>
          </w:p>
        </w:tc>
        <w:tc>
          <w:tcPr>
            <w:tcW w:w="1518" w:type="pct"/>
            <w:shd w:val="clear" w:color="auto" w:fill="auto"/>
          </w:tcPr>
          <w:p w14:paraId="222066FB" w14:textId="38D40DDF" w:rsidR="00494029" w:rsidRPr="005009C8" w:rsidRDefault="00494029" w:rsidP="00494029">
            <w:pPr>
              <w:jc w:val="both"/>
            </w:pPr>
            <w:r w:rsidRPr="005009C8">
              <w:t>Členské státy zajistí, aby veřejně přístupné vodíkové plnicí stanice zavedené nebo obnovené od 18. listopadu 2017 splňovaly technické specifikace stanovené v bodě 2 přílohy II.</w:t>
            </w:r>
          </w:p>
        </w:tc>
      </w:tr>
      <w:tr w:rsidR="00494029" w:rsidRPr="005009C8" w14:paraId="6ACB2A3A" w14:textId="77777777" w:rsidTr="00CE3F49">
        <w:tc>
          <w:tcPr>
            <w:tcW w:w="523" w:type="pct"/>
            <w:vMerge/>
            <w:shd w:val="clear" w:color="auto" w:fill="auto"/>
          </w:tcPr>
          <w:p w14:paraId="026C76A8" w14:textId="77777777" w:rsidR="00494029" w:rsidRPr="005009C8" w:rsidRDefault="00494029" w:rsidP="00494029">
            <w:pPr>
              <w:rPr>
                <w:sz w:val="18"/>
                <w:szCs w:val="18"/>
              </w:rPr>
            </w:pPr>
          </w:p>
        </w:tc>
        <w:tc>
          <w:tcPr>
            <w:tcW w:w="1690" w:type="pct"/>
            <w:vMerge/>
            <w:shd w:val="clear" w:color="auto" w:fill="auto"/>
          </w:tcPr>
          <w:p w14:paraId="1610CE8B" w14:textId="77777777" w:rsidR="00494029" w:rsidRPr="005009C8" w:rsidRDefault="00494029" w:rsidP="00494029">
            <w:pPr>
              <w:pStyle w:val="l4"/>
              <w:ind w:firstLine="708"/>
              <w:jc w:val="both"/>
              <w:rPr>
                <w:sz w:val="18"/>
                <w:szCs w:val="18"/>
              </w:rPr>
            </w:pPr>
          </w:p>
        </w:tc>
        <w:tc>
          <w:tcPr>
            <w:tcW w:w="645" w:type="pct"/>
            <w:vMerge/>
            <w:shd w:val="clear" w:color="auto" w:fill="auto"/>
          </w:tcPr>
          <w:p w14:paraId="1DD0773A" w14:textId="2D241450" w:rsidR="00494029" w:rsidRPr="005009C8" w:rsidRDefault="00494029" w:rsidP="00494029"/>
        </w:tc>
        <w:tc>
          <w:tcPr>
            <w:tcW w:w="624" w:type="pct"/>
            <w:shd w:val="clear" w:color="auto" w:fill="auto"/>
          </w:tcPr>
          <w:p w14:paraId="617AB68C" w14:textId="5E0B18A9" w:rsidR="00494029" w:rsidRPr="005009C8" w:rsidRDefault="00494029" w:rsidP="00494029">
            <w:r w:rsidRPr="005009C8">
              <w:t>Příloha II, odst. 2, bod 2.3</w:t>
            </w:r>
          </w:p>
        </w:tc>
        <w:tc>
          <w:tcPr>
            <w:tcW w:w="1518" w:type="pct"/>
            <w:shd w:val="clear" w:color="auto" w:fill="auto"/>
          </w:tcPr>
          <w:p w14:paraId="3BBA07D4" w14:textId="1E651F9A" w:rsidR="00494029" w:rsidRPr="005009C8" w:rsidRDefault="00494029" w:rsidP="00494029">
            <w:pPr>
              <w:jc w:val="both"/>
            </w:pPr>
            <w:r w:rsidRPr="005009C8">
              <w:t>2.3 Vodíkové plnicí stanice musí používat algoritmy plnění paliva a vybavení, které splňují příslušné specifikace normy ISO/TS 20100 pro dodávky plynného vodíku jako paliva.</w:t>
            </w:r>
          </w:p>
        </w:tc>
      </w:tr>
      <w:tr w:rsidR="00494029" w:rsidRPr="005009C8" w14:paraId="199109A7" w14:textId="77777777" w:rsidTr="00CE3F49">
        <w:tc>
          <w:tcPr>
            <w:tcW w:w="523" w:type="pct"/>
            <w:vMerge w:val="restart"/>
            <w:shd w:val="clear" w:color="auto" w:fill="auto"/>
          </w:tcPr>
          <w:p w14:paraId="011B386E" w14:textId="51AB3CB5" w:rsidR="00494029" w:rsidRPr="005009C8" w:rsidRDefault="00494029" w:rsidP="00494029">
            <w:r w:rsidRPr="005009C8">
              <w:t>Příloha č. 9, bod 10</w:t>
            </w:r>
          </w:p>
        </w:tc>
        <w:tc>
          <w:tcPr>
            <w:tcW w:w="1690" w:type="pct"/>
            <w:vMerge w:val="restart"/>
            <w:shd w:val="clear" w:color="auto" w:fill="auto"/>
          </w:tcPr>
          <w:p w14:paraId="0C508544" w14:textId="0B57BB71" w:rsidR="00494029" w:rsidRPr="005009C8" w:rsidRDefault="00494029" w:rsidP="00494029">
            <w:pPr>
              <w:pStyle w:val="l4"/>
              <w:jc w:val="both"/>
            </w:pPr>
            <w:r w:rsidRPr="005009C8">
              <w:t xml:space="preserve">10. </w:t>
            </w:r>
            <w:r w:rsidR="00202057" w:rsidRPr="005009C8">
              <w:rPr>
                <w:u w:val="single"/>
              </w:rPr>
              <w:t>Přípojky pro motorová vozidla, kromě motocyklů, pro účely čerpání plynného vodíku musí splňovat technické specifikace pro propojovací zařízení pro čerpání plynného vodíku do motorových vozidel. Požadavky se považují za splněné, jsou-li naplněny jejich parametry podle určené normy.</w:t>
            </w:r>
          </w:p>
        </w:tc>
        <w:tc>
          <w:tcPr>
            <w:tcW w:w="645" w:type="pct"/>
            <w:shd w:val="clear" w:color="auto" w:fill="auto"/>
          </w:tcPr>
          <w:p w14:paraId="0815491D" w14:textId="0420626D" w:rsidR="00494029" w:rsidRPr="005009C8" w:rsidRDefault="00494029" w:rsidP="00494029">
            <w:r w:rsidRPr="005009C8">
              <w:t>32019R1745</w:t>
            </w:r>
          </w:p>
        </w:tc>
        <w:tc>
          <w:tcPr>
            <w:tcW w:w="624" w:type="pct"/>
            <w:shd w:val="clear" w:color="auto" w:fill="auto"/>
          </w:tcPr>
          <w:p w14:paraId="33A2A07C" w14:textId="4297BA84" w:rsidR="00494029" w:rsidRPr="005009C8" w:rsidRDefault="00494029" w:rsidP="00494029">
            <w:r w:rsidRPr="005009C8">
              <w:t>Článek 6 bod 4</w:t>
            </w:r>
          </w:p>
        </w:tc>
        <w:tc>
          <w:tcPr>
            <w:tcW w:w="1518" w:type="pct"/>
            <w:shd w:val="clear" w:color="auto" w:fill="auto"/>
          </w:tcPr>
          <w:p w14:paraId="26B02049" w14:textId="77777777" w:rsidR="00494029" w:rsidRPr="005009C8" w:rsidRDefault="00494029" w:rsidP="00494029">
            <w:pPr>
              <w:jc w:val="both"/>
            </w:pPr>
            <w:r w:rsidRPr="005009C8">
              <w:t>Příloha II směrnice 2014/94/EU se mění takto:</w:t>
            </w:r>
          </w:p>
          <w:p w14:paraId="4DD34F29" w14:textId="77777777" w:rsidR="00494029" w:rsidRPr="005009C8" w:rsidRDefault="00494029" w:rsidP="00494029">
            <w:pPr>
              <w:jc w:val="both"/>
            </w:pPr>
            <w:r w:rsidRPr="005009C8">
              <w:t>…….</w:t>
            </w:r>
          </w:p>
          <w:p w14:paraId="3E90AC0A" w14:textId="77777777" w:rsidR="00494029" w:rsidRPr="005009C8" w:rsidRDefault="00494029" w:rsidP="00494029">
            <w:pPr>
              <w:jc w:val="both"/>
            </w:pPr>
            <w:r w:rsidRPr="005009C8">
              <w:t>(4) bod 2.4 se nahrazuje tímto:</w:t>
            </w:r>
          </w:p>
          <w:p w14:paraId="4F24D4CC" w14:textId="77777777" w:rsidR="00494029" w:rsidRPr="005009C8" w:rsidRDefault="00494029" w:rsidP="00494029">
            <w:pPr>
              <w:jc w:val="both"/>
            </w:pPr>
          </w:p>
          <w:p w14:paraId="00F3870F" w14:textId="530475CB" w:rsidR="00494029" w:rsidRPr="005009C8" w:rsidRDefault="00494029" w:rsidP="00494029">
            <w:pPr>
              <w:jc w:val="both"/>
            </w:pPr>
            <w:r w:rsidRPr="005009C8">
              <w:t xml:space="preserve">„2.4 Jakmile se uzavřou postupy certifikace přípojek podle normy EN ISO 17268, musí přípojky pro motorová </w:t>
            </w:r>
            <w:r w:rsidRPr="005009C8">
              <w:lastRenderedPageBreak/>
              <w:t>vozidla (kromě motocyklů) pro doplňování plynného vodíku vyhovovat normě EN ISO 17268 „Plynný vodík – Plnicí rozhraní pozemních vozidel“.“;</w:t>
            </w:r>
          </w:p>
        </w:tc>
      </w:tr>
      <w:tr w:rsidR="00494029" w:rsidRPr="005009C8" w14:paraId="74C10A09" w14:textId="77777777" w:rsidTr="00CE3F49">
        <w:tc>
          <w:tcPr>
            <w:tcW w:w="523" w:type="pct"/>
            <w:vMerge/>
            <w:shd w:val="clear" w:color="auto" w:fill="auto"/>
          </w:tcPr>
          <w:p w14:paraId="726FE93B" w14:textId="77777777" w:rsidR="00494029" w:rsidRPr="005009C8" w:rsidRDefault="00494029" w:rsidP="00494029"/>
        </w:tc>
        <w:tc>
          <w:tcPr>
            <w:tcW w:w="1690" w:type="pct"/>
            <w:vMerge/>
            <w:shd w:val="clear" w:color="auto" w:fill="auto"/>
          </w:tcPr>
          <w:p w14:paraId="4A536808" w14:textId="77777777" w:rsidR="00494029" w:rsidRPr="005009C8" w:rsidRDefault="00494029" w:rsidP="00494029">
            <w:pPr>
              <w:pStyle w:val="l4"/>
              <w:ind w:firstLine="708"/>
              <w:jc w:val="both"/>
            </w:pPr>
          </w:p>
        </w:tc>
        <w:tc>
          <w:tcPr>
            <w:tcW w:w="645" w:type="pct"/>
            <w:vMerge w:val="restart"/>
            <w:shd w:val="clear" w:color="auto" w:fill="auto"/>
          </w:tcPr>
          <w:p w14:paraId="7CCACE73" w14:textId="3CACF6DF" w:rsidR="00494029" w:rsidRPr="005009C8" w:rsidRDefault="00494029" w:rsidP="00494029">
            <w:r w:rsidRPr="005009C8">
              <w:t>32014L0094</w:t>
            </w:r>
          </w:p>
        </w:tc>
        <w:tc>
          <w:tcPr>
            <w:tcW w:w="624" w:type="pct"/>
            <w:shd w:val="clear" w:color="auto" w:fill="auto"/>
          </w:tcPr>
          <w:p w14:paraId="0B5EFFED" w14:textId="788B1495" w:rsidR="00494029" w:rsidRPr="005009C8" w:rsidRDefault="00494029" w:rsidP="00494029">
            <w:r w:rsidRPr="005009C8">
              <w:t>Článek 5, odstavec 2</w:t>
            </w:r>
          </w:p>
        </w:tc>
        <w:tc>
          <w:tcPr>
            <w:tcW w:w="1518" w:type="pct"/>
            <w:shd w:val="clear" w:color="auto" w:fill="auto"/>
          </w:tcPr>
          <w:p w14:paraId="568CDB2C" w14:textId="776D7333" w:rsidR="00494029" w:rsidRPr="005009C8" w:rsidRDefault="00494029" w:rsidP="00494029">
            <w:pPr>
              <w:jc w:val="both"/>
            </w:pPr>
            <w:r w:rsidRPr="005009C8">
              <w:t>Členské státy zajistí, aby veřejně přístupné vodíkové plnicí stanice zavedené nebo obnovené od 18. listopadu 2017 splňovaly technické specifikace stanovené v bodě 2 přílohy II.</w:t>
            </w:r>
          </w:p>
        </w:tc>
      </w:tr>
      <w:tr w:rsidR="00494029" w:rsidRPr="005009C8" w14:paraId="79686662" w14:textId="77777777" w:rsidTr="00CE3F49">
        <w:tc>
          <w:tcPr>
            <w:tcW w:w="523" w:type="pct"/>
            <w:vMerge/>
            <w:shd w:val="clear" w:color="auto" w:fill="auto"/>
          </w:tcPr>
          <w:p w14:paraId="341A6431" w14:textId="77777777" w:rsidR="00494029" w:rsidRPr="005009C8" w:rsidRDefault="00494029" w:rsidP="00494029">
            <w:pPr>
              <w:rPr>
                <w:sz w:val="18"/>
                <w:szCs w:val="18"/>
              </w:rPr>
            </w:pPr>
          </w:p>
        </w:tc>
        <w:tc>
          <w:tcPr>
            <w:tcW w:w="1690" w:type="pct"/>
            <w:vMerge/>
            <w:shd w:val="clear" w:color="auto" w:fill="auto"/>
          </w:tcPr>
          <w:p w14:paraId="738287A9" w14:textId="77777777" w:rsidR="00494029" w:rsidRPr="005009C8" w:rsidRDefault="00494029" w:rsidP="00494029">
            <w:pPr>
              <w:pStyle w:val="l4"/>
              <w:ind w:firstLine="708"/>
              <w:jc w:val="both"/>
              <w:rPr>
                <w:sz w:val="18"/>
                <w:szCs w:val="18"/>
              </w:rPr>
            </w:pPr>
          </w:p>
        </w:tc>
        <w:tc>
          <w:tcPr>
            <w:tcW w:w="645" w:type="pct"/>
            <w:vMerge/>
            <w:shd w:val="clear" w:color="auto" w:fill="auto"/>
          </w:tcPr>
          <w:p w14:paraId="719B52C1" w14:textId="6641988A" w:rsidR="00494029" w:rsidRPr="005009C8" w:rsidRDefault="00494029" w:rsidP="00494029"/>
        </w:tc>
        <w:tc>
          <w:tcPr>
            <w:tcW w:w="624" w:type="pct"/>
            <w:shd w:val="clear" w:color="auto" w:fill="auto"/>
          </w:tcPr>
          <w:p w14:paraId="6EC2B9C2" w14:textId="272744F4" w:rsidR="00494029" w:rsidRPr="005009C8" w:rsidRDefault="00494029" w:rsidP="00494029">
            <w:r w:rsidRPr="005009C8">
              <w:t>Příloha II, odst. 2, bod 2.4</w:t>
            </w:r>
          </w:p>
        </w:tc>
        <w:tc>
          <w:tcPr>
            <w:tcW w:w="1518" w:type="pct"/>
            <w:shd w:val="clear" w:color="auto" w:fill="auto"/>
          </w:tcPr>
          <w:p w14:paraId="3F5D4D39" w14:textId="23C2574C" w:rsidR="00494029" w:rsidRPr="005009C8" w:rsidRDefault="00494029" w:rsidP="00494029">
            <w:pPr>
              <w:jc w:val="both"/>
            </w:pPr>
            <w:r w:rsidRPr="005009C8">
              <w:t>2.4 Přípojky pro motorová vozidla pro účely plnění plynného vodíku musí splňovat normu ISO 17268 pro propojovací zařízení pro plnění plynného vodíku do motorových vozidel.</w:t>
            </w:r>
          </w:p>
        </w:tc>
      </w:tr>
      <w:tr w:rsidR="00494029" w:rsidRPr="005009C8" w14:paraId="6AA0B9F2" w14:textId="77777777" w:rsidTr="00CE3F49">
        <w:tc>
          <w:tcPr>
            <w:tcW w:w="523" w:type="pct"/>
            <w:shd w:val="clear" w:color="auto" w:fill="auto"/>
          </w:tcPr>
          <w:p w14:paraId="6C2C1A87" w14:textId="1AFFFA9F" w:rsidR="00494029" w:rsidRPr="005009C8" w:rsidRDefault="00494029" w:rsidP="00494029">
            <w:r w:rsidRPr="005009C8">
              <w:t>Příloha č. 9, bod 11</w:t>
            </w:r>
          </w:p>
        </w:tc>
        <w:tc>
          <w:tcPr>
            <w:tcW w:w="1690" w:type="pct"/>
            <w:shd w:val="clear" w:color="auto" w:fill="auto"/>
          </w:tcPr>
          <w:p w14:paraId="7302AC58" w14:textId="2FC30CF5" w:rsidR="00494029" w:rsidRPr="005009C8" w:rsidRDefault="00494029" w:rsidP="00494029">
            <w:pPr>
              <w:pStyle w:val="l4"/>
              <w:jc w:val="both"/>
            </w:pPr>
            <w:r w:rsidRPr="005009C8">
              <w:t xml:space="preserve">11. </w:t>
            </w:r>
            <w:r w:rsidR="005C2700" w:rsidRPr="005009C8">
              <w:rPr>
                <w:u w:val="single"/>
              </w:rPr>
              <w:t>Čerpací stanice na zemní plyn vydávající stlačený zemní plyn (CNG) používaný jako palivo v motorových vozidlech musí splňovat příslušné technické specifikace stanovené pro plnicí tlak. Požadavky se považují za splněné, jsou-li naplněny jejich parametry podle určené normy</w:t>
            </w:r>
            <w:r w:rsidRPr="005009C8">
              <w:rPr>
                <w:u w:val="single"/>
              </w:rPr>
              <w:t>.</w:t>
            </w:r>
          </w:p>
        </w:tc>
        <w:tc>
          <w:tcPr>
            <w:tcW w:w="645" w:type="pct"/>
            <w:shd w:val="clear" w:color="auto" w:fill="auto"/>
          </w:tcPr>
          <w:p w14:paraId="489A9D2F" w14:textId="23D99A0C" w:rsidR="00494029" w:rsidRPr="005009C8" w:rsidRDefault="00494029" w:rsidP="00494029">
            <w:r w:rsidRPr="005009C8">
              <w:t>32019R1745</w:t>
            </w:r>
          </w:p>
        </w:tc>
        <w:tc>
          <w:tcPr>
            <w:tcW w:w="624" w:type="pct"/>
            <w:shd w:val="clear" w:color="auto" w:fill="auto"/>
          </w:tcPr>
          <w:p w14:paraId="6E8CFF98" w14:textId="4F10C172" w:rsidR="00494029" w:rsidRPr="005009C8" w:rsidRDefault="00494029" w:rsidP="00494029">
            <w:r w:rsidRPr="005009C8">
              <w:t>Článek 3</w:t>
            </w:r>
          </w:p>
        </w:tc>
        <w:tc>
          <w:tcPr>
            <w:tcW w:w="1518" w:type="pct"/>
            <w:shd w:val="clear" w:color="auto" w:fill="auto"/>
          </w:tcPr>
          <w:p w14:paraId="330DE99B" w14:textId="77777777" w:rsidR="00494029" w:rsidRPr="005009C8" w:rsidRDefault="00494029" w:rsidP="00494029">
            <w:pPr>
              <w:jc w:val="both"/>
            </w:pPr>
            <w:r w:rsidRPr="005009C8">
              <w:t>Technické specifikace pro plnicí stanice na stlačený zemní plyn (CNG) pro motorová vozidla</w:t>
            </w:r>
          </w:p>
          <w:p w14:paraId="37C7BA7F" w14:textId="77777777" w:rsidR="00494029" w:rsidRPr="005009C8" w:rsidRDefault="00494029" w:rsidP="00494029">
            <w:pPr>
              <w:jc w:val="both"/>
            </w:pPr>
          </w:p>
          <w:p w14:paraId="044A7627" w14:textId="77777777" w:rsidR="00494029" w:rsidRPr="005009C8" w:rsidRDefault="00494029" w:rsidP="00494029">
            <w:pPr>
              <w:jc w:val="both"/>
            </w:pPr>
            <w:r w:rsidRPr="005009C8">
              <w:t>Pro plnicí stanice na stlačený zemní plyn (CNG), uvedené v bodě 3.4 přílohy II směrnice 2014/94/EU, platí následující technické specifikace:</w:t>
            </w:r>
          </w:p>
          <w:p w14:paraId="37A36BBE" w14:textId="77777777" w:rsidR="00494029" w:rsidRPr="005009C8" w:rsidRDefault="00494029" w:rsidP="00494029">
            <w:pPr>
              <w:jc w:val="both"/>
            </w:pPr>
          </w:p>
          <w:p w14:paraId="32365D29" w14:textId="13692CFF" w:rsidR="00494029" w:rsidRPr="005009C8" w:rsidRDefault="00494029" w:rsidP="00494029">
            <w:pPr>
              <w:jc w:val="both"/>
            </w:pPr>
            <w:r w:rsidRPr="005009C8">
              <w:t xml:space="preserve">Plnicí (provozní) tlak musí mít hodnotu 20,0 </w:t>
            </w:r>
            <w:proofErr w:type="spellStart"/>
            <w:r w:rsidRPr="005009C8">
              <w:t>MPa</w:t>
            </w:r>
            <w:proofErr w:type="spellEnd"/>
            <w:r w:rsidRPr="005009C8">
              <w:t xml:space="preserve"> (200 bar) při 15 °C. Maximální plnicí tlak ve výši 26,0 </w:t>
            </w:r>
            <w:proofErr w:type="spellStart"/>
            <w:r w:rsidRPr="005009C8">
              <w:t>MPa</w:t>
            </w:r>
            <w:proofErr w:type="spellEnd"/>
            <w:r w:rsidRPr="005009C8">
              <w:t xml:space="preserve"> s „vyrovnáváním teploty“ je povolen podle určení v normě EN ISO 16923 „Plnicí stanice na zemní plyn - CNG stanice pro plnění vozidel“.</w:t>
            </w:r>
          </w:p>
        </w:tc>
      </w:tr>
      <w:tr w:rsidR="00494029" w:rsidRPr="005009C8" w14:paraId="55912D2F" w14:textId="77777777" w:rsidTr="00CE3F49">
        <w:tc>
          <w:tcPr>
            <w:tcW w:w="523" w:type="pct"/>
            <w:shd w:val="clear" w:color="auto" w:fill="auto"/>
          </w:tcPr>
          <w:p w14:paraId="330A60C4" w14:textId="025350AD" w:rsidR="00494029" w:rsidRPr="005009C8" w:rsidRDefault="00494029" w:rsidP="00494029">
            <w:r w:rsidRPr="005009C8">
              <w:lastRenderedPageBreak/>
              <w:t>Příloha č. 9, bod 12</w:t>
            </w:r>
          </w:p>
        </w:tc>
        <w:tc>
          <w:tcPr>
            <w:tcW w:w="1690" w:type="pct"/>
            <w:shd w:val="clear" w:color="auto" w:fill="auto"/>
          </w:tcPr>
          <w:p w14:paraId="302F0F9A" w14:textId="225D7BEE" w:rsidR="00494029" w:rsidRPr="005009C8" w:rsidRDefault="00494029" w:rsidP="00494029">
            <w:pPr>
              <w:pStyle w:val="l4"/>
              <w:jc w:val="both"/>
            </w:pPr>
            <w:r w:rsidRPr="005009C8">
              <w:t xml:space="preserve">12. </w:t>
            </w:r>
            <w:r w:rsidR="005C2700" w:rsidRPr="005009C8">
              <w:rPr>
                <w:u w:val="single"/>
              </w:rPr>
              <w:t>Čerpací stanice na zemní plyn vydávající zkapalněný zemní plyn (LNG) používaný jako palivo v motorových vozidlech musí splňovat příslušné technické specifikace stanovené pro plnicí tlak. Požadavky se považují za splněné, jsou-li naplněny jejich parametry podle určené normy.</w:t>
            </w:r>
          </w:p>
        </w:tc>
        <w:tc>
          <w:tcPr>
            <w:tcW w:w="645" w:type="pct"/>
            <w:shd w:val="clear" w:color="auto" w:fill="auto"/>
          </w:tcPr>
          <w:p w14:paraId="18765CF7" w14:textId="0DC95682" w:rsidR="00494029" w:rsidRPr="005009C8" w:rsidRDefault="00494029" w:rsidP="00494029">
            <w:r w:rsidRPr="005009C8">
              <w:t>32019R1745</w:t>
            </w:r>
          </w:p>
        </w:tc>
        <w:tc>
          <w:tcPr>
            <w:tcW w:w="624" w:type="pct"/>
            <w:shd w:val="clear" w:color="auto" w:fill="auto"/>
          </w:tcPr>
          <w:p w14:paraId="0FD9374A" w14:textId="096AB35F" w:rsidR="00494029" w:rsidRPr="005009C8" w:rsidRDefault="00494029" w:rsidP="00494029">
            <w:r w:rsidRPr="005009C8">
              <w:t>Článek 4</w:t>
            </w:r>
          </w:p>
        </w:tc>
        <w:tc>
          <w:tcPr>
            <w:tcW w:w="1518" w:type="pct"/>
            <w:shd w:val="clear" w:color="auto" w:fill="auto"/>
          </w:tcPr>
          <w:p w14:paraId="233F14CE" w14:textId="77777777" w:rsidR="00494029" w:rsidRPr="005009C8" w:rsidRDefault="00494029" w:rsidP="00494029">
            <w:pPr>
              <w:jc w:val="both"/>
            </w:pPr>
            <w:r w:rsidRPr="005009C8">
              <w:t>Plnicí stanice na zkapalněný zemní plyn (LNG) pro motorová vozidla</w:t>
            </w:r>
          </w:p>
          <w:p w14:paraId="460DEB97" w14:textId="77777777" w:rsidR="00494029" w:rsidRPr="005009C8" w:rsidRDefault="00494029" w:rsidP="00494029">
            <w:pPr>
              <w:jc w:val="both"/>
            </w:pPr>
          </w:p>
          <w:p w14:paraId="1F13E802" w14:textId="77777777" w:rsidR="00494029" w:rsidRPr="005009C8" w:rsidRDefault="00494029" w:rsidP="00494029">
            <w:pPr>
              <w:jc w:val="both"/>
            </w:pPr>
            <w:r w:rsidRPr="005009C8">
              <w:t>Pro LNG plnicí stanice pro motorová vozidla uvedené v bodě 3.2 přílohy II směrnice 2014/94/EU platí následující technické specifikace:</w:t>
            </w:r>
          </w:p>
          <w:p w14:paraId="59B85AA2" w14:textId="77777777" w:rsidR="00494029" w:rsidRPr="005009C8" w:rsidRDefault="00494029" w:rsidP="00494029">
            <w:pPr>
              <w:jc w:val="both"/>
            </w:pPr>
          </w:p>
          <w:p w14:paraId="1079E4C0" w14:textId="77777777" w:rsidR="00494029" w:rsidRPr="005009C8" w:rsidRDefault="00494029" w:rsidP="00494029">
            <w:pPr>
              <w:jc w:val="both"/>
            </w:pPr>
            <w:r w:rsidRPr="005009C8">
              <w:t>Plnicí tlak je nižší než maximální povolený provozní tlak nádrže vozidla podle určení v normě EN ISO 16924 „Plnicí stanice na zemní plyn - LNG stanice pro plnění vozidel“.</w:t>
            </w:r>
          </w:p>
          <w:p w14:paraId="2F4962CE" w14:textId="77777777" w:rsidR="00494029" w:rsidRPr="005009C8" w:rsidRDefault="00494029" w:rsidP="00494029">
            <w:pPr>
              <w:jc w:val="both"/>
            </w:pPr>
          </w:p>
          <w:p w14:paraId="1B2AD745" w14:textId="2D60567F" w:rsidR="00494029" w:rsidRPr="005009C8" w:rsidRDefault="00494029" w:rsidP="00494029">
            <w:pPr>
              <w:jc w:val="both"/>
            </w:pPr>
            <w:r w:rsidRPr="005009C8">
              <w:t xml:space="preserve">Profil přípojky musí vyhovovat normě EN ISO 12617 „Silniční vozidla - Konektor pro doplňování zkapalněného zemního plynu -3,1 </w:t>
            </w:r>
            <w:proofErr w:type="spellStart"/>
            <w:r w:rsidRPr="005009C8">
              <w:t>MPa</w:t>
            </w:r>
            <w:proofErr w:type="spellEnd"/>
            <w:r w:rsidRPr="005009C8">
              <w:t xml:space="preserve"> konektor“.</w:t>
            </w:r>
          </w:p>
        </w:tc>
      </w:tr>
      <w:tr w:rsidR="00494029" w:rsidRPr="005009C8" w14:paraId="66A02AED" w14:textId="77777777" w:rsidTr="00CE3F49">
        <w:tc>
          <w:tcPr>
            <w:tcW w:w="523" w:type="pct"/>
            <w:shd w:val="clear" w:color="auto" w:fill="auto"/>
          </w:tcPr>
          <w:p w14:paraId="32CF9701" w14:textId="74815888" w:rsidR="00494029" w:rsidRPr="005009C8" w:rsidRDefault="00494029" w:rsidP="00494029">
            <w:r w:rsidRPr="005009C8">
              <w:t>Příloha č. 9, bod 13</w:t>
            </w:r>
          </w:p>
        </w:tc>
        <w:tc>
          <w:tcPr>
            <w:tcW w:w="1690" w:type="pct"/>
            <w:shd w:val="clear" w:color="auto" w:fill="auto"/>
          </w:tcPr>
          <w:p w14:paraId="60E0C506" w14:textId="46079E6F" w:rsidR="00494029" w:rsidRPr="005009C8" w:rsidRDefault="00494029" w:rsidP="00494029">
            <w:pPr>
              <w:pStyle w:val="l4"/>
              <w:jc w:val="both"/>
            </w:pPr>
            <w:r w:rsidRPr="005009C8">
              <w:t xml:space="preserve">13. </w:t>
            </w:r>
            <w:r w:rsidR="005C2700" w:rsidRPr="005009C8">
              <w:rPr>
                <w:u w:val="single"/>
              </w:rPr>
              <w:t>Profil přípojky pro motorová vozidla, kromě motocyklů, pro účely čerpání zkapalněného zemního plynu musí splňovat technické specifikace. Požadavky se považují za splněné, jsou-li naplněny jejich parametry podle určené normy.</w:t>
            </w:r>
          </w:p>
        </w:tc>
        <w:tc>
          <w:tcPr>
            <w:tcW w:w="645" w:type="pct"/>
            <w:shd w:val="clear" w:color="auto" w:fill="auto"/>
          </w:tcPr>
          <w:p w14:paraId="29F351D8" w14:textId="5B850CCF" w:rsidR="00494029" w:rsidRPr="005009C8" w:rsidRDefault="00494029" w:rsidP="00494029">
            <w:r w:rsidRPr="005009C8">
              <w:t>32019R1745</w:t>
            </w:r>
          </w:p>
        </w:tc>
        <w:tc>
          <w:tcPr>
            <w:tcW w:w="624" w:type="pct"/>
            <w:shd w:val="clear" w:color="auto" w:fill="auto"/>
          </w:tcPr>
          <w:p w14:paraId="76979D10" w14:textId="79644B2E" w:rsidR="00494029" w:rsidRPr="005009C8" w:rsidRDefault="00494029" w:rsidP="00494029">
            <w:r w:rsidRPr="005009C8">
              <w:t>Článek 4</w:t>
            </w:r>
          </w:p>
        </w:tc>
        <w:tc>
          <w:tcPr>
            <w:tcW w:w="1518" w:type="pct"/>
            <w:shd w:val="clear" w:color="auto" w:fill="auto"/>
          </w:tcPr>
          <w:p w14:paraId="6DF891F7" w14:textId="77777777" w:rsidR="00494029" w:rsidRPr="005009C8" w:rsidRDefault="00494029" w:rsidP="00494029">
            <w:pPr>
              <w:jc w:val="both"/>
            </w:pPr>
            <w:r w:rsidRPr="005009C8">
              <w:t>Plnicí stanice na zkapalněný zemní plyn (LNG) pro motorová vozidla</w:t>
            </w:r>
          </w:p>
          <w:p w14:paraId="74049595" w14:textId="77777777" w:rsidR="00494029" w:rsidRPr="005009C8" w:rsidRDefault="00494029" w:rsidP="00494029">
            <w:pPr>
              <w:jc w:val="both"/>
            </w:pPr>
          </w:p>
          <w:p w14:paraId="6EEB61D9" w14:textId="77777777" w:rsidR="00494029" w:rsidRPr="005009C8" w:rsidRDefault="00494029" w:rsidP="00494029">
            <w:pPr>
              <w:jc w:val="both"/>
            </w:pPr>
            <w:r w:rsidRPr="005009C8">
              <w:t>Pro LNG plnicí stanice pro motorová vozidla uvedené v bodě 3.2 přílohy II směrnice 2014/94/EU platí následující technické specifikace:</w:t>
            </w:r>
          </w:p>
          <w:p w14:paraId="5715B140" w14:textId="77777777" w:rsidR="00494029" w:rsidRPr="005009C8" w:rsidRDefault="00494029" w:rsidP="00494029">
            <w:pPr>
              <w:jc w:val="both"/>
            </w:pPr>
          </w:p>
          <w:p w14:paraId="763DC1FB" w14:textId="77777777" w:rsidR="00494029" w:rsidRPr="005009C8" w:rsidRDefault="00494029" w:rsidP="00494029">
            <w:pPr>
              <w:jc w:val="both"/>
            </w:pPr>
            <w:r w:rsidRPr="005009C8">
              <w:t xml:space="preserve">Plnicí tlak je nižší než maximální povolený provozní tlak nádrže vozidla podle určení v normě EN ISO 16924 </w:t>
            </w:r>
            <w:r w:rsidRPr="005009C8">
              <w:lastRenderedPageBreak/>
              <w:t>„Plnicí stanice na zemní plyn - LNG stanice pro plnění vozidel“.</w:t>
            </w:r>
          </w:p>
          <w:p w14:paraId="3A47C34E" w14:textId="77777777" w:rsidR="00494029" w:rsidRPr="005009C8" w:rsidRDefault="00494029" w:rsidP="00494029">
            <w:pPr>
              <w:jc w:val="both"/>
            </w:pPr>
          </w:p>
          <w:p w14:paraId="31716799" w14:textId="6E1C4A65" w:rsidR="00494029" w:rsidRPr="005009C8" w:rsidRDefault="00494029" w:rsidP="00494029">
            <w:pPr>
              <w:jc w:val="both"/>
            </w:pPr>
            <w:r w:rsidRPr="005009C8">
              <w:t xml:space="preserve">Profil přípojky musí vyhovovat normě EN ISO 12617 „Silniční vozidla - Konektor pro doplňování zkapalněného zemního plynu -3,1 </w:t>
            </w:r>
            <w:proofErr w:type="spellStart"/>
            <w:r w:rsidRPr="005009C8">
              <w:t>MPa</w:t>
            </w:r>
            <w:proofErr w:type="spellEnd"/>
            <w:r w:rsidRPr="005009C8">
              <w:t xml:space="preserve"> konektor“.</w:t>
            </w:r>
          </w:p>
        </w:tc>
      </w:tr>
      <w:tr w:rsidR="00494029" w:rsidRPr="005009C8" w14:paraId="0870A55A" w14:textId="77777777" w:rsidTr="00CE3F49">
        <w:tc>
          <w:tcPr>
            <w:tcW w:w="523" w:type="pct"/>
            <w:shd w:val="clear" w:color="auto" w:fill="auto"/>
          </w:tcPr>
          <w:p w14:paraId="299BB7D7" w14:textId="73B2D0B1" w:rsidR="00494029" w:rsidRPr="005009C8" w:rsidRDefault="00494029" w:rsidP="00494029">
            <w:r w:rsidRPr="005009C8">
              <w:lastRenderedPageBreak/>
              <w:t>Příloha č. 9, bod 14</w:t>
            </w:r>
          </w:p>
        </w:tc>
        <w:tc>
          <w:tcPr>
            <w:tcW w:w="1690" w:type="pct"/>
            <w:shd w:val="clear" w:color="auto" w:fill="auto"/>
          </w:tcPr>
          <w:p w14:paraId="55E8829A" w14:textId="349A012D" w:rsidR="00494029" w:rsidRPr="005009C8" w:rsidRDefault="00494029" w:rsidP="00494029">
            <w:pPr>
              <w:pStyle w:val="l4"/>
              <w:jc w:val="both"/>
            </w:pPr>
            <w:r w:rsidRPr="005009C8">
              <w:t xml:space="preserve">14. </w:t>
            </w:r>
            <w:r w:rsidR="005C2700" w:rsidRPr="005009C8">
              <w:rPr>
                <w:u w:val="single"/>
              </w:rPr>
              <w:t>Čerpací stanice na zemní plyn vydávající zkapalněný zemní plyn (LNG), používaný jako palivo pro plavidla vnitrozemské plavby musí výhradně pro účely interoperability splňovat příslušné technické specifikace. Požadavky se považují za splněné, jsou-li naplněny jejich parametry podle určené normy.</w:t>
            </w:r>
          </w:p>
        </w:tc>
        <w:tc>
          <w:tcPr>
            <w:tcW w:w="645" w:type="pct"/>
            <w:shd w:val="clear" w:color="auto" w:fill="auto"/>
          </w:tcPr>
          <w:p w14:paraId="53E7436F" w14:textId="2904AC2C" w:rsidR="00494029" w:rsidRPr="005009C8" w:rsidRDefault="00494029" w:rsidP="00494029">
            <w:r w:rsidRPr="005009C8">
              <w:t>32019R1745</w:t>
            </w:r>
          </w:p>
        </w:tc>
        <w:tc>
          <w:tcPr>
            <w:tcW w:w="624" w:type="pct"/>
            <w:shd w:val="clear" w:color="auto" w:fill="auto"/>
          </w:tcPr>
          <w:p w14:paraId="6A12CBF8" w14:textId="0D005149" w:rsidR="00494029" w:rsidRPr="005009C8" w:rsidRDefault="00494029" w:rsidP="00494029">
            <w:r w:rsidRPr="005009C8">
              <w:t>Článek 5</w:t>
            </w:r>
          </w:p>
        </w:tc>
        <w:tc>
          <w:tcPr>
            <w:tcW w:w="1518" w:type="pct"/>
            <w:shd w:val="clear" w:color="auto" w:fill="auto"/>
          </w:tcPr>
          <w:p w14:paraId="7434E0C5" w14:textId="77777777" w:rsidR="00494029" w:rsidRPr="005009C8" w:rsidRDefault="00494029" w:rsidP="00494029">
            <w:pPr>
              <w:jc w:val="both"/>
            </w:pPr>
            <w:r w:rsidRPr="005009C8">
              <w:t>Plnicí stanice pro plavidla vnitrozemské plavby nebo námořní lodě</w:t>
            </w:r>
          </w:p>
          <w:p w14:paraId="2B9FCF11" w14:textId="77777777" w:rsidR="00494029" w:rsidRPr="005009C8" w:rsidRDefault="00494029" w:rsidP="00494029">
            <w:pPr>
              <w:jc w:val="both"/>
            </w:pPr>
          </w:p>
          <w:p w14:paraId="2CD78F6D" w14:textId="77777777" w:rsidR="00494029" w:rsidRPr="005009C8" w:rsidRDefault="00494029" w:rsidP="00494029">
            <w:pPr>
              <w:jc w:val="both"/>
            </w:pPr>
            <w:r w:rsidRPr="005009C8">
              <w:t>Pro plnicí stanice pro plavidla vnitrozemské plavby nebo námořní lodě, uvedené v bodě 3.1 přílohy II směrnice 2014/94/EU, platí následující technické specifikace:</w:t>
            </w:r>
          </w:p>
          <w:p w14:paraId="64A610AD" w14:textId="77777777" w:rsidR="00494029" w:rsidRPr="005009C8" w:rsidRDefault="00494029" w:rsidP="00494029">
            <w:pPr>
              <w:jc w:val="both"/>
            </w:pPr>
          </w:p>
          <w:p w14:paraId="51DAB302" w14:textId="77777777" w:rsidR="00494029" w:rsidRPr="005009C8" w:rsidRDefault="00494029" w:rsidP="00494029">
            <w:pPr>
              <w:jc w:val="both"/>
            </w:pPr>
            <w:r w:rsidRPr="005009C8">
              <w:t xml:space="preserve">Pro námořní lodě, </w:t>
            </w:r>
            <w:proofErr w:type="gramStart"/>
            <w:r w:rsidRPr="005009C8">
              <w:t>na</w:t>
            </w:r>
            <w:proofErr w:type="gramEnd"/>
            <w:r w:rsidRPr="005009C8">
              <w:t xml:space="preserve"> než se nevztahuje mezinárodní předpis pro stavbu a vybavení lodí hromadně přepravujících zkapalněné plyny (předpis IGC), platí, že LNG plnicí stanice musejí vyhovovat normě EN ISO 20519.</w:t>
            </w:r>
          </w:p>
          <w:p w14:paraId="4E123EB9" w14:textId="77777777" w:rsidR="00494029" w:rsidRPr="005009C8" w:rsidRDefault="00494029" w:rsidP="00494029">
            <w:pPr>
              <w:jc w:val="both"/>
            </w:pPr>
          </w:p>
          <w:p w14:paraId="7F3A61B8" w14:textId="77777777" w:rsidR="00494029" w:rsidRPr="005009C8" w:rsidRDefault="00494029" w:rsidP="00494029">
            <w:pPr>
              <w:jc w:val="both"/>
            </w:pPr>
            <w:r w:rsidRPr="005009C8">
              <w:t>Pro plavidla vnitrozemské plavby platí, že LNG plnicí stanice musejí vyhovovat normě EN ISO 20519 (části 5.3 až 5.7) výhradně pro účely interoperability.</w:t>
            </w:r>
          </w:p>
          <w:p w14:paraId="6E27D058" w14:textId="5D722676" w:rsidR="008C1E4D" w:rsidRPr="005009C8" w:rsidRDefault="008C1E4D" w:rsidP="00494029">
            <w:pPr>
              <w:jc w:val="both"/>
            </w:pPr>
          </w:p>
        </w:tc>
      </w:tr>
      <w:tr w:rsidR="00494029" w:rsidRPr="005009C8" w14:paraId="6AEE9611" w14:textId="77777777" w:rsidTr="00CE3F49">
        <w:tc>
          <w:tcPr>
            <w:tcW w:w="523" w:type="pct"/>
            <w:vMerge w:val="restart"/>
            <w:shd w:val="clear" w:color="auto" w:fill="auto"/>
          </w:tcPr>
          <w:p w14:paraId="4A8EBB7C" w14:textId="6188E248" w:rsidR="00494029" w:rsidRPr="005009C8" w:rsidRDefault="00494029" w:rsidP="00494029">
            <w:r w:rsidRPr="005009C8">
              <w:t xml:space="preserve">Příloha č. 10, část 5, </w:t>
            </w:r>
            <w:r w:rsidRPr="005009C8">
              <w:lastRenderedPageBreak/>
              <w:t>bod 5.1. až 5.11.</w:t>
            </w:r>
          </w:p>
        </w:tc>
        <w:tc>
          <w:tcPr>
            <w:tcW w:w="1690" w:type="pct"/>
            <w:vMerge w:val="restart"/>
            <w:shd w:val="clear" w:color="auto" w:fill="auto"/>
          </w:tcPr>
          <w:p w14:paraId="7010FFE6" w14:textId="38A705AB" w:rsidR="008C1E4D" w:rsidRPr="005009C8" w:rsidRDefault="00494029" w:rsidP="008C1E4D">
            <w:pPr>
              <w:tabs>
                <w:tab w:val="left" w:pos="284"/>
                <w:tab w:val="left" w:pos="567"/>
              </w:tabs>
              <w:spacing w:after="120"/>
              <w:jc w:val="both"/>
              <w:rPr>
                <w:u w:val="single"/>
              </w:rPr>
            </w:pPr>
            <w:r w:rsidRPr="005009C8">
              <w:lastRenderedPageBreak/>
              <w:t>5.1</w:t>
            </w:r>
            <w:r w:rsidR="008C1E4D" w:rsidRPr="005009C8">
              <w:rPr>
                <w:u w:val="single"/>
              </w:rPr>
              <w:t xml:space="preserve"> Množství bezdeštných odpadních vod přitékajících do čistírny odpadních vod se </w:t>
            </w:r>
            <w:r w:rsidR="008C1E4D" w:rsidRPr="005009C8">
              <w:rPr>
                <w:u w:val="single"/>
              </w:rPr>
              <w:lastRenderedPageBreak/>
              <w:t>stanoví především podle přímého měření se zohledněním budoucího vývoje spotřeby vody nebo podle požadavků stanovených určenou normou.</w:t>
            </w:r>
          </w:p>
          <w:p w14:paraId="5736058D" w14:textId="77777777" w:rsidR="008C1E4D" w:rsidRPr="005009C8" w:rsidRDefault="008C1E4D" w:rsidP="008C1E4D">
            <w:pPr>
              <w:tabs>
                <w:tab w:val="left" w:pos="284"/>
                <w:tab w:val="left" w:pos="567"/>
              </w:tabs>
              <w:spacing w:after="120"/>
              <w:jc w:val="both"/>
              <w:rPr>
                <w:u w:val="single"/>
              </w:rPr>
            </w:pPr>
            <w:r w:rsidRPr="005009C8">
              <w:t>5.2.</w:t>
            </w:r>
            <w:r w:rsidRPr="005009C8">
              <w:rPr>
                <w:u w:val="single"/>
              </w:rPr>
              <w:t xml:space="preserve"> U stokové sítě jednotné soustavy se jako maximální přítok do čistírny odpadních vod použije objem zředěných odpadních vod přitékajících do čistírny odpadních vod po odlehčení za poslední odlehčovací komorou před čistírnou odpadních vod.</w:t>
            </w:r>
          </w:p>
          <w:p w14:paraId="4E7FDABF" w14:textId="77777777" w:rsidR="008C1E4D" w:rsidRPr="005009C8" w:rsidRDefault="008C1E4D" w:rsidP="008C1E4D">
            <w:pPr>
              <w:tabs>
                <w:tab w:val="left" w:pos="284"/>
                <w:tab w:val="left" w:pos="567"/>
              </w:tabs>
              <w:spacing w:after="120"/>
              <w:jc w:val="both"/>
              <w:rPr>
                <w:u w:val="single"/>
              </w:rPr>
            </w:pPr>
            <w:r w:rsidRPr="005009C8">
              <w:t>5.3.</w:t>
            </w:r>
            <w:r w:rsidRPr="005009C8">
              <w:rPr>
                <w:u w:val="single"/>
              </w:rPr>
              <w:t xml:space="preserve"> Přítok odpadních vod přiváděných za deště do biologické části čistírny odpadních vod se navrhuje tak, aby nebyl větší než hodnota 1,2 </w:t>
            </w:r>
            <w:proofErr w:type="spellStart"/>
            <w:r w:rsidRPr="005009C8">
              <w:rPr>
                <w:u w:val="single"/>
              </w:rPr>
              <w:t>Qh</w:t>
            </w:r>
            <w:proofErr w:type="spellEnd"/>
            <w:r w:rsidRPr="005009C8">
              <w:rPr>
                <w:u w:val="single"/>
              </w:rPr>
              <w:t xml:space="preserve"> u čistíren do 5000 ekvivalentních obyvatel a než hodnota 2 </w:t>
            </w:r>
            <w:proofErr w:type="spellStart"/>
            <w:r w:rsidRPr="005009C8">
              <w:rPr>
                <w:u w:val="single"/>
              </w:rPr>
              <w:t>Qd</w:t>
            </w:r>
            <w:proofErr w:type="spellEnd"/>
            <w:r w:rsidRPr="005009C8">
              <w:rPr>
                <w:u w:val="single"/>
              </w:rPr>
              <w:t xml:space="preserve"> - QB u čistíren odpadních vod pro více než 5000 ekvivalentních obyvatel, pokud není odlišně navrhována biologická část, včetně dosazovací nádrže. Jestliže maximální přítok může způsobit přetížení objektů mechanického čištění (česle, lapák písku, usazovací nádrž), navrhne se pro zachycení přítokové vlny za deště vyrovnávací nádrž. Pokud ani tato vyrovnávací nádrž neochrání biologickou část čistírny odpadních vod, navrhne se před technologickým stupněm biologického čištění objekt k odlehčení odpadních vod tak, aby maximální přítok nezpůsobil přetížení objektů biologického </w:t>
            </w:r>
            <w:r w:rsidRPr="005009C8">
              <w:rPr>
                <w:u w:val="single"/>
              </w:rPr>
              <w:lastRenderedPageBreak/>
              <w:t>čištění a nesnížil tak účinnost čištění odpadních vod.</w:t>
            </w:r>
          </w:p>
          <w:p w14:paraId="19F7BA24" w14:textId="77777777" w:rsidR="008C1E4D" w:rsidRPr="005009C8" w:rsidRDefault="008C1E4D" w:rsidP="008C1E4D">
            <w:pPr>
              <w:tabs>
                <w:tab w:val="left" w:pos="284"/>
                <w:tab w:val="left" w:pos="567"/>
              </w:tabs>
              <w:spacing w:after="120"/>
              <w:jc w:val="both"/>
              <w:rPr>
                <w:u w:val="single"/>
              </w:rPr>
            </w:pPr>
            <w:r w:rsidRPr="005009C8">
              <w:t>5.4.</w:t>
            </w:r>
            <w:r w:rsidRPr="005009C8">
              <w:rPr>
                <w:u w:val="single"/>
              </w:rPr>
              <w:t xml:space="preserve"> Znečištění odpadních vod přitékajících do čistírny odpadních vod se stanoví na základě průzkumu s přesně stanovenou metodikou odběrů vzorků, výsledků chemických rozborů odpadních vod a na základě dalších údajů (zejména počtu připojených obyvatel, charakteru a kapacity průmyslové výroby).</w:t>
            </w:r>
          </w:p>
          <w:p w14:paraId="4FACA801" w14:textId="77777777" w:rsidR="008C1E4D" w:rsidRPr="005009C8" w:rsidRDefault="008C1E4D" w:rsidP="008C1E4D">
            <w:pPr>
              <w:tabs>
                <w:tab w:val="left" w:pos="284"/>
                <w:tab w:val="left" w:pos="567"/>
              </w:tabs>
              <w:spacing w:after="120"/>
              <w:jc w:val="both"/>
              <w:rPr>
                <w:u w:val="single"/>
              </w:rPr>
            </w:pPr>
            <w:r w:rsidRPr="005009C8">
              <w:t>5.5.</w:t>
            </w:r>
            <w:r w:rsidRPr="005009C8">
              <w:rPr>
                <w:u w:val="single"/>
              </w:rPr>
              <w:t xml:space="preserve"> Průměrný bezdeštný denní přítok Q24 je výchozí hodnotou k určení průměrných hodnot přiváděného znečištění v odpadních vodách, podle kterých se navrhují technologické objekty čistírny odpadních vod, ve kterých parametry návrhu obsahují údaj vztažený na den, stáří kalu, produkce kalu, produkce písku, produkce bioplynu apod.</w:t>
            </w:r>
          </w:p>
          <w:p w14:paraId="2DB61FA8" w14:textId="77777777" w:rsidR="008C1E4D" w:rsidRPr="005009C8" w:rsidRDefault="008C1E4D" w:rsidP="008C1E4D">
            <w:pPr>
              <w:tabs>
                <w:tab w:val="left" w:pos="284"/>
                <w:tab w:val="left" w:pos="567"/>
              </w:tabs>
              <w:spacing w:after="120"/>
              <w:jc w:val="both"/>
              <w:rPr>
                <w:u w:val="single"/>
              </w:rPr>
            </w:pPr>
            <w:r w:rsidRPr="005009C8">
              <w:t>5.6.</w:t>
            </w:r>
            <w:r w:rsidRPr="005009C8">
              <w:rPr>
                <w:u w:val="single"/>
              </w:rPr>
              <w:t xml:space="preserve"> Denní přítok </w:t>
            </w:r>
            <w:proofErr w:type="spellStart"/>
            <w:r w:rsidRPr="005009C8">
              <w:rPr>
                <w:u w:val="single"/>
              </w:rPr>
              <w:t>Qv</w:t>
            </w:r>
            <w:proofErr w:type="spellEnd"/>
            <w:r w:rsidRPr="005009C8">
              <w:rPr>
                <w:u w:val="single"/>
              </w:rPr>
              <w:t xml:space="preserve"> je výchozí hodnotou k navrhování technologických objektů čistírny odpadních vod, u nichž návrhové parametry jsou: hydraulické zatížení, doba zdržení, doba kontaktu, recirkulační poměr apod.</w:t>
            </w:r>
          </w:p>
          <w:p w14:paraId="3EE93C15" w14:textId="77777777" w:rsidR="008C1E4D" w:rsidRPr="005009C8" w:rsidRDefault="008C1E4D" w:rsidP="008C1E4D">
            <w:pPr>
              <w:tabs>
                <w:tab w:val="left" w:pos="284"/>
                <w:tab w:val="left" w:pos="567"/>
              </w:tabs>
              <w:spacing w:after="120"/>
              <w:jc w:val="both"/>
              <w:rPr>
                <w:u w:val="single"/>
              </w:rPr>
            </w:pPr>
            <w:r w:rsidRPr="005009C8">
              <w:t>5.7.</w:t>
            </w:r>
            <w:r w:rsidRPr="005009C8">
              <w:rPr>
                <w:u w:val="single"/>
              </w:rPr>
              <w:t xml:space="preserve"> Technologické objekty čistírny odpadních vod podle své funkce musí být posouzeny na maximální hydraulické a látkové zatížení. </w:t>
            </w:r>
          </w:p>
          <w:p w14:paraId="14B2D97C" w14:textId="77777777" w:rsidR="008C1E4D" w:rsidRPr="005009C8" w:rsidRDefault="008C1E4D" w:rsidP="008C1E4D">
            <w:pPr>
              <w:tabs>
                <w:tab w:val="left" w:pos="284"/>
                <w:tab w:val="left" w:pos="567"/>
              </w:tabs>
              <w:spacing w:after="120"/>
              <w:jc w:val="both"/>
              <w:rPr>
                <w:u w:val="single"/>
              </w:rPr>
            </w:pPr>
            <w:r w:rsidRPr="005009C8">
              <w:t>5.8.</w:t>
            </w:r>
            <w:r w:rsidRPr="005009C8">
              <w:rPr>
                <w:u w:val="single"/>
              </w:rPr>
              <w:t xml:space="preserve"> V uspořádání čistírny odpadních vod musí být navržen obtok celé čistírny odpadních vod, a pokud možno, obtok a náhradní propojení i u </w:t>
            </w:r>
            <w:r w:rsidRPr="005009C8">
              <w:rPr>
                <w:u w:val="single"/>
              </w:rPr>
              <w:lastRenderedPageBreak/>
              <w:t xml:space="preserve">jednotlivých technologických objektů čistírny odpadních vod. Obtoky musí být zajištěny proti zneužití. </w:t>
            </w:r>
          </w:p>
          <w:p w14:paraId="2C4E1415" w14:textId="77777777" w:rsidR="008C1E4D" w:rsidRPr="005009C8" w:rsidRDefault="008C1E4D" w:rsidP="008C1E4D">
            <w:pPr>
              <w:tabs>
                <w:tab w:val="left" w:pos="284"/>
                <w:tab w:val="left" w:pos="567"/>
              </w:tabs>
              <w:spacing w:after="120"/>
              <w:jc w:val="both"/>
              <w:rPr>
                <w:u w:val="single"/>
              </w:rPr>
            </w:pPr>
            <w:r w:rsidRPr="005009C8">
              <w:t>5.9.</w:t>
            </w:r>
            <w:r w:rsidRPr="005009C8">
              <w:rPr>
                <w:u w:val="single"/>
              </w:rPr>
              <w:t xml:space="preserve"> Pro navrhování plynového hospodářství čistíren odpadních vod se postupuje podle požadavků stanovených určenou normou.</w:t>
            </w:r>
          </w:p>
          <w:p w14:paraId="4A653FA5" w14:textId="77777777" w:rsidR="008C1E4D" w:rsidRPr="005009C8" w:rsidRDefault="008C1E4D" w:rsidP="008C1E4D">
            <w:pPr>
              <w:tabs>
                <w:tab w:val="left" w:pos="284"/>
                <w:tab w:val="left" w:pos="567"/>
              </w:tabs>
              <w:spacing w:after="120"/>
              <w:jc w:val="both"/>
              <w:rPr>
                <w:u w:val="single"/>
              </w:rPr>
            </w:pPr>
            <w:r w:rsidRPr="005009C8">
              <w:t>5.10.</w:t>
            </w:r>
            <w:r w:rsidRPr="005009C8">
              <w:rPr>
                <w:u w:val="single"/>
              </w:rPr>
              <w:t xml:space="preserve"> Pro provoz hygienických zařízení v čistírně odpadních vod musí být k dispozici pitná voda. </w:t>
            </w:r>
          </w:p>
          <w:p w14:paraId="6240C7E9" w14:textId="77777777" w:rsidR="00494029" w:rsidRPr="005009C8" w:rsidRDefault="008C1E4D" w:rsidP="008C1E4D">
            <w:pPr>
              <w:pStyle w:val="paragraph"/>
              <w:spacing w:before="0" w:beforeAutospacing="0" w:after="0" w:afterAutospacing="0"/>
              <w:jc w:val="both"/>
              <w:textAlignment w:val="baseline"/>
              <w:rPr>
                <w:u w:val="single"/>
              </w:rPr>
            </w:pPr>
            <w:r w:rsidRPr="005009C8">
              <w:t>5.11.</w:t>
            </w:r>
            <w:r w:rsidRPr="005009C8">
              <w:rPr>
                <w:u w:val="single"/>
              </w:rPr>
              <w:t xml:space="preserve"> Průtoky Q uvedené v bodech 5.3., 5.5. a 5.6. jsou stanoveny určenou normou.</w:t>
            </w:r>
          </w:p>
          <w:p w14:paraId="100D73A1" w14:textId="06E38A64" w:rsidR="008C1E4D" w:rsidRPr="005009C8" w:rsidRDefault="008C1E4D" w:rsidP="008C1E4D">
            <w:pPr>
              <w:pStyle w:val="paragraph"/>
              <w:spacing w:before="0" w:beforeAutospacing="0" w:after="0" w:afterAutospacing="0"/>
              <w:jc w:val="both"/>
              <w:textAlignment w:val="baseline"/>
              <w:rPr>
                <w:u w:val="single"/>
              </w:rPr>
            </w:pPr>
          </w:p>
        </w:tc>
        <w:tc>
          <w:tcPr>
            <w:tcW w:w="645" w:type="pct"/>
            <w:vMerge w:val="restart"/>
            <w:shd w:val="clear" w:color="auto" w:fill="auto"/>
          </w:tcPr>
          <w:p w14:paraId="6F19AB5F" w14:textId="6BBD066D" w:rsidR="00494029" w:rsidRPr="005009C8" w:rsidRDefault="00494029" w:rsidP="00494029">
            <w:r w:rsidRPr="005009C8">
              <w:lastRenderedPageBreak/>
              <w:t>31991L0271</w:t>
            </w:r>
          </w:p>
        </w:tc>
        <w:tc>
          <w:tcPr>
            <w:tcW w:w="624" w:type="pct"/>
            <w:shd w:val="clear" w:color="auto" w:fill="auto"/>
          </w:tcPr>
          <w:p w14:paraId="4429472A" w14:textId="77777777" w:rsidR="00494029" w:rsidRPr="005009C8" w:rsidRDefault="00494029" w:rsidP="00494029">
            <w:r w:rsidRPr="005009C8">
              <w:t>čl. 4 odst. 3</w:t>
            </w:r>
          </w:p>
          <w:p w14:paraId="46D04B14" w14:textId="642081BC" w:rsidR="00494029" w:rsidRPr="005009C8" w:rsidRDefault="00494029" w:rsidP="00494029"/>
        </w:tc>
        <w:tc>
          <w:tcPr>
            <w:tcW w:w="1518" w:type="pct"/>
            <w:shd w:val="clear" w:color="auto" w:fill="auto"/>
          </w:tcPr>
          <w:p w14:paraId="7E6B06BE" w14:textId="1EEAC87A" w:rsidR="00494029" w:rsidRPr="005009C8" w:rsidRDefault="00494029" w:rsidP="00494029">
            <w:pPr>
              <w:jc w:val="both"/>
            </w:pPr>
            <w:r w:rsidRPr="005009C8">
              <w:t xml:space="preserve">3. Vypouštění z čistíren městských odpadních vod podle odstavců 1 a 2 musí </w:t>
            </w:r>
            <w:r w:rsidRPr="005009C8">
              <w:lastRenderedPageBreak/>
              <w:t>vyhovovat požadavkům uvedeným v příloze I B. Tyto požadavky mohou být změněny v souladu s postupem stanoveným v článku 18.</w:t>
            </w:r>
          </w:p>
        </w:tc>
      </w:tr>
      <w:tr w:rsidR="00494029" w:rsidRPr="005009C8" w14:paraId="787FAE4C" w14:textId="77777777" w:rsidTr="00CE3F49">
        <w:tc>
          <w:tcPr>
            <w:tcW w:w="523" w:type="pct"/>
            <w:vMerge/>
            <w:shd w:val="clear" w:color="auto" w:fill="auto"/>
          </w:tcPr>
          <w:p w14:paraId="773D7832" w14:textId="77777777" w:rsidR="00494029" w:rsidRPr="005009C8" w:rsidRDefault="00494029" w:rsidP="00494029"/>
        </w:tc>
        <w:tc>
          <w:tcPr>
            <w:tcW w:w="1690" w:type="pct"/>
            <w:vMerge/>
            <w:shd w:val="clear" w:color="auto" w:fill="auto"/>
          </w:tcPr>
          <w:p w14:paraId="0C3903DD" w14:textId="77777777" w:rsidR="00494029" w:rsidRPr="005009C8" w:rsidRDefault="00494029" w:rsidP="00494029">
            <w:pPr>
              <w:pStyle w:val="paragraph"/>
              <w:numPr>
                <w:ilvl w:val="0"/>
                <w:numId w:val="20"/>
              </w:numPr>
              <w:spacing w:before="0" w:beforeAutospacing="0" w:after="0" w:afterAutospacing="0"/>
              <w:ind w:left="360" w:firstLine="0"/>
              <w:jc w:val="both"/>
              <w:textAlignment w:val="baseline"/>
            </w:pPr>
          </w:p>
        </w:tc>
        <w:tc>
          <w:tcPr>
            <w:tcW w:w="645" w:type="pct"/>
            <w:vMerge/>
            <w:shd w:val="clear" w:color="auto" w:fill="auto"/>
          </w:tcPr>
          <w:p w14:paraId="0255E5C5" w14:textId="77777777" w:rsidR="00494029" w:rsidRPr="005009C8" w:rsidRDefault="00494029" w:rsidP="00494029"/>
        </w:tc>
        <w:tc>
          <w:tcPr>
            <w:tcW w:w="624" w:type="pct"/>
            <w:shd w:val="clear" w:color="auto" w:fill="auto"/>
          </w:tcPr>
          <w:p w14:paraId="345C57B0" w14:textId="4E1DEE4D" w:rsidR="00494029" w:rsidRPr="005009C8" w:rsidRDefault="00494029" w:rsidP="00494029">
            <w:r w:rsidRPr="005009C8">
              <w:t>čl. 10</w:t>
            </w:r>
          </w:p>
        </w:tc>
        <w:tc>
          <w:tcPr>
            <w:tcW w:w="1518" w:type="pct"/>
            <w:shd w:val="clear" w:color="auto" w:fill="auto"/>
          </w:tcPr>
          <w:p w14:paraId="559CB95B" w14:textId="1C257D3C" w:rsidR="00494029" w:rsidRPr="005009C8" w:rsidRDefault="00494029" w:rsidP="00494029">
            <w:pPr>
              <w:jc w:val="both"/>
            </w:pPr>
            <w:r w:rsidRPr="005009C8">
              <w:t>Členské státy zajistí, aby byly čistírny městských odpadních vod, stavěné způsobem vyhovujícím požadavkům článků 4, 5, 6 a 7, projektovány, budovány, provozovány a udržovány tak, aby byla zaručena jejich dostatečná účinnost za všech běžných místních klimatických podmínek. Při projektování čistíren se vezmou v úvahu sezonní rozdíly zatížení.</w:t>
            </w:r>
          </w:p>
        </w:tc>
      </w:tr>
      <w:tr w:rsidR="00494029" w:rsidRPr="005009C8" w14:paraId="1C767408" w14:textId="77777777" w:rsidTr="000D59D7">
        <w:trPr>
          <w:trHeight w:val="687"/>
        </w:trPr>
        <w:tc>
          <w:tcPr>
            <w:tcW w:w="523" w:type="pct"/>
            <w:shd w:val="clear" w:color="auto" w:fill="auto"/>
          </w:tcPr>
          <w:p w14:paraId="145C23D5" w14:textId="37AA81A9" w:rsidR="00494029" w:rsidRPr="005009C8" w:rsidRDefault="00494029" w:rsidP="00494029">
            <w:r w:rsidRPr="005009C8">
              <w:lastRenderedPageBreak/>
              <w:t xml:space="preserve">Příloha č. 14, část 5 bod 5.1. až 5.6. </w:t>
            </w:r>
          </w:p>
        </w:tc>
        <w:tc>
          <w:tcPr>
            <w:tcW w:w="1690" w:type="pct"/>
            <w:shd w:val="clear" w:color="auto" w:fill="auto"/>
          </w:tcPr>
          <w:p w14:paraId="45482E85" w14:textId="4237A629" w:rsidR="001B6F05" w:rsidRPr="005009C8" w:rsidRDefault="001B6F05" w:rsidP="001B6F05">
            <w:pPr>
              <w:pStyle w:val="Odst"/>
              <w:spacing w:after="120"/>
              <w:rPr>
                <w:szCs w:val="24"/>
                <w:u w:val="single"/>
              </w:rPr>
            </w:pPr>
            <w:r w:rsidRPr="005009C8">
              <w:rPr>
                <w:szCs w:val="24"/>
              </w:rPr>
              <w:t>5.1.</w:t>
            </w:r>
            <w:r w:rsidRPr="005009C8">
              <w:rPr>
                <w:szCs w:val="24"/>
                <w:u w:val="single"/>
              </w:rPr>
              <w:t xml:space="preserve"> Základní zabezpečení stavby musí zamezit samovolnému pronikání látek ohrožujících jakost vod ze staveb do okolního terénu a podloží a následně do povrchových a podzemních vod nepropustností povrchů a konstrukcí, které přicházejí do styku se závadnými látkami,</w:t>
            </w:r>
          </w:p>
          <w:p w14:paraId="7D2D8EDC" w14:textId="77777777" w:rsidR="001B6F05" w:rsidRPr="005009C8" w:rsidRDefault="001B6F05" w:rsidP="001B6F05">
            <w:pPr>
              <w:pStyle w:val="Odst"/>
              <w:spacing w:after="120"/>
              <w:rPr>
                <w:szCs w:val="24"/>
                <w:u w:val="single"/>
              </w:rPr>
            </w:pPr>
            <w:r w:rsidRPr="005009C8">
              <w:rPr>
                <w:szCs w:val="24"/>
              </w:rPr>
              <w:t>5.2.</w:t>
            </w:r>
            <w:r w:rsidRPr="005009C8">
              <w:rPr>
                <w:szCs w:val="24"/>
                <w:u w:val="single"/>
              </w:rPr>
              <w:t xml:space="preserve"> Stavba musí být členěna na</w:t>
            </w:r>
          </w:p>
          <w:p w14:paraId="57CE995D" w14:textId="158DE042" w:rsidR="001B6F05" w:rsidRPr="005009C8" w:rsidRDefault="001B6F05" w:rsidP="001B6F05">
            <w:pPr>
              <w:pStyle w:val="Odst"/>
              <w:spacing w:after="120"/>
              <w:rPr>
                <w:szCs w:val="24"/>
                <w:u w:val="single"/>
              </w:rPr>
            </w:pPr>
            <w:r w:rsidRPr="005009C8">
              <w:rPr>
                <w:szCs w:val="24"/>
              </w:rPr>
              <w:t xml:space="preserve">a) </w:t>
            </w:r>
            <w:r w:rsidRPr="005009C8">
              <w:rPr>
                <w:szCs w:val="24"/>
                <w:u w:val="single"/>
              </w:rPr>
              <w:t>úsek příjmu a vyskladnění přípravků na ochranu rostlin a pomocných prostředků se zastřešenou manipulační plochou s rampou a záchytným havarijním prostorem,</w:t>
            </w:r>
          </w:p>
          <w:p w14:paraId="2BDE5FF9" w14:textId="1A78CCAC" w:rsidR="001B6F05" w:rsidRPr="005009C8" w:rsidRDefault="001B6F05" w:rsidP="001B6F05">
            <w:pPr>
              <w:pStyle w:val="Odst"/>
              <w:spacing w:after="120"/>
              <w:rPr>
                <w:szCs w:val="24"/>
                <w:u w:val="single"/>
              </w:rPr>
            </w:pPr>
            <w:r w:rsidRPr="005009C8">
              <w:rPr>
                <w:szCs w:val="24"/>
              </w:rPr>
              <w:lastRenderedPageBreak/>
              <w:t xml:space="preserve">b) </w:t>
            </w:r>
            <w:r w:rsidRPr="005009C8">
              <w:rPr>
                <w:szCs w:val="24"/>
                <w:u w:val="single"/>
              </w:rPr>
              <w:t xml:space="preserve">úsek skladování přípravků na ochranu rostlin a pomocných prostředků pro oddělené skladování jednotlivých druhů, prázdných znečištěných obalů pro zpětný odběr, úsek musí být samostatně </w:t>
            </w:r>
            <w:proofErr w:type="spellStart"/>
            <w:r w:rsidRPr="005009C8">
              <w:rPr>
                <w:szCs w:val="24"/>
                <w:u w:val="single"/>
              </w:rPr>
              <w:t>odvětratelný</w:t>
            </w:r>
            <w:proofErr w:type="spellEnd"/>
            <w:r w:rsidRPr="005009C8">
              <w:rPr>
                <w:szCs w:val="24"/>
                <w:u w:val="single"/>
              </w:rPr>
              <w:t xml:space="preserve"> s možností temperování a sledování teploty vzduchu,</w:t>
            </w:r>
          </w:p>
          <w:p w14:paraId="0D14AF79" w14:textId="5D392623" w:rsidR="001B6F05" w:rsidRPr="005009C8" w:rsidRDefault="001B6F05" w:rsidP="001B6F05">
            <w:pPr>
              <w:pStyle w:val="Odst"/>
              <w:spacing w:after="120"/>
              <w:rPr>
                <w:szCs w:val="24"/>
                <w:u w:val="single"/>
              </w:rPr>
            </w:pPr>
            <w:r w:rsidRPr="005009C8">
              <w:rPr>
                <w:szCs w:val="24"/>
              </w:rPr>
              <w:t>c)</w:t>
            </w:r>
            <w:r w:rsidRPr="005009C8">
              <w:rPr>
                <w:szCs w:val="24"/>
                <w:u w:val="single"/>
              </w:rPr>
              <w:t xml:space="preserve"> úsek pomocných a hygienických provozů samostatně </w:t>
            </w:r>
            <w:proofErr w:type="spellStart"/>
            <w:r w:rsidRPr="005009C8">
              <w:rPr>
                <w:szCs w:val="24"/>
                <w:u w:val="single"/>
              </w:rPr>
              <w:t>odvětratelný</w:t>
            </w:r>
            <w:proofErr w:type="spellEnd"/>
            <w:r w:rsidRPr="005009C8">
              <w:rPr>
                <w:szCs w:val="24"/>
                <w:u w:val="single"/>
              </w:rPr>
              <w:t xml:space="preserve"> s možností temperování, zejména umývárny, záchody a šatny.</w:t>
            </w:r>
          </w:p>
          <w:p w14:paraId="70707C80" w14:textId="77777777" w:rsidR="00E87D94" w:rsidRPr="00E87D94" w:rsidRDefault="001B6F05" w:rsidP="00E87D94">
            <w:pPr>
              <w:pStyle w:val="Odst"/>
              <w:spacing w:after="120"/>
              <w:rPr>
                <w:szCs w:val="24"/>
                <w:u w:val="single"/>
              </w:rPr>
            </w:pPr>
            <w:r w:rsidRPr="005009C8">
              <w:rPr>
                <w:szCs w:val="24"/>
              </w:rPr>
              <w:t>5.3.</w:t>
            </w:r>
            <w:r w:rsidRPr="005009C8">
              <w:rPr>
                <w:szCs w:val="24"/>
                <w:u w:val="single"/>
              </w:rPr>
              <w:t xml:space="preserve"> </w:t>
            </w:r>
            <w:r w:rsidR="00E87D94" w:rsidRPr="00E87D94">
              <w:rPr>
                <w:szCs w:val="24"/>
                <w:u w:val="single"/>
              </w:rPr>
              <w:t>Podlaha musí být nepropustná pro kapaliny, odolná proti chemickým účinkům uskladněných přípravků na ochranu rostlin a pomocných prostředků, s povrchem umožňujícím snadné čištění a vyspádovaná do samostatné havarijní jímky podle vyhlášky řešící náležitosti nakládání se závadnými látkami a náležitosti havarijního plánu, způsob a rozsah hlášení havárií, jejich zneškodňování a odstraňování jejich škodlivých následků.</w:t>
            </w:r>
          </w:p>
          <w:p w14:paraId="2665384E" w14:textId="77777777" w:rsidR="00E87D94" w:rsidRPr="00E87D94" w:rsidRDefault="00E87D94" w:rsidP="00E87D94">
            <w:pPr>
              <w:pStyle w:val="Odst"/>
              <w:spacing w:after="120"/>
              <w:rPr>
                <w:szCs w:val="24"/>
                <w:u w:val="single"/>
              </w:rPr>
            </w:pPr>
            <w:r w:rsidRPr="00E87D94">
              <w:rPr>
                <w:szCs w:val="24"/>
              </w:rPr>
              <w:t>5.4.</w:t>
            </w:r>
            <w:r w:rsidRPr="00E87D94">
              <w:rPr>
                <w:szCs w:val="24"/>
                <w:u w:val="single"/>
              </w:rPr>
              <w:t xml:space="preserve"> Kanalizační systém musí být řešen jako oddělený pro srážkové, splaškové a odpadní vody kontaminované přípravky.</w:t>
            </w:r>
          </w:p>
          <w:p w14:paraId="0441141E" w14:textId="142DE147" w:rsidR="001B6F05" w:rsidRPr="005009C8" w:rsidRDefault="00E87D94" w:rsidP="00E87D94">
            <w:pPr>
              <w:pStyle w:val="Odst"/>
              <w:spacing w:after="120"/>
              <w:rPr>
                <w:szCs w:val="24"/>
                <w:u w:val="single"/>
              </w:rPr>
            </w:pPr>
            <w:r w:rsidRPr="00E87D94">
              <w:rPr>
                <w:szCs w:val="24"/>
              </w:rPr>
              <w:t xml:space="preserve">5.5. </w:t>
            </w:r>
            <w:r w:rsidRPr="00E87D94">
              <w:rPr>
                <w:szCs w:val="24"/>
                <w:u w:val="single"/>
              </w:rPr>
              <w:t xml:space="preserve">Stavba pro skladování přípravků na ochranu rostlin a pomocných prostředků </w:t>
            </w:r>
            <w:r w:rsidRPr="00E87D94">
              <w:rPr>
                <w:szCs w:val="24"/>
                <w:u w:val="single"/>
              </w:rPr>
              <w:lastRenderedPageBreak/>
              <w:t>musí být vybavena havarijní jímkou podle vyhlášky řešící náležitosti nakládání se závadnými látkami a náležitosti havarijního plánu, způsob a rozsah hlášení havárií, jejich zneškodňování a odstraňování jejich škodlivých následků, která musí mít povrch odolný proti chemickým účinkům uskladněných přípravků a musí být zabezpečena proti přítoku srážkové vody z okolních ploch a proti pronikání podzemní vody. Musí být dimenzována minimálně na 10 % celkového objemu skladovaných kapalin, avšak nejméně na celý objem 1 největšího skladovaného přepravního obalu nebo nádoby</w:t>
            </w:r>
            <w:r w:rsidR="001B6F05" w:rsidRPr="005009C8">
              <w:rPr>
                <w:szCs w:val="24"/>
                <w:u w:val="single"/>
              </w:rPr>
              <w:t>.</w:t>
            </w:r>
          </w:p>
          <w:p w14:paraId="2DD764FE" w14:textId="4FAD8330" w:rsidR="00494029" w:rsidRPr="005009C8" w:rsidRDefault="001B6F05" w:rsidP="001B6F05">
            <w:pPr>
              <w:pStyle w:val="Odst"/>
              <w:spacing w:before="0" w:after="120"/>
              <w:rPr>
                <w:szCs w:val="24"/>
                <w:u w:val="single"/>
              </w:rPr>
            </w:pPr>
            <w:r w:rsidRPr="005009C8">
              <w:rPr>
                <w:szCs w:val="24"/>
              </w:rPr>
              <w:t>5.6.</w:t>
            </w:r>
            <w:r w:rsidRPr="005009C8">
              <w:rPr>
                <w:szCs w:val="24"/>
                <w:u w:val="single"/>
              </w:rPr>
              <w:t xml:space="preserve"> Podlaha příručního skladu musí být nepropustná pro kapaliny, odolná proti chemickým účinkům uskladněných přípravků na ochranu rostlin a pomocných prostředků, musí být opatřena zvýšeným soklem po obvodu stěn včetně dveřního prahu jako náhrada za havarijní jímku. Příruční sklad musí být samostatně </w:t>
            </w:r>
            <w:proofErr w:type="spellStart"/>
            <w:r w:rsidRPr="005009C8">
              <w:rPr>
                <w:szCs w:val="24"/>
                <w:u w:val="single"/>
              </w:rPr>
              <w:t>odvětratelný</w:t>
            </w:r>
            <w:proofErr w:type="spellEnd"/>
            <w:r w:rsidRPr="005009C8">
              <w:rPr>
                <w:szCs w:val="24"/>
                <w:u w:val="single"/>
              </w:rPr>
              <w:t xml:space="preserve"> s možností temperování a sledování teploty vzduchu, technické a dispoziční řešení musí umožňovat uložení přípravků na ochranu rostlin a pomocných prostředků přehledně a odděleně podle druhu </w:t>
            </w:r>
            <w:r w:rsidRPr="005009C8">
              <w:rPr>
                <w:szCs w:val="24"/>
                <w:u w:val="single"/>
              </w:rPr>
              <w:lastRenderedPageBreak/>
              <w:t>nebezpečnosti v přepravních obalech, kontejnerech a nádobách, oddělené ukládání znečištěných obalů, osobních ochranných pracovních prostředků a oděvů, při dodržování podmínek hygienických, bezpečnosti práce a ochrany zdraví při práci. Na příruční sklad se nevztahují body 5.1. až 5.5.</w:t>
            </w:r>
          </w:p>
        </w:tc>
        <w:tc>
          <w:tcPr>
            <w:tcW w:w="645" w:type="pct"/>
            <w:shd w:val="clear" w:color="auto" w:fill="auto"/>
          </w:tcPr>
          <w:p w14:paraId="3B4A2A1B" w14:textId="33332FC1" w:rsidR="00494029" w:rsidRPr="005009C8" w:rsidRDefault="00494029" w:rsidP="00494029">
            <w:bookmarkStart w:id="6" w:name="_Hlk120632467"/>
            <w:r w:rsidRPr="005009C8">
              <w:lastRenderedPageBreak/>
              <w:t>32009L0128</w:t>
            </w:r>
            <w:bookmarkEnd w:id="6"/>
          </w:p>
        </w:tc>
        <w:tc>
          <w:tcPr>
            <w:tcW w:w="624" w:type="pct"/>
            <w:shd w:val="clear" w:color="auto" w:fill="auto"/>
          </w:tcPr>
          <w:p w14:paraId="273E32BD" w14:textId="3411F88A" w:rsidR="00494029" w:rsidRPr="005009C8" w:rsidRDefault="00494029" w:rsidP="00494029">
            <w:r w:rsidRPr="005009C8">
              <w:t>Článek 13 odst. 3</w:t>
            </w:r>
          </w:p>
        </w:tc>
        <w:tc>
          <w:tcPr>
            <w:tcW w:w="1518" w:type="pct"/>
            <w:shd w:val="clear" w:color="auto" w:fill="auto"/>
          </w:tcPr>
          <w:p w14:paraId="182D49D7" w14:textId="1FA6900A" w:rsidR="00494029" w:rsidRPr="005009C8" w:rsidRDefault="00494029" w:rsidP="00494029">
            <w:pPr>
              <w:jc w:val="both"/>
            </w:pPr>
            <w:r w:rsidRPr="005009C8">
              <w:t>3. Členské státy zajistí, aby skladovací prostory pro pesticidy určené k profesionálnímu použití byly postaveny tak, aby nemohlo dojít k nechtěnému úniku. Zvláštní pozornost by měla být věnována umístění, velikosti a stavebním materiálům</w:t>
            </w:r>
          </w:p>
        </w:tc>
      </w:tr>
      <w:tr w:rsidR="00494029" w:rsidRPr="005009C8" w14:paraId="168FA5C0" w14:textId="77777777" w:rsidTr="00CE3F49">
        <w:tc>
          <w:tcPr>
            <w:tcW w:w="523" w:type="pct"/>
            <w:shd w:val="clear" w:color="auto" w:fill="auto"/>
          </w:tcPr>
          <w:p w14:paraId="2852A45A" w14:textId="77777777" w:rsidR="00494029" w:rsidRPr="005009C8" w:rsidRDefault="00494029" w:rsidP="00494029">
            <w:pPr>
              <w:rPr>
                <w:sz w:val="18"/>
                <w:szCs w:val="18"/>
              </w:rPr>
            </w:pPr>
          </w:p>
        </w:tc>
        <w:tc>
          <w:tcPr>
            <w:tcW w:w="1690" w:type="pct"/>
            <w:shd w:val="clear" w:color="auto" w:fill="auto"/>
          </w:tcPr>
          <w:p w14:paraId="0577DB8D" w14:textId="02A993C6" w:rsidR="00494029" w:rsidRPr="005009C8" w:rsidRDefault="00494029" w:rsidP="00494029">
            <w:pPr>
              <w:pStyle w:val="Odst"/>
              <w:spacing w:before="0" w:after="120"/>
              <w:rPr>
                <w:szCs w:val="24"/>
              </w:rPr>
            </w:pPr>
            <w:proofErr w:type="spellStart"/>
            <w:r w:rsidRPr="005009C8">
              <w:rPr>
                <w:szCs w:val="24"/>
              </w:rPr>
              <w:t>Nezaimplemetováno</w:t>
            </w:r>
            <w:proofErr w:type="spellEnd"/>
          </w:p>
        </w:tc>
        <w:tc>
          <w:tcPr>
            <w:tcW w:w="645" w:type="pct"/>
            <w:shd w:val="clear" w:color="auto" w:fill="auto"/>
          </w:tcPr>
          <w:p w14:paraId="622E754E" w14:textId="3BCE2F08" w:rsidR="00494029" w:rsidRPr="005009C8" w:rsidRDefault="00494029" w:rsidP="00494029">
            <w:r w:rsidRPr="005009C8">
              <w:t>32021R1444</w:t>
            </w:r>
          </w:p>
        </w:tc>
        <w:tc>
          <w:tcPr>
            <w:tcW w:w="624" w:type="pct"/>
            <w:shd w:val="clear" w:color="auto" w:fill="auto"/>
          </w:tcPr>
          <w:p w14:paraId="2B571D4F" w14:textId="31D0447D" w:rsidR="00494029" w:rsidRPr="005009C8" w:rsidRDefault="00494029" w:rsidP="00494029">
            <w:r w:rsidRPr="005009C8">
              <w:t>Článek 2</w:t>
            </w:r>
          </w:p>
        </w:tc>
        <w:tc>
          <w:tcPr>
            <w:tcW w:w="1518" w:type="pct"/>
            <w:shd w:val="clear" w:color="auto" w:fill="auto"/>
          </w:tcPr>
          <w:p w14:paraId="7490D4E7" w14:textId="77777777" w:rsidR="00494029" w:rsidRPr="005009C8" w:rsidRDefault="00494029" w:rsidP="00494029">
            <w:pPr>
              <w:pStyle w:val="Zpat"/>
              <w:jc w:val="both"/>
            </w:pPr>
            <w:r w:rsidRPr="005009C8">
              <w:t xml:space="preserve">Toto nařízení vstupuje v platnost dnem po vyhlášení v Úředním věstníku Evropské unie. </w:t>
            </w:r>
          </w:p>
          <w:p w14:paraId="73448652" w14:textId="77777777" w:rsidR="00494029" w:rsidRPr="005009C8" w:rsidRDefault="00494029" w:rsidP="00494029">
            <w:pPr>
              <w:pStyle w:val="Zpat"/>
              <w:jc w:val="both"/>
            </w:pPr>
          </w:p>
          <w:p w14:paraId="26E1E0EA" w14:textId="77777777" w:rsidR="00494029" w:rsidRPr="005009C8" w:rsidRDefault="00494029" w:rsidP="00494029">
            <w:pPr>
              <w:pStyle w:val="Zpat"/>
              <w:jc w:val="both"/>
            </w:pPr>
            <w:r w:rsidRPr="005009C8">
              <w:t xml:space="preserve">Toto nařízení se použije ode dne 26. září 2023. </w:t>
            </w:r>
          </w:p>
          <w:p w14:paraId="427E44DA" w14:textId="77777777" w:rsidR="00494029" w:rsidRPr="005009C8" w:rsidRDefault="00494029" w:rsidP="00494029">
            <w:pPr>
              <w:pStyle w:val="Zpat"/>
              <w:jc w:val="both"/>
            </w:pPr>
          </w:p>
          <w:p w14:paraId="012442DB" w14:textId="77777777" w:rsidR="00494029" w:rsidRPr="005009C8" w:rsidRDefault="00494029" w:rsidP="00494029">
            <w:pPr>
              <w:pStyle w:val="Zpat"/>
              <w:jc w:val="both"/>
            </w:pPr>
            <w:r w:rsidRPr="005009C8">
              <w:t>Toto nařízení se vztahuje pouze na dobíjecí stanice pro elektrické autobusy, které jsou nainstalovány po datu použitelnosti tohoto nařízení.</w:t>
            </w:r>
          </w:p>
          <w:p w14:paraId="67256EFF" w14:textId="77777777" w:rsidR="00494029" w:rsidRPr="005009C8" w:rsidRDefault="00494029" w:rsidP="00494029">
            <w:pPr>
              <w:pStyle w:val="Zpat"/>
              <w:jc w:val="both"/>
            </w:pPr>
          </w:p>
          <w:p w14:paraId="2220299F" w14:textId="77777777" w:rsidR="00494029" w:rsidRPr="005009C8" w:rsidRDefault="00494029" w:rsidP="00494029">
            <w:pPr>
              <w:pStyle w:val="Zpat"/>
              <w:jc w:val="both"/>
            </w:pPr>
            <w:r w:rsidRPr="005009C8">
              <w:t xml:space="preserve">Nařízení se nevztahuje na dobíjecí infrastrukturu trolejbusů (nadzemní trolejové vedení). </w:t>
            </w:r>
          </w:p>
          <w:p w14:paraId="46E976CD" w14:textId="77777777" w:rsidR="00494029" w:rsidRPr="005009C8" w:rsidRDefault="00494029" w:rsidP="00494029">
            <w:pPr>
              <w:pStyle w:val="Zpat"/>
              <w:jc w:val="both"/>
            </w:pPr>
          </w:p>
          <w:p w14:paraId="480C2FB9" w14:textId="057F7F9A" w:rsidR="00494029" w:rsidRPr="005009C8" w:rsidRDefault="00494029" w:rsidP="00494029">
            <w:pPr>
              <w:jc w:val="both"/>
            </w:pPr>
            <w:r w:rsidRPr="005009C8">
              <w:t>Toto nařízení je závazné v celém rozsahu a přímo použitelné ve všech členských státech.</w:t>
            </w:r>
          </w:p>
        </w:tc>
      </w:tr>
    </w:tbl>
    <w:p w14:paraId="26159B38" w14:textId="356DA894" w:rsidR="00930209" w:rsidRPr="005009C8" w:rsidRDefault="00930209">
      <w:pPr>
        <w:rPr>
          <w:b/>
        </w:rPr>
      </w:pPr>
    </w:p>
    <w:p w14:paraId="4AE913BA" w14:textId="6AA697DD" w:rsidR="00E965C9" w:rsidRPr="005009C8" w:rsidRDefault="00E965C9">
      <w:pPr>
        <w:rPr>
          <w:b/>
        </w:rPr>
      </w:pPr>
    </w:p>
    <w:p w14:paraId="141CFC90" w14:textId="3711DCC8" w:rsidR="00E965C9" w:rsidRPr="005009C8" w:rsidRDefault="00E965C9">
      <w:pPr>
        <w:rPr>
          <w:b/>
        </w:rPr>
      </w:pPr>
    </w:p>
    <w:p w14:paraId="434FAE89" w14:textId="77777777" w:rsidR="00E965C9" w:rsidRPr="005009C8" w:rsidRDefault="00E965C9">
      <w:pPr>
        <w:rPr>
          <w:b/>
        </w:rPr>
      </w:pPr>
    </w:p>
    <w:p w14:paraId="626B3387" w14:textId="407FC4E7" w:rsidR="00A5532B" w:rsidRPr="005009C8" w:rsidRDefault="00A5532B">
      <w:pPr>
        <w:rPr>
          <w:b/>
        </w:rPr>
      </w:pPr>
    </w:p>
    <w:p w14:paraId="00B1A8FD" w14:textId="77777777" w:rsidR="001523A3" w:rsidRPr="005009C8" w:rsidRDefault="001523A3">
      <w:pPr>
        <w:rPr>
          <w:b/>
        </w:rPr>
      </w:pPr>
    </w:p>
    <w:p w14:paraId="3E115E69" w14:textId="790E311D" w:rsidR="00780683" w:rsidRPr="005009C8" w:rsidRDefault="00780683">
      <w:pPr>
        <w:rPr>
          <w:b/>
        </w:rPr>
      </w:pPr>
    </w:p>
    <w:p w14:paraId="307F2151" w14:textId="77777777" w:rsidR="00780683" w:rsidRPr="005009C8" w:rsidRDefault="0078068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11163"/>
      </w:tblGrid>
      <w:tr w:rsidR="00930209" w:rsidRPr="005009C8" w14:paraId="38E6737E" w14:textId="77777777" w:rsidTr="00BD1BBB">
        <w:trPr>
          <w:trHeight w:val="435"/>
        </w:trPr>
        <w:tc>
          <w:tcPr>
            <w:tcW w:w="1011" w:type="pct"/>
            <w:shd w:val="clear" w:color="auto" w:fill="D9D9D9"/>
            <w:vAlign w:val="center"/>
          </w:tcPr>
          <w:p w14:paraId="25F069BE" w14:textId="77777777" w:rsidR="00930209" w:rsidRPr="005009C8" w:rsidRDefault="005D079E" w:rsidP="001B7D11">
            <w:pPr>
              <w:jc w:val="center"/>
              <w:rPr>
                <w:b/>
              </w:rPr>
            </w:pPr>
            <w:r w:rsidRPr="005009C8">
              <w:rPr>
                <w:b/>
              </w:rPr>
              <w:t>Číslo předpisu EU (kód CELEX</w:t>
            </w:r>
            <w:r w:rsidR="00930209" w:rsidRPr="005009C8">
              <w:rPr>
                <w:b/>
              </w:rPr>
              <w:t>)</w:t>
            </w:r>
          </w:p>
        </w:tc>
        <w:tc>
          <w:tcPr>
            <w:tcW w:w="3989" w:type="pct"/>
            <w:shd w:val="clear" w:color="auto" w:fill="D9D9D9"/>
            <w:vAlign w:val="center"/>
          </w:tcPr>
          <w:p w14:paraId="131572EC" w14:textId="77777777" w:rsidR="00930209" w:rsidRPr="005009C8" w:rsidRDefault="00930209" w:rsidP="001B7D11">
            <w:pPr>
              <w:jc w:val="center"/>
              <w:rPr>
                <w:b/>
              </w:rPr>
            </w:pPr>
            <w:r w:rsidRPr="005009C8">
              <w:rPr>
                <w:b/>
              </w:rPr>
              <w:t>Název předpisu EU</w:t>
            </w:r>
          </w:p>
        </w:tc>
      </w:tr>
      <w:tr w:rsidR="00930209" w:rsidRPr="005009C8" w14:paraId="44BD8EEB" w14:textId="77777777" w:rsidTr="00BD1BBB">
        <w:tc>
          <w:tcPr>
            <w:tcW w:w="1011" w:type="pct"/>
            <w:shd w:val="clear" w:color="auto" w:fill="auto"/>
            <w:vAlign w:val="center"/>
          </w:tcPr>
          <w:p w14:paraId="7BE9859B" w14:textId="4CC4B410" w:rsidR="00930209" w:rsidRPr="005009C8" w:rsidRDefault="00F63F75" w:rsidP="001B7D11">
            <w:pPr>
              <w:jc w:val="center"/>
            </w:pPr>
            <w:r w:rsidRPr="005009C8">
              <w:t>31991L0271</w:t>
            </w:r>
          </w:p>
        </w:tc>
        <w:tc>
          <w:tcPr>
            <w:tcW w:w="3989" w:type="pct"/>
            <w:shd w:val="clear" w:color="auto" w:fill="auto"/>
          </w:tcPr>
          <w:p w14:paraId="139CC857" w14:textId="77777777" w:rsidR="00930209" w:rsidRPr="005009C8" w:rsidRDefault="00545FB9" w:rsidP="004B5481">
            <w:r w:rsidRPr="005009C8">
              <w:t xml:space="preserve">Směrnice Rady </w:t>
            </w:r>
            <w:r w:rsidR="002E70D1" w:rsidRPr="005009C8">
              <w:t xml:space="preserve">91/271/EHS </w:t>
            </w:r>
            <w:r w:rsidRPr="005009C8">
              <w:t>ze dne 21. května 1991 o čištění městských odpadních vod</w:t>
            </w:r>
          </w:p>
          <w:p w14:paraId="48B78D89" w14:textId="3395C469" w:rsidR="00EA2A4D" w:rsidRPr="005009C8" w:rsidRDefault="00EA2A4D" w:rsidP="004B5481"/>
        </w:tc>
      </w:tr>
      <w:tr w:rsidR="00113C17" w:rsidRPr="005009C8" w14:paraId="7B400913" w14:textId="77777777" w:rsidTr="00BD1BBB">
        <w:tc>
          <w:tcPr>
            <w:tcW w:w="1011" w:type="pct"/>
            <w:shd w:val="clear" w:color="auto" w:fill="auto"/>
            <w:vAlign w:val="center"/>
          </w:tcPr>
          <w:p w14:paraId="12877594" w14:textId="607957D4" w:rsidR="00113C17" w:rsidRPr="005009C8" w:rsidRDefault="00031F16" w:rsidP="00D15416">
            <w:pPr>
              <w:jc w:val="center"/>
              <w:rPr>
                <w:bCs/>
                <w:color w:val="000000" w:themeColor="text1"/>
              </w:rPr>
            </w:pPr>
            <w:r w:rsidRPr="005009C8">
              <w:rPr>
                <w:bCs/>
              </w:rPr>
              <w:t>32003L0010</w:t>
            </w:r>
          </w:p>
        </w:tc>
        <w:tc>
          <w:tcPr>
            <w:tcW w:w="3989" w:type="pct"/>
            <w:shd w:val="clear" w:color="auto" w:fill="auto"/>
          </w:tcPr>
          <w:p w14:paraId="71B6574D" w14:textId="1FCBD511" w:rsidR="00113C17" w:rsidRPr="005009C8" w:rsidRDefault="00031F16" w:rsidP="00D15416">
            <w:pPr>
              <w:rPr>
                <w:bCs/>
                <w:color w:val="000000" w:themeColor="text1"/>
              </w:rPr>
            </w:pPr>
            <w:r w:rsidRPr="005009C8">
              <w:t xml:space="preserve">Směrnice Evropského parlamentu a Rady 2003/10/ES ze dne 6. února 2003 o minimálních požadavcích na bezpečnost a ochranu zdraví před expozicí zaměstnanců rizikům spojeným </w:t>
            </w:r>
            <w:r w:rsidR="00483496" w:rsidRPr="005009C8">
              <w:t xml:space="preserve">s fyzikálními činiteli (hlukem) </w:t>
            </w:r>
            <w:r w:rsidRPr="005009C8">
              <w:t>(sedmnáctá samostatná směrnice ve smyslu čl. 16 odst. 1 směrnice 89/391/EHS)</w:t>
            </w:r>
          </w:p>
        </w:tc>
      </w:tr>
      <w:tr w:rsidR="00031F16" w:rsidRPr="005009C8" w14:paraId="02EDF750" w14:textId="77777777" w:rsidTr="00BD1BBB">
        <w:tc>
          <w:tcPr>
            <w:tcW w:w="1011" w:type="pct"/>
            <w:shd w:val="clear" w:color="auto" w:fill="auto"/>
            <w:vAlign w:val="center"/>
          </w:tcPr>
          <w:p w14:paraId="62AF1659" w14:textId="017F27D8" w:rsidR="00031F16" w:rsidRPr="005009C8" w:rsidRDefault="00031F16" w:rsidP="00D15416">
            <w:pPr>
              <w:jc w:val="center"/>
              <w:rPr>
                <w:bCs/>
                <w:color w:val="000000" w:themeColor="text1"/>
              </w:rPr>
            </w:pPr>
            <w:r w:rsidRPr="005009C8">
              <w:t>32009L0128</w:t>
            </w:r>
          </w:p>
        </w:tc>
        <w:tc>
          <w:tcPr>
            <w:tcW w:w="3989" w:type="pct"/>
            <w:shd w:val="clear" w:color="auto" w:fill="auto"/>
          </w:tcPr>
          <w:p w14:paraId="71F9458C" w14:textId="3BD3F394" w:rsidR="00031F16" w:rsidRPr="005009C8" w:rsidRDefault="00031F16" w:rsidP="00D15416">
            <w:pPr>
              <w:rPr>
                <w:bCs/>
                <w:color w:val="000000" w:themeColor="text1"/>
              </w:rPr>
            </w:pPr>
            <w:r w:rsidRPr="005009C8">
              <w:rPr>
                <w:bCs/>
              </w:rPr>
              <w:t>Směrnice Evropského parlamentu a Rady 2009/128/ES ze dne 21. října, kterou se stanoví rámec pro činnost Společenství za účelem dosažení udržitelného používání pesticidů.  Text s významem pro EHP</w:t>
            </w:r>
          </w:p>
        </w:tc>
      </w:tr>
      <w:tr w:rsidR="00031F16" w:rsidRPr="005009C8" w14:paraId="7505E4B2" w14:textId="77777777" w:rsidTr="00BD1BBB">
        <w:tc>
          <w:tcPr>
            <w:tcW w:w="1011" w:type="pct"/>
            <w:shd w:val="clear" w:color="auto" w:fill="auto"/>
            <w:vAlign w:val="center"/>
          </w:tcPr>
          <w:p w14:paraId="559ADF77" w14:textId="3BE2501D" w:rsidR="00031F16" w:rsidRPr="005009C8" w:rsidRDefault="00031F16" w:rsidP="00D15416">
            <w:pPr>
              <w:jc w:val="center"/>
              <w:rPr>
                <w:bCs/>
                <w:color w:val="000000" w:themeColor="text1"/>
              </w:rPr>
            </w:pPr>
            <w:r w:rsidRPr="005009C8">
              <w:t>32014L0094</w:t>
            </w:r>
          </w:p>
        </w:tc>
        <w:tc>
          <w:tcPr>
            <w:tcW w:w="3989" w:type="pct"/>
            <w:shd w:val="clear" w:color="auto" w:fill="auto"/>
          </w:tcPr>
          <w:p w14:paraId="317BCA1F" w14:textId="314077A1" w:rsidR="00031F16" w:rsidRPr="005009C8" w:rsidRDefault="00031F16" w:rsidP="00D15416">
            <w:pPr>
              <w:rPr>
                <w:bCs/>
                <w:color w:val="000000" w:themeColor="text1"/>
              </w:rPr>
            </w:pPr>
            <w:r w:rsidRPr="005009C8">
              <w:t>Směrnice Evropského parlamentu a Rady 2014/94/EU ze dne 22. října 2014 o zavádění infrastruktury pro alternativní paliva</w:t>
            </w:r>
          </w:p>
        </w:tc>
      </w:tr>
      <w:tr w:rsidR="00031F16" w:rsidRPr="005009C8" w14:paraId="15E9BAA9" w14:textId="77777777" w:rsidTr="00BD1BBB">
        <w:tc>
          <w:tcPr>
            <w:tcW w:w="1011" w:type="pct"/>
            <w:shd w:val="clear" w:color="auto" w:fill="auto"/>
            <w:vAlign w:val="center"/>
          </w:tcPr>
          <w:p w14:paraId="7E236DE8" w14:textId="7DDAFF5B" w:rsidR="00031F16" w:rsidRPr="005009C8" w:rsidRDefault="00031F16" w:rsidP="00D15416">
            <w:pPr>
              <w:jc w:val="center"/>
              <w:rPr>
                <w:bCs/>
                <w:color w:val="000000" w:themeColor="text1"/>
              </w:rPr>
            </w:pPr>
            <w:r w:rsidRPr="005009C8">
              <w:t>32018L0844</w:t>
            </w:r>
          </w:p>
        </w:tc>
        <w:tc>
          <w:tcPr>
            <w:tcW w:w="3989" w:type="pct"/>
            <w:shd w:val="clear" w:color="auto" w:fill="auto"/>
          </w:tcPr>
          <w:p w14:paraId="303C5731" w14:textId="055C19F3" w:rsidR="00031F16" w:rsidRPr="005009C8" w:rsidRDefault="00031F16" w:rsidP="00D15416">
            <w:pPr>
              <w:rPr>
                <w:bCs/>
                <w:color w:val="000000" w:themeColor="text1"/>
              </w:rPr>
            </w:pPr>
            <w:r w:rsidRPr="005009C8">
              <w:t>Směrnice Evropského parlamentu a Rady (EU) 2018/844 ze dne 30. května 2018, kterou se mění směrnice 2010/31/EU o energetické náročnosti budov a směrnice 2012/27/EU o energetické účinnosti</w:t>
            </w:r>
          </w:p>
        </w:tc>
      </w:tr>
      <w:tr w:rsidR="00031F16" w:rsidRPr="005009C8" w14:paraId="0EEDDF04" w14:textId="77777777" w:rsidTr="00BD1BBB">
        <w:tc>
          <w:tcPr>
            <w:tcW w:w="1011" w:type="pct"/>
            <w:shd w:val="clear" w:color="auto" w:fill="auto"/>
            <w:vAlign w:val="center"/>
          </w:tcPr>
          <w:p w14:paraId="15AE7CD9" w14:textId="0D4B0919" w:rsidR="00031F16" w:rsidRPr="005009C8" w:rsidRDefault="00031F16" w:rsidP="00D15416">
            <w:pPr>
              <w:jc w:val="center"/>
              <w:rPr>
                <w:bCs/>
                <w:color w:val="000000" w:themeColor="text1"/>
              </w:rPr>
            </w:pPr>
            <w:r w:rsidRPr="005009C8">
              <w:t>32019R1745</w:t>
            </w:r>
          </w:p>
        </w:tc>
        <w:tc>
          <w:tcPr>
            <w:tcW w:w="3989" w:type="pct"/>
            <w:shd w:val="clear" w:color="auto" w:fill="auto"/>
          </w:tcPr>
          <w:p w14:paraId="61F85551" w14:textId="01EEB510" w:rsidR="00031F16" w:rsidRPr="005009C8" w:rsidRDefault="00031F16" w:rsidP="00D15416">
            <w:pPr>
              <w:rPr>
                <w:bCs/>
                <w:color w:val="000000" w:themeColor="text1"/>
              </w:rPr>
            </w:pPr>
            <w:r w:rsidRPr="005009C8">
              <w:rPr>
                <w:bCs/>
              </w:rPr>
              <w:t>Nařízení Komise v Přenesené Pravomoci (EU) 2019/1745 ze dne 13. srpna 2019, kterým se doplňuje a mění směrnice Evropského parlamentu a Rady 2014/94/EU, pokud jde o dobíjecí stanice pro motorová vozidla kategorie L, dodávky elektřiny z pevniny pro plavidla vnitrozemské plavby, dodávky vodíku pro silniční dopravu a dodávky zemního plynu pro silniční a vodní dopravu, a kterým se zrušuje nařízení Komise v přenesené pravomoci (EU) 2018/674</w:t>
            </w:r>
          </w:p>
        </w:tc>
      </w:tr>
      <w:tr w:rsidR="00031F16" w:rsidRPr="005009C8" w14:paraId="797ED4F4" w14:textId="77777777" w:rsidTr="00BD1BBB">
        <w:tc>
          <w:tcPr>
            <w:tcW w:w="1011" w:type="pct"/>
            <w:shd w:val="clear" w:color="auto" w:fill="auto"/>
            <w:vAlign w:val="center"/>
          </w:tcPr>
          <w:p w14:paraId="56916715" w14:textId="39F29DE6" w:rsidR="00031F16" w:rsidRPr="005009C8" w:rsidRDefault="00483496" w:rsidP="00D15416">
            <w:pPr>
              <w:jc w:val="center"/>
              <w:rPr>
                <w:bCs/>
                <w:color w:val="000000" w:themeColor="text1"/>
              </w:rPr>
            </w:pPr>
            <w:r w:rsidRPr="005009C8">
              <w:t>32021R1444</w:t>
            </w:r>
          </w:p>
        </w:tc>
        <w:tc>
          <w:tcPr>
            <w:tcW w:w="3989" w:type="pct"/>
            <w:shd w:val="clear" w:color="auto" w:fill="auto"/>
          </w:tcPr>
          <w:p w14:paraId="232C672C" w14:textId="19C7AF93" w:rsidR="00031F16" w:rsidRPr="005009C8" w:rsidRDefault="00483496" w:rsidP="00D15416">
            <w:pPr>
              <w:rPr>
                <w:bCs/>
                <w:color w:val="000000" w:themeColor="text1"/>
              </w:rPr>
            </w:pPr>
            <w:r w:rsidRPr="005009C8">
              <w:t>Nařízení Komise v přenesené pravomoci (EU) 2021/1444 ze dne 17. června 2021, kterým se doplňuje směrnice Evropského parlamentu a Rady 2014/94/EU, pokud jde o normy pro dobíjecí stanice pro elektrické autobusy</w:t>
            </w:r>
          </w:p>
        </w:tc>
      </w:tr>
      <w:tr w:rsidR="0018541C" w:rsidRPr="005009C8" w14:paraId="30211F3F" w14:textId="77777777" w:rsidTr="000D59D7">
        <w:tc>
          <w:tcPr>
            <w:tcW w:w="1011" w:type="pct"/>
            <w:shd w:val="clear" w:color="auto" w:fill="auto"/>
          </w:tcPr>
          <w:p w14:paraId="42F22AE6" w14:textId="486BD531" w:rsidR="0018541C" w:rsidRPr="005009C8" w:rsidRDefault="0018541C" w:rsidP="0018541C">
            <w:pPr>
              <w:jc w:val="center"/>
            </w:pPr>
            <w:r w:rsidRPr="005009C8">
              <w:t>32014L0061</w:t>
            </w:r>
          </w:p>
        </w:tc>
        <w:tc>
          <w:tcPr>
            <w:tcW w:w="3989" w:type="pct"/>
            <w:shd w:val="clear" w:color="auto" w:fill="auto"/>
          </w:tcPr>
          <w:p w14:paraId="5F649125" w14:textId="07CFEA40" w:rsidR="0018541C" w:rsidRPr="005009C8" w:rsidRDefault="0018541C" w:rsidP="0018541C">
            <w:r w:rsidRPr="005009C8">
              <w:t>Směrnice Evropského parlamentu a Rady 2014/61/EU ze dne 15. května 2014 o opatřeních ke snížení nákladů na budování vysokorychlostních sítí elektronických komunikací</w:t>
            </w:r>
          </w:p>
        </w:tc>
      </w:tr>
      <w:tr w:rsidR="00CE66E3" w:rsidRPr="008640EB" w14:paraId="2C657C98" w14:textId="77777777" w:rsidTr="000D59D7">
        <w:tc>
          <w:tcPr>
            <w:tcW w:w="1011" w:type="pct"/>
            <w:shd w:val="clear" w:color="auto" w:fill="auto"/>
          </w:tcPr>
          <w:p w14:paraId="22BE0C7D" w14:textId="7596FBB3" w:rsidR="00CE66E3" w:rsidRPr="005009C8" w:rsidRDefault="00CE66E3" w:rsidP="0018541C">
            <w:pPr>
              <w:jc w:val="center"/>
            </w:pPr>
            <w:r w:rsidRPr="005009C8">
              <w:t>32014L0033</w:t>
            </w:r>
          </w:p>
        </w:tc>
        <w:tc>
          <w:tcPr>
            <w:tcW w:w="3989" w:type="pct"/>
            <w:shd w:val="clear" w:color="auto" w:fill="auto"/>
          </w:tcPr>
          <w:p w14:paraId="6FF1DAD8" w14:textId="69E75E97" w:rsidR="00CE66E3" w:rsidRPr="0018541C" w:rsidRDefault="00CE66E3" w:rsidP="0018541C">
            <w:r w:rsidRPr="005009C8">
              <w:t>Směrnice Evropského parlamentu a Rady 2014/33/EU ze dne 26. února 2014 o harmonizaci právních předpisů členských států týkajících se výtahů a bezpečnostních komponent pro výtahy</w:t>
            </w:r>
          </w:p>
        </w:tc>
      </w:tr>
    </w:tbl>
    <w:p w14:paraId="20398D65" w14:textId="359A2763" w:rsidR="00FB1A52" w:rsidRPr="008640EB" w:rsidRDefault="00FB1A52" w:rsidP="00CD7177"/>
    <w:sectPr w:rsidR="00FB1A52" w:rsidRPr="008640EB" w:rsidSect="00A90E47">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1692" w14:textId="77777777" w:rsidR="007E232F" w:rsidRDefault="007E232F" w:rsidP="004B5481">
      <w:r>
        <w:separator/>
      </w:r>
    </w:p>
  </w:endnote>
  <w:endnote w:type="continuationSeparator" w:id="0">
    <w:p w14:paraId="195F2C7A" w14:textId="77777777" w:rsidR="007E232F" w:rsidRDefault="007E232F" w:rsidP="004B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59020053"/>
      <w:docPartObj>
        <w:docPartGallery w:val="Page Numbers (Bottom of Page)"/>
        <w:docPartUnique/>
      </w:docPartObj>
    </w:sdtPr>
    <w:sdtEndPr>
      <w:rPr>
        <w:sz w:val="24"/>
        <w:szCs w:val="24"/>
      </w:rPr>
    </w:sdtEndPr>
    <w:sdtContent>
      <w:p w14:paraId="120D3197" w14:textId="77777777" w:rsidR="00D66D5C" w:rsidRPr="00D66D5C" w:rsidRDefault="00D66D5C">
        <w:pPr>
          <w:pStyle w:val="Zpat"/>
          <w:jc w:val="right"/>
          <w:rPr>
            <w:sz w:val="20"/>
            <w:szCs w:val="20"/>
          </w:rPr>
        </w:pPr>
        <w:r w:rsidRPr="00D66D5C">
          <w:rPr>
            <w:sz w:val="20"/>
            <w:szCs w:val="20"/>
          </w:rPr>
          <w:fldChar w:fldCharType="begin"/>
        </w:r>
        <w:r w:rsidRPr="00D66D5C">
          <w:rPr>
            <w:sz w:val="20"/>
            <w:szCs w:val="20"/>
          </w:rPr>
          <w:instrText>PAGE   \* MERGEFORMAT</w:instrText>
        </w:r>
        <w:r w:rsidRPr="00D66D5C">
          <w:rPr>
            <w:sz w:val="20"/>
            <w:szCs w:val="20"/>
          </w:rPr>
          <w:fldChar w:fldCharType="separate"/>
        </w:r>
        <w:r w:rsidRPr="00D66D5C">
          <w:rPr>
            <w:sz w:val="20"/>
            <w:szCs w:val="20"/>
          </w:rPr>
          <w:t>2</w:t>
        </w:r>
        <w:r w:rsidRPr="00D66D5C">
          <w:rPr>
            <w:sz w:val="20"/>
            <w:szCs w:val="20"/>
          </w:rPr>
          <w:fldChar w:fldCharType="end"/>
        </w:r>
      </w:p>
      <w:p w14:paraId="659A8D6B" w14:textId="3CE39BAA" w:rsidR="00D66D5C" w:rsidRDefault="00D66D5C" w:rsidP="00D66D5C">
        <w:pPr>
          <w:pStyle w:val="Zpat"/>
        </w:pPr>
        <w:r w:rsidRPr="00D66D5C">
          <w:rPr>
            <w:sz w:val="20"/>
            <w:szCs w:val="20"/>
          </w:rPr>
          <w:t>Ke dni 29.5.2023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EA47" w14:textId="77777777" w:rsidR="007E232F" w:rsidRDefault="007E232F" w:rsidP="004B5481">
      <w:r>
        <w:separator/>
      </w:r>
    </w:p>
  </w:footnote>
  <w:footnote w:type="continuationSeparator" w:id="0">
    <w:p w14:paraId="42B4D0EC" w14:textId="77777777" w:rsidR="007E232F" w:rsidRDefault="007E232F" w:rsidP="004B5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6AC"/>
    <w:multiLevelType w:val="hybridMultilevel"/>
    <w:tmpl w:val="98686344"/>
    <w:lvl w:ilvl="0" w:tplc="43848A78">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253DB"/>
    <w:multiLevelType w:val="multilevel"/>
    <w:tmpl w:val="945C371A"/>
    <w:lvl w:ilvl="0">
      <w:start w:val="1"/>
      <w:numFmt w:val="decimal"/>
      <w:pStyle w:val="slovansezna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85740E"/>
    <w:multiLevelType w:val="hybridMultilevel"/>
    <w:tmpl w:val="5E205924"/>
    <w:lvl w:ilvl="0" w:tplc="5D1C5D8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1013B"/>
    <w:multiLevelType w:val="hybridMultilevel"/>
    <w:tmpl w:val="2E306C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434E82"/>
    <w:multiLevelType w:val="hybridMultilevel"/>
    <w:tmpl w:val="E92242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97593D"/>
    <w:multiLevelType w:val="hybridMultilevel"/>
    <w:tmpl w:val="2230D1A6"/>
    <w:lvl w:ilvl="0" w:tplc="879CE858">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BC09DF"/>
    <w:multiLevelType w:val="hybridMultilevel"/>
    <w:tmpl w:val="4E06B5E6"/>
    <w:lvl w:ilvl="0" w:tplc="B14053E8">
      <w:start w:val="1"/>
      <w:numFmt w:val="lowerLetter"/>
      <w:lvlText w:val="%1)"/>
      <w:lvlJc w:val="left"/>
      <w:pPr>
        <w:ind w:left="107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D6856"/>
    <w:multiLevelType w:val="hybridMultilevel"/>
    <w:tmpl w:val="D5D039A0"/>
    <w:lvl w:ilvl="0" w:tplc="2CC60FB8">
      <w:start w:val="1"/>
      <w:numFmt w:val="decimal"/>
      <w:lvlText w:val="%1."/>
      <w:lvlJc w:val="left"/>
      <w:pPr>
        <w:ind w:left="720" w:hanging="360"/>
      </w:pPr>
    </w:lvl>
    <w:lvl w:ilvl="1" w:tplc="55423B60">
      <w:start w:val="1"/>
      <w:numFmt w:val="lowerLetter"/>
      <w:lvlText w:val="%2."/>
      <w:lvlJc w:val="left"/>
      <w:pPr>
        <w:ind w:left="1440" w:hanging="360"/>
      </w:pPr>
    </w:lvl>
    <w:lvl w:ilvl="2" w:tplc="63644F04">
      <w:start w:val="1"/>
      <w:numFmt w:val="lowerRoman"/>
      <w:lvlText w:val="%3."/>
      <w:lvlJc w:val="right"/>
      <w:pPr>
        <w:ind w:left="2160" w:hanging="180"/>
      </w:pPr>
    </w:lvl>
    <w:lvl w:ilvl="3" w:tplc="C74C2BE6">
      <w:start w:val="1"/>
      <w:numFmt w:val="decimal"/>
      <w:lvlText w:val="%4."/>
      <w:lvlJc w:val="left"/>
      <w:pPr>
        <w:ind w:left="2880" w:hanging="360"/>
      </w:pPr>
    </w:lvl>
    <w:lvl w:ilvl="4" w:tplc="848C950E">
      <w:start w:val="1"/>
      <w:numFmt w:val="lowerLetter"/>
      <w:lvlText w:val="%5."/>
      <w:lvlJc w:val="left"/>
      <w:pPr>
        <w:ind w:left="3600" w:hanging="360"/>
      </w:pPr>
    </w:lvl>
    <w:lvl w:ilvl="5" w:tplc="AF26B3BA">
      <w:start w:val="1"/>
      <w:numFmt w:val="lowerRoman"/>
      <w:lvlText w:val="%6."/>
      <w:lvlJc w:val="right"/>
      <w:pPr>
        <w:ind w:left="4320" w:hanging="180"/>
      </w:pPr>
    </w:lvl>
    <w:lvl w:ilvl="6" w:tplc="592686D0">
      <w:start w:val="1"/>
      <w:numFmt w:val="decimal"/>
      <w:lvlText w:val="%7."/>
      <w:lvlJc w:val="left"/>
      <w:pPr>
        <w:ind w:left="5040" w:hanging="360"/>
      </w:pPr>
    </w:lvl>
    <w:lvl w:ilvl="7" w:tplc="5DF4BAC6">
      <w:start w:val="1"/>
      <w:numFmt w:val="lowerLetter"/>
      <w:lvlText w:val="%8."/>
      <w:lvlJc w:val="left"/>
      <w:pPr>
        <w:ind w:left="5760" w:hanging="360"/>
      </w:pPr>
    </w:lvl>
    <w:lvl w:ilvl="8" w:tplc="CFC2D332">
      <w:start w:val="1"/>
      <w:numFmt w:val="lowerRoman"/>
      <w:lvlText w:val="%9."/>
      <w:lvlJc w:val="right"/>
      <w:pPr>
        <w:ind w:left="6480" w:hanging="180"/>
      </w:pPr>
    </w:lvl>
  </w:abstractNum>
  <w:abstractNum w:abstractNumId="8" w15:restartNumberingAfterBreak="0">
    <w:nsid w:val="19CA0359"/>
    <w:multiLevelType w:val="hybridMultilevel"/>
    <w:tmpl w:val="76867E60"/>
    <w:lvl w:ilvl="0" w:tplc="98CE9650">
      <w:start w:val="1"/>
      <w:numFmt w:val="decimal"/>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F87699"/>
    <w:multiLevelType w:val="hybridMultilevel"/>
    <w:tmpl w:val="0E6C99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950B1A"/>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38555E"/>
    <w:multiLevelType w:val="hybridMultilevel"/>
    <w:tmpl w:val="A7086F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C2157F"/>
    <w:multiLevelType w:val="multilevel"/>
    <w:tmpl w:val="D5083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5A4D0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8355D6"/>
    <w:multiLevelType w:val="hybridMultilevel"/>
    <w:tmpl w:val="8B92F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981E4C"/>
    <w:multiLevelType w:val="hybridMultilevel"/>
    <w:tmpl w:val="3D80DE52"/>
    <w:lvl w:ilvl="0" w:tplc="65BC41D6">
      <w:start w:val="1"/>
      <w:numFmt w:val="decimal"/>
      <w:lvlText w:val="(%1)"/>
      <w:lvlJc w:val="left"/>
      <w:pPr>
        <w:ind w:left="1098" w:hanging="39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2B692201"/>
    <w:multiLevelType w:val="hybridMultilevel"/>
    <w:tmpl w:val="46882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82398C"/>
    <w:multiLevelType w:val="hybridMultilevel"/>
    <w:tmpl w:val="33E08A1A"/>
    <w:lvl w:ilvl="0" w:tplc="0AD84C52">
      <w:start w:val="1"/>
      <w:numFmt w:val="decimal"/>
      <w:lvlText w:val="(%1)"/>
      <w:lvlJc w:val="left"/>
      <w:pPr>
        <w:ind w:left="1099" w:hanging="39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D534A0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F92A9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FF2857"/>
    <w:multiLevelType w:val="hybridMultilevel"/>
    <w:tmpl w:val="76867E60"/>
    <w:lvl w:ilvl="0" w:tplc="98CE9650">
      <w:start w:val="1"/>
      <w:numFmt w:val="decimal"/>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7F7E4F"/>
    <w:multiLevelType w:val="hybridMultilevel"/>
    <w:tmpl w:val="F03EFD3A"/>
    <w:lvl w:ilvl="0" w:tplc="D78808BC">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805D81"/>
    <w:multiLevelType w:val="hybridMultilevel"/>
    <w:tmpl w:val="A40E3E90"/>
    <w:lvl w:ilvl="0" w:tplc="30C2E3A4">
      <w:start w:val="1"/>
      <w:numFmt w:val="lowerRoman"/>
      <w:lvlText w:val="%1)"/>
      <w:lvlJc w:val="left"/>
      <w:pPr>
        <w:ind w:left="720" w:hanging="7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91039D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502B0"/>
    <w:multiLevelType w:val="multilevel"/>
    <w:tmpl w:val="A2426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2A1A28"/>
    <w:multiLevelType w:val="multilevel"/>
    <w:tmpl w:val="6660D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16169"/>
    <w:multiLevelType w:val="hybridMultilevel"/>
    <w:tmpl w:val="6EB0BD34"/>
    <w:lvl w:ilvl="0" w:tplc="0F3CDE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EB07A3"/>
    <w:multiLevelType w:val="hybridMultilevel"/>
    <w:tmpl w:val="A93293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854D29"/>
    <w:multiLevelType w:val="hybridMultilevel"/>
    <w:tmpl w:val="121281EC"/>
    <w:lvl w:ilvl="0" w:tplc="24F41DC2">
      <w:start w:val="1"/>
      <w:numFmt w:val="decimal"/>
      <w:lvlText w:val="(%1)"/>
      <w:lvlJc w:val="left"/>
      <w:pPr>
        <w:ind w:left="972" w:hanging="405"/>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FA509E8"/>
    <w:multiLevelType w:val="hybridMultilevel"/>
    <w:tmpl w:val="773809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A88ED53A">
      <w:start w:val="1"/>
      <w:numFmt w:val="lowerLetter"/>
      <w:lvlText w:val="%3)"/>
      <w:lvlJc w:val="left"/>
      <w:pPr>
        <w:ind w:left="2340" w:hanging="360"/>
      </w:pPr>
      <w:rPr>
        <w:rFonts w:ascii="Times New Roman" w:eastAsiaTheme="minorHAnsi" w:hAnsi="Times New Roman" w:cs="Times New Roman"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252305A"/>
    <w:multiLevelType w:val="multilevel"/>
    <w:tmpl w:val="4B34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87769D"/>
    <w:multiLevelType w:val="hybridMultilevel"/>
    <w:tmpl w:val="FB569498"/>
    <w:lvl w:ilvl="0" w:tplc="E62268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A01270"/>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6D0B1855"/>
    <w:multiLevelType w:val="hybridMultilevel"/>
    <w:tmpl w:val="B5D2CCA0"/>
    <w:lvl w:ilvl="0" w:tplc="A27849C0">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FA63D7"/>
    <w:multiLevelType w:val="hybridMultilevel"/>
    <w:tmpl w:val="D9B46872"/>
    <w:lvl w:ilvl="0" w:tplc="67188D58">
      <w:start w:val="1"/>
      <w:numFmt w:val="lowerRoman"/>
      <w:lvlText w:val="%1)"/>
      <w:lvlJc w:val="left"/>
      <w:pPr>
        <w:ind w:left="720" w:hanging="7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3D2216C"/>
    <w:multiLevelType w:val="hybridMultilevel"/>
    <w:tmpl w:val="76867E60"/>
    <w:lvl w:ilvl="0" w:tplc="98CE9650">
      <w:start w:val="1"/>
      <w:numFmt w:val="decimal"/>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5812C5"/>
    <w:multiLevelType w:val="hybridMultilevel"/>
    <w:tmpl w:val="D5D039A0"/>
    <w:lvl w:ilvl="0" w:tplc="2CC60FB8">
      <w:start w:val="1"/>
      <w:numFmt w:val="decimal"/>
      <w:lvlText w:val="%1."/>
      <w:lvlJc w:val="left"/>
      <w:pPr>
        <w:ind w:left="720" w:hanging="360"/>
      </w:pPr>
    </w:lvl>
    <w:lvl w:ilvl="1" w:tplc="55423B60">
      <w:start w:val="1"/>
      <w:numFmt w:val="lowerLetter"/>
      <w:lvlText w:val="%2."/>
      <w:lvlJc w:val="left"/>
      <w:pPr>
        <w:ind w:left="1440" w:hanging="360"/>
      </w:pPr>
    </w:lvl>
    <w:lvl w:ilvl="2" w:tplc="63644F04">
      <w:start w:val="1"/>
      <w:numFmt w:val="lowerRoman"/>
      <w:lvlText w:val="%3."/>
      <w:lvlJc w:val="right"/>
      <w:pPr>
        <w:ind w:left="2160" w:hanging="180"/>
      </w:pPr>
    </w:lvl>
    <w:lvl w:ilvl="3" w:tplc="C74C2BE6">
      <w:start w:val="1"/>
      <w:numFmt w:val="decimal"/>
      <w:lvlText w:val="%4."/>
      <w:lvlJc w:val="left"/>
      <w:pPr>
        <w:ind w:left="2880" w:hanging="360"/>
      </w:pPr>
    </w:lvl>
    <w:lvl w:ilvl="4" w:tplc="848C950E">
      <w:start w:val="1"/>
      <w:numFmt w:val="lowerLetter"/>
      <w:lvlText w:val="%5."/>
      <w:lvlJc w:val="left"/>
      <w:pPr>
        <w:ind w:left="3600" w:hanging="360"/>
      </w:pPr>
    </w:lvl>
    <w:lvl w:ilvl="5" w:tplc="AF26B3BA">
      <w:start w:val="1"/>
      <w:numFmt w:val="lowerRoman"/>
      <w:lvlText w:val="%6."/>
      <w:lvlJc w:val="right"/>
      <w:pPr>
        <w:ind w:left="4320" w:hanging="180"/>
      </w:pPr>
    </w:lvl>
    <w:lvl w:ilvl="6" w:tplc="592686D0">
      <w:start w:val="1"/>
      <w:numFmt w:val="decimal"/>
      <w:lvlText w:val="%7."/>
      <w:lvlJc w:val="left"/>
      <w:pPr>
        <w:ind w:left="5040" w:hanging="360"/>
      </w:pPr>
    </w:lvl>
    <w:lvl w:ilvl="7" w:tplc="5DF4BAC6">
      <w:start w:val="1"/>
      <w:numFmt w:val="lowerLetter"/>
      <w:lvlText w:val="%8."/>
      <w:lvlJc w:val="left"/>
      <w:pPr>
        <w:ind w:left="5760" w:hanging="360"/>
      </w:pPr>
    </w:lvl>
    <w:lvl w:ilvl="8" w:tplc="CFC2D332">
      <w:start w:val="1"/>
      <w:numFmt w:val="lowerRoman"/>
      <w:lvlText w:val="%9."/>
      <w:lvlJc w:val="right"/>
      <w:pPr>
        <w:ind w:left="6480" w:hanging="180"/>
      </w:pPr>
    </w:lvl>
  </w:abstractNum>
  <w:abstractNum w:abstractNumId="38" w15:restartNumberingAfterBreak="0">
    <w:nsid w:val="74CD287D"/>
    <w:multiLevelType w:val="hybridMultilevel"/>
    <w:tmpl w:val="FEC8F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num>
  <w:num w:numId="6">
    <w:abstractNumId w:val="27"/>
  </w:num>
  <w:num w:numId="7">
    <w:abstractNumId w:val="11"/>
  </w:num>
  <w:num w:numId="8">
    <w:abstractNumId w:val="3"/>
  </w:num>
  <w:num w:numId="9">
    <w:abstractNumId w:val="14"/>
  </w:num>
  <w:num w:numId="10">
    <w:abstractNumId w:val="38"/>
  </w:num>
  <w:num w:numId="11">
    <w:abstractNumId w:val="6"/>
  </w:num>
  <w:num w:numId="12">
    <w:abstractNumId w:val="35"/>
  </w:num>
  <w:num w:numId="13">
    <w:abstractNumId w:val="22"/>
  </w:num>
  <w:num w:numId="14">
    <w:abstractNumId w:val="34"/>
  </w:num>
  <w:num w:numId="15">
    <w:abstractNumId w:val="31"/>
  </w:num>
  <w:num w:numId="16">
    <w:abstractNumId w:val="26"/>
  </w:num>
  <w:num w:numId="17">
    <w:abstractNumId w:val="0"/>
  </w:num>
  <w:num w:numId="18">
    <w:abstractNumId w:val="5"/>
  </w:num>
  <w:num w:numId="19">
    <w:abstractNumId w:val="28"/>
  </w:num>
  <w:num w:numId="20">
    <w:abstractNumId w:val="30"/>
  </w:num>
  <w:num w:numId="21">
    <w:abstractNumId w:val="24"/>
  </w:num>
  <w:num w:numId="22">
    <w:abstractNumId w:val="25"/>
  </w:num>
  <w:num w:numId="23">
    <w:abstractNumId w:val="12"/>
  </w:num>
  <w:num w:numId="24">
    <w:abstractNumId w:val="17"/>
  </w:num>
  <w:num w:numId="25">
    <w:abstractNumId w:val="15"/>
  </w:num>
  <w:num w:numId="26">
    <w:abstractNumId w:val="2"/>
  </w:num>
  <w:num w:numId="27">
    <w:abstractNumId w:val="20"/>
  </w:num>
  <w:num w:numId="28">
    <w:abstractNumId w:val="7"/>
  </w:num>
  <w:num w:numId="29">
    <w:abstractNumId w:val="3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6"/>
  </w:num>
  <w:num w:numId="33">
    <w:abstractNumId w:val="19"/>
  </w:num>
  <w:num w:numId="34">
    <w:abstractNumId w:val="21"/>
  </w:num>
  <w:num w:numId="35">
    <w:abstractNumId w:val="23"/>
  </w:num>
  <w:num w:numId="36">
    <w:abstractNumId w:val="18"/>
  </w:num>
  <w:num w:numId="37">
    <w:abstractNumId w:val="13"/>
  </w:num>
  <w:num w:numId="38">
    <w:abstractNumId w:val="16"/>
  </w:num>
  <w:num w:numId="39">
    <w:abstractNumId w:val="1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zBBKWppYGJsaGRko6SsGpxcWZ+XkgBUa1AGtBM+0sAAAA"/>
  </w:docVars>
  <w:rsids>
    <w:rsidRoot w:val="005431DE"/>
    <w:rsid w:val="00000110"/>
    <w:rsid w:val="000010C1"/>
    <w:rsid w:val="00001B46"/>
    <w:rsid w:val="000044A7"/>
    <w:rsid w:val="00005032"/>
    <w:rsid w:val="00013D32"/>
    <w:rsid w:val="00014706"/>
    <w:rsid w:val="00015BAF"/>
    <w:rsid w:val="00023CA1"/>
    <w:rsid w:val="00031F16"/>
    <w:rsid w:val="000348E6"/>
    <w:rsid w:val="00041994"/>
    <w:rsid w:val="000425D6"/>
    <w:rsid w:val="000438BE"/>
    <w:rsid w:val="00044C9E"/>
    <w:rsid w:val="00047FB2"/>
    <w:rsid w:val="000510F8"/>
    <w:rsid w:val="0005175D"/>
    <w:rsid w:val="000558A9"/>
    <w:rsid w:val="000571D2"/>
    <w:rsid w:val="0006205D"/>
    <w:rsid w:val="00066253"/>
    <w:rsid w:val="000672EE"/>
    <w:rsid w:val="0007341A"/>
    <w:rsid w:val="000775B8"/>
    <w:rsid w:val="0008333C"/>
    <w:rsid w:val="00085C2B"/>
    <w:rsid w:val="00090968"/>
    <w:rsid w:val="000976C1"/>
    <w:rsid w:val="000A6341"/>
    <w:rsid w:val="000B1DB2"/>
    <w:rsid w:val="000B63AE"/>
    <w:rsid w:val="000B7EC9"/>
    <w:rsid w:val="000C0D4B"/>
    <w:rsid w:val="000C3A54"/>
    <w:rsid w:val="000C7813"/>
    <w:rsid w:val="000C7D8F"/>
    <w:rsid w:val="000D13CB"/>
    <w:rsid w:val="000D59D7"/>
    <w:rsid w:val="000D5F01"/>
    <w:rsid w:val="000E52E0"/>
    <w:rsid w:val="000F70DB"/>
    <w:rsid w:val="000F7D83"/>
    <w:rsid w:val="00113C17"/>
    <w:rsid w:val="00113FF8"/>
    <w:rsid w:val="001171C5"/>
    <w:rsid w:val="001202A0"/>
    <w:rsid w:val="00121CE7"/>
    <w:rsid w:val="001230CD"/>
    <w:rsid w:val="001238F5"/>
    <w:rsid w:val="001348AC"/>
    <w:rsid w:val="00147737"/>
    <w:rsid w:val="001523A3"/>
    <w:rsid w:val="00161A64"/>
    <w:rsid w:val="00176A29"/>
    <w:rsid w:val="0018541C"/>
    <w:rsid w:val="001863DE"/>
    <w:rsid w:val="00186C25"/>
    <w:rsid w:val="0019206D"/>
    <w:rsid w:val="00193F52"/>
    <w:rsid w:val="001A190F"/>
    <w:rsid w:val="001A7E8D"/>
    <w:rsid w:val="001B1922"/>
    <w:rsid w:val="001B6F05"/>
    <w:rsid w:val="001B7612"/>
    <w:rsid w:val="001B7D11"/>
    <w:rsid w:val="001C0A39"/>
    <w:rsid w:val="001C7E58"/>
    <w:rsid w:val="001D285B"/>
    <w:rsid w:val="001D4886"/>
    <w:rsid w:val="001D6D4D"/>
    <w:rsid w:val="001F293E"/>
    <w:rsid w:val="001F52AD"/>
    <w:rsid w:val="002003EC"/>
    <w:rsid w:val="00202057"/>
    <w:rsid w:val="002038E2"/>
    <w:rsid w:val="00204B1B"/>
    <w:rsid w:val="0020795F"/>
    <w:rsid w:val="00215786"/>
    <w:rsid w:val="00216EF5"/>
    <w:rsid w:val="0022065B"/>
    <w:rsid w:val="00230BD2"/>
    <w:rsid w:val="00234F03"/>
    <w:rsid w:val="00234F79"/>
    <w:rsid w:val="00235966"/>
    <w:rsid w:val="0024244F"/>
    <w:rsid w:val="00244140"/>
    <w:rsid w:val="002464AC"/>
    <w:rsid w:val="00246A09"/>
    <w:rsid w:val="00253662"/>
    <w:rsid w:val="00255A32"/>
    <w:rsid w:val="0026737E"/>
    <w:rsid w:val="0027002D"/>
    <w:rsid w:val="00275577"/>
    <w:rsid w:val="002759B8"/>
    <w:rsid w:val="002801BA"/>
    <w:rsid w:val="00281468"/>
    <w:rsid w:val="0028166F"/>
    <w:rsid w:val="002846D2"/>
    <w:rsid w:val="0029200A"/>
    <w:rsid w:val="00293734"/>
    <w:rsid w:val="0029439E"/>
    <w:rsid w:val="002A0CF6"/>
    <w:rsid w:val="002A431C"/>
    <w:rsid w:val="002A48F3"/>
    <w:rsid w:val="002A59A3"/>
    <w:rsid w:val="002A5F60"/>
    <w:rsid w:val="002A6544"/>
    <w:rsid w:val="002B1B3C"/>
    <w:rsid w:val="002B24D2"/>
    <w:rsid w:val="002B4BCF"/>
    <w:rsid w:val="002B59A6"/>
    <w:rsid w:val="002C5F73"/>
    <w:rsid w:val="002C7AB7"/>
    <w:rsid w:val="002D0059"/>
    <w:rsid w:val="002D4732"/>
    <w:rsid w:val="002D48DE"/>
    <w:rsid w:val="002D6F64"/>
    <w:rsid w:val="002D7147"/>
    <w:rsid w:val="002E0DA9"/>
    <w:rsid w:val="002E4C8D"/>
    <w:rsid w:val="002E6680"/>
    <w:rsid w:val="002E70D1"/>
    <w:rsid w:val="002F3121"/>
    <w:rsid w:val="002F5665"/>
    <w:rsid w:val="002F7B20"/>
    <w:rsid w:val="003002FA"/>
    <w:rsid w:val="00305A07"/>
    <w:rsid w:val="003063AE"/>
    <w:rsid w:val="00311742"/>
    <w:rsid w:val="00314E47"/>
    <w:rsid w:val="003156F7"/>
    <w:rsid w:val="00317A4D"/>
    <w:rsid w:val="00322826"/>
    <w:rsid w:val="00330A82"/>
    <w:rsid w:val="00331141"/>
    <w:rsid w:val="00331B24"/>
    <w:rsid w:val="00332453"/>
    <w:rsid w:val="00335BC5"/>
    <w:rsid w:val="00341FCF"/>
    <w:rsid w:val="00345C79"/>
    <w:rsid w:val="0035391F"/>
    <w:rsid w:val="0035619D"/>
    <w:rsid w:val="00357A43"/>
    <w:rsid w:val="00362BF8"/>
    <w:rsid w:val="003678E1"/>
    <w:rsid w:val="003722EA"/>
    <w:rsid w:val="00372CFE"/>
    <w:rsid w:val="00373EFC"/>
    <w:rsid w:val="00374D43"/>
    <w:rsid w:val="003833D4"/>
    <w:rsid w:val="0038375A"/>
    <w:rsid w:val="0038600B"/>
    <w:rsid w:val="00386A26"/>
    <w:rsid w:val="003901FE"/>
    <w:rsid w:val="00394E55"/>
    <w:rsid w:val="003A5FD9"/>
    <w:rsid w:val="003A6089"/>
    <w:rsid w:val="003A7195"/>
    <w:rsid w:val="003C3DA8"/>
    <w:rsid w:val="003D0A68"/>
    <w:rsid w:val="003D31A8"/>
    <w:rsid w:val="004036DA"/>
    <w:rsid w:val="004067EE"/>
    <w:rsid w:val="004115B3"/>
    <w:rsid w:val="00411CF4"/>
    <w:rsid w:val="0042048C"/>
    <w:rsid w:val="0042050A"/>
    <w:rsid w:val="00423DEB"/>
    <w:rsid w:val="0044537F"/>
    <w:rsid w:val="00445985"/>
    <w:rsid w:val="00446955"/>
    <w:rsid w:val="004512BB"/>
    <w:rsid w:val="00451CB6"/>
    <w:rsid w:val="00451F0F"/>
    <w:rsid w:val="00454FD7"/>
    <w:rsid w:val="00464DDF"/>
    <w:rsid w:val="0046564C"/>
    <w:rsid w:val="00465C86"/>
    <w:rsid w:val="00467FD9"/>
    <w:rsid w:val="004715C8"/>
    <w:rsid w:val="00474F63"/>
    <w:rsid w:val="00475368"/>
    <w:rsid w:val="00481935"/>
    <w:rsid w:val="00481C57"/>
    <w:rsid w:val="004829A6"/>
    <w:rsid w:val="00483496"/>
    <w:rsid w:val="0048529F"/>
    <w:rsid w:val="00485467"/>
    <w:rsid w:val="00494029"/>
    <w:rsid w:val="004A0398"/>
    <w:rsid w:val="004A2F3C"/>
    <w:rsid w:val="004B12C6"/>
    <w:rsid w:val="004B2D57"/>
    <w:rsid w:val="004B4477"/>
    <w:rsid w:val="004B5481"/>
    <w:rsid w:val="004B67FE"/>
    <w:rsid w:val="004B72D4"/>
    <w:rsid w:val="004C37A9"/>
    <w:rsid w:val="004C5238"/>
    <w:rsid w:val="004D0C9C"/>
    <w:rsid w:val="004D3DC0"/>
    <w:rsid w:val="004D6E37"/>
    <w:rsid w:val="004D7AEC"/>
    <w:rsid w:val="004E0652"/>
    <w:rsid w:val="004E1739"/>
    <w:rsid w:val="004E3CA4"/>
    <w:rsid w:val="004E6D19"/>
    <w:rsid w:val="004F0A73"/>
    <w:rsid w:val="005009C8"/>
    <w:rsid w:val="00502FA4"/>
    <w:rsid w:val="0050670F"/>
    <w:rsid w:val="005105F7"/>
    <w:rsid w:val="0051191A"/>
    <w:rsid w:val="0051221A"/>
    <w:rsid w:val="00514581"/>
    <w:rsid w:val="00517C29"/>
    <w:rsid w:val="005252CD"/>
    <w:rsid w:val="00533804"/>
    <w:rsid w:val="00537432"/>
    <w:rsid w:val="005431DE"/>
    <w:rsid w:val="00545FB9"/>
    <w:rsid w:val="00562756"/>
    <w:rsid w:val="00570B3D"/>
    <w:rsid w:val="00572387"/>
    <w:rsid w:val="005726A2"/>
    <w:rsid w:val="0057286A"/>
    <w:rsid w:val="005747E7"/>
    <w:rsid w:val="00580401"/>
    <w:rsid w:val="00581E2A"/>
    <w:rsid w:val="00582F80"/>
    <w:rsid w:val="00586BE1"/>
    <w:rsid w:val="005908D7"/>
    <w:rsid w:val="00595397"/>
    <w:rsid w:val="0059542B"/>
    <w:rsid w:val="005A2AC8"/>
    <w:rsid w:val="005A383A"/>
    <w:rsid w:val="005C038D"/>
    <w:rsid w:val="005C10BC"/>
    <w:rsid w:val="005C2700"/>
    <w:rsid w:val="005C3A22"/>
    <w:rsid w:val="005D079E"/>
    <w:rsid w:val="005D7745"/>
    <w:rsid w:val="005E279C"/>
    <w:rsid w:val="005E44D7"/>
    <w:rsid w:val="005E48A8"/>
    <w:rsid w:val="005F79C1"/>
    <w:rsid w:val="006043EE"/>
    <w:rsid w:val="00605995"/>
    <w:rsid w:val="00606578"/>
    <w:rsid w:val="0060726C"/>
    <w:rsid w:val="006135F4"/>
    <w:rsid w:val="00617202"/>
    <w:rsid w:val="00620D3C"/>
    <w:rsid w:val="00630265"/>
    <w:rsid w:val="00630356"/>
    <w:rsid w:val="00634A48"/>
    <w:rsid w:val="00636C12"/>
    <w:rsid w:val="006531C2"/>
    <w:rsid w:val="00654607"/>
    <w:rsid w:val="00654E96"/>
    <w:rsid w:val="006550DC"/>
    <w:rsid w:val="00656425"/>
    <w:rsid w:val="0065688D"/>
    <w:rsid w:val="006623B4"/>
    <w:rsid w:val="006626DE"/>
    <w:rsid w:val="006656AC"/>
    <w:rsid w:val="006811F9"/>
    <w:rsid w:val="0068151A"/>
    <w:rsid w:val="00682302"/>
    <w:rsid w:val="00682E6F"/>
    <w:rsid w:val="0068318B"/>
    <w:rsid w:val="00691FC9"/>
    <w:rsid w:val="006940A7"/>
    <w:rsid w:val="006A1259"/>
    <w:rsid w:val="006A2082"/>
    <w:rsid w:val="006A5D63"/>
    <w:rsid w:val="006A6ACF"/>
    <w:rsid w:val="006B3A3D"/>
    <w:rsid w:val="006B3E64"/>
    <w:rsid w:val="006C0EDD"/>
    <w:rsid w:val="006C1D2A"/>
    <w:rsid w:val="006C23E3"/>
    <w:rsid w:val="006C274A"/>
    <w:rsid w:val="006C6C78"/>
    <w:rsid w:val="006C751F"/>
    <w:rsid w:val="006C7543"/>
    <w:rsid w:val="006D18F7"/>
    <w:rsid w:val="006D6CE1"/>
    <w:rsid w:val="006D7B7C"/>
    <w:rsid w:val="006E0643"/>
    <w:rsid w:val="006E06FA"/>
    <w:rsid w:val="006E14A4"/>
    <w:rsid w:val="006E641F"/>
    <w:rsid w:val="006E7220"/>
    <w:rsid w:val="006F4090"/>
    <w:rsid w:val="006F45FF"/>
    <w:rsid w:val="006F7501"/>
    <w:rsid w:val="007025E5"/>
    <w:rsid w:val="00703E96"/>
    <w:rsid w:val="00704483"/>
    <w:rsid w:val="00706D34"/>
    <w:rsid w:val="0070770B"/>
    <w:rsid w:val="00712F86"/>
    <w:rsid w:val="0071754D"/>
    <w:rsid w:val="00717EE5"/>
    <w:rsid w:val="007216B1"/>
    <w:rsid w:val="00722536"/>
    <w:rsid w:val="00725896"/>
    <w:rsid w:val="007400C7"/>
    <w:rsid w:val="007409DB"/>
    <w:rsid w:val="00747708"/>
    <w:rsid w:val="00755BAC"/>
    <w:rsid w:val="0075605D"/>
    <w:rsid w:val="00756DF3"/>
    <w:rsid w:val="0077027B"/>
    <w:rsid w:val="007707C6"/>
    <w:rsid w:val="00774FB3"/>
    <w:rsid w:val="00780683"/>
    <w:rsid w:val="00781DC6"/>
    <w:rsid w:val="007951A8"/>
    <w:rsid w:val="007963FA"/>
    <w:rsid w:val="007B7CE8"/>
    <w:rsid w:val="007C1B3C"/>
    <w:rsid w:val="007C45FE"/>
    <w:rsid w:val="007D138D"/>
    <w:rsid w:val="007D1A82"/>
    <w:rsid w:val="007D4DA5"/>
    <w:rsid w:val="007D5D3C"/>
    <w:rsid w:val="007E0669"/>
    <w:rsid w:val="007E232F"/>
    <w:rsid w:val="007E6373"/>
    <w:rsid w:val="007F567B"/>
    <w:rsid w:val="007F5AC8"/>
    <w:rsid w:val="007F5F33"/>
    <w:rsid w:val="0080095F"/>
    <w:rsid w:val="00802193"/>
    <w:rsid w:val="00817877"/>
    <w:rsid w:val="0082178B"/>
    <w:rsid w:val="00826AE6"/>
    <w:rsid w:val="008277A4"/>
    <w:rsid w:val="008335A8"/>
    <w:rsid w:val="00835DCF"/>
    <w:rsid w:val="00836771"/>
    <w:rsid w:val="008544C3"/>
    <w:rsid w:val="008567EB"/>
    <w:rsid w:val="00862F64"/>
    <w:rsid w:val="008640EB"/>
    <w:rsid w:val="0086497D"/>
    <w:rsid w:val="00864E91"/>
    <w:rsid w:val="00866A17"/>
    <w:rsid w:val="00877CA6"/>
    <w:rsid w:val="008916CF"/>
    <w:rsid w:val="00896A41"/>
    <w:rsid w:val="008B22CC"/>
    <w:rsid w:val="008B2334"/>
    <w:rsid w:val="008B4B1E"/>
    <w:rsid w:val="008C1E4D"/>
    <w:rsid w:val="008C5CB9"/>
    <w:rsid w:val="008D2E83"/>
    <w:rsid w:val="008D301D"/>
    <w:rsid w:val="008D7EC4"/>
    <w:rsid w:val="008E3940"/>
    <w:rsid w:val="008E647D"/>
    <w:rsid w:val="008F0026"/>
    <w:rsid w:val="008F459A"/>
    <w:rsid w:val="008F4AE8"/>
    <w:rsid w:val="00902DB7"/>
    <w:rsid w:val="00905730"/>
    <w:rsid w:val="00907A04"/>
    <w:rsid w:val="009109CA"/>
    <w:rsid w:val="00922C5B"/>
    <w:rsid w:val="009243DA"/>
    <w:rsid w:val="00925A29"/>
    <w:rsid w:val="00930209"/>
    <w:rsid w:val="009342D3"/>
    <w:rsid w:val="00934719"/>
    <w:rsid w:val="00936D98"/>
    <w:rsid w:val="0093785F"/>
    <w:rsid w:val="00942DE0"/>
    <w:rsid w:val="009433A0"/>
    <w:rsid w:val="009474A4"/>
    <w:rsid w:val="00963CC2"/>
    <w:rsid w:val="0097073C"/>
    <w:rsid w:val="00971FC4"/>
    <w:rsid w:val="009731AD"/>
    <w:rsid w:val="00973D6A"/>
    <w:rsid w:val="00980CE2"/>
    <w:rsid w:val="00980FC8"/>
    <w:rsid w:val="009814B1"/>
    <w:rsid w:val="0099360F"/>
    <w:rsid w:val="00993DD0"/>
    <w:rsid w:val="009A7C89"/>
    <w:rsid w:val="009B2682"/>
    <w:rsid w:val="009B2F49"/>
    <w:rsid w:val="009C6D3D"/>
    <w:rsid w:val="009E2136"/>
    <w:rsid w:val="009E5D18"/>
    <w:rsid w:val="009E5F3C"/>
    <w:rsid w:val="009F03C7"/>
    <w:rsid w:val="009F347C"/>
    <w:rsid w:val="009F4FD1"/>
    <w:rsid w:val="009F52BC"/>
    <w:rsid w:val="009F634D"/>
    <w:rsid w:val="009F72FB"/>
    <w:rsid w:val="00A02B8B"/>
    <w:rsid w:val="00A05281"/>
    <w:rsid w:val="00A141A7"/>
    <w:rsid w:val="00A15736"/>
    <w:rsid w:val="00A16051"/>
    <w:rsid w:val="00A22104"/>
    <w:rsid w:val="00A23829"/>
    <w:rsid w:val="00A47974"/>
    <w:rsid w:val="00A5532B"/>
    <w:rsid w:val="00A5608C"/>
    <w:rsid w:val="00A71714"/>
    <w:rsid w:val="00A72E29"/>
    <w:rsid w:val="00A7320D"/>
    <w:rsid w:val="00A7650C"/>
    <w:rsid w:val="00A84705"/>
    <w:rsid w:val="00A85A11"/>
    <w:rsid w:val="00A8615D"/>
    <w:rsid w:val="00A90E47"/>
    <w:rsid w:val="00A96F87"/>
    <w:rsid w:val="00AA1256"/>
    <w:rsid w:val="00AA737E"/>
    <w:rsid w:val="00AB2881"/>
    <w:rsid w:val="00AB2F15"/>
    <w:rsid w:val="00AB3000"/>
    <w:rsid w:val="00AB78F3"/>
    <w:rsid w:val="00AC35EB"/>
    <w:rsid w:val="00AC67E1"/>
    <w:rsid w:val="00AD0E22"/>
    <w:rsid w:val="00AD1BD3"/>
    <w:rsid w:val="00AD2258"/>
    <w:rsid w:val="00AE15C8"/>
    <w:rsid w:val="00AE3607"/>
    <w:rsid w:val="00AF1C51"/>
    <w:rsid w:val="00AF29BC"/>
    <w:rsid w:val="00AF43B6"/>
    <w:rsid w:val="00AF536F"/>
    <w:rsid w:val="00AF5A26"/>
    <w:rsid w:val="00AF6267"/>
    <w:rsid w:val="00AF7900"/>
    <w:rsid w:val="00B008E6"/>
    <w:rsid w:val="00B1019D"/>
    <w:rsid w:val="00B16B56"/>
    <w:rsid w:val="00B20A06"/>
    <w:rsid w:val="00B216DC"/>
    <w:rsid w:val="00B247AC"/>
    <w:rsid w:val="00B26465"/>
    <w:rsid w:val="00B26AF1"/>
    <w:rsid w:val="00B27E3A"/>
    <w:rsid w:val="00B36552"/>
    <w:rsid w:val="00B36803"/>
    <w:rsid w:val="00B42CEC"/>
    <w:rsid w:val="00B4372D"/>
    <w:rsid w:val="00B44FC5"/>
    <w:rsid w:val="00B50484"/>
    <w:rsid w:val="00B5070E"/>
    <w:rsid w:val="00B60685"/>
    <w:rsid w:val="00B63FA6"/>
    <w:rsid w:val="00B672F9"/>
    <w:rsid w:val="00B71480"/>
    <w:rsid w:val="00B723AD"/>
    <w:rsid w:val="00B737AF"/>
    <w:rsid w:val="00B83670"/>
    <w:rsid w:val="00B84397"/>
    <w:rsid w:val="00B8629D"/>
    <w:rsid w:val="00B87CEA"/>
    <w:rsid w:val="00B9128F"/>
    <w:rsid w:val="00B9606E"/>
    <w:rsid w:val="00B978B0"/>
    <w:rsid w:val="00BA1EF6"/>
    <w:rsid w:val="00BA53BB"/>
    <w:rsid w:val="00BA7E59"/>
    <w:rsid w:val="00BC1010"/>
    <w:rsid w:val="00BC2345"/>
    <w:rsid w:val="00BD1376"/>
    <w:rsid w:val="00BD1BBB"/>
    <w:rsid w:val="00BD3BF0"/>
    <w:rsid w:val="00BD451C"/>
    <w:rsid w:val="00BD5F98"/>
    <w:rsid w:val="00BE0C10"/>
    <w:rsid w:val="00BE2151"/>
    <w:rsid w:val="00BE5043"/>
    <w:rsid w:val="00BE7E8F"/>
    <w:rsid w:val="00BF028A"/>
    <w:rsid w:val="00BF3B21"/>
    <w:rsid w:val="00BF46F2"/>
    <w:rsid w:val="00C00057"/>
    <w:rsid w:val="00C048FC"/>
    <w:rsid w:val="00C11486"/>
    <w:rsid w:val="00C11806"/>
    <w:rsid w:val="00C1222E"/>
    <w:rsid w:val="00C26582"/>
    <w:rsid w:val="00C26C9D"/>
    <w:rsid w:val="00C3495B"/>
    <w:rsid w:val="00C358C4"/>
    <w:rsid w:val="00C36820"/>
    <w:rsid w:val="00C41978"/>
    <w:rsid w:val="00C42BD9"/>
    <w:rsid w:val="00C44602"/>
    <w:rsid w:val="00C45EEA"/>
    <w:rsid w:val="00C5098B"/>
    <w:rsid w:val="00C54D2E"/>
    <w:rsid w:val="00C6063E"/>
    <w:rsid w:val="00C71090"/>
    <w:rsid w:val="00C75065"/>
    <w:rsid w:val="00C77FD5"/>
    <w:rsid w:val="00C82025"/>
    <w:rsid w:val="00C87CAC"/>
    <w:rsid w:val="00C901FA"/>
    <w:rsid w:val="00CA2D51"/>
    <w:rsid w:val="00CA381E"/>
    <w:rsid w:val="00CA52D4"/>
    <w:rsid w:val="00CA681E"/>
    <w:rsid w:val="00CA7B76"/>
    <w:rsid w:val="00CB085B"/>
    <w:rsid w:val="00CB3359"/>
    <w:rsid w:val="00CB7159"/>
    <w:rsid w:val="00CB7D4F"/>
    <w:rsid w:val="00CC68A9"/>
    <w:rsid w:val="00CC7D1C"/>
    <w:rsid w:val="00CD02E5"/>
    <w:rsid w:val="00CD3028"/>
    <w:rsid w:val="00CD508B"/>
    <w:rsid w:val="00CD7177"/>
    <w:rsid w:val="00CD75D8"/>
    <w:rsid w:val="00CE2147"/>
    <w:rsid w:val="00CE3904"/>
    <w:rsid w:val="00CE3F49"/>
    <w:rsid w:val="00CE4216"/>
    <w:rsid w:val="00CE5795"/>
    <w:rsid w:val="00CE66E3"/>
    <w:rsid w:val="00CF0D6F"/>
    <w:rsid w:val="00CF0D70"/>
    <w:rsid w:val="00CF1F3A"/>
    <w:rsid w:val="00CF2ED1"/>
    <w:rsid w:val="00CF6E82"/>
    <w:rsid w:val="00CF7BE2"/>
    <w:rsid w:val="00D021B1"/>
    <w:rsid w:val="00D05CEC"/>
    <w:rsid w:val="00D15416"/>
    <w:rsid w:val="00D171B2"/>
    <w:rsid w:val="00D20F26"/>
    <w:rsid w:val="00D21ADE"/>
    <w:rsid w:val="00D21FF3"/>
    <w:rsid w:val="00D3441B"/>
    <w:rsid w:val="00D43404"/>
    <w:rsid w:val="00D443D7"/>
    <w:rsid w:val="00D53304"/>
    <w:rsid w:val="00D5589F"/>
    <w:rsid w:val="00D60425"/>
    <w:rsid w:val="00D60C0A"/>
    <w:rsid w:val="00D66D5C"/>
    <w:rsid w:val="00D66D68"/>
    <w:rsid w:val="00D66F1D"/>
    <w:rsid w:val="00D70E03"/>
    <w:rsid w:val="00D73940"/>
    <w:rsid w:val="00D76294"/>
    <w:rsid w:val="00D82949"/>
    <w:rsid w:val="00D830D5"/>
    <w:rsid w:val="00D964E1"/>
    <w:rsid w:val="00DA4A73"/>
    <w:rsid w:val="00DA5CA8"/>
    <w:rsid w:val="00DB59E8"/>
    <w:rsid w:val="00DC124A"/>
    <w:rsid w:val="00DC546F"/>
    <w:rsid w:val="00DC6705"/>
    <w:rsid w:val="00DD17B1"/>
    <w:rsid w:val="00DE19B9"/>
    <w:rsid w:val="00DE2D92"/>
    <w:rsid w:val="00DE5751"/>
    <w:rsid w:val="00DE60EF"/>
    <w:rsid w:val="00DF0591"/>
    <w:rsid w:val="00DF4445"/>
    <w:rsid w:val="00DF52F3"/>
    <w:rsid w:val="00DF5BFB"/>
    <w:rsid w:val="00E05964"/>
    <w:rsid w:val="00E102E1"/>
    <w:rsid w:val="00E11D62"/>
    <w:rsid w:val="00E14D18"/>
    <w:rsid w:val="00E163B6"/>
    <w:rsid w:val="00E21674"/>
    <w:rsid w:val="00E23781"/>
    <w:rsid w:val="00E23F9D"/>
    <w:rsid w:val="00E258A9"/>
    <w:rsid w:val="00E267E6"/>
    <w:rsid w:val="00E31018"/>
    <w:rsid w:val="00E32F40"/>
    <w:rsid w:val="00E37392"/>
    <w:rsid w:val="00E37885"/>
    <w:rsid w:val="00E4258B"/>
    <w:rsid w:val="00E4369F"/>
    <w:rsid w:val="00E51820"/>
    <w:rsid w:val="00E55791"/>
    <w:rsid w:val="00E56CA5"/>
    <w:rsid w:val="00E576BC"/>
    <w:rsid w:val="00E6375F"/>
    <w:rsid w:val="00E729CB"/>
    <w:rsid w:val="00E7337B"/>
    <w:rsid w:val="00E75D13"/>
    <w:rsid w:val="00E80135"/>
    <w:rsid w:val="00E8380C"/>
    <w:rsid w:val="00E87D94"/>
    <w:rsid w:val="00E93227"/>
    <w:rsid w:val="00E965C9"/>
    <w:rsid w:val="00E9725A"/>
    <w:rsid w:val="00EA2A4D"/>
    <w:rsid w:val="00EA450B"/>
    <w:rsid w:val="00EA4F6A"/>
    <w:rsid w:val="00EA50E3"/>
    <w:rsid w:val="00EB25A8"/>
    <w:rsid w:val="00ED6495"/>
    <w:rsid w:val="00ED6529"/>
    <w:rsid w:val="00ED6B39"/>
    <w:rsid w:val="00EE2DE0"/>
    <w:rsid w:val="00EE53B0"/>
    <w:rsid w:val="00EE59B7"/>
    <w:rsid w:val="00EE5BE8"/>
    <w:rsid w:val="00EF2D36"/>
    <w:rsid w:val="00EF43E0"/>
    <w:rsid w:val="00F06079"/>
    <w:rsid w:val="00F06B3C"/>
    <w:rsid w:val="00F1427A"/>
    <w:rsid w:val="00F14584"/>
    <w:rsid w:val="00F15F9A"/>
    <w:rsid w:val="00F16B23"/>
    <w:rsid w:val="00F34B0F"/>
    <w:rsid w:val="00F35B9E"/>
    <w:rsid w:val="00F4079B"/>
    <w:rsid w:val="00F44312"/>
    <w:rsid w:val="00F51687"/>
    <w:rsid w:val="00F51EDC"/>
    <w:rsid w:val="00F5289C"/>
    <w:rsid w:val="00F63F75"/>
    <w:rsid w:val="00F640F9"/>
    <w:rsid w:val="00F731ED"/>
    <w:rsid w:val="00F73ABF"/>
    <w:rsid w:val="00F76294"/>
    <w:rsid w:val="00F768B5"/>
    <w:rsid w:val="00F83331"/>
    <w:rsid w:val="00F85E68"/>
    <w:rsid w:val="00F87820"/>
    <w:rsid w:val="00F879FC"/>
    <w:rsid w:val="00F90108"/>
    <w:rsid w:val="00F90310"/>
    <w:rsid w:val="00F92735"/>
    <w:rsid w:val="00F94540"/>
    <w:rsid w:val="00F95B75"/>
    <w:rsid w:val="00FA4D64"/>
    <w:rsid w:val="00FA674E"/>
    <w:rsid w:val="00FB15EE"/>
    <w:rsid w:val="00FB1A52"/>
    <w:rsid w:val="00FB377D"/>
    <w:rsid w:val="00FB53A0"/>
    <w:rsid w:val="00FC1DF1"/>
    <w:rsid w:val="00FD273B"/>
    <w:rsid w:val="00FD352B"/>
    <w:rsid w:val="00FF30D5"/>
    <w:rsid w:val="00FF7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5364E"/>
  <w15:chartTrackingRefBased/>
  <w15:docId w15:val="{4B686864-757F-4E34-89CE-A1F4C35B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Strong" w:qFormat="1"/>
    <w:lsdException w:name="Emphasis" w:qFormat="1"/>
    <w:lsdException w:name="HTML Keyboard" w:semiHidden="1" w:unhideWhenUsed="1"/>
    <w:lsdException w:name="HTML Variable"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BE21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E32F40"/>
    <w:pPr>
      <w:keepNext/>
      <w:autoSpaceDE w:val="0"/>
      <w:autoSpaceDN w:val="0"/>
      <w:spacing w:before="600" w:after="240"/>
      <w:outlineLvl w:val="1"/>
    </w:pPr>
    <w:rPr>
      <w:b/>
      <w:bCs/>
      <w:sz w:val="28"/>
      <w:szCs w:val="28"/>
    </w:rPr>
  </w:style>
  <w:style w:type="paragraph" w:styleId="Nadpis3">
    <w:name w:val="heading 3"/>
    <w:basedOn w:val="Normln"/>
    <w:next w:val="Normln"/>
    <w:link w:val="Nadpis3Char"/>
    <w:semiHidden/>
    <w:unhideWhenUsed/>
    <w:qFormat/>
    <w:rsid w:val="00B737AF"/>
    <w:pPr>
      <w:keepNext/>
      <w:keepLines/>
      <w:spacing w:before="40"/>
      <w:outlineLvl w:val="2"/>
    </w:pPr>
    <w:rPr>
      <w:rFonts w:asciiTheme="majorHAnsi" w:eastAsiaTheme="majorEastAsia" w:hAnsiTheme="majorHAnsi" w:cstheme="majorBidi"/>
      <w:color w:val="1F4D78" w:themeColor="accent1" w:themeShade="7F"/>
    </w:rPr>
  </w:style>
  <w:style w:type="paragraph" w:styleId="Nadpis5">
    <w:name w:val="heading 5"/>
    <w:basedOn w:val="Normln"/>
    <w:next w:val="Normln"/>
    <w:link w:val="Nadpis5Char"/>
    <w:unhideWhenUsed/>
    <w:qFormat/>
    <w:rsid w:val="004D0C9C"/>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9814B1"/>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rsid w:val="00E32F40"/>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4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ln"/>
    <w:next w:val="Textodstavce"/>
    <w:rsid w:val="00FD273B"/>
    <w:pPr>
      <w:keepNext/>
      <w:keepLines/>
      <w:spacing w:before="240"/>
      <w:jc w:val="center"/>
      <w:outlineLvl w:val="5"/>
    </w:pPr>
    <w:rPr>
      <w:szCs w:val="20"/>
    </w:rPr>
  </w:style>
  <w:style w:type="paragraph" w:customStyle="1" w:styleId="Textodstavce">
    <w:name w:val="Text odstavce"/>
    <w:basedOn w:val="Normln"/>
    <w:rsid w:val="00FD273B"/>
    <w:pPr>
      <w:tabs>
        <w:tab w:val="left" w:pos="851"/>
      </w:tabs>
      <w:spacing w:before="120" w:after="120"/>
      <w:jc w:val="both"/>
      <w:outlineLvl w:val="6"/>
    </w:pPr>
    <w:rPr>
      <w:szCs w:val="20"/>
    </w:rPr>
  </w:style>
  <w:style w:type="paragraph" w:customStyle="1" w:styleId="Nadpisparagrafu">
    <w:name w:val="Nadpis paragrafu"/>
    <w:basedOn w:val="Paragraf"/>
    <w:next w:val="Textodstavce"/>
    <w:rsid w:val="00FD273B"/>
    <w:rPr>
      <w:b/>
    </w:rPr>
  </w:style>
  <w:style w:type="character" w:customStyle="1" w:styleId="Nadpis2Char">
    <w:name w:val="Nadpis 2 Char"/>
    <w:link w:val="Nadpis2"/>
    <w:rsid w:val="00E32F40"/>
    <w:rPr>
      <w:b/>
      <w:bCs/>
      <w:sz w:val="28"/>
      <w:szCs w:val="28"/>
    </w:rPr>
  </w:style>
  <w:style w:type="character" w:customStyle="1" w:styleId="Nadpis7Char">
    <w:name w:val="Nadpis 7 Char"/>
    <w:link w:val="Nadpis7"/>
    <w:semiHidden/>
    <w:rsid w:val="00E32F40"/>
    <w:rPr>
      <w:rFonts w:ascii="Calibri" w:eastAsia="Times New Roman" w:hAnsi="Calibri" w:cs="Times New Roman"/>
      <w:sz w:val="24"/>
      <w:szCs w:val="24"/>
    </w:rPr>
  </w:style>
  <w:style w:type="paragraph" w:styleId="Zhlav">
    <w:name w:val="header"/>
    <w:basedOn w:val="Normln"/>
    <w:link w:val="ZhlavChar"/>
    <w:rsid w:val="004B5481"/>
    <w:pPr>
      <w:tabs>
        <w:tab w:val="center" w:pos="4536"/>
        <w:tab w:val="right" w:pos="9072"/>
      </w:tabs>
    </w:pPr>
  </w:style>
  <w:style w:type="character" w:customStyle="1" w:styleId="ZhlavChar">
    <w:name w:val="Záhlaví Char"/>
    <w:link w:val="Zhlav"/>
    <w:rsid w:val="004B5481"/>
    <w:rPr>
      <w:sz w:val="24"/>
      <w:szCs w:val="24"/>
    </w:rPr>
  </w:style>
  <w:style w:type="paragraph" w:styleId="Zpat">
    <w:name w:val="footer"/>
    <w:basedOn w:val="Normln"/>
    <w:link w:val="ZpatChar"/>
    <w:uiPriority w:val="99"/>
    <w:rsid w:val="004B5481"/>
    <w:pPr>
      <w:tabs>
        <w:tab w:val="center" w:pos="4536"/>
        <w:tab w:val="right" w:pos="9072"/>
      </w:tabs>
    </w:pPr>
  </w:style>
  <w:style w:type="character" w:customStyle="1" w:styleId="ZpatChar">
    <w:name w:val="Zápatí Char"/>
    <w:link w:val="Zpat"/>
    <w:uiPriority w:val="99"/>
    <w:rsid w:val="004B5481"/>
    <w:rPr>
      <w:sz w:val="24"/>
      <w:szCs w:val="24"/>
    </w:rPr>
  </w:style>
  <w:style w:type="paragraph" w:styleId="Textbubliny">
    <w:name w:val="Balloon Text"/>
    <w:basedOn w:val="Normln"/>
    <w:link w:val="TextbublinyChar"/>
    <w:rsid w:val="00907A04"/>
    <w:rPr>
      <w:rFonts w:ascii="Segoe UI" w:hAnsi="Segoe UI" w:cs="Segoe UI"/>
      <w:sz w:val="18"/>
      <w:szCs w:val="18"/>
    </w:rPr>
  </w:style>
  <w:style w:type="character" w:customStyle="1" w:styleId="TextbublinyChar">
    <w:name w:val="Text bubliny Char"/>
    <w:basedOn w:val="Standardnpsmoodstavce"/>
    <w:link w:val="Textbubliny"/>
    <w:rsid w:val="00907A04"/>
    <w:rPr>
      <w:rFonts w:ascii="Segoe UI" w:hAnsi="Segoe UI" w:cs="Segoe UI"/>
      <w:sz w:val="18"/>
      <w:szCs w:val="18"/>
    </w:rPr>
  </w:style>
  <w:style w:type="paragraph" w:customStyle="1" w:styleId="novelizanbod">
    <w:name w:val="novelizační bod"/>
    <w:basedOn w:val="Normln"/>
    <w:rsid w:val="00EA50E3"/>
    <w:pPr>
      <w:tabs>
        <w:tab w:val="left" w:pos="357"/>
      </w:tabs>
      <w:spacing w:before="120"/>
    </w:pPr>
    <w:rPr>
      <w:noProof/>
    </w:rPr>
  </w:style>
  <w:style w:type="paragraph" w:customStyle="1" w:styleId="psmeno">
    <w:name w:val="písmeno"/>
    <w:basedOn w:val="slovanseznam"/>
    <w:rsid w:val="0038600B"/>
    <w:pPr>
      <w:numPr>
        <w:numId w:val="0"/>
      </w:numPr>
      <w:tabs>
        <w:tab w:val="left" w:pos="357"/>
      </w:tabs>
      <w:ind w:left="357" w:hanging="357"/>
      <w:contextualSpacing w:val="0"/>
      <w:jc w:val="both"/>
    </w:pPr>
    <w:rPr>
      <w:noProof/>
      <w:lang w:val="en-US"/>
    </w:rPr>
  </w:style>
  <w:style w:type="paragraph" w:styleId="slovanseznam">
    <w:name w:val="List Number"/>
    <w:basedOn w:val="Normln"/>
    <w:rsid w:val="0038600B"/>
    <w:pPr>
      <w:numPr>
        <w:numId w:val="3"/>
      </w:numPr>
      <w:contextualSpacing/>
    </w:pPr>
  </w:style>
  <w:style w:type="paragraph" w:customStyle="1" w:styleId="odstavec">
    <w:name w:val="odstavec"/>
    <w:basedOn w:val="Normln"/>
    <w:uiPriority w:val="99"/>
    <w:rsid w:val="006043EE"/>
    <w:pPr>
      <w:spacing w:before="120"/>
      <w:ind w:firstLine="482"/>
      <w:jc w:val="both"/>
    </w:pPr>
    <w:rPr>
      <w:noProof/>
    </w:r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iPriority w:val="99"/>
    <w:rsid w:val="00902DB7"/>
    <w:rPr>
      <w:noProof/>
      <w:sz w:val="20"/>
      <w:szCs w:val="20"/>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uiPriority w:val="99"/>
    <w:qFormat/>
    <w:rsid w:val="00902DB7"/>
    <w:rPr>
      <w:noProof/>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902DB7"/>
    <w:rPr>
      <w:vertAlign w:val="superscript"/>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253662"/>
    <w:pPr>
      <w:ind w:left="720"/>
      <w:contextualSpacing/>
    </w:pPr>
  </w:style>
  <w:style w:type="paragraph" w:customStyle="1" w:styleId="Odst">
    <w:name w:val="Odst."/>
    <w:basedOn w:val="Normln"/>
    <w:qFormat/>
    <w:rsid w:val="00DE19B9"/>
    <w:pPr>
      <w:spacing w:before="120" w:after="180"/>
      <w:ind w:left="567" w:hanging="567"/>
      <w:jc w:val="both"/>
    </w:pPr>
    <w:rPr>
      <w:szCs w:val="22"/>
    </w:rPr>
  </w:style>
  <w:style w:type="paragraph" w:customStyle="1" w:styleId="psm">
    <w:name w:val="písm."/>
    <w:basedOn w:val="Odst"/>
    <w:qFormat/>
    <w:rsid w:val="00DE19B9"/>
    <w:pPr>
      <w:ind w:hanging="283"/>
    </w:pPr>
  </w:style>
  <w:style w:type="character" w:customStyle="1" w:styleId="Nadpis1Char">
    <w:name w:val="Nadpis 1 Char"/>
    <w:basedOn w:val="Standardnpsmoodstavce"/>
    <w:link w:val="Nadpis1"/>
    <w:rsid w:val="00BE2151"/>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rsid w:val="00B737AF"/>
    <w:rPr>
      <w:rFonts w:asciiTheme="majorHAnsi" w:eastAsiaTheme="majorEastAsia" w:hAnsiTheme="majorHAnsi" w:cstheme="majorBidi"/>
      <w:color w:val="1F4D78" w:themeColor="accent1" w:themeShade="7F"/>
      <w:sz w:val="24"/>
      <w:szCs w:val="24"/>
    </w:rPr>
  </w:style>
  <w:style w:type="paragraph" w:customStyle="1" w:styleId="dl">
    <w:name w:val="díl"/>
    <w:basedOn w:val="Normln"/>
    <w:next w:val="Normln"/>
    <w:rsid w:val="00B737AF"/>
    <w:pPr>
      <w:keepNext/>
      <w:spacing w:before="240"/>
      <w:jc w:val="center"/>
      <w:outlineLvl w:val="2"/>
    </w:pPr>
    <w:rPr>
      <w:noProof/>
    </w:rPr>
  </w:style>
  <w:style w:type="character" w:styleId="PromnnHTML">
    <w:name w:val="HTML Variable"/>
    <w:basedOn w:val="Standardnpsmoodstavce"/>
    <w:uiPriority w:val="99"/>
    <w:unhideWhenUsed/>
    <w:rsid w:val="005A383A"/>
    <w:rPr>
      <w:i/>
      <w:iCs/>
    </w:rPr>
  </w:style>
  <w:style w:type="character" w:styleId="Odkaznakoment">
    <w:name w:val="annotation reference"/>
    <w:basedOn w:val="Standardnpsmoodstavce"/>
    <w:uiPriority w:val="99"/>
    <w:rsid w:val="00B1019D"/>
    <w:rPr>
      <w:sz w:val="16"/>
      <w:szCs w:val="16"/>
    </w:rPr>
  </w:style>
  <w:style w:type="paragraph" w:styleId="Textkomente">
    <w:name w:val="annotation text"/>
    <w:basedOn w:val="Normln"/>
    <w:link w:val="TextkomenteChar"/>
    <w:uiPriority w:val="99"/>
    <w:rsid w:val="00B1019D"/>
    <w:rPr>
      <w:sz w:val="20"/>
      <w:szCs w:val="20"/>
    </w:rPr>
  </w:style>
  <w:style w:type="character" w:customStyle="1" w:styleId="TextkomenteChar">
    <w:name w:val="Text komentáře Char"/>
    <w:basedOn w:val="Standardnpsmoodstavce"/>
    <w:link w:val="Textkomente"/>
    <w:uiPriority w:val="99"/>
    <w:rsid w:val="00B1019D"/>
  </w:style>
  <w:style w:type="paragraph" w:styleId="Pedmtkomente">
    <w:name w:val="annotation subject"/>
    <w:basedOn w:val="Textkomente"/>
    <w:next w:val="Textkomente"/>
    <w:link w:val="PedmtkomenteChar"/>
    <w:semiHidden/>
    <w:unhideWhenUsed/>
    <w:rsid w:val="00B1019D"/>
    <w:rPr>
      <w:b/>
      <w:bCs/>
    </w:rPr>
  </w:style>
  <w:style w:type="character" w:customStyle="1" w:styleId="PedmtkomenteChar">
    <w:name w:val="Předmět komentáře Char"/>
    <w:basedOn w:val="TextkomenteChar"/>
    <w:link w:val="Pedmtkomente"/>
    <w:semiHidden/>
    <w:rsid w:val="00B1019D"/>
    <w:rPr>
      <w:b/>
      <w:bCs/>
    </w:rPr>
  </w:style>
  <w:style w:type="paragraph" w:customStyle="1" w:styleId="CM4">
    <w:name w:val="CM4"/>
    <w:basedOn w:val="Normln"/>
    <w:next w:val="Normln"/>
    <w:rsid w:val="0042048C"/>
    <w:pPr>
      <w:autoSpaceDE w:val="0"/>
      <w:autoSpaceDN w:val="0"/>
      <w:adjustRightInd w:val="0"/>
    </w:pPr>
    <w:rPr>
      <w:rFonts w:ascii="EUAlbertina" w:hAnsi="EUAlbertina"/>
    </w:rPr>
  </w:style>
  <w:style w:type="paragraph" w:styleId="Nzev">
    <w:name w:val="Title"/>
    <w:aliases w:val="PARAGRAF"/>
    <w:basedOn w:val="Normln"/>
    <w:next w:val="Normln"/>
    <w:link w:val="NzevChar"/>
    <w:uiPriority w:val="10"/>
    <w:qFormat/>
    <w:rsid w:val="001863DE"/>
    <w:pPr>
      <w:contextualSpacing/>
    </w:pPr>
    <w:rPr>
      <w:rFonts w:ascii="Calibri" w:eastAsiaTheme="majorEastAsia" w:hAnsi="Calibri" w:cstheme="majorBidi"/>
      <w:spacing w:val="-10"/>
      <w:kern w:val="28"/>
      <w:sz w:val="56"/>
      <w:szCs w:val="56"/>
      <w:lang w:eastAsia="en-US"/>
    </w:rPr>
  </w:style>
  <w:style w:type="character" w:customStyle="1" w:styleId="NzevChar">
    <w:name w:val="Název Char"/>
    <w:aliases w:val="PARAGRAF Char"/>
    <w:basedOn w:val="Standardnpsmoodstavce"/>
    <w:link w:val="Nzev"/>
    <w:uiPriority w:val="10"/>
    <w:rsid w:val="001863DE"/>
    <w:rPr>
      <w:rFonts w:ascii="Calibri" w:eastAsiaTheme="majorEastAsia" w:hAnsi="Calibri" w:cstheme="majorBidi"/>
      <w:spacing w:val="-10"/>
      <w:kern w:val="28"/>
      <w:sz w:val="56"/>
      <w:szCs w:val="56"/>
      <w:lang w:eastAsia="en-US"/>
    </w:rPr>
  </w:style>
  <w:style w:type="character" w:customStyle="1" w:styleId="bold">
    <w:name w:val="bold"/>
    <w:basedOn w:val="Standardnpsmoodstavce"/>
    <w:rsid w:val="004D6E37"/>
    <w:rPr>
      <w:b/>
      <w:bCs/>
    </w:rPr>
  </w:style>
  <w:style w:type="paragraph" w:customStyle="1" w:styleId="paragraph">
    <w:name w:val="paragraph"/>
    <w:basedOn w:val="Normln"/>
    <w:rsid w:val="00A96F87"/>
    <w:pPr>
      <w:spacing w:before="100" w:beforeAutospacing="1" w:after="100" w:afterAutospacing="1"/>
    </w:pPr>
  </w:style>
  <w:style w:type="character" w:customStyle="1" w:styleId="normaltextrun">
    <w:name w:val="normaltextrun"/>
    <w:basedOn w:val="Standardnpsmoodstavce"/>
    <w:rsid w:val="00A96F87"/>
  </w:style>
  <w:style w:type="character" w:customStyle="1" w:styleId="eop">
    <w:name w:val="eop"/>
    <w:basedOn w:val="Standardnpsmoodstavce"/>
    <w:rsid w:val="00A96F87"/>
  </w:style>
  <w:style w:type="character" w:customStyle="1" w:styleId="spellingerror">
    <w:name w:val="spellingerror"/>
    <w:basedOn w:val="Standardnpsmoodstavce"/>
    <w:rsid w:val="00A96F87"/>
  </w:style>
  <w:style w:type="paragraph" w:customStyle="1" w:styleId="l4">
    <w:name w:val="l4"/>
    <w:basedOn w:val="Normln"/>
    <w:qFormat/>
    <w:rsid w:val="00A8615D"/>
    <w:pPr>
      <w:spacing w:before="100" w:beforeAutospacing="1" w:after="100" w:afterAutospacing="1"/>
    </w:pPr>
  </w:style>
  <w:style w:type="paragraph" w:customStyle="1" w:styleId="l5">
    <w:name w:val="l5"/>
    <w:basedOn w:val="Normln"/>
    <w:rsid w:val="00A8615D"/>
    <w:pPr>
      <w:spacing w:before="100" w:beforeAutospacing="1" w:after="100" w:afterAutospacing="1"/>
    </w:pPr>
  </w:style>
  <w:style w:type="character" w:customStyle="1" w:styleId="WW8Num2z1">
    <w:name w:val="WW8Num2z1"/>
    <w:rsid w:val="00E23781"/>
  </w:style>
  <w:style w:type="character" w:customStyle="1" w:styleId="WW8Num1z2">
    <w:name w:val="WW8Num1z2"/>
    <w:rsid w:val="00E23781"/>
  </w:style>
  <w:style w:type="character" w:customStyle="1" w:styleId="WW8Num2z6">
    <w:name w:val="WW8Num2z6"/>
    <w:rsid w:val="00E23781"/>
  </w:style>
  <w:style w:type="paragraph" w:styleId="Zkladntext">
    <w:name w:val="Body Text"/>
    <w:basedOn w:val="Normln"/>
    <w:link w:val="ZkladntextChar"/>
    <w:rsid w:val="00234F79"/>
    <w:pPr>
      <w:tabs>
        <w:tab w:val="left" w:pos="851"/>
      </w:tabs>
      <w:spacing w:before="100" w:beforeAutospacing="1" w:after="100" w:afterAutospacing="1" w:line="240" w:lineRule="atLeast"/>
    </w:pPr>
    <w:rPr>
      <w:snapToGrid w:val="0"/>
      <w:color w:val="000000"/>
      <w:sz w:val="18"/>
    </w:rPr>
  </w:style>
  <w:style w:type="character" w:customStyle="1" w:styleId="ZkladntextChar">
    <w:name w:val="Základní text Char"/>
    <w:basedOn w:val="Standardnpsmoodstavce"/>
    <w:link w:val="Zkladntext"/>
    <w:rsid w:val="00234F79"/>
    <w:rPr>
      <w:snapToGrid w:val="0"/>
      <w:color w:val="000000"/>
      <w:sz w:val="18"/>
      <w:szCs w:val="24"/>
    </w:rPr>
  </w:style>
  <w:style w:type="paragraph" w:styleId="Zkladntextodsazen3">
    <w:name w:val="Body Text Indent 3"/>
    <w:basedOn w:val="Normln"/>
    <w:link w:val="Zkladntextodsazen3Char"/>
    <w:rsid w:val="00216EF5"/>
    <w:pPr>
      <w:spacing w:after="120"/>
      <w:ind w:left="283"/>
    </w:pPr>
    <w:rPr>
      <w:sz w:val="16"/>
      <w:szCs w:val="16"/>
    </w:rPr>
  </w:style>
  <w:style w:type="character" w:customStyle="1" w:styleId="Zkladntextodsazen3Char">
    <w:name w:val="Základní text odsazený 3 Char"/>
    <w:basedOn w:val="Standardnpsmoodstavce"/>
    <w:link w:val="Zkladntextodsazen3"/>
    <w:rsid w:val="00216EF5"/>
    <w:rPr>
      <w:sz w:val="16"/>
      <w:szCs w:val="16"/>
    </w:rPr>
  </w:style>
  <w:style w:type="character" w:customStyle="1" w:styleId="Nadpis5Char">
    <w:name w:val="Nadpis 5 Char"/>
    <w:basedOn w:val="Standardnpsmoodstavce"/>
    <w:link w:val="Nadpis5"/>
    <w:rsid w:val="004D0C9C"/>
    <w:rPr>
      <w:rFonts w:asciiTheme="majorHAnsi" w:eastAsiaTheme="majorEastAsia" w:hAnsiTheme="majorHAnsi" w:cstheme="majorBidi"/>
      <w:color w:val="2E74B5" w:themeColor="accent1" w:themeShade="BF"/>
      <w:sz w:val="24"/>
      <w:szCs w:val="24"/>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CA7B76"/>
    <w:rPr>
      <w:sz w:val="24"/>
      <w:szCs w:val="24"/>
    </w:rPr>
  </w:style>
  <w:style w:type="paragraph" w:customStyle="1" w:styleId="ST">
    <w:name w:val="ČÁST"/>
    <w:basedOn w:val="Normln"/>
    <w:next w:val="Normln"/>
    <w:rsid w:val="00D443D7"/>
    <w:pPr>
      <w:keepNext/>
      <w:keepLines/>
      <w:spacing w:before="240" w:after="120"/>
      <w:jc w:val="center"/>
      <w:outlineLvl w:val="1"/>
    </w:pPr>
    <w:rPr>
      <w:caps/>
      <w:szCs w:val="20"/>
    </w:rPr>
  </w:style>
  <w:style w:type="paragraph" w:customStyle="1" w:styleId="l1">
    <w:name w:val="l1"/>
    <w:basedOn w:val="Normln"/>
    <w:rsid w:val="00D443D7"/>
    <w:pPr>
      <w:spacing w:before="100" w:beforeAutospacing="1" w:after="100" w:afterAutospacing="1"/>
    </w:pPr>
  </w:style>
  <w:style w:type="character" w:customStyle="1" w:styleId="Nadpis6Char">
    <w:name w:val="Nadpis 6 Char"/>
    <w:basedOn w:val="Standardnpsmoodstavce"/>
    <w:link w:val="Nadpis6"/>
    <w:semiHidden/>
    <w:rsid w:val="009814B1"/>
    <w:rPr>
      <w:rFonts w:asciiTheme="majorHAnsi" w:eastAsiaTheme="majorEastAsia" w:hAnsiTheme="majorHAnsi" w:cstheme="majorBidi"/>
      <w:color w:val="1F4D78" w:themeColor="accent1" w:themeShade="7F"/>
      <w:sz w:val="24"/>
      <w:szCs w:val="24"/>
    </w:rPr>
  </w:style>
  <w:style w:type="paragraph" w:customStyle="1" w:styleId="NADPISSTI">
    <w:name w:val="NADPIS ČÁSTI"/>
    <w:basedOn w:val="Normln"/>
    <w:next w:val="Normln"/>
    <w:rsid w:val="00AC67E1"/>
    <w:pPr>
      <w:keepNext/>
      <w:keepLines/>
      <w:jc w:val="center"/>
      <w:outlineLvl w:val="1"/>
    </w:pPr>
    <w:rPr>
      <w:b/>
      <w:caps/>
      <w:szCs w:val="20"/>
    </w:rPr>
  </w:style>
  <w:style w:type="paragraph" w:customStyle="1" w:styleId="poznmka">
    <w:name w:val="poznámka"/>
    <w:basedOn w:val="Normln"/>
    <w:qFormat/>
    <w:rsid w:val="002A48F3"/>
    <w:pPr>
      <w:spacing w:after="160" w:line="259" w:lineRule="auto"/>
    </w:pPr>
    <w:rPr>
      <w:rFonts w:eastAsiaTheme="minorHAnsi" w:cstheme="minorBidi"/>
      <w:i/>
      <w:sz w:val="20"/>
      <w:szCs w:val="22"/>
      <w:lang w:eastAsia="en-US"/>
    </w:rPr>
  </w:style>
  <w:style w:type="character" w:styleId="Sledovanodkaz">
    <w:name w:val="FollowedHyperlink"/>
    <w:rsid w:val="006B3E64"/>
    <w:rPr>
      <w:color w:val="800080"/>
      <w:u w:val="single"/>
    </w:rPr>
  </w:style>
  <w:style w:type="paragraph" w:customStyle="1" w:styleId="l2">
    <w:name w:val="l2"/>
    <w:basedOn w:val="Normln"/>
    <w:rsid w:val="007025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4264">
      <w:bodyDiv w:val="1"/>
      <w:marLeft w:val="0"/>
      <w:marRight w:val="0"/>
      <w:marTop w:val="0"/>
      <w:marBottom w:val="0"/>
      <w:divBdr>
        <w:top w:val="none" w:sz="0" w:space="0" w:color="auto"/>
        <w:left w:val="none" w:sz="0" w:space="0" w:color="auto"/>
        <w:bottom w:val="none" w:sz="0" w:space="0" w:color="auto"/>
        <w:right w:val="none" w:sz="0" w:space="0" w:color="auto"/>
      </w:divBdr>
      <w:divsChild>
        <w:div w:id="14313989">
          <w:marLeft w:val="0"/>
          <w:marRight w:val="0"/>
          <w:marTop w:val="0"/>
          <w:marBottom w:val="0"/>
          <w:divBdr>
            <w:top w:val="none" w:sz="0" w:space="0" w:color="auto"/>
            <w:left w:val="none" w:sz="0" w:space="0" w:color="auto"/>
            <w:bottom w:val="none" w:sz="0" w:space="0" w:color="auto"/>
            <w:right w:val="none" w:sz="0" w:space="0" w:color="auto"/>
          </w:divBdr>
        </w:div>
        <w:div w:id="1934892164">
          <w:marLeft w:val="0"/>
          <w:marRight w:val="0"/>
          <w:marTop w:val="0"/>
          <w:marBottom w:val="0"/>
          <w:divBdr>
            <w:top w:val="none" w:sz="0" w:space="0" w:color="auto"/>
            <w:left w:val="none" w:sz="0" w:space="0" w:color="auto"/>
            <w:bottom w:val="none" w:sz="0" w:space="0" w:color="auto"/>
            <w:right w:val="none" w:sz="0" w:space="0" w:color="auto"/>
          </w:divBdr>
        </w:div>
        <w:div w:id="375394782">
          <w:marLeft w:val="0"/>
          <w:marRight w:val="0"/>
          <w:marTop w:val="0"/>
          <w:marBottom w:val="0"/>
          <w:divBdr>
            <w:top w:val="none" w:sz="0" w:space="0" w:color="auto"/>
            <w:left w:val="none" w:sz="0" w:space="0" w:color="auto"/>
            <w:bottom w:val="none" w:sz="0" w:space="0" w:color="auto"/>
            <w:right w:val="none" w:sz="0" w:space="0" w:color="auto"/>
          </w:divBdr>
        </w:div>
        <w:div w:id="1828011523">
          <w:marLeft w:val="0"/>
          <w:marRight w:val="0"/>
          <w:marTop w:val="0"/>
          <w:marBottom w:val="0"/>
          <w:divBdr>
            <w:top w:val="none" w:sz="0" w:space="0" w:color="auto"/>
            <w:left w:val="none" w:sz="0" w:space="0" w:color="auto"/>
            <w:bottom w:val="none" w:sz="0" w:space="0" w:color="auto"/>
            <w:right w:val="none" w:sz="0" w:space="0" w:color="auto"/>
          </w:divBdr>
        </w:div>
        <w:div w:id="430014062">
          <w:marLeft w:val="0"/>
          <w:marRight w:val="0"/>
          <w:marTop w:val="0"/>
          <w:marBottom w:val="0"/>
          <w:divBdr>
            <w:top w:val="none" w:sz="0" w:space="0" w:color="auto"/>
            <w:left w:val="none" w:sz="0" w:space="0" w:color="auto"/>
            <w:bottom w:val="none" w:sz="0" w:space="0" w:color="auto"/>
            <w:right w:val="none" w:sz="0" w:space="0" w:color="auto"/>
          </w:divBdr>
        </w:div>
        <w:div w:id="1898125861">
          <w:marLeft w:val="0"/>
          <w:marRight w:val="0"/>
          <w:marTop w:val="0"/>
          <w:marBottom w:val="0"/>
          <w:divBdr>
            <w:top w:val="none" w:sz="0" w:space="0" w:color="auto"/>
            <w:left w:val="none" w:sz="0" w:space="0" w:color="auto"/>
            <w:bottom w:val="none" w:sz="0" w:space="0" w:color="auto"/>
            <w:right w:val="none" w:sz="0" w:space="0" w:color="auto"/>
          </w:divBdr>
        </w:div>
      </w:divsChild>
    </w:div>
    <w:div w:id="327707145">
      <w:bodyDiv w:val="1"/>
      <w:marLeft w:val="0"/>
      <w:marRight w:val="0"/>
      <w:marTop w:val="0"/>
      <w:marBottom w:val="0"/>
      <w:divBdr>
        <w:top w:val="none" w:sz="0" w:space="0" w:color="auto"/>
        <w:left w:val="none" w:sz="0" w:space="0" w:color="auto"/>
        <w:bottom w:val="none" w:sz="0" w:space="0" w:color="auto"/>
        <w:right w:val="none" w:sz="0" w:space="0" w:color="auto"/>
      </w:divBdr>
    </w:div>
    <w:div w:id="354233922">
      <w:bodyDiv w:val="1"/>
      <w:marLeft w:val="0"/>
      <w:marRight w:val="0"/>
      <w:marTop w:val="0"/>
      <w:marBottom w:val="0"/>
      <w:divBdr>
        <w:top w:val="none" w:sz="0" w:space="0" w:color="auto"/>
        <w:left w:val="none" w:sz="0" w:space="0" w:color="auto"/>
        <w:bottom w:val="none" w:sz="0" w:space="0" w:color="auto"/>
        <w:right w:val="none" w:sz="0" w:space="0" w:color="auto"/>
      </w:divBdr>
      <w:divsChild>
        <w:div w:id="700208548">
          <w:marLeft w:val="480"/>
          <w:marRight w:val="0"/>
          <w:marTop w:val="0"/>
          <w:marBottom w:val="0"/>
          <w:divBdr>
            <w:top w:val="none" w:sz="0" w:space="0" w:color="auto"/>
            <w:left w:val="none" w:sz="0" w:space="0" w:color="auto"/>
            <w:bottom w:val="none" w:sz="0" w:space="0" w:color="auto"/>
            <w:right w:val="none" w:sz="0" w:space="0" w:color="auto"/>
          </w:divBdr>
        </w:div>
        <w:div w:id="68777185">
          <w:marLeft w:val="480"/>
          <w:marRight w:val="0"/>
          <w:marTop w:val="0"/>
          <w:marBottom w:val="0"/>
          <w:divBdr>
            <w:top w:val="none" w:sz="0" w:space="0" w:color="auto"/>
            <w:left w:val="none" w:sz="0" w:space="0" w:color="auto"/>
            <w:bottom w:val="none" w:sz="0" w:space="0" w:color="auto"/>
            <w:right w:val="none" w:sz="0" w:space="0" w:color="auto"/>
          </w:divBdr>
        </w:div>
        <w:div w:id="172230949">
          <w:marLeft w:val="480"/>
          <w:marRight w:val="0"/>
          <w:marTop w:val="0"/>
          <w:marBottom w:val="0"/>
          <w:divBdr>
            <w:top w:val="none" w:sz="0" w:space="0" w:color="auto"/>
            <w:left w:val="none" w:sz="0" w:space="0" w:color="auto"/>
            <w:bottom w:val="none" w:sz="0" w:space="0" w:color="auto"/>
            <w:right w:val="none" w:sz="0" w:space="0" w:color="auto"/>
          </w:divBdr>
        </w:div>
        <w:div w:id="1686396229">
          <w:marLeft w:val="480"/>
          <w:marRight w:val="0"/>
          <w:marTop w:val="0"/>
          <w:marBottom w:val="0"/>
          <w:divBdr>
            <w:top w:val="none" w:sz="0" w:space="0" w:color="auto"/>
            <w:left w:val="none" w:sz="0" w:space="0" w:color="auto"/>
            <w:bottom w:val="none" w:sz="0" w:space="0" w:color="auto"/>
            <w:right w:val="none" w:sz="0" w:space="0" w:color="auto"/>
          </w:divBdr>
        </w:div>
        <w:div w:id="923562883">
          <w:marLeft w:val="480"/>
          <w:marRight w:val="0"/>
          <w:marTop w:val="0"/>
          <w:marBottom w:val="0"/>
          <w:divBdr>
            <w:top w:val="none" w:sz="0" w:space="0" w:color="auto"/>
            <w:left w:val="none" w:sz="0" w:space="0" w:color="auto"/>
            <w:bottom w:val="none" w:sz="0" w:space="0" w:color="auto"/>
            <w:right w:val="none" w:sz="0" w:space="0" w:color="auto"/>
          </w:divBdr>
        </w:div>
      </w:divsChild>
    </w:div>
    <w:div w:id="599030171">
      <w:bodyDiv w:val="1"/>
      <w:marLeft w:val="0"/>
      <w:marRight w:val="0"/>
      <w:marTop w:val="0"/>
      <w:marBottom w:val="0"/>
      <w:divBdr>
        <w:top w:val="none" w:sz="0" w:space="0" w:color="auto"/>
        <w:left w:val="none" w:sz="0" w:space="0" w:color="auto"/>
        <w:bottom w:val="none" w:sz="0" w:space="0" w:color="auto"/>
        <w:right w:val="none" w:sz="0" w:space="0" w:color="auto"/>
      </w:divBdr>
    </w:div>
    <w:div w:id="1052928880">
      <w:bodyDiv w:val="1"/>
      <w:marLeft w:val="0"/>
      <w:marRight w:val="0"/>
      <w:marTop w:val="0"/>
      <w:marBottom w:val="0"/>
      <w:divBdr>
        <w:top w:val="none" w:sz="0" w:space="0" w:color="auto"/>
        <w:left w:val="none" w:sz="0" w:space="0" w:color="auto"/>
        <w:bottom w:val="none" w:sz="0" w:space="0" w:color="auto"/>
        <w:right w:val="none" w:sz="0" w:space="0" w:color="auto"/>
      </w:divBdr>
      <w:divsChild>
        <w:div w:id="298805996">
          <w:marLeft w:val="480"/>
          <w:marRight w:val="0"/>
          <w:marTop w:val="0"/>
          <w:marBottom w:val="0"/>
          <w:divBdr>
            <w:top w:val="none" w:sz="0" w:space="0" w:color="auto"/>
            <w:left w:val="none" w:sz="0" w:space="0" w:color="auto"/>
            <w:bottom w:val="none" w:sz="0" w:space="0" w:color="auto"/>
            <w:right w:val="none" w:sz="0" w:space="0" w:color="auto"/>
          </w:divBdr>
        </w:div>
        <w:div w:id="1985741267">
          <w:marLeft w:val="480"/>
          <w:marRight w:val="0"/>
          <w:marTop w:val="0"/>
          <w:marBottom w:val="0"/>
          <w:divBdr>
            <w:top w:val="none" w:sz="0" w:space="0" w:color="auto"/>
            <w:left w:val="none" w:sz="0" w:space="0" w:color="auto"/>
            <w:bottom w:val="none" w:sz="0" w:space="0" w:color="auto"/>
            <w:right w:val="none" w:sz="0" w:space="0" w:color="auto"/>
          </w:divBdr>
        </w:div>
        <w:div w:id="21129941">
          <w:marLeft w:val="480"/>
          <w:marRight w:val="0"/>
          <w:marTop w:val="0"/>
          <w:marBottom w:val="0"/>
          <w:divBdr>
            <w:top w:val="none" w:sz="0" w:space="0" w:color="auto"/>
            <w:left w:val="none" w:sz="0" w:space="0" w:color="auto"/>
            <w:bottom w:val="none" w:sz="0" w:space="0" w:color="auto"/>
            <w:right w:val="none" w:sz="0" w:space="0" w:color="auto"/>
          </w:divBdr>
        </w:div>
        <w:div w:id="245043911">
          <w:marLeft w:val="480"/>
          <w:marRight w:val="0"/>
          <w:marTop w:val="0"/>
          <w:marBottom w:val="0"/>
          <w:divBdr>
            <w:top w:val="none" w:sz="0" w:space="0" w:color="auto"/>
            <w:left w:val="none" w:sz="0" w:space="0" w:color="auto"/>
            <w:bottom w:val="none" w:sz="0" w:space="0" w:color="auto"/>
            <w:right w:val="none" w:sz="0" w:space="0" w:color="auto"/>
          </w:divBdr>
        </w:div>
        <w:div w:id="1803763011">
          <w:marLeft w:val="480"/>
          <w:marRight w:val="0"/>
          <w:marTop w:val="0"/>
          <w:marBottom w:val="0"/>
          <w:divBdr>
            <w:top w:val="none" w:sz="0" w:space="0" w:color="auto"/>
            <w:left w:val="none" w:sz="0" w:space="0" w:color="auto"/>
            <w:bottom w:val="none" w:sz="0" w:space="0" w:color="auto"/>
            <w:right w:val="none" w:sz="0" w:space="0" w:color="auto"/>
          </w:divBdr>
        </w:div>
        <w:div w:id="1003051843">
          <w:marLeft w:val="480"/>
          <w:marRight w:val="0"/>
          <w:marTop w:val="0"/>
          <w:marBottom w:val="0"/>
          <w:divBdr>
            <w:top w:val="none" w:sz="0" w:space="0" w:color="auto"/>
            <w:left w:val="none" w:sz="0" w:space="0" w:color="auto"/>
            <w:bottom w:val="none" w:sz="0" w:space="0" w:color="auto"/>
            <w:right w:val="none" w:sz="0" w:space="0" w:color="auto"/>
          </w:divBdr>
        </w:div>
      </w:divsChild>
    </w:div>
    <w:div w:id="1513717186">
      <w:bodyDiv w:val="1"/>
      <w:marLeft w:val="0"/>
      <w:marRight w:val="0"/>
      <w:marTop w:val="0"/>
      <w:marBottom w:val="0"/>
      <w:divBdr>
        <w:top w:val="none" w:sz="0" w:space="0" w:color="auto"/>
        <w:left w:val="none" w:sz="0" w:space="0" w:color="auto"/>
        <w:bottom w:val="none" w:sz="0" w:space="0" w:color="auto"/>
        <w:right w:val="none" w:sz="0" w:space="0" w:color="auto"/>
      </w:divBdr>
    </w:div>
    <w:div w:id="1548057787">
      <w:bodyDiv w:val="1"/>
      <w:marLeft w:val="0"/>
      <w:marRight w:val="0"/>
      <w:marTop w:val="0"/>
      <w:marBottom w:val="0"/>
      <w:divBdr>
        <w:top w:val="none" w:sz="0" w:space="0" w:color="auto"/>
        <w:left w:val="none" w:sz="0" w:space="0" w:color="auto"/>
        <w:bottom w:val="none" w:sz="0" w:space="0" w:color="auto"/>
        <w:right w:val="none" w:sz="0" w:space="0" w:color="auto"/>
      </w:divBdr>
      <w:divsChild>
        <w:div w:id="1991640331">
          <w:marLeft w:val="0"/>
          <w:marRight w:val="0"/>
          <w:marTop w:val="0"/>
          <w:marBottom w:val="0"/>
          <w:divBdr>
            <w:top w:val="none" w:sz="0" w:space="0" w:color="auto"/>
            <w:left w:val="none" w:sz="0" w:space="0" w:color="auto"/>
            <w:bottom w:val="none" w:sz="0" w:space="0" w:color="auto"/>
            <w:right w:val="none" w:sz="0" w:space="0" w:color="auto"/>
          </w:divBdr>
        </w:div>
        <w:div w:id="2075811547">
          <w:marLeft w:val="0"/>
          <w:marRight w:val="0"/>
          <w:marTop w:val="0"/>
          <w:marBottom w:val="0"/>
          <w:divBdr>
            <w:top w:val="none" w:sz="0" w:space="0" w:color="auto"/>
            <w:left w:val="none" w:sz="0" w:space="0" w:color="auto"/>
            <w:bottom w:val="none" w:sz="0" w:space="0" w:color="auto"/>
            <w:right w:val="none" w:sz="0" w:space="0" w:color="auto"/>
          </w:divBdr>
        </w:div>
        <w:div w:id="347606987">
          <w:marLeft w:val="0"/>
          <w:marRight w:val="0"/>
          <w:marTop w:val="0"/>
          <w:marBottom w:val="0"/>
          <w:divBdr>
            <w:top w:val="none" w:sz="0" w:space="0" w:color="auto"/>
            <w:left w:val="none" w:sz="0" w:space="0" w:color="auto"/>
            <w:bottom w:val="none" w:sz="0" w:space="0" w:color="auto"/>
            <w:right w:val="none" w:sz="0" w:space="0" w:color="auto"/>
          </w:divBdr>
        </w:div>
      </w:divsChild>
    </w:div>
    <w:div w:id="1618832110">
      <w:bodyDiv w:val="1"/>
      <w:marLeft w:val="0"/>
      <w:marRight w:val="0"/>
      <w:marTop w:val="0"/>
      <w:marBottom w:val="0"/>
      <w:divBdr>
        <w:top w:val="none" w:sz="0" w:space="0" w:color="auto"/>
        <w:left w:val="none" w:sz="0" w:space="0" w:color="auto"/>
        <w:bottom w:val="none" w:sz="0" w:space="0" w:color="auto"/>
        <w:right w:val="none" w:sz="0" w:space="0" w:color="auto"/>
      </w:divBdr>
      <w:divsChild>
        <w:div w:id="1112936349">
          <w:marLeft w:val="0"/>
          <w:marRight w:val="0"/>
          <w:marTop w:val="0"/>
          <w:marBottom w:val="0"/>
          <w:divBdr>
            <w:top w:val="none" w:sz="0" w:space="0" w:color="auto"/>
            <w:left w:val="none" w:sz="0" w:space="0" w:color="auto"/>
            <w:bottom w:val="none" w:sz="0" w:space="0" w:color="auto"/>
            <w:right w:val="none" w:sz="0" w:space="0" w:color="auto"/>
          </w:divBdr>
        </w:div>
        <w:div w:id="406803308">
          <w:marLeft w:val="0"/>
          <w:marRight w:val="0"/>
          <w:marTop w:val="0"/>
          <w:marBottom w:val="0"/>
          <w:divBdr>
            <w:top w:val="none" w:sz="0" w:space="0" w:color="auto"/>
            <w:left w:val="none" w:sz="0" w:space="0" w:color="auto"/>
            <w:bottom w:val="none" w:sz="0" w:space="0" w:color="auto"/>
            <w:right w:val="none" w:sz="0" w:space="0" w:color="auto"/>
          </w:divBdr>
        </w:div>
        <w:div w:id="1795051731">
          <w:marLeft w:val="0"/>
          <w:marRight w:val="0"/>
          <w:marTop w:val="0"/>
          <w:marBottom w:val="0"/>
          <w:divBdr>
            <w:top w:val="none" w:sz="0" w:space="0" w:color="auto"/>
            <w:left w:val="none" w:sz="0" w:space="0" w:color="auto"/>
            <w:bottom w:val="none" w:sz="0" w:space="0" w:color="auto"/>
            <w:right w:val="none" w:sz="0" w:space="0" w:color="auto"/>
          </w:divBdr>
        </w:div>
      </w:divsChild>
    </w:div>
    <w:div w:id="1802844417">
      <w:bodyDiv w:val="1"/>
      <w:marLeft w:val="0"/>
      <w:marRight w:val="0"/>
      <w:marTop w:val="0"/>
      <w:marBottom w:val="0"/>
      <w:divBdr>
        <w:top w:val="none" w:sz="0" w:space="0" w:color="auto"/>
        <w:left w:val="none" w:sz="0" w:space="0" w:color="auto"/>
        <w:bottom w:val="none" w:sz="0" w:space="0" w:color="auto"/>
        <w:right w:val="none" w:sz="0" w:space="0" w:color="auto"/>
      </w:divBdr>
      <w:divsChild>
        <w:div w:id="380130626">
          <w:marLeft w:val="0"/>
          <w:marRight w:val="0"/>
          <w:marTop w:val="0"/>
          <w:marBottom w:val="0"/>
          <w:divBdr>
            <w:top w:val="none" w:sz="0" w:space="0" w:color="auto"/>
            <w:left w:val="none" w:sz="0" w:space="0" w:color="auto"/>
            <w:bottom w:val="none" w:sz="0" w:space="0" w:color="auto"/>
            <w:right w:val="none" w:sz="0" w:space="0" w:color="auto"/>
          </w:divBdr>
        </w:div>
        <w:div w:id="1972203080">
          <w:marLeft w:val="0"/>
          <w:marRight w:val="0"/>
          <w:marTop w:val="0"/>
          <w:marBottom w:val="0"/>
          <w:divBdr>
            <w:top w:val="none" w:sz="0" w:space="0" w:color="auto"/>
            <w:left w:val="none" w:sz="0" w:space="0" w:color="auto"/>
            <w:bottom w:val="none" w:sz="0" w:space="0" w:color="auto"/>
            <w:right w:val="none" w:sz="0" w:space="0" w:color="auto"/>
          </w:divBdr>
        </w:div>
      </w:divsChild>
    </w:div>
    <w:div w:id="1904833199">
      <w:bodyDiv w:val="1"/>
      <w:marLeft w:val="0"/>
      <w:marRight w:val="0"/>
      <w:marTop w:val="0"/>
      <w:marBottom w:val="0"/>
      <w:divBdr>
        <w:top w:val="none" w:sz="0" w:space="0" w:color="auto"/>
        <w:left w:val="none" w:sz="0" w:space="0" w:color="auto"/>
        <w:bottom w:val="none" w:sz="0" w:space="0" w:color="auto"/>
        <w:right w:val="none" w:sz="0" w:space="0" w:color="auto"/>
      </w:divBdr>
    </w:div>
    <w:div w:id="1934821644">
      <w:bodyDiv w:val="1"/>
      <w:marLeft w:val="0"/>
      <w:marRight w:val="0"/>
      <w:marTop w:val="0"/>
      <w:marBottom w:val="0"/>
      <w:divBdr>
        <w:top w:val="none" w:sz="0" w:space="0" w:color="auto"/>
        <w:left w:val="none" w:sz="0" w:space="0" w:color="auto"/>
        <w:bottom w:val="none" w:sz="0" w:space="0" w:color="auto"/>
        <w:right w:val="none" w:sz="0" w:space="0" w:color="auto"/>
      </w:divBdr>
      <w:divsChild>
        <w:div w:id="157690956">
          <w:marLeft w:val="0"/>
          <w:marRight w:val="0"/>
          <w:marTop w:val="0"/>
          <w:marBottom w:val="0"/>
          <w:divBdr>
            <w:top w:val="none" w:sz="0" w:space="0" w:color="auto"/>
            <w:left w:val="none" w:sz="0" w:space="0" w:color="auto"/>
            <w:bottom w:val="none" w:sz="0" w:space="0" w:color="auto"/>
            <w:right w:val="none" w:sz="0" w:space="0" w:color="auto"/>
          </w:divBdr>
          <w:divsChild>
            <w:div w:id="1911039189">
              <w:marLeft w:val="0"/>
              <w:marRight w:val="0"/>
              <w:marTop w:val="0"/>
              <w:marBottom w:val="0"/>
              <w:divBdr>
                <w:top w:val="none" w:sz="0" w:space="0" w:color="auto"/>
                <w:left w:val="none" w:sz="0" w:space="0" w:color="auto"/>
                <w:bottom w:val="none" w:sz="0" w:space="0" w:color="auto"/>
                <w:right w:val="none" w:sz="0" w:space="0" w:color="auto"/>
              </w:divBdr>
              <w:divsChild>
                <w:div w:id="823088177">
                  <w:marLeft w:val="0"/>
                  <w:marRight w:val="0"/>
                  <w:marTop w:val="0"/>
                  <w:marBottom w:val="0"/>
                  <w:divBdr>
                    <w:top w:val="none" w:sz="0" w:space="0" w:color="auto"/>
                    <w:left w:val="none" w:sz="0" w:space="0" w:color="auto"/>
                    <w:bottom w:val="none" w:sz="0" w:space="0" w:color="auto"/>
                    <w:right w:val="none" w:sz="0" w:space="0" w:color="auto"/>
                  </w:divBdr>
                  <w:divsChild>
                    <w:div w:id="1472357397">
                      <w:marLeft w:val="-150"/>
                      <w:marRight w:val="-150"/>
                      <w:marTop w:val="0"/>
                      <w:marBottom w:val="0"/>
                      <w:divBdr>
                        <w:top w:val="none" w:sz="0" w:space="0" w:color="auto"/>
                        <w:left w:val="none" w:sz="0" w:space="0" w:color="auto"/>
                        <w:bottom w:val="none" w:sz="0" w:space="0" w:color="auto"/>
                        <w:right w:val="none" w:sz="0" w:space="0" w:color="auto"/>
                      </w:divBdr>
                      <w:divsChild>
                        <w:div w:id="2093580252">
                          <w:marLeft w:val="0"/>
                          <w:marRight w:val="0"/>
                          <w:marTop w:val="0"/>
                          <w:marBottom w:val="0"/>
                          <w:divBdr>
                            <w:top w:val="none" w:sz="0" w:space="0" w:color="auto"/>
                            <w:left w:val="none" w:sz="0" w:space="0" w:color="auto"/>
                            <w:bottom w:val="none" w:sz="0" w:space="0" w:color="auto"/>
                            <w:right w:val="none" w:sz="0" w:space="0" w:color="auto"/>
                          </w:divBdr>
                          <w:divsChild>
                            <w:div w:id="2021619333">
                              <w:marLeft w:val="0"/>
                              <w:marRight w:val="0"/>
                              <w:marTop w:val="0"/>
                              <w:marBottom w:val="0"/>
                              <w:divBdr>
                                <w:top w:val="none" w:sz="0" w:space="0" w:color="auto"/>
                                <w:left w:val="none" w:sz="0" w:space="0" w:color="auto"/>
                                <w:bottom w:val="none" w:sz="0" w:space="0" w:color="auto"/>
                                <w:right w:val="none" w:sz="0" w:space="0" w:color="auto"/>
                              </w:divBdr>
                              <w:divsChild>
                                <w:div w:id="352079340">
                                  <w:marLeft w:val="0"/>
                                  <w:marRight w:val="0"/>
                                  <w:marTop w:val="0"/>
                                  <w:marBottom w:val="300"/>
                                  <w:divBdr>
                                    <w:top w:val="none" w:sz="0" w:space="0" w:color="auto"/>
                                    <w:left w:val="none" w:sz="0" w:space="0" w:color="auto"/>
                                    <w:bottom w:val="none" w:sz="0" w:space="0" w:color="auto"/>
                                    <w:right w:val="none" w:sz="0" w:space="0" w:color="auto"/>
                                  </w:divBdr>
                                  <w:divsChild>
                                    <w:div w:id="1125467211">
                                      <w:marLeft w:val="0"/>
                                      <w:marRight w:val="0"/>
                                      <w:marTop w:val="0"/>
                                      <w:marBottom w:val="0"/>
                                      <w:divBdr>
                                        <w:top w:val="none" w:sz="0" w:space="0" w:color="auto"/>
                                        <w:left w:val="none" w:sz="0" w:space="0" w:color="auto"/>
                                        <w:bottom w:val="none" w:sz="0" w:space="0" w:color="auto"/>
                                        <w:right w:val="none" w:sz="0" w:space="0" w:color="auto"/>
                                      </w:divBdr>
                                      <w:divsChild>
                                        <w:div w:id="126513292">
                                          <w:marLeft w:val="0"/>
                                          <w:marRight w:val="0"/>
                                          <w:marTop w:val="0"/>
                                          <w:marBottom w:val="0"/>
                                          <w:divBdr>
                                            <w:top w:val="none" w:sz="0" w:space="0" w:color="auto"/>
                                            <w:left w:val="none" w:sz="0" w:space="0" w:color="auto"/>
                                            <w:bottom w:val="none" w:sz="0" w:space="0" w:color="auto"/>
                                            <w:right w:val="none" w:sz="0" w:space="0" w:color="auto"/>
                                          </w:divBdr>
                                          <w:divsChild>
                                            <w:div w:id="557012341">
                                              <w:marLeft w:val="0"/>
                                              <w:marRight w:val="0"/>
                                              <w:marTop w:val="0"/>
                                              <w:marBottom w:val="0"/>
                                              <w:divBdr>
                                                <w:top w:val="none" w:sz="0" w:space="0" w:color="auto"/>
                                                <w:left w:val="none" w:sz="0" w:space="0" w:color="auto"/>
                                                <w:bottom w:val="none" w:sz="0" w:space="0" w:color="auto"/>
                                                <w:right w:val="none" w:sz="0" w:space="0" w:color="auto"/>
                                              </w:divBdr>
                                              <w:divsChild>
                                                <w:div w:id="771516034">
                                                  <w:marLeft w:val="0"/>
                                                  <w:marRight w:val="0"/>
                                                  <w:marTop w:val="0"/>
                                                  <w:marBottom w:val="0"/>
                                                  <w:divBdr>
                                                    <w:top w:val="none" w:sz="0" w:space="0" w:color="auto"/>
                                                    <w:left w:val="none" w:sz="0" w:space="0" w:color="auto"/>
                                                    <w:bottom w:val="none" w:sz="0" w:space="0" w:color="auto"/>
                                                    <w:right w:val="none" w:sz="0" w:space="0" w:color="auto"/>
                                                  </w:divBdr>
                                                  <w:divsChild>
                                                    <w:div w:id="316615270">
                                                      <w:marLeft w:val="0"/>
                                                      <w:marRight w:val="0"/>
                                                      <w:marTop w:val="0"/>
                                                      <w:marBottom w:val="0"/>
                                                      <w:divBdr>
                                                        <w:top w:val="none" w:sz="0" w:space="0" w:color="auto"/>
                                                        <w:left w:val="none" w:sz="0" w:space="0" w:color="auto"/>
                                                        <w:bottom w:val="none" w:sz="0" w:space="0" w:color="auto"/>
                                                        <w:right w:val="none" w:sz="0" w:space="0" w:color="auto"/>
                                                      </w:divBdr>
                                                      <w:divsChild>
                                                        <w:div w:id="535849602">
                                                          <w:marLeft w:val="0"/>
                                                          <w:marRight w:val="0"/>
                                                          <w:marTop w:val="0"/>
                                                          <w:marBottom w:val="0"/>
                                                          <w:divBdr>
                                                            <w:top w:val="none" w:sz="0" w:space="0" w:color="auto"/>
                                                            <w:left w:val="none" w:sz="0" w:space="0" w:color="auto"/>
                                                            <w:bottom w:val="none" w:sz="0" w:space="0" w:color="auto"/>
                                                            <w:right w:val="none" w:sz="0" w:space="0" w:color="auto"/>
                                                          </w:divBdr>
                                                          <w:divsChild>
                                                            <w:div w:id="1841964152">
                                                              <w:marLeft w:val="0"/>
                                                              <w:marRight w:val="0"/>
                                                              <w:marTop w:val="0"/>
                                                              <w:marBottom w:val="0"/>
                                                              <w:divBdr>
                                                                <w:top w:val="none" w:sz="0" w:space="0" w:color="auto"/>
                                                                <w:left w:val="none" w:sz="0" w:space="0" w:color="auto"/>
                                                                <w:bottom w:val="none" w:sz="0" w:space="0" w:color="auto"/>
                                                                <w:right w:val="none" w:sz="0" w:space="0" w:color="auto"/>
                                                              </w:divBdr>
                                                              <w:divsChild>
                                                                <w:div w:id="4336700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20905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5940</Words>
  <Characters>35047</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Rozdílová tabulka návrhu právního předpisu České republiky s předpisy Evropské unie</vt:lpstr>
    </vt:vector>
  </TitlesOfParts>
  <Company>Ministerstvo financí</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Rozdílová tabulka návrhu právního předpisu České republiky s předpisy Evropské unie</dc:title>
  <dc:subject/>
  <dc:creator>Michal Jedlička</dc:creator>
  <cp:keywords/>
  <cp:lastModifiedBy>Václav Krása</cp:lastModifiedBy>
  <cp:revision>2</cp:revision>
  <dcterms:created xsi:type="dcterms:W3CDTF">2023-06-26T06:54:00Z</dcterms:created>
  <dcterms:modified xsi:type="dcterms:W3CDTF">2023-06-26T06:54:00Z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