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DE93" w14:textId="17D69680" w:rsidR="00776465" w:rsidRDefault="00E217F5" w:rsidP="00E217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32AD1348" wp14:editId="3F42A55C">
            <wp:extent cx="2757830" cy="1033654"/>
            <wp:effectExtent l="0" t="0" r="4445" b="0"/>
            <wp:docPr id="13748793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51" cy="104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1B85" w14:textId="67CD98F9" w:rsidR="00776465" w:rsidRDefault="00776465" w:rsidP="00776465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776465">
        <w:rPr>
          <w:rFonts w:ascii="Calibri" w:eastAsia="Calibri" w:hAnsi="Calibri" w:cs="Calibri"/>
          <w:b/>
          <w:color w:val="000000"/>
          <w:sz w:val="32"/>
          <w:szCs w:val="32"/>
        </w:rPr>
        <w:t>Připomínky NRZP ČR k návrhu zákona o podpoře bydlení</w:t>
      </w:r>
    </w:p>
    <w:p w14:paraId="5F5A5FB2" w14:textId="77777777" w:rsidR="00E217F5" w:rsidRDefault="00E217F5" w:rsidP="00776465">
      <w:pPr>
        <w:spacing w:after="200" w:line="276" w:lineRule="auto"/>
        <w:rPr>
          <w:rFonts w:eastAsia="Times New Roman"/>
          <w:b/>
          <w:sz w:val="22"/>
          <w:szCs w:val="22"/>
          <w:u w:val="single"/>
          <w:lang w:eastAsia="en-US"/>
        </w:rPr>
      </w:pPr>
    </w:p>
    <w:p w14:paraId="268A2D8C" w14:textId="7ACE81E6" w:rsidR="00776465" w:rsidRPr="00776465" w:rsidRDefault="00776465" w:rsidP="00776465">
      <w:pPr>
        <w:spacing w:after="200" w:line="276" w:lineRule="auto"/>
        <w:rPr>
          <w:rFonts w:eastAsia="Times New Roman"/>
          <w:b/>
          <w:sz w:val="22"/>
          <w:szCs w:val="22"/>
          <w:u w:val="single"/>
          <w:lang w:eastAsia="en-US"/>
        </w:rPr>
      </w:pPr>
      <w:r>
        <w:rPr>
          <w:rFonts w:eastAsia="Times New Roman"/>
          <w:b/>
          <w:sz w:val="22"/>
          <w:szCs w:val="22"/>
          <w:u w:val="single"/>
          <w:lang w:eastAsia="en-US"/>
        </w:rPr>
        <w:t>Obecné připomínky</w:t>
      </w:r>
      <w:r w:rsidRPr="00776465">
        <w:rPr>
          <w:rFonts w:eastAsia="Times New Roman"/>
          <w:b/>
          <w:sz w:val="22"/>
          <w:szCs w:val="22"/>
          <w:u w:val="single"/>
          <w:lang w:eastAsia="en-US"/>
        </w:rPr>
        <w:t>:</w:t>
      </w:r>
    </w:p>
    <w:p w14:paraId="2D6DF872" w14:textId="77777777" w:rsidR="00776465" w:rsidRPr="00776465" w:rsidRDefault="00776465" w:rsidP="00776465">
      <w:pPr>
        <w:spacing w:after="20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776465">
        <w:rPr>
          <w:rFonts w:eastAsia="Times New Roman"/>
          <w:sz w:val="22"/>
          <w:szCs w:val="22"/>
          <w:lang w:eastAsia="en-US"/>
        </w:rPr>
        <w:t xml:space="preserve">Vzhledem, k tomu, že dle navrhovaného zákona bude docházet ke kontrole kvality bytů a k posouzení, zda byt je nožné zapsat do “evidence“, bylo by vhodné i vzhledem ke skupině potřebných osob (např. osoby se závažnými zdravotními potížemi) vždy komplexně posoudit přístupnost jak bytového domu včetně společných prostor a přístupu ke stavbě, tak posuzovaného bytu. </w:t>
      </w:r>
    </w:p>
    <w:p w14:paraId="6EE105C1" w14:textId="52FF8464" w:rsidR="00776465" w:rsidRPr="00776465" w:rsidRDefault="00776465" w:rsidP="00776465">
      <w:pPr>
        <w:spacing w:after="20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776465">
        <w:rPr>
          <w:rFonts w:eastAsia="Times New Roman"/>
          <w:sz w:val="22"/>
          <w:szCs w:val="22"/>
          <w:lang w:eastAsia="en-US"/>
        </w:rPr>
        <w:t>Doporučuj</w:t>
      </w:r>
      <w:r w:rsidR="000008BA">
        <w:rPr>
          <w:rFonts w:eastAsia="Times New Roman"/>
          <w:sz w:val="22"/>
          <w:szCs w:val="22"/>
          <w:lang w:eastAsia="en-US"/>
        </w:rPr>
        <w:t>eme</w:t>
      </w:r>
      <w:r w:rsidRPr="00776465">
        <w:rPr>
          <w:rFonts w:eastAsia="Times New Roman"/>
          <w:sz w:val="22"/>
          <w:szCs w:val="22"/>
          <w:lang w:eastAsia="en-US"/>
        </w:rPr>
        <w:t xml:space="preserve"> proto problematice věnovat pozornost při přípravě prováděcího předpisu, který v souladu s § 24 odst. 4) stanoví podrobný obsah</w:t>
      </w:r>
      <w:r w:rsidRPr="007764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6465">
        <w:rPr>
          <w:rFonts w:eastAsia="Times New Roman"/>
          <w:sz w:val="22"/>
          <w:szCs w:val="22"/>
          <w:lang w:eastAsia="en-US"/>
        </w:rPr>
        <w:t>standardů kvality činnosti kontaktního místa ve smyslu odborného posuzování kategorizace bytů, viz Příloha č. 2 k zákonu – Specifické potřeby. Rádi budeme spolupracovat a podílet se na tvorbě tohoto předpisu.</w:t>
      </w:r>
    </w:p>
    <w:p w14:paraId="49A69CDF" w14:textId="77777777" w:rsidR="00776465" w:rsidRDefault="00776465" w:rsidP="00776465">
      <w:pPr>
        <w:spacing w:before="240" w:after="24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776465">
        <w:rPr>
          <w:rFonts w:eastAsia="Times New Roman"/>
          <w:sz w:val="22"/>
          <w:szCs w:val="22"/>
          <w:lang w:eastAsia="en-US"/>
        </w:rPr>
        <w:t xml:space="preserve">S problematikou pak úzce souvisí např. § 24 Žádost o zápis bytu do evidence a její součásti </w:t>
      </w:r>
      <w:r w:rsidRPr="00776465">
        <w:rPr>
          <w:rFonts w:eastAsia="Times New Roman"/>
          <w:i/>
          <w:sz w:val="22"/>
          <w:szCs w:val="22"/>
          <w:lang w:eastAsia="en-US"/>
        </w:rPr>
        <w:t>(§ 24 odst. 2) písm. f) - jiné údaje důležité pro posouzení vhodnosti bytu vzhledem ke specifickým potřebám osob podle Přílohy č. 2 k tomuto zákonu</w:t>
      </w:r>
      <w:r w:rsidRPr="00776465">
        <w:rPr>
          <w:rFonts w:eastAsia="Times New Roman"/>
          <w:sz w:val="22"/>
          <w:szCs w:val="22"/>
          <w:lang w:eastAsia="en-US"/>
        </w:rPr>
        <w:t>). Pozornost je nutné věnovat skutečnosti, že posouzení stavby vzhledem ke specifikám jednotlivých typů postižení a vzhledem k rozsáhlosti požadavků pro přístupnost nemohou provádět laici, ale proškolení specialisté. Nutné je vzít v úvahu rovněž časovou nesouslednost tvorby nových požadavků na stavby, na které se přímo zákon odkazuje (např. Příloha č. 2).</w:t>
      </w:r>
    </w:p>
    <w:p w14:paraId="29C14D92" w14:textId="0F34B9DB" w:rsidR="002E5B43" w:rsidRPr="002E5B43" w:rsidRDefault="002E5B43" w:rsidP="0077646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B43">
        <w:rPr>
          <w:rFonts w:ascii="Times New Roman" w:hAnsi="Times New Roman" w:cs="Times New Roman"/>
          <w:color w:val="FF0000"/>
          <w:sz w:val="28"/>
          <w:szCs w:val="28"/>
        </w:rPr>
        <w:t>(Námi navrhované změny textu jsou vždy vyznačeny červeně).</w:t>
      </w:r>
    </w:p>
    <w:p w14:paraId="5FA03ADA" w14:textId="300A2097" w:rsidR="00776465" w:rsidRPr="002E5B43" w:rsidRDefault="000008BA" w:rsidP="000008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E5B4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Zásadní připomínky:</w:t>
      </w:r>
    </w:p>
    <w:p w14:paraId="7EE13926" w14:textId="73530CA5" w:rsidR="00E97234" w:rsidRPr="002E5B43" w:rsidRDefault="000008BA" w:rsidP="000008BA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b/>
          <w:sz w:val="28"/>
          <w:szCs w:val="28"/>
        </w:rPr>
      </w:pPr>
      <w:r w:rsidRPr="002E5B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Připomínka k § 3: </w:t>
      </w:r>
      <w:r w:rsidRPr="002E5B43">
        <w:rPr>
          <w:rFonts w:ascii="Times New Roman" w:hAnsi="Times New Roman" w:cs="Times New Roman"/>
          <w:b/>
          <w:sz w:val="28"/>
          <w:szCs w:val="28"/>
        </w:rPr>
        <w:t>Přidat odstavec 1) a upravit odstavec 2) písmeno c) tohoto znění:</w:t>
      </w:r>
    </w:p>
    <w:p w14:paraId="215A75FF" w14:textId="77777777" w:rsidR="00E97234" w:rsidRDefault="00000000">
      <w:pPr>
        <w:keepNext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266D6F9C" w14:textId="77777777" w:rsidR="00E97234" w:rsidRDefault="00000000">
      <w:pPr>
        <w:keepNext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Vyhovující bydlení</w:t>
      </w:r>
    </w:p>
    <w:p w14:paraId="4F5F8172" w14:textId="77777777" w:rsidR="00E97234" w:rsidRDefault="0000000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Vyhovujícím bydlením se rozumí přiměřené bydlení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vzhledem k osobě </w:t>
      </w:r>
      <w:r>
        <w:rPr>
          <w:rFonts w:ascii="Times New Roman" w:eastAsia="Times New Roman" w:hAnsi="Times New Roman" w:cs="Times New Roman"/>
          <w:sz w:val="24"/>
          <w:szCs w:val="24"/>
        </w:rPr>
        <w:t>v bytě nebo ve stavbě určené k trvalému bydlení na základě právního titulu k užívání za účelem uspokojování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bytové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potřeby.</w:t>
      </w:r>
    </w:p>
    <w:p w14:paraId="1DF5E116" w14:textId="00C99613" w:rsidR="00E97234" w:rsidRDefault="002E5B43">
      <w:pPr>
        <w:spacing w:after="0"/>
        <w:rPr>
          <w:b/>
        </w:rPr>
      </w:pPr>
      <w:r>
        <w:rPr>
          <w:b/>
        </w:rPr>
        <w:t>ODŮVODNĚNÍ:</w:t>
      </w:r>
    </w:p>
    <w:p w14:paraId="7CC8C754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Jedná se o základní definici přiměřené životní úrovně a sociální ochrany osob, která byla vyhlášena pod č. 10/2010 Sb. m. s., vycházející z úmluvy Valného shromáždění OSN - ve znění článku č. 28 o přiměřené životní úrovni a sociální ochraně. Česká republika má povinnost dbát na přiměřenou životní úroveň a sociální ochranu všech osobách, a to prostřednictvím důsledné a účinné kontroly dodržování všech závazných parametrů přiměřené životní úrovně a sociální ochrany. Dále je rovněž stanovena odpovědnost za nedodržování těchto parametrů.</w:t>
      </w:r>
    </w:p>
    <w:p w14:paraId="3D93E684" w14:textId="77777777" w:rsidR="00E97234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v bytě, který nevyhovuje specifickým potřebám osob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 pohybovým, zrakovým, sluchovým a mentálním postižením a osob pokročilého věku (dále jen „osoby s omezenou schopností pohybu nebo orientace“),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popřípadě specifickým potřebám člena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 omezenou schopností pohybu nebo orientace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její domácnosti podle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vyhlášky č.398/2009,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ale také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přílohy č. 2 k tomuto zákonu, nebo</w:t>
      </w:r>
    </w:p>
    <w:p w14:paraId="6DFF1950" w14:textId="1A0CA2BC" w:rsidR="00E97234" w:rsidRDefault="002E5B4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ODŮVODNĚNÍ:</w:t>
      </w:r>
    </w:p>
    <w:p w14:paraId="6E7AF737" w14:textId="77777777" w:rsidR="00E97234" w:rsidRDefault="0000000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Jedná se o zpřesňující definice vhodného bydlení zohledňující specifické potřeby osob s omezenou schopností pohybu či orientace a také specifické potřeby člena domácnosti s omezenou schopností pohybu nebo orientace. Tato definice je doplněna vyhláškou č. 398/2009 Sb., která poskytuje podrobnější informace týkající se osob s omezenou schopností pohybu nebo orientace, které nejsou v předchozím paragrafovém znění obsaženy.</w:t>
      </w:r>
    </w:p>
    <w:p w14:paraId="7E6ADB35" w14:textId="57F2A7E4" w:rsidR="00E97234" w:rsidRPr="002E5B43" w:rsidRDefault="00816DA7" w:rsidP="00816DA7">
      <w:pPr>
        <w:pStyle w:val="Odstavecseseznamem"/>
        <w:numPr>
          <w:ilvl w:val="0"/>
          <w:numId w:val="3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E5B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Připomínka k § 35: Upravit odst. 2) a doplnit ustanovení odst. 3), 4), 5) a 6):</w:t>
      </w:r>
    </w:p>
    <w:p w14:paraId="18D85176" w14:textId="77777777" w:rsidR="00E97234" w:rsidRDefault="00000000">
      <w:pPr>
        <w:keepNext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35</w:t>
      </w:r>
    </w:p>
    <w:p w14:paraId="3DB9CA2C" w14:textId="77777777" w:rsidR="00E97234" w:rsidRDefault="00000000">
      <w:pPr>
        <w:keepNext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Doba platnosti zápisu</w:t>
      </w:r>
    </w:p>
    <w:p w14:paraId="1B8DDD91" w14:textId="77777777" w:rsidR="00E97234" w:rsidRDefault="0000000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Zápis údaje o potřebě podpůrného opatření je platný 1 rok od jeho provedení.</w:t>
      </w:r>
    </w:p>
    <w:p w14:paraId="2C79C683" w14:textId="77777777" w:rsidR="00E97234" w:rsidRDefault="0000000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Potřebný je upozorněn na blížící se konec platnosti zápisu o potřebě podpůrného opatření pomocí zprávy, kterou evidence automaticky zasílá 80 dní před koncem platnosti zápisu na adresu elektronické pošty žadatele, pokud byla v žádosti o podpůrné opatření uvedena.</w:t>
      </w:r>
    </w:p>
    <w:p w14:paraId="56C16A54" w14:textId="77777777" w:rsidR="00E97234" w:rsidRDefault="00E9723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18F114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NÁVRH ZMĚNY:</w:t>
      </w:r>
    </w:p>
    <w:p w14:paraId="38E580EE" w14:textId="77777777" w:rsidR="00E97234" w:rsidRDefault="00000000">
      <w:bookmarkStart w:id="1" w:name="_Hlk137645236"/>
      <w:r>
        <w:t>Upravit odst. 2) a přidat odst. 3), 4), 5) a 6):</w:t>
      </w:r>
    </w:p>
    <w:bookmarkEnd w:id="1"/>
    <w:p w14:paraId="578FFD2E" w14:textId="77777777" w:rsidR="00E97234" w:rsidRDefault="0000000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Potřebný je upozorněn na blížící se konec platnosti zápisu o potřebě podpůrného opatření pomocí zprávy, kterou evidence automaticky zasílá 80 dní před koncem platnosti zápisu na adresu elektronické pošty žadatele, pokud byla v žádosti o podpůrné opatření uvedena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nebo</w:t>
      </w:r>
    </w:p>
    <w:p w14:paraId="49F0BBEE" w14:textId="7EFDC65A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3) potřebný bude informován o blížícím se konci platnosti zápisu týkajícího se požadovaného podpůrného opatření pomocí textové zprávy</w:t>
      </w:r>
      <w:r w:rsidR="002E5B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(sms)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na mobilní telefon. Toto upozornění bude automaticky odesláno 80 dní před koncem platnosti zápisu na telefonní číslo uvedené v žádosti o podpůrné opatření, nebo</w:t>
      </w:r>
    </w:p>
    <w:p w14:paraId="33667AB8" w14:textId="68AF608E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4) potřebný, který je v potřebě podpůrného opatření, bude upozorněn na blížící se konec platnosti zápisu prostřednictvím zprávy zaslané do datové schránky</w:t>
      </w:r>
      <w:r w:rsidR="002E5B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(dále jen “DS”). Tato upozornění budou automaticky odeslána 80 dní před koncem platnosti zápisu do DS žadatele, pokud bylo v žádosti o podpůrné opatření uvedeno příslušné DS, nebo</w:t>
      </w:r>
    </w:p>
    <w:p w14:paraId="7D7EB5D6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1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5) potřebný je upozorněn na blížící se konec platnosti zápisu o potřebě podpůrného opatření pomocí doporučeného dopisu, který evidence automaticky zasílá 80 dní před koncem platnosti zápisu na adresu žadatele, pokud byla v žádosti o podpůrné opatření uvedena adresa potřebného, nebo</w:t>
      </w:r>
    </w:p>
    <w:p w14:paraId="0112E083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potřebný je upozorněn na blížící se konec platnosti zápisu o potřebě podpůrného opatření prostřednictvím osobního kontaktu se sociálním pracovníkem. Sociální pracovník automaticky provádí kontrolu a 80 dní před koncem platnosti zápisu osobně informuje potřebného na adrese žadatele, pokud byla adresa potřebného uvedena v žádosti o podpůrné opatření.</w:t>
      </w:r>
    </w:p>
    <w:p w14:paraId="4C3BA82D" w14:textId="77777777" w:rsidR="00E97234" w:rsidRDefault="00E97234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FB518" w14:textId="709C848A" w:rsidR="00E97234" w:rsidRDefault="002E5B43">
      <w:pPr>
        <w:spacing w:after="0"/>
        <w:rPr>
          <w:b/>
        </w:rPr>
      </w:pPr>
      <w:r>
        <w:rPr>
          <w:b/>
        </w:rPr>
        <w:t>ODŮVODNĚNÍ:</w:t>
      </w:r>
    </w:p>
    <w:p w14:paraId="1AC32A7E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Navrhuje se doplnit o další body, které nedostatečně pokrývají bod 2).</w:t>
      </w:r>
    </w:p>
    <w:p w14:paraId="6A53910E" w14:textId="77777777" w:rsidR="002E5B43" w:rsidRDefault="000000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Jedná se o plnění závazku plynoucího z úmluvy Valného shromáždění OSN, o právech osob se zdravotním postižením, vyhlášené pod č. 10/2010 Sb. m. s. ve znění článku č. 21 o Svobodě projevu a přesvědčení a přístupu k informacím. Česká republika je povinna dbát na přístup k informacím a na důslednou a efektivní kontrolu dodržování všech závazných parametrů přístupu k informacím, jakož i stanovení odpovědnosti za jejich nedodržení.</w:t>
      </w:r>
    </w:p>
    <w:p w14:paraId="04F145BE" w14:textId="13EB1AAA" w:rsidR="002E5B43" w:rsidRPr="002E5B43" w:rsidRDefault="002E5B43" w:rsidP="002E5B43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20"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2E5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Připomínka: </w:t>
      </w:r>
      <w:r w:rsidRPr="002E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Upravit odst. 1) písm. a) a b) a odst. 3):</w:t>
      </w:r>
    </w:p>
    <w:p w14:paraId="00100CDD" w14:textId="360BFCE2" w:rsidR="00E97234" w:rsidRDefault="00000000">
      <w:pPr>
        <w:keepNext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41</w:t>
      </w:r>
    </w:p>
    <w:p w14:paraId="02CA23CD" w14:textId="77777777" w:rsidR="00E97234" w:rsidRDefault="00000000">
      <w:pPr>
        <w:keepNext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Změna údaje</w:t>
      </w:r>
    </w:p>
    <w:p w14:paraId="1FCC14B7" w14:textId="77777777" w:rsidR="00E97234" w:rsidRDefault="0000000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Kontaktní místo žádost o provedení změny evidovaného údaje zamítne, žádá-li potřebný o zápis údaje o</w:t>
      </w:r>
    </w:p>
    <w:p w14:paraId="73437C2D" w14:textId="77777777" w:rsidR="00E97234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svojí příslušnosti ke skupině zvláště potřebných osob podle přílohy č. 4 k tomuto zákonu, ale podle zjištění kontaktního místa k této skupině osob nepřísluší, nebo</w:t>
      </w:r>
    </w:p>
    <w:p w14:paraId="7EFFADD9" w14:textId="77777777" w:rsidR="00E97234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nedostatku vyhovujícího bydlení bezprostředně ohrožujícím jeho život nebo zdraví, ale podle zjištění kontaktního místa nedostatek vyhovujícího bydlení jeho život ani zdraví bezprostředně neohrožuje.</w:t>
      </w:r>
    </w:p>
    <w:p w14:paraId="31BD666D" w14:textId="77777777" w:rsidR="00E97234" w:rsidRDefault="0000000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V ostatních případech kontaktní místo změnu evidovaného údaje provede.</w:t>
      </w:r>
    </w:p>
    <w:p w14:paraId="5E33B5F1" w14:textId="5B3A1563" w:rsidR="002E5B43" w:rsidRDefault="00000000" w:rsidP="002E5B43">
      <w:pPr>
        <w:tabs>
          <w:tab w:val="left" w:pos="0"/>
          <w:tab w:val="left" w:pos="284"/>
        </w:tabs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Dojde-li kontaktní místo při své úřední činnosti k závěru, že potřebný již nepřísluší ke skupině nebo podskupině zvláště potřebných osob podle přílohy č. 4 k tomuto zákonu nebo že již nedostatek vyhovujícího bydlení bezprostředně neohrožuje jeho život ani zdraví, rozhodne o výmazu těchto údajů z evidence.</w:t>
      </w:r>
    </w:p>
    <w:p w14:paraId="2A6BCE44" w14:textId="77777777" w:rsidR="002E5B43" w:rsidRDefault="002E5B43" w:rsidP="002E5B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NÁVRH ZMĚNY:</w:t>
      </w:r>
    </w:p>
    <w:p w14:paraId="7F3EE1DD" w14:textId="714A791F" w:rsidR="002E5B43" w:rsidRDefault="002E5B43" w:rsidP="002E5B43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Upravit odst. 1) písm. a) a b) a odst. 3):</w:t>
      </w:r>
    </w:p>
    <w:p w14:paraId="40DFC680" w14:textId="77777777" w:rsidR="002E5B43" w:rsidRPr="002E5B43" w:rsidRDefault="002E5B43" w:rsidP="002E5B43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6BC3A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svojí příslušnosti ke skupině zvláště potřebných osob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popř. člen jeho domácnosti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podle přílohy č. 4 k tomuto zákonu, ale podle zjištění kontaktního místa k této skupině osob nepřísluší, nebo</w:t>
      </w:r>
    </w:p>
    <w:p w14:paraId="0BDFDB69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  <w:tab w:val="left" w:pos="5385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5F0F28F" w14:textId="77777777" w:rsidR="00E97234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 nedostatku vyhovujícího bydlení bezprostředně ohrožujícím jeho život nebo zdraví, ale podle zjištění kontaktního místa nedostatek vyhovujícího bydlení jeho život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popř. život člena jeho domácnosti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 zdraví bezprostředně neohrožuje.</w:t>
      </w:r>
      <w:r>
        <w:tab/>
      </w:r>
      <w:r>
        <w:tab/>
      </w:r>
    </w:p>
    <w:p w14:paraId="27962042" w14:textId="77777777" w:rsidR="00E97234" w:rsidRDefault="00E97234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04251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Dojde-li kontaktní místo při své úřední činnosti k závěru, že potřebný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popř. člen jeho domácnosti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již nepřísluší ke skupině nebo podskupině zvláště potřebných osob podle přílohy č. 4 k tomuto zákonu nebo že již nedostatek vyhovujícího bydlení bezprostředně neohrožuje jeho život ani zdraví, rozhodne o výmazu těchto údajů z evidence.</w:t>
      </w:r>
    </w:p>
    <w:p w14:paraId="18DCFC10" w14:textId="77777777" w:rsidR="00E97234" w:rsidRDefault="00E97234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0BEB518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ZDŮVODNĚNÍ:</w:t>
      </w:r>
    </w:p>
    <w:p w14:paraId="5F365E44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Jedná se o doplnění výčtu osob, které nejsou zmiňovány v předchozím paragrafovém znění.</w:t>
      </w:r>
    </w:p>
    <w:p w14:paraId="43CB3CFB" w14:textId="77777777" w:rsidR="00E97234" w:rsidRDefault="0000000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66EF40B3" w14:textId="600B08F6" w:rsidR="00E97234" w:rsidRPr="003A082B" w:rsidRDefault="00000000" w:rsidP="003A082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A082B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VELMI ZÁSADNÍ PŘIPOMÍNKA</w:t>
      </w:r>
    </w:p>
    <w:p w14:paraId="0391F2DD" w14:textId="77777777" w:rsidR="00E97234" w:rsidRDefault="00000000">
      <w:r>
        <w:t>Příloha č. 4 k zákonu č. …/2024 Sb.</w:t>
      </w:r>
    </w:p>
    <w:p w14:paraId="111EC7FA" w14:textId="77777777" w:rsidR="00E97234" w:rsidRDefault="00000000">
      <w:pPr>
        <w:rPr>
          <w:b/>
        </w:rPr>
      </w:pPr>
      <w:r>
        <w:rPr>
          <w:b/>
        </w:rPr>
        <w:t>Skupiny zvláště potřebných osob</w:t>
      </w:r>
    </w:p>
    <w:tbl>
      <w:tblPr>
        <w:tblStyle w:val="a"/>
        <w:tblW w:w="9359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1339"/>
        <w:gridCol w:w="2482"/>
        <w:gridCol w:w="4477"/>
      </w:tblGrid>
      <w:tr w:rsidR="00E97234" w14:paraId="03599649" w14:textId="77777777">
        <w:trPr>
          <w:trHeight w:val="300"/>
        </w:trPr>
        <w:tc>
          <w:tcPr>
            <w:tcW w:w="1061" w:type="dxa"/>
          </w:tcPr>
          <w:p w14:paraId="64EA846E" w14:textId="77777777" w:rsidR="00E97234" w:rsidRDefault="00000000">
            <w:pPr>
              <w:rPr>
                <w:b/>
              </w:rPr>
            </w:pPr>
            <w:r>
              <w:rPr>
                <w:b/>
              </w:rPr>
              <w:t xml:space="preserve">Řádek skupiny </w:t>
            </w:r>
          </w:p>
        </w:tc>
        <w:tc>
          <w:tcPr>
            <w:tcW w:w="1339" w:type="dxa"/>
          </w:tcPr>
          <w:p w14:paraId="13E75C29" w14:textId="77777777" w:rsidR="00E97234" w:rsidRDefault="00000000">
            <w:pPr>
              <w:rPr>
                <w:b/>
              </w:rPr>
            </w:pPr>
            <w:r>
              <w:rPr>
                <w:b/>
              </w:rPr>
              <w:t>Řádek podskupiny</w:t>
            </w:r>
          </w:p>
        </w:tc>
        <w:tc>
          <w:tcPr>
            <w:tcW w:w="2482" w:type="dxa"/>
          </w:tcPr>
          <w:p w14:paraId="2DC74F76" w14:textId="77777777" w:rsidR="00E97234" w:rsidRDefault="00000000">
            <w:pPr>
              <w:rPr>
                <w:b/>
              </w:rPr>
            </w:pPr>
            <w:r>
              <w:rPr>
                <w:b/>
              </w:rPr>
              <w:t>Označení skupiny nebo podskupiny</w:t>
            </w:r>
          </w:p>
        </w:tc>
        <w:tc>
          <w:tcPr>
            <w:tcW w:w="4477" w:type="dxa"/>
          </w:tcPr>
          <w:p w14:paraId="52402F0B" w14:textId="77777777" w:rsidR="00E97234" w:rsidRDefault="00000000">
            <w:pPr>
              <w:rPr>
                <w:b/>
              </w:rPr>
            </w:pPr>
            <w:r>
              <w:rPr>
                <w:b/>
              </w:rPr>
              <w:t>Vymezení skupiny nebo podskupiny</w:t>
            </w:r>
          </w:p>
        </w:tc>
      </w:tr>
      <w:tr w:rsidR="00E97234" w14:paraId="64F212D1" w14:textId="77777777">
        <w:trPr>
          <w:trHeight w:val="300"/>
        </w:trPr>
        <w:tc>
          <w:tcPr>
            <w:tcW w:w="1061" w:type="dxa"/>
            <w:vAlign w:val="center"/>
          </w:tcPr>
          <w:p w14:paraId="1EE72778" w14:textId="77777777" w:rsidR="00E97234" w:rsidRDefault="00000000">
            <w:r>
              <w:t>1.</w:t>
            </w:r>
          </w:p>
        </w:tc>
        <w:tc>
          <w:tcPr>
            <w:tcW w:w="1339" w:type="dxa"/>
            <w:vAlign w:val="center"/>
          </w:tcPr>
          <w:p w14:paraId="24E1DBDF" w14:textId="77777777" w:rsidR="00E97234" w:rsidRDefault="00E97234"/>
        </w:tc>
        <w:tc>
          <w:tcPr>
            <w:tcW w:w="2482" w:type="dxa"/>
            <w:vAlign w:val="center"/>
          </w:tcPr>
          <w:p w14:paraId="07BCB31C" w14:textId="77777777" w:rsidR="00E97234" w:rsidRDefault="00000000">
            <w:r>
              <w:t>Osoby žijící v domácnosti</w:t>
            </w:r>
            <w:r>
              <w:br/>
              <w:t>s ohroženými dětmi</w:t>
            </w:r>
          </w:p>
        </w:tc>
        <w:tc>
          <w:tcPr>
            <w:tcW w:w="4477" w:type="dxa"/>
          </w:tcPr>
          <w:p w14:paraId="6D2FFC61" w14:textId="77777777" w:rsidR="00E97234" w:rsidRDefault="00000000">
            <w:r>
              <w:t>Členové domácností, kde hrozí umístění dítěte do náhradní péče v souvislosti s nedostatkem vyhovujícího bydlení, nebo kde je možnost příchodu dítěte z náhradní péče do domácnosti díky poskytnutí podpory v oblasti bydlení.</w:t>
            </w:r>
          </w:p>
        </w:tc>
      </w:tr>
      <w:tr w:rsidR="00E97234" w14:paraId="770E84D6" w14:textId="77777777">
        <w:trPr>
          <w:trHeight w:val="300"/>
        </w:trPr>
        <w:tc>
          <w:tcPr>
            <w:tcW w:w="1061" w:type="dxa"/>
            <w:vAlign w:val="center"/>
          </w:tcPr>
          <w:p w14:paraId="35C8C640" w14:textId="77777777" w:rsidR="00E97234" w:rsidRDefault="00000000">
            <w:r>
              <w:t>2.</w:t>
            </w:r>
          </w:p>
        </w:tc>
        <w:tc>
          <w:tcPr>
            <w:tcW w:w="1339" w:type="dxa"/>
            <w:vAlign w:val="center"/>
          </w:tcPr>
          <w:p w14:paraId="726A556C" w14:textId="77777777" w:rsidR="00E97234" w:rsidRDefault="00E97234"/>
        </w:tc>
        <w:tc>
          <w:tcPr>
            <w:tcW w:w="2482" w:type="dxa"/>
            <w:vAlign w:val="center"/>
          </w:tcPr>
          <w:p w14:paraId="745BF7B5" w14:textId="77777777" w:rsidR="00E97234" w:rsidRDefault="00000000">
            <w:r>
              <w:t>Zranitelní mladí dospělí po opuštění náhradní nebo ochranné výchovy</w:t>
            </w:r>
          </w:p>
        </w:tc>
        <w:tc>
          <w:tcPr>
            <w:tcW w:w="4477" w:type="dxa"/>
          </w:tcPr>
          <w:p w14:paraId="073AD51E" w14:textId="77777777" w:rsidR="00E97234" w:rsidRDefault="00000000">
            <w:r>
              <w:t>Osoby mladší 27 let, které v posledních 3 letech před podáním žádosti o podpůrné opatření opustily zařízení náhradní nebo ochranné výchovy.</w:t>
            </w:r>
          </w:p>
        </w:tc>
      </w:tr>
      <w:tr w:rsidR="00E97234" w14:paraId="7B48A953" w14:textId="77777777">
        <w:trPr>
          <w:trHeight w:val="300"/>
        </w:trPr>
        <w:tc>
          <w:tcPr>
            <w:tcW w:w="1061" w:type="dxa"/>
            <w:vAlign w:val="center"/>
          </w:tcPr>
          <w:p w14:paraId="030AF4A4" w14:textId="77777777" w:rsidR="00E97234" w:rsidRDefault="00000000">
            <w:r>
              <w:t>3.</w:t>
            </w:r>
          </w:p>
        </w:tc>
        <w:tc>
          <w:tcPr>
            <w:tcW w:w="1339" w:type="dxa"/>
            <w:vAlign w:val="center"/>
          </w:tcPr>
          <w:p w14:paraId="5657E476" w14:textId="77777777" w:rsidR="00E97234" w:rsidRDefault="00E97234"/>
        </w:tc>
        <w:tc>
          <w:tcPr>
            <w:tcW w:w="2482" w:type="dxa"/>
            <w:vAlign w:val="center"/>
          </w:tcPr>
          <w:p w14:paraId="04E45525" w14:textId="77777777" w:rsidR="00E97234" w:rsidRDefault="00000000">
            <w:r>
              <w:t>Osoby se závažnými</w:t>
            </w:r>
            <w:r>
              <w:br/>
              <w:t>zdravotními potížemi</w:t>
            </w:r>
          </w:p>
        </w:tc>
        <w:tc>
          <w:tcPr>
            <w:tcW w:w="4477" w:type="dxa"/>
          </w:tcPr>
          <w:p w14:paraId="46A3217E" w14:textId="77777777" w:rsidR="00E97234" w:rsidRDefault="00000000">
            <w:r>
              <w:t>Osoby se závažnými chronickými zdravotními potížemi, včetně osob, které jsou příslušníky podskupiny uvedené na řádku 3.1 (osoby se závažnými zdravotními problémy duševní povahy).</w:t>
            </w:r>
          </w:p>
        </w:tc>
      </w:tr>
      <w:tr w:rsidR="00E97234" w14:paraId="141379EC" w14:textId="77777777">
        <w:trPr>
          <w:trHeight w:val="300"/>
        </w:trPr>
        <w:tc>
          <w:tcPr>
            <w:tcW w:w="1061" w:type="dxa"/>
            <w:vAlign w:val="center"/>
          </w:tcPr>
          <w:p w14:paraId="2D94CB17" w14:textId="77777777" w:rsidR="00E97234" w:rsidRDefault="00E97234"/>
        </w:tc>
        <w:tc>
          <w:tcPr>
            <w:tcW w:w="1339" w:type="dxa"/>
            <w:vAlign w:val="center"/>
          </w:tcPr>
          <w:p w14:paraId="40400799" w14:textId="77777777" w:rsidR="00E97234" w:rsidRDefault="00000000">
            <w:r>
              <w:t>3.1</w:t>
            </w:r>
          </w:p>
        </w:tc>
        <w:tc>
          <w:tcPr>
            <w:tcW w:w="2482" w:type="dxa"/>
            <w:vAlign w:val="center"/>
          </w:tcPr>
          <w:p w14:paraId="7370550A" w14:textId="77777777" w:rsidR="00E97234" w:rsidRDefault="00000000">
            <w:r>
              <w:t>Osoby se závažnými zdravotními potížemi duševní povahy</w:t>
            </w:r>
          </w:p>
        </w:tc>
        <w:tc>
          <w:tcPr>
            <w:tcW w:w="4477" w:type="dxa"/>
          </w:tcPr>
          <w:p w14:paraId="377B6661" w14:textId="77777777" w:rsidR="00E97234" w:rsidRDefault="00000000">
            <w:r>
              <w:t>Osoby se závažnými chronickými zdravotními problémy, které jsou duševní nebo závislostní povahy.</w:t>
            </w:r>
          </w:p>
        </w:tc>
      </w:tr>
      <w:tr w:rsidR="00E97234" w14:paraId="56A754F9" w14:textId="77777777">
        <w:trPr>
          <w:trHeight w:val="300"/>
        </w:trPr>
        <w:tc>
          <w:tcPr>
            <w:tcW w:w="1061" w:type="dxa"/>
            <w:vAlign w:val="center"/>
          </w:tcPr>
          <w:p w14:paraId="4A390EAD" w14:textId="77777777" w:rsidR="00E97234" w:rsidRDefault="00000000">
            <w:r>
              <w:t>4.</w:t>
            </w:r>
          </w:p>
        </w:tc>
        <w:tc>
          <w:tcPr>
            <w:tcW w:w="1339" w:type="dxa"/>
            <w:vAlign w:val="center"/>
          </w:tcPr>
          <w:p w14:paraId="09F4E8AE" w14:textId="77777777" w:rsidR="00E97234" w:rsidRDefault="00E97234"/>
        </w:tc>
        <w:tc>
          <w:tcPr>
            <w:tcW w:w="2482" w:type="dxa"/>
            <w:vAlign w:val="center"/>
          </w:tcPr>
          <w:p w14:paraId="138F08EC" w14:textId="77777777" w:rsidR="00E97234" w:rsidRDefault="00000000">
            <w:r>
              <w:t>Oběti domácího násilí</w:t>
            </w:r>
          </w:p>
        </w:tc>
        <w:tc>
          <w:tcPr>
            <w:tcW w:w="4477" w:type="dxa"/>
          </w:tcPr>
          <w:p w14:paraId="7155F191" w14:textId="77777777" w:rsidR="00E97234" w:rsidRDefault="00000000">
            <w:r>
              <w:t>Skupina sestává z těchto osob:</w:t>
            </w:r>
          </w:p>
          <w:p w14:paraId="09212B7C" w14:textId="77777777" w:rsidR="00E97234" w:rsidRDefault="00000000">
            <w:bookmarkStart w:id="2" w:name="_30j0zll" w:colFirst="0" w:colLast="0"/>
            <w:bookmarkEnd w:id="2"/>
            <w:r>
              <w:t xml:space="preserve">a) Osoby, na kterých se osoba, se kterou trvale bydlí, dopustila činu povahy trestného činu týrání svěřené osoby, týrání osoby žijící ve společném obydlí, nebezpečného vyhrožování nebo nebezpečného pronásledování. </w:t>
            </w:r>
          </w:p>
          <w:p w14:paraId="588DE56C" w14:textId="77777777" w:rsidR="00E97234" w:rsidRDefault="00000000">
            <w:r>
              <w:t>b) Osoby, u kterých specializovaný poskytovatel poradenství pro osoby ohrožené domácím násilím (zejména Intervenční centra) potvrdil výskyt vysoké pravděpodobnosti domácího násilí.</w:t>
            </w:r>
          </w:p>
        </w:tc>
      </w:tr>
      <w:tr w:rsidR="00E97234" w14:paraId="38248002" w14:textId="77777777">
        <w:trPr>
          <w:trHeight w:val="300"/>
        </w:trPr>
        <w:tc>
          <w:tcPr>
            <w:tcW w:w="1061" w:type="dxa"/>
            <w:vAlign w:val="center"/>
          </w:tcPr>
          <w:p w14:paraId="6C73AE25" w14:textId="77777777" w:rsidR="00E97234" w:rsidRDefault="00000000">
            <w:r>
              <w:t>5.</w:t>
            </w:r>
          </w:p>
        </w:tc>
        <w:tc>
          <w:tcPr>
            <w:tcW w:w="1339" w:type="dxa"/>
            <w:vAlign w:val="center"/>
          </w:tcPr>
          <w:p w14:paraId="2CECAB8B" w14:textId="77777777" w:rsidR="00E97234" w:rsidRDefault="00E97234"/>
        </w:tc>
        <w:tc>
          <w:tcPr>
            <w:tcW w:w="2482" w:type="dxa"/>
            <w:vAlign w:val="center"/>
          </w:tcPr>
          <w:p w14:paraId="0E7DAEC5" w14:textId="77777777" w:rsidR="00E97234" w:rsidRDefault="00000000">
            <w:r>
              <w:t>Ohrožení samoživitelé</w:t>
            </w:r>
          </w:p>
        </w:tc>
        <w:tc>
          <w:tcPr>
            <w:tcW w:w="4477" w:type="dxa"/>
          </w:tcPr>
          <w:p w14:paraId="06A662AF" w14:textId="77777777" w:rsidR="00E97234" w:rsidRDefault="00000000">
            <w:r>
              <w:t>Osoby, které sdílí domácnost pouze s nezaopatřeným dítětem nebo dětmi, o které pečují.</w:t>
            </w:r>
          </w:p>
        </w:tc>
      </w:tr>
      <w:tr w:rsidR="00E97234" w14:paraId="1AEA60BA" w14:textId="77777777">
        <w:trPr>
          <w:trHeight w:val="300"/>
        </w:trPr>
        <w:tc>
          <w:tcPr>
            <w:tcW w:w="1061" w:type="dxa"/>
            <w:vAlign w:val="center"/>
          </w:tcPr>
          <w:p w14:paraId="6B4F9B8C" w14:textId="77777777" w:rsidR="00E97234" w:rsidRDefault="00000000">
            <w:r>
              <w:t>6.</w:t>
            </w:r>
          </w:p>
        </w:tc>
        <w:tc>
          <w:tcPr>
            <w:tcW w:w="1339" w:type="dxa"/>
            <w:vAlign w:val="center"/>
          </w:tcPr>
          <w:p w14:paraId="680F4D5B" w14:textId="77777777" w:rsidR="00E97234" w:rsidRDefault="00E97234"/>
        </w:tc>
        <w:tc>
          <w:tcPr>
            <w:tcW w:w="2482" w:type="dxa"/>
            <w:vAlign w:val="center"/>
          </w:tcPr>
          <w:p w14:paraId="2E1793DF" w14:textId="77777777" w:rsidR="00E97234" w:rsidRDefault="00000000">
            <w:r>
              <w:t>Osoby v domácnosti s více dětmi</w:t>
            </w:r>
          </w:p>
        </w:tc>
        <w:tc>
          <w:tcPr>
            <w:tcW w:w="4477" w:type="dxa"/>
            <w:vAlign w:val="center"/>
          </w:tcPr>
          <w:p w14:paraId="5990967F" w14:textId="77777777" w:rsidR="00E97234" w:rsidRDefault="00000000">
            <w:r>
              <w:t>Osoby, v jejichž domácnosti jsou nejméně 3 nezaopatřené děti, o které pečují.</w:t>
            </w:r>
          </w:p>
        </w:tc>
      </w:tr>
      <w:tr w:rsidR="00E97234" w14:paraId="160B0DD0" w14:textId="77777777">
        <w:trPr>
          <w:trHeight w:val="300"/>
        </w:trPr>
        <w:tc>
          <w:tcPr>
            <w:tcW w:w="1061" w:type="dxa"/>
            <w:vAlign w:val="center"/>
          </w:tcPr>
          <w:p w14:paraId="2C8D8A33" w14:textId="77777777" w:rsidR="00E97234" w:rsidRDefault="00000000">
            <w:r>
              <w:t>7.</w:t>
            </w:r>
          </w:p>
        </w:tc>
        <w:tc>
          <w:tcPr>
            <w:tcW w:w="1339" w:type="dxa"/>
            <w:vAlign w:val="center"/>
          </w:tcPr>
          <w:p w14:paraId="4CFB9D12" w14:textId="77777777" w:rsidR="00E97234" w:rsidRDefault="00E97234"/>
        </w:tc>
        <w:tc>
          <w:tcPr>
            <w:tcW w:w="2482" w:type="dxa"/>
            <w:vAlign w:val="center"/>
          </w:tcPr>
          <w:p w14:paraId="6BC58D82" w14:textId="77777777" w:rsidR="00E97234" w:rsidRDefault="00000000">
            <w:r>
              <w:t>Vězni před propuštěním</w:t>
            </w:r>
            <w:r>
              <w:br/>
              <w:t>a nedávno propuštění bývalí vězni</w:t>
            </w:r>
          </w:p>
        </w:tc>
        <w:tc>
          <w:tcPr>
            <w:tcW w:w="4477" w:type="dxa"/>
            <w:vAlign w:val="center"/>
          </w:tcPr>
          <w:p w14:paraId="14D2A97E" w14:textId="77777777" w:rsidR="00E97234" w:rsidRDefault="00000000">
            <w:r>
              <w:t>Skupina sestává z těchto osob:</w:t>
            </w:r>
          </w:p>
          <w:p w14:paraId="70BD0496" w14:textId="77777777" w:rsidR="00E97234" w:rsidRDefault="00000000">
            <w:r>
              <w:t>a) Odsouzení ve výkonu trestu odnětí svobody, u nichž se ke dni podání žádosti o podpůrné opatření očekává skončení výkonu trestu odnětí svobody v příštích 6 měsících.</w:t>
            </w:r>
          </w:p>
          <w:p w14:paraId="1E65E914" w14:textId="77777777" w:rsidR="00E97234" w:rsidRDefault="00000000">
            <w:bookmarkStart w:id="3" w:name="_1fob9te" w:colFirst="0" w:colLast="0"/>
            <w:bookmarkEnd w:id="3"/>
            <w:r>
              <w:t>b) Osoby, které byly v posledních 3 letech před podáním žádosti o podpůrné opatření propuštěny z výkonu trestu odnětí svobody,</w:t>
            </w:r>
          </w:p>
          <w:p w14:paraId="46AB5E09" w14:textId="77777777" w:rsidR="00E97234" w:rsidRDefault="00000000">
            <w:r>
              <w:t>1. pokud se na ně nehledí, jako by nebyly odsouzeny, nebo</w:t>
            </w:r>
          </w:p>
          <w:p w14:paraId="37435AD5" w14:textId="77777777" w:rsidR="00E97234" w:rsidRDefault="00000000">
            <w:r>
              <w:t>2. pokud se na ně hledí, jako by nebyly odsouzeny, a výkon trestu odnětí svobody trval nejméně 2 roky.</w:t>
            </w:r>
          </w:p>
          <w:p w14:paraId="2E0075DF" w14:textId="77777777" w:rsidR="00E97234" w:rsidRDefault="00000000">
            <w:r>
              <w:t>c) Obvinění ve výkonu vazby, trvá-li alespoň 2 roky, a u nichž se ke dni podání žádosti očekává v příštích 6 měsících skončení výkonu vazby z důvodu dosažení nejvyšší přípustné délky trvání vazby.</w:t>
            </w:r>
          </w:p>
          <w:p w14:paraId="62B6B357" w14:textId="77777777" w:rsidR="00E97234" w:rsidRDefault="00000000">
            <w:r>
              <w:lastRenderedPageBreak/>
              <w:t>Do délky trvání výkonu trestu odnětí svobody se pro účely tohoto vymezení započítává i délka trvání případného výkonu vazby.</w:t>
            </w:r>
          </w:p>
        </w:tc>
      </w:tr>
      <w:tr w:rsidR="00E97234" w14:paraId="11AA1476" w14:textId="77777777">
        <w:trPr>
          <w:trHeight w:val="300"/>
        </w:trPr>
        <w:tc>
          <w:tcPr>
            <w:tcW w:w="1061" w:type="dxa"/>
            <w:vAlign w:val="center"/>
          </w:tcPr>
          <w:p w14:paraId="411DAC0B" w14:textId="77777777" w:rsidR="00E97234" w:rsidRDefault="00000000">
            <w:r>
              <w:lastRenderedPageBreak/>
              <w:t>8.</w:t>
            </w:r>
          </w:p>
        </w:tc>
        <w:tc>
          <w:tcPr>
            <w:tcW w:w="1339" w:type="dxa"/>
            <w:vAlign w:val="center"/>
          </w:tcPr>
          <w:p w14:paraId="2A5E06C7" w14:textId="77777777" w:rsidR="00E97234" w:rsidRDefault="00E97234"/>
        </w:tc>
        <w:tc>
          <w:tcPr>
            <w:tcW w:w="2482" w:type="dxa"/>
            <w:vAlign w:val="center"/>
          </w:tcPr>
          <w:p w14:paraId="7436BF88" w14:textId="77777777" w:rsidR="00E97234" w:rsidRDefault="00000000">
            <w:r>
              <w:t>Osaměle žijící osoby starší 65 let</w:t>
            </w:r>
          </w:p>
        </w:tc>
        <w:tc>
          <w:tcPr>
            <w:tcW w:w="4477" w:type="dxa"/>
            <w:vAlign w:val="center"/>
          </w:tcPr>
          <w:p w14:paraId="735EA9EE" w14:textId="77777777" w:rsidR="00E97234" w:rsidRDefault="00000000">
            <w:r>
              <w:t>Osoby starší 65 let, které jsou jedinými členy svých domácností.</w:t>
            </w:r>
          </w:p>
        </w:tc>
      </w:tr>
      <w:tr w:rsidR="00E97234" w14:paraId="1C92EEE9" w14:textId="77777777">
        <w:trPr>
          <w:trHeight w:val="300"/>
        </w:trPr>
        <w:tc>
          <w:tcPr>
            <w:tcW w:w="1061" w:type="dxa"/>
            <w:vAlign w:val="center"/>
          </w:tcPr>
          <w:p w14:paraId="44DFB63A" w14:textId="77777777" w:rsidR="00E97234" w:rsidRDefault="00000000">
            <w:r>
              <w:t>9.</w:t>
            </w:r>
          </w:p>
        </w:tc>
        <w:tc>
          <w:tcPr>
            <w:tcW w:w="1339" w:type="dxa"/>
            <w:vAlign w:val="center"/>
          </w:tcPr>
          <w:p w14:paraId="555EB439" w14:textId="77777777" w:rsidR="00E97234" w:rsidRDefault="00E97234"/>
        </w:tc>
        <w:tc>
          <w:tcPr>
            <w:tcW w:w="2482" w:type="dxa"/>
            <w:vAlign w:val="center"/>
          </w:tcPr>
          <w:p w14:paraId="2D34D0CA" w14:textId="77777777" w:rsidR="00E97234" w:rsidRDefault="00000000">
            <w:r>
              <w:t>Osoby před opuštěním pobytového zařízení sociální služby nebo lůžkové péče ve zdravotnickém zařízení a osoby nedávno opustivší pobytové zařízení sociální služby nebo lůžkovou péči ve zdravotnickém zařízení</w:t>
            </w:r>
          </w:p>
        </w:tc>
        <w:tc>
          <w:tcPr>
            <w:tcW w:w="4477" w:type="dxa"/>
            <w:vAlign w:val="center"/>
          </w:tcPr>
          <w:p w14:paraId="5E3AA64E" w14:textId="77777777" w:rsidR="00E97234" w:rsidRDefault="00000000">
            <w:r>
              <w:t>Skupina sestává z těchto osob:</w:t>
            </w:r>
          </w:p>
          <w:p w14:paraId="0B0ADEC6" w14:textId="77777777" w:rsidR="00E97234" w:rsidRDefault="00000000">
            <w:r>
              <w:t>a) Osoby přebývající v pobytovém zařízení sociální služby, u nichž se ke dni podání žádosti o podpůrné opatření očekává opuštění tohoto zařízení v příštích 6 měsících.</w:t>
            </w:r>
          </w:p>
          <w:p w14:paraId="3B10FCA4" w14:textId="77777777" w:rsidR="00E97234" w:rsidRDefault="00000000">
            <w:r>
              <w:t>b) Osoby, které v posledním roce před podáním žádosti o podpůrné opatření opustily pobytové zařízení sociální služby, v němž přebývaly.</w:t>
            </w:r>
          </w:p>
          <w:p w14:paraId="15B8E796" w14:textId="77777777" w:rsidR="00E97234" w:rsidRDefault="00000000">
            <w:r>
              <w:t>c) Osoby, kterým je ve zdravotnickém zařízení poskytována lůžková péče a u nichž se ke dni podání žádosti o podpůrné opatření očekává opuštění tohoto zařízení v příštích 6 měsících.</w:t>
            </w:r>
          </w:p>
          <w:p w14:paraId="71992E52" w14:textId="77777777" w:rsidR="00E97234" w:rsidRDefault="00000000">
            <w:r>
              <w:t>d) Osoby, kterým přestala být v posledním roce před podáním žádosti o podpůrné opatření poskytována lůžková péče ve zdravotnickém zařízení.</w:t>
            </w:r>
          </w:p>
        </w:tc>
      </w:tr>
      <w:tr w:rsidR="00E97234" w14:paraId="4DA2BBDA" w14:textId="77777777">
        <w:trPr>
          <w:trHeight w:val="300"/>
        </w:trPr>
        <w:tc>
          <w:tcPr>
            <w:tcW w:w="1061" w:type="dxa"/>
            <w:vAlign w:val="center"/>
          </w:tcPr>
          <w:p w14:paraId="4BE42282" w14:textId="77777777" w:rsidR="00E97234" w:rsidRDefault="00000000">
            <w:r>
              <w:t>10.</w:t>
            </w:r>
          </w:p>
        </w:tc>
        <w:tc>
          <w:tcPr>
            <w:tcW w:w="1339" w:type="dxa"/>
            <w:vAlign w:val="center"/>
          </w:tcPr>
          <w:p w14:paraId="0A0CA21B" w14:textId="77777777" w:rsidR="00E97234" w:rsidRDefault="00E97234"/>
        </w:tc>
        <w:tc>
          <w:tcPr>
            <w:tcW w:w="2482" w:type="dxa"/>
            <w:vAlign w:val="center"/>
          </w:tcPr>
          <w:p w14:paraId="21B3A739" w14:textId="77777777" w:rsidR="00E97234" w:rsidRDefault="00000000">
            <w:r>
              <w:t>Oběti trestného činu</w:t>
            </w:r>
          </w:p>
        </w:tc>
        <w:tc>
          <w:tcPr>
            <w:tcW w:w="4477" w:type="dxa"/>
            <w:vAlign w:val="center"/>
          </w:tcPr>
          <w:p w14:paraId="0422FF24" w14:textId="77777777" w:rsidR="00E97234" w:rsidRDefault="00000000">
            <w:r>
              <w:t>Osoby, které jsou obětí trestného činu podle zákona o obětech trestných činů, pokud trestný čin nebo čin jinak trestný dlouhodobě nepříznivě poznamenal jejich zdravotní stav, včetně duševního zdraví, nebo sociální situaci.</w:t>
            </w:r>
          </w:p>
        </w:tc>
      </w:tr>
      <w:tr w:rsidR="00E97234" w14:paraId="572354FB" w14:textId="77777777">
        <w:trPr>
          <w:trHeight w:val="300"/>
        </w:trPr>
        <w:tc>
          <w:tcPr>
            <w:tcW w:w="1061" w:type="dxa"/>
            <w:vAlign w:val="center"/>
          </w:tcPr>
          <w:p w14:paraId="770D87BD" w14:textId="77777777" w:rsidR="00E97234" w:rsidRDefault="00000000">
            <w:r>
              <w:t>11.</w:t>
            </w:r>
          </w:p>
        </w:tc>
        <w:tc>
          <w:tcPr>
            <w:tcW w:w="1339" w:type="dxa"/>
            <w:vAlign w:val="center"/>
          </w:tcPr>
          <w:p w14:paraId="5D1D4CED" w14:textId="77777777" w:rsidR="00E97234" w:rsidRDefault="00E97234"/>
        </w:tc>
        <w:tc>
          <w:tcPr>
            <w:tcW w:w="2482" w:type="dxa"/>
            <w:vAlign w:val="center"/>
          </w:tcPr>
          <w:p w14:paraId="481D1642" w14:textId="77777777" w:rsidR="00E97234" w:rsidRDefault="00000000">
            <w:r>
              <w:t>Váleční veteráni</w:t>
            </w:r>
          </w:p>
        </w:tc>
        <w:tc>
          <w:tcPr>
            <w:tcW w:w="4477" w:type="dxa"/>
            <w:vAlign w:val="center"/>
          </w:tcPr>
          <w:p w14:paraId="1EEBCCFA" w14:textId="77777777" w:rsidR="00E97234" w:rsidRDefault="00000000">
            <w:r>
              <w:t>Osoby, které jsou držiteli osvědčení válečného veterána podle zákona o válečných veteránech nebo držiteli osvědčení o účasti na národním boji za osvobození podle zákona o příslušnících československé armády v zahraničí a o některých jiných účastnících národního boje za osvobození.</w:t>
            </w:r>
          </w:p>
        </w:tc>
      </w:tr>
      <w:tr w:rsidR="00E97234" w14:paraId="74504F2C" w14:textId="77777777">
        <w:trPr>
          <w:trHeight w:val="300"/>
        </w:trPr>
        <w:tc>
          <w:tcPr>
            <w:tcW w:w="1061" w:type="dxa"/>
            <w:vAlign w:val="center"/>
          </w:tcPr>
          <w:p w14:paraId="018009F0" w14:textId="77777777" w:rsidR="00E97234" w:rsidRDefault="00000000">
            <w:r>
              <w:t>12.</w:t>
            </w:r>
          </w:p>
        </w:tc>
        <w:tc>
          <w:tcPr>
            <w:tcW w:w="1339" w:type="dxa"/>
            <w:vAlign w:val="center"/>
          </w:tcPr>
          <w:p w14:paraId="2809ED1E" w14:textId="77777777" w:rsidR="00E97234" w:rsidRDefault="00E97234"/>
        </w:tc>
        <w:tc>
          <w:tcPr>
            <w:tcW w:w="2482" w:type="dxa"/>
            <w:vAlign w:val="center"/>
          </w:tcPr>
          <w:p w14:paraId="1FDA62D5" w14:textId="77777777" w:rsidR="00E97234" w:rsidRDefault="00000000">
            <w:r>
              <w:t>Diskriminované osoby</w:t>
            </w:r>
          </w:p>
        </w:tc>
        <w:tc>
          <w:tcPr>
            <w:tcW w:w="4477" w:type="dxa"/>
            <w:vAlign w:val="center"/>
          </w:tcPr>
          <w:p w14:paraId="180E3692" w14:textId="77777777" w:rsidR="00E97234" w:rsidRDefault="00000000">
            <w:r>
              <w:t>Osoby, které jsou diskriminovány na trhu s bydlením.</w:t>
            </w:r>
          </w:p>
        </w:tc>
      </w:tr>
      <w:tr w:rsidR="00E97234" w14:paraId="429F2486" w14:textId="77777777">
        <w:trPr>
          <w:trHeight w:val="300"/>
        </w:trPr>
        <w:tc>
          <w:tcPr>
            <w:tcW w:w="1061" w:type="dxa"/>
            <w:vAlign w:val="center"/>
          </w:tcPr>
          <w:p w14:paraId="47FA4228" w14:textId="77777777" w:rsidR="00E97234" w:rsidRDefault="00000000">
            <w:r>
              <w:t>13.</w:t>
            </w:r>
          </w:p>
        </w:tc>
        <w:tc>
          <w:tcPr>
            <w:tcW w:w="1339" w:type="dxa"/>
            <w:vAlign w:val="center"/>
          </w:tcPr>
          <w:p w14:paraId="66C8E1CE" w14:textId="77777777" w:rsidR="00E97234" w:rsidRDefault="00E97234"/>
        </w:tc>
        <w:tc>
          <w:tcPr>
            <w:tcW w:w="2482" w:type="dxa"/>
            <w:vAlign w:val="center"/>
          </w:tcPr>
          <w:p w14:paraId="438B7D8B" w14:textId="77777777" w:rsidR="00E97234" w:rsidRDefault="00000000">
            <w:r>
              <w:t>Osoby bez střechy a bez bytu</w:t>
            </w:r>
          </w:p>
        </w:tc>
        <w:tc>
          <w:tcPr>
            <w:tcW w:w="4477" w:type="dxa"/>
            <w:vAlign w:val="center"/>
          </w:tcPr>
          <w:p w14:paraId="595C11F0" w14:textId="77777777" w:rsidR="00E97234" w:rsidRDefault="00000000">
            <w:r>
              <w:t>Skupina sestává z těchto osob:</w:t>
            </w:r>
          </w:p>
          <w:p w14:paraId="3C29193A" w14:textId="77777777" w:rsidR="00E97234" w:rsidRDefault="00000000">
            <w:r>
              <w:t>a) Osoby, které jsou příslušníky podskupiny uvedené na řádku 13.1 (osoby bez střechy).</w:t>
            </w:r>
          </w:p>
          <w:p w14:paraId="0FB99546" w14:textId="77777777" w:rsidR="00E97234" w:rsidRDefault="00000000">
            <w:r>
              <w:t>b) Osoby přebývající v azylových domech s krátkodobým ubytováním nebo v domech na půli cesty.</w:t>
            </w:r>
          </w:p>
          <w:p w14:paraId="5DA051AE" w14:textId="77777777" w:rsidR="00E97234" w:rsidRDefault="00000000">
            <w:r>
              <w:t>c) Osoby přebývající v ubytovnách.</w:t>
            </w:r>
          </w:p>
          <w:p w14:paraId="6A6A6357" w14:textId="77777777" w:rsidR="00E97234" w:rsidRDefault="00000000">
            <w:r>
              <w:t>d) Osoby bez přístřeší v přechodném bydlení se sociální podporou.</w:t>
            </w:r>
          </w:p>
          <w:p w14:paraId="0E71E65D" w14:textId="77777777" w:rsidR="00E97234" w:rsidRDefault="00000000">
            <w:r>
              <w:t>e) Osoby využívající přechodné ubytování z důvodu ohrožení domácím násilím, zejména osoby ohrožené domácím násilím pobývající na skryté adrese a osoby ohrožené domácím násilím pobývající v azylovém domě.</w:t>
            </w:r>
          </w:p>
        </w:tc>
      </w:tr>
      <w:tr w:rsidR="00E97234" w14:paraId="1B24D580" w14:textId="77777777">
        <w:trPr>
          <w:trHeight w:val="2967"/>
        </w:trPr>
        <w:tc>
          <w:tcPr>
            <w:tcW w:w="1061" w:type="dxa"/>
            <w:vAlign w:val="center"/>
          </w:tcPr>
          <w:p w14:paraId="6E48FEFF" w14:textId="77777777" w:rsidR="00E97234" w:rsidRDefault="00E97234"/>
        </w:tc>
        <w:tc>
          <w:tcPr>
            <w:tcW w:w="1339" w:type="dxa"/>
            <w:vAlign w:val="center"/>
          </w:tcPr>
          <w:p w14:paraId="016B6012" w14:textId="77777777" w:rsidR="00E97234" w:rsidRDefault="00000000">
            <w:r>
              <w:t>13.1</w:t>
            </w:r>
          </w:p>
        </w:tc>
        <w:tc>
          <w:tcPr>
            <w:tcW w:w="2482" w:type="dxa"/>
            <w:vAlign w:val="center"/>
          </w:tcPr>
          <w:p w14:paraId="0F514784" w14:textId="77777777" w:rsidR="00E97234" w:rsidRDefault="00000000">
            <w:r>
              <w:t>Osoby bez střechy</w:t>
            </w:r>
          </w:p>
        </w:tc>
        <w:tc>
          <w:tcPr>
            <w:tcW w:w="4477" w:type="dxa"/>
            <w:vAlign w:val="center"/>
          </w:tcPr>
          <w:p w14:paraId="3C31568A" w14:textId="77777777" w:rsidR="00E97234" w:rsidRDefault="00000000">
            <w:r>
              <w:t>Podskupina sestává z těchto osob:</w:t>
            </w:r>
          </w:p>
          <w:p w14:paraId="4BD1CB54" w14:textId="77777777" w:rsidR="00E97234" w:rsidRDefault="00000000">
            <w:r>
              <w:t>a) Osoby přebývající na ulici nebo ve veřejně přístupných prostorách bez možnosti ubytování.</w:t>
            </w:r>
          </w:p>
          <w:p w14:paraId="4A7239EB" w14:textId="77777777" w:rsidR="00E97234" w:rsidRDefault="00000000">
            <w:r>
              <w:t>b) Osoby bez obvyklého bydliště, které využívají nízkoprahové noclehárny, a osoby sezónně užívající k přenocování prostory v zařízeních bez lůžek.</w:t>
            </w:r>
          </w:p>
        </w:tc>
      </w:tr>
      <w:tr w:rsidR="00E97234" w14:paraId="0E6ED7CE" w14:textId="77777777">
        <w:trPr>
          <w:trHeight w:val="300"/>
        </w:trPr>
        <w:tc>
          <w:tcPr>
            <w:tcW w:w="1061" w:type="dxa"/>
            <w:vAlign w:val="center"/>
          </w:tcPr>
          <w:p w14:paraId="6F1F3CE7" w14:textId="77777777" w:rsidR="00E97234" w:rsidRDefault="00000000">
            <w:r>
              <w:t>14.</w:t>
            </w:r>
          </w:p>
        </w:tc>
        <w:tc>
          <w:tcPr>
            <w:tcW w:w="1339" w:type="dxa"/>
            <w:vAlign w:val="center"/>
          </w:tcPr>
          <w:p w14:paraId="1C706CF8" w14:textId="77777777" w:rsidR="00E97234" w:rsidRDefault="00E97234"/>
        </w:tc>
        <w:tc>
          <w:tcPr>
            <w:tcW w:w="2482" w:type="dxa"/>
            <w:vAlign w:val="center"/>
          </w:tcPr>
          <w:p w14:paraId="20113419" w14:textId="77777777" w:rsidR="00E97234" w:rsidRDefault="00000000">
            <w:r>
              <w:t>Osoby v dlouhodobé bytové nouzi</w:t>
            </w:r>
          </w:p>
        </w:tc>
        <w:tc>
          <w:tcPr>
            <w:tcW w:w="4477" w:type="dxa"/>
            <w:vAlign w:val="center"/>
          </w:tcPr>
          <w:p w14:paraId="4F0859EE" w14:textId="77777777" w:rsidR="00E97234" w:rsidRDefault="00000000">
            <w:pPr>
              <w:rPr>
                <w:i/>
              </w:rPr>
            </w:pPr>
            <w:r>
              <w:t>Osoby, které po dobu 3 let předcházejících podání žádosti o podpůrné opatření byly osobami v bytové nouzi.</w:t>
            </w:r>
          </w:p>
        </w:tc>
      </w:tr>
      <w:tr w:rsidR="00E97234" w14:paraId="38E87329" w14:textId="77777777">
        <w:trPr>
          <w:trHeight w:val="300"/>
        </w:trPr>
        <w:tc>
          <w:tcPr>
            <w:tcW w:w="1061" w:type="dxa"/>
            <w:vAlign w:val="center"/>
          </w:tcPr>
          <w:p w14:paraId="4D59B33B" w14:textId="77777777" w:rsidR="00E97234" w:rsidRDefault="00000000">
            <w:r>
              <w:t>15.</w:t>
            </w:r>
          </w:p>
        </w:tc>
        <w:tc>
          <w:tcPr>
            <w:tcW w:w="1339" w:type="dxa"/>
            <w:vAlign w:val="center"/>
          </w:tcPr>
          <w:p w14:paraId="053DBD86" w14:textId="77777777" w:rsidR="00E97234" w:rsidRDefault="00E97234"/>
        </w:tc>
        <w:tc>
          <w:tcPr>
            <w:tcW w:w="2482" w:type="dxa"/>
            <w:vAlign w:val="center"/>
          </w:tcPr>
          <w:p w14:paraId="2C9C5E0D" w14:textId="77777777" w:rsidR="00E97234" w:rsidRDefault="00000000">
            <w:r>
              <w:t>Osoby v oddlužení</w:t>
            </w:r>
          </w:p>
        </w:tc>
        <w:tc>
          <w:tcPr>
            <w:tcW w:w="4477" w:type="dxa"/>
            <w:vAlign w:val="center"/>
          </w:tcPr>
          <w:p w14:paraId="05D0DE2F" w14:textId="77777777" w:rsidR="00E97234" w:rsidRDefault="00000000">
            <w:r>
              <w:t>Osoby, u kterých podle údajů v insolvenčním rejstříku probíhá oddlužení.</w:t>
            </w:r>
          </w:p>
        </w:tc>
      </w:tr>
    </w:tbl>
    <w:p w14:paraId="4896CDAD" w14:textId="77777777" w:rsidR="00E97234" w:rsidRDefault="00000000">
      <w:pPr>
        <w:spacing w:after="200" w:line="276" w:lineRule="auto"/>
      </w:pPr>
      <w:r>
        <w:br w:type="page"/>
      </w:r>
    </w:p>
    <w:p w14:paraId="5C5D4142" w14:textId="77777777" w:rsidR="00E9723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NÁVRH ZMĚNY:</w:t>
      </w:r>
    </w:p>
    <w:p w14:paraId="009D71E6" w14:textId="77777777" w:rsidR="00E97234" w:rsidRDefault="00000000">
      <w:r>
        <w:t>Přidat do Přílohy č. 4 k zákonu č. …/2024 Sb.):</w:t>
      </w:r>
    </w:p>
    <w:p w14:paraId="33272DC4" w14:textId="77777777" w:rsidR="00E97234" w:rsidRDefault="00000000">
      <w:pPr>
        <w:rPr>
          <w:b/>
        </w:rPr>
      </w:pPr>
      <w:r>
        <w:rPr>
          <w:b/>
        </w:rPr>
        <w:t>Skupiny zvláště potřebných osob</w:t>
      </w:r>
    </w:p>
    <w:p w14:paraId="01138E4D" w14:textId="77777777" w:rsidR="00E97234" w:rsidRDefault="00000000">
      <w:r>
        <w:t>16 – Osoby s nulovým, minimálním či velmi nízkým důchodem</w:t>
      </w:r>
    </w:p>
    <w:tbl>
      <w:tblPr>
        <w:tblStyle w:val="a0"/>
        <w:tblW w:w="9359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"/>
        <w:gridCol w:w="1339"/>
        <w:gridCol w:w="2476"/>
        <w:gridCol w:w="4482"/>
      </w:tblGrid>
      <w:tr w:rsidR="00E97234" w14:paraId="1C0492D7" w14:textId="77777777">
        <w:trPr>
          <w:trHeight w:val="300"/>
        </w:trPr>
        <w:tc>
          <w:tcPr>
            <w:tcW w:w="1062" w:type="dxa"/>
            <w:vAlign w:val="center"/>
          </w:tcPr>
          <w:p w14:paraId="6646D3A2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339" w:type="dxa"/>
            <w:vAlign w:val="center"/>
          </w:tcPr>
          <w:p w14:paraId="4631E421" w14:textId="77777777" w:rsidR="00E97234" w:rsidRDefault="00E97234">
            <w:pPr>
              <w:rPr>
                <w:color w:val="FF0000"/>
              </w:rPr>
            </w:pPr>
          </w:p>
        </w:tc>
        <w:tc>
          <w:tcPr>
            <w:tcW w:w="2476" w:type="dxa"/>
            <w:vAlign w:val="center"/>
          </w:tcPr>
          <w:p w14:paraId="03098D66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Osoby s nulovým, minimálním či velmi nízkým důchodem</w:t>
            </w:r>
          </w:p>
        </w:tc>
        <w:tc>
          <w:tcPr>
            <w:tcW w:w="4482" w:type="dxa"/>
            <w:vAlign w:val="center"/>
          </w:tcPr>
          <w:p w14:paraId="20823981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Skupina sestává z těchto osob:</w:t>
            </w:r>
          </w:p>
          <w:p w14:paraId="3EE4CD3A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a) Osoby, které jsou v I., II., nebo III. stupni invalidního důchodu, jejichž důchod je tak malý, že nedokáže pokrýt náklady na živobytí.</w:t>
            </w:r>
          </w:p>
          <w:p w14:paraId="6AA1FFDC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b) Osoby invalidní s nulovým (invalidním) důchodem, které nemají dostatečnou dobu pojištění, aby měly přiznán invalidní důchod. (I. až III. stupně) s velkými životnými náklady.</w:t>
            </w:r>
          </w:p>
          <w:p w14:paraId="63E19A4C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c) Osoby se sirotčím důchodem. Tyto osoby se náhle ocitly bez svých nejbližších a často jim díky náhlému zhoršení finanční situace hrozí problémy se živobytím.</w:t>
            </w:r>
          </w:p>
          <w:p w14:paraId="60E94DB8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d) Osoby s vdovským/vdoveckým důchodem. Tyto osoby se náhle ocitly bez svých nejbližších a často jim díky náhlému zhoršení finanční situace hrozí problémy se živobytím.</w:t>
            </w:r>
          </w:p>
          <w:p w14:paraId="71576C33" w14:textId="77777777" w:rsidR="00E97234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e) Osoby s minimálním starobním důchodem. Vzhledem k minimální výši a trvání pojistného je tento starobní důchod minimální či velmi malý a nedostatečně pokrývá náklady na živobytí.</w:t>
            </w:r>
          </w:p>
          <w:p w14:paraId="41DED0FF" w14:textId="77777777" w:rsidR="00E97234" w:rsidRDefault="00000000">
            <w:r>
              <w:rPr>
                <w:b/>
                <w:color w:val="FF0000"/>
              </w:rPr>
              <w:t>f) Osoby bez starobního důchodu v penzijním věku. Jedná se o osoby, které nemají potřebnou dobu pojistného a nedostávají žádný starobní důchod.</w:t>
            </w:r>
          </w:p>
        </w:tc>
      </w:tr>
    </w:tbl>
    <w:p w14:paraId="76821187" w14:textId="77777777" w:rsidR="00E97234" w:rsidRDefault="00E97234">
      <w:pPr>
        <w:spacing w:after="0"/>
        <w:rPr>
          <w:b/>
        </w:rPr>
      </w:pPr>
    </w:p>
    <w:p w14:paraId="76E7568F" w14:textId="2B922349" w:rsidR="00E97234" w:rsidRDefault="003A082B">
      <w:pPr>
        <w:spacing w:after="0"/>
        <w:rPr>
          <w:b/>
        </w:rPr>
      </w:pPr>
      <w:r>
        <w:rPr>
          <w:b/>
        </w:rPr>
        <w:t>ODŮVODNĚNÍ:</w:t>
      </w:r>
    </w:p>
    <w:p w14:paraId="23F0A928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Navrhuje se doplnit o kategorii o „Osoby s nulovým, minimálním či velmi nízkým důchodem“, které nejsou zmíněny v předchozím paragrafovém znění.</w:t>
      </w:r>
    </w:p>
    <w:p w14:paraId="62962B16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Jednotlivé kategorie osob dokládají:</w:t>
      </w:r>
    </w:p>
    <w:p w14:paraId="35FFD6BD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 Dokládá se přiznáním invalidního důchodu (I. až III. stupně).</w:t>
      </w:r>
    </w:p>
    <w:p w14:paraId="32DDF225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 Dokládá se výpisem od ČSSZ</w:t>
      </w:r>
    </w:p>
    <w:p w14:paraId="079F34FC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 Dokládá se přiznáním sirotčího důchodu.</w:t>
      </w:r>
    </w:p>
    <w:p w14:paraId="01C05C3A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 Dokládá se přiznáním vdovského/vdoveckého důchod.</w:t>
      </w:r>
    </w:p>
    <w:p w14:paraId="4B9EC4C8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 Dokládá se přiznáním starobního důchodu.</w:t>
      </w:r>
    </w:p>
    <w:p w14:paraId="24F010D7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 Dokládá se výpisem od ČSSZ.</w:t>
      </w:r>
    </w:p>
    <w:p w14:paraId="28C2CCF7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Poznámka: U osob kategorie a), b) a c) se jedná o osoby zpravidla mladší 65 let.</w:t>
      </w:r>
    </w:p>
    <w:p w14:paraId="543DF6CC" w14:textId="77777777" w:rsidR="00E9723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Výše uvedené příklady budou doplněny a upřesněny v metodikách vydávaných ministerstvem.</w:t>
      </w:r>
    </w:p>
    <w:p w14:paraId="16811E6A" w14:textId="77777777" w:rsidR="00E217F5" w:rsidRDefault="00E217F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EBD339" w14:textId="414EC115" w:rsidR="00E217F5" w:rsidRDefault="00E217F5" w:rsidP="00E217F5">
      <w:pPr>
        <w:spacing w:after="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V Praze dne 22. 6. 2023</w:t>
      </w:r>
    </w:p>
    <w:p w14:paraId="7688B5BD" w14:textId="77777777" w:rsidR="00E217F5" w:rsidRDefault="00E217F5" w:rsidP="00E217F5">
      <w:pPr>
        <w:spacing w:after="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206BD0E" w14:textId="77777777" w:rsidR="00E217F5" w:rsidRDefault="00E217F5" w:rsidP="00E217F5">
      <w:pPr>
        <w:spacing w:after="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C76C83" w14:textId="77777777" w:rsidR="00E217F5" w:rsidRDefault="00E217F5" w:rsidP="00E217F5">
      <w:pPr>
        <w:spacing w:after="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BDED4BB" w14:textId="77777777" w:rsidR="00E217F5" w:rsidRDefault="00E217F5" w:rsidP="00E217F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Zpracoval: Mgr. Václav Krása, Petr Štok</w:t>
      </w:r>
    </w:p>
    <w:p w14:paraId="5F122F3F" w14:textId="59F37510" w:rsidR="00E217F5" w:rsidRPr="00E217F5" w:rsidRDefault="00E217F5" w:rsidP="00E217F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 NRZP ČR: Mgr. Václav Krása</w:t>
      </w:r>
    </w:p>
    <w:sectPr w:rsidR="00E217F5" w:rsidRPr="00E217F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632B" w14:textId="77777777" w:rsidR="00470AD9" w:rsidRDefault="00470AD9">
      <w:pPr>
        <w:spacing w:after="0" w:line="240" w:lineRule="auto"/>
      </w:pPr>
      <w:r>
        <w:separator/>
      </w:r>
    </w:p>
  </w:endnote>
  <w:endnote w:type="continuationSeparator" w:id="0">
    <w:p w14:paraId="0FBF0070" w14:textId="77777777" w:rsidR="00470AD9" w:rsidRDefault="0047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E1FB" w14:textId="77777777" w:rsidR="00E97234" w:rsidRDefault="0000000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646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E8BC" w14:textId="77777777" w:rsidR="00470AD9" w:rsidRDefault="00470AD9">
      <w:pPr>
        <w:spacing w:after="0" w:line="240" w:lineRule="auto"/>
      </w:pPr>
      <w:r>
        <w:separator/>
      </w:r>
    </w:p>
  </w:footnote>
  <w:footnote w:type="continuationSeparator" w:id="0">
    <w:p w14:paraId="006BB522" w14:textId="77777777" w:rsidR="00470AD9" w:rsidRDefault="0047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547A"/>
    <w:multiLevelType w:val="hybridMultilevel"/>
    <w:tmpl w:val="70422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543D"/>
    <w:multiLevelType w:val="multilevel"/>
    <w:tmpl w:val="CE82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054D3"/>
    <w:multiLevelType w:val="multilevel"/>
    <w:tmpl w:val="C504CEB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268163">
    <w:abstractNumId w:val="2"/>
  </w:num>
  <w:num w:numId="2" w16cid:durableId="1333753918">
    <w:abstractNumId w:val="1"/>
  </w:num>
  <w:num w:numId="3" w16cid:durableId="10885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34"/>
    <w:rsid w:val="000008BA"/>
    <w:rsid w:val="002E5B43"/>
    <w:rsid w:val="003A082B"/>
    <w:rsid w:val="00470AD9"/>
    <w:rsid w:val="006D05BD"/>
    <w:rsid w:val="00776465"/>
    <w:rsid w:val="00816DA7"/>
    <w:rsid w:val="00883928"/>
    <w:rsid w:val="00E217F5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BBF5"/>
  <w15:docId w15:val="{D24C9F98-E9DB-45C3-82A3-E115113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2148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Kubíčková</cp:lastModifiedBy>
  <cp:revision>9</cp:revision>
  <dcterms:created xsi:type="dcterms:W3CDTF">2023-06-14T12:18:00Z</dcterms:created>
  <dcterms:modified xsi:type="dcterms:W3CDTF">2023-06-22T06:36:00Z</dcterms:modified>
</cp:coreProperties>
</file>