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E72CF" w14:textId="77777777" w:rsidR="0013036E" w:rsidRPr="00215161" w:rsidRDefault="00AC2D0B" w:rsidP="007E6DC5">
      <w:pPr>
        <w:spacing w:before="120"/>
        <w:jc w:val="right"/>
        <w:rPr>
          <w:b/>
          <w:szCs w:val="24"/>
        </w:rPr>
      </w:pPr>
      <w:bookmarkStart w:id="0" w:name="_Hlk112758955"/>
      <w:r w:rsidRPr="00215161">
        <w:rPr>
          <w:b/>
          <w:szCs w:val="24"/>
        </w:rPr>
        <w:t>IV.</w:t>
      </w:r>
    </w:p>
    <w:p w14:paraId="4B57570D" w14:textId="77777777" w:rsidR="00651C19" w:rsidRPr="00215161" w:rsidRDefault="00651C19" w:rsidP="007E6DC5">
      <w:pPr>
        <w:widowControl w:val="0"/>
        <w:tabs>
          <w:tab w:val="left" w:pos="8760"/>
        </w:tabs>
        <w:spacing w:before="120"/>
        <w:jc w:val="center"/>
        <w:rPr>
          <w:rFonts w:eastAsia="Times New Roman"/>
          <w:b/>
          <w:szCs w:val="24"/>
          <w:lang w:eastAsia="cs-CZ"/>
        </w:rPr>
      </w:pPr>
      <w:r w:rsidRPr="00215161">
        <w:rPr>
          <w:rFonts w:eastAsia="Times New Roman"/>
          <w:b/>
          <w:szCs w:val="24"/>
          <w:lang w:eastAsia="cs-CZ"/>
        </w:rPr>
        <w:t>DŮVODOVÁ ZPRÁVA</w:t>
      </w:r>
    </w:p>
    <w:p w14:paraId="70B35E1E" w14:textId="77777777" w:rsidR="00647759" w:rsidRPr="00215161" w:rsidRDefault="00647759" w:rsidP="007E6DC5">
      <w:pPr>
        <w:widowControl w:val="0"/>
        <w:tabs>
          <w:tab w:val="left" w:pos="8760"/>
        </w:tabs>
        <w:spacing w:before="120"/>
        <w:jc w:val="center"/>
        <w:rPr>
          <w:rFonts w:eastAsia="Times New Roman"/>
          <w:b/>
          <w:szCs w:val="24"/>
          <w:lang w:eastAsia="cs-CZ"/>
        </w:rPr>
      </w:pPr>
    </w:p>
    <w:p w14:paraId="2C2EA148" w14:textId="77777777" w:rsidR="00651C19" w:rsidRPr="00215161" w:rsidRDefault="00651C19" w:rsidP="007E6DC5">
      <w:pPr>
        <w:pStyle w:val="Nzev"/>
        <w:spacing w:before="120" w:after="0"/>
        <w:rPr>
          <w:iCs/>
          <w:szCs w:val="24"/>
          <w:u w:val="single"/>
          <w:lang w:eastAsia="cs-CZ"/>
        </w:rPr>
      </w:pPr>
      <w:r w:rsidRPr="00215161">
        <w:rPr>
          <w:iCs/>
          <w:szCs w:val="24"/>
          <w:u w:val="single"/>
          <w:lang w:eastAsia="cs-CZ"/>
        </w:rPr>
        <w:t>O</w:t>
      </w:r>
      <w:r w:rsidR="00CB70B3" w:rsidRPr="00215161">
        <w:rPr>
          <w:iCs/>
          <w:szCs w:val="24"/>
          <w:u w:val="single"/>
          <w:lang w:eastAsia="cs-CZ"/>
        </w:rPr>
        <w:t>becná</w:t>
      </w:r>
      <w:r w:rsidRPr="00215161">
        <w:rPr>
          <w:iCs/>
          <w:szCs w:val="24"/>
          <w:u w:val="single"/>
          <w:lang w:eastAsia="cs-CZ"/>
        </w:rPr>
        <w:t xml:space="preserve"> </w:t>
      </w:r>
      <w:r w:rsidR="00CB70B3" w:rsidRPr="00215161">
        <w:rPr>
          <w:iCs/>
          <w:szCs w:val="24"/>
          <w:u w:val="single"/>
          <w:lang w:eastAsia="cs-CZ"/>
        </w:rPr>
        <w:t>část</w:t>
      </w:r>
      <w:r w:rsidR="00290006" w:rsidRPr="00215161">
        <w:rPr>
          <w:iCs/>
          <w:szCs w:val="24"/>
          <w:u w:val="single"/>
          <w:lang w:eastAsia="cs-CZ"/>
        </w:rPr>
        <w:t xml:space="preserve"> </w:t>
      </w:r>
    </w:p>
    <w:p w14:paraId="13EE0EB7" w14:textId="77777777" w:rsidR="00641F26" w:rsidRPr="00215161" w:rsidRDefault="00641F26" w:rsidP="00555D8A">
      <w:pPr>
        <w:widowControl w:val="0"/>
        <w:spacing w:before="240"/>
        <w:ind w:firstLine="284"/>
        <w:rPr>
          <w:rFonts w:eastAsia="Times New Roman"/>
          <w:color w:val="000000"/>
          <w:szCs w:val="24"/>
          <w:lang w:eastAsia="cs-CZ"/>
        </w:rPr>
      </w:pPr>
      <w:r w:rsidRPr="00215161">
        <w:rPr>
          <w:rFonts w:eastAsia="Times New Roman"/>
          <w:color w:val="000000"/>
          <w:szCs w:val="24"/>
          <w:lang w:eastAsia="cs-CZ"/>
        </w:rPr>
        <w:t xml:space="preserve">Navrhovaná </w:t>
      </w:r>
      <w:r w:rsidR="00555D8A" w:rsidRPr="00215161">
        <w:rPr>
          <w:rFonts w:eastAsia="Times New Roman"/>
          <w:color w:val="000000"/>
          <w:szCs w:val="24"/>
          <w:lang w:eastAsia="cs-CZ"/>
        </w:rPr>
        <w:t>změna zákona č. 155/1995 Sb., o důchodovém pojištění</w:t>
      </w:r>
      <w:r w:rsidR="0022066C" w:rsidRPr="00215161">
        <w:rPr>
          <w:rFonts w:eastAsia="Times New Roman"/>
          <w:color w:val="000000"/>
          <w:szCs w:val="24"/>
          <w:lang w:eastAsia="cs-CZ"/>
        </w:rPr>
        <w:t>,</w:t>
      </w:r>
      <w:r w:rsidR="00555D8A" w:rsidRPr="00215161">
        <w:rPr>
          <w:rFonts w:eastAsia="Times New Roman"/>
          <w:color w:val="000000"/>
          <w:szCs w:val="24"/>
          <w:lang w:eastAsia="cs-CZ"/>
        </w:rPr>
        <w:t xml:space="preserve"> ve znění pozdějších předpisů </w:t>
      </w:r>
      <w:r w:rsidR="00C3390D" w:rsidRPr="00215161">
        <w:rPr>
          <w:rFonts w:eastAsia="Times New Roman"/>
          <w:color w:val="000000"/>
          <w:szCs w:val="24"/>
          <w:lang w:eastAsia="cs-CZ"/>
        </w:rPr>
        <w:t>(dále jen „Z</w:t>
      </w:r>
      <w:r w:rsidR="0022066C" w:rsidRPr="00215161">
        <w:rPr>
          <w:rFonts w:eastAsia="Times New Roman"/>
          <w:color w:val="000000"/>
          <w:szCs w:val="24"/>
          <w:lang w:eastAsia="cs-CZ"/>
        </w:rPr>
        <w:t>DP</w:t>
      </w:r>
      <w:r w:rsidR="00C3390D" w:rsidRPr="00215161">
        <w:rPr>
          <w:rFonts w:eastAsia="Times New Roman"/>
          <w:color w:val="000000"/>
          <w:szCs w:val="24"/>
          <w:lang w:eastAsia="cs-CZ"/>
        </w:rPr>
        <w:t xml:space="preserve">“) </w:t>
      </w:r>
      <w:r w:rsidR="00E05C90" w:rsidRPr="00215161">
        <w:rPr>
          <w:rFonts w:eastAsia="Times New Roman"/>
          <w:color w:val="000000"/>
          <w:szCs w:val="24"/>
          <w:lang w:eastAsia="cs-CZ"/>
        </w:rPr>
        <w:t>představuje část reformní</w:t>
      </w:r>
      <w:r w:rsidR="00F63179">
        <w:rPr>
          <w:rFonts w:eastAsia="Times New Roman"/>
          <w:color w:val="000000"/>
          <w:szCs w:val="24"/>
          <w:lang w:eastAsia="cs-CZ"/>
        </w:rPr>
        <w:t>ch</w:t>
      </w:r>
      <w:r w:rsidR="00E05C90" w:rsidRPr="00215161">
        <w:rPr>
          <w:rFonts w:eastAsia="Times New Roman"/>
          <w:color w:val="000000"/>
          <w:szCs w:val="24"/>
          <w:lang w:eastAsia="cs-CZ"/>
        </w:rPr>
        <w:t xml:space="preserve"> </w:t>
      </w:r>
      <w:r w:rsidR="00F63179">
        <w:rPr>
          <w:rFonts w:eastAsia="Times New Roman"/>
          <w:color w:val="000000"/>
          <w:szCs w:val="24"/>
          <w:lang w:eastAsia="cs-CZ"/>
        </w:rPr>
        <w:t>opatření</w:t>
      </w:r>
      <w:r w:rsidR="00E05C90" w:rsidRPr="00215161">
        <w:rPr>
          <w:rFonts w:eastAsia="Times New Roman"/>
          <w:color w:val="000000"/>
          <w:szCs w:val="24"/>
          <w:lang w:eastAsia="cs-CZ"/>
        </w:rPr>
        <w:t>, kter</w:t>
      </w:r>
      <w:r w:rsidR="00F63179">
        <w:rPr>
          <w:rFonts w:eastAsia="Times New Roman"/>
          <w:color w:val="000000"/>
          <w:szCs w:val="24"/>
          <w:lang w:eastAsia="cs-CZ"/>
        </w:rPr>
        <w:t>á</w:t>
      </w:r>
      <w:r w:rsidR="00E05C90" w:rsidRPr="00215161">
        <w:rPr>
          <w:rFonts w:eastAsia="Times New Roman"/>
          <w:color w:val="000000"/>
          <w:szCs w:val="24"/>
          <w:lang w:eastAsia="cs-CZ"/>
        </w:rPr>
        <w:t xml:space="preserve"> m</w:t>
      </w:r>
      <w:r w:rsidR="00F63179">
        <w:rPr>
          <w:rFonts w:eastAsia="Times New Roman"/>
          <w:color w:val="000000"/>
          <w:szCs w:val="24"/>
          <w:lang w:eastAsia="cs-CZ"/>
        </w:rPr>
        <w:t>ají</w:t>
      </w:r>
      <w:r w:rsidR="00E05C90" w:rsidRPr="00215161">
        <w:rPr>
          <w:rFonts w:eastAsia="Times New Roman"/>
          <w:color w:val="000000"/>
          <w:szCs w:val="24"/>
          <w:lang w:eastAsia="cs-CZ"/>
        </w:rPr>
        <w:t xml:space="preserve"> za</w:t>
      </w:r>
      <w:r w:rsidR="00913B42" w:rsidRPr="00215161">
        <w:rPr>
          <w:rFonts w:eastAsia="Times New Roman"/>
          <w:color w:val="000000"/>
          <w:szCs w:val="24"/>
          <w:lang w:eastAsia="cs-CZ"/>
        </w:rPr>
        <w:t>bezpečit</w:t>
      </w:r>
      <w:r w:rsidR="00E05C90" w:rsidRPr="00215161">
        <w:rPr>
          <w:rFonts w:eastAsia="Times New Roman"/>
          <w:color w:val="000000"/>
          <w:szCs w:val="24"/>
          <w:lang w:eastAsia="cs-CZ"/>
        </w:rPr>
        <w:t xml:space="preserve"> přiměřené důchody akcentující mezigenerační spravedlnost a přispět</w:t>
      </w:r>
      <w:r w:rsidR="008B7F11">
        <w:rPr>
          <w:rFonts w:eastAsia="Times New Roman"/>
          <w:color w:val="000000"/>
          <w:szCs w:val="24"/>
          <w:lang w:eastAsia="cs-CZ"/>
        </w:rPr>
        <w:t xml:space="preserve"> k</w:t>
      </w:r>
      <w:r w:rsidR="004D5CEF">
        <w:rPr>
          <w:rFonts w:eastAsia="Times New Roman"/>
          <w:color w:val="000000"/>
          <w:szCs w:val="24"/>
          <w:lang w:eastAsia="cs-CZ"/>
        </w:rPr>
        <w:t> </w:t>
      </w:r>
      <w:r w:rsidR="00913B42" w:rsidRPr="00215161">
        <w:rPr>
          <w:rFonts w:eastAsia="Times New Roman"/>
          <w:color w:val="000000"/>
          <w:szCs w:val="24"/>
          <w:lang w:eastAsia="cs-CZ"/>
        </w:rPr>
        <w:t>zajištění</w:t>
      </w:r>
      <w:r w:rsidR="004D5CEF">
        <w:rPr>
          <w:rFonts w:eastAsia="Times New Roman"/>
          <w:color w:val="000000"/>
          <w:szCs w:val="24"/>
          <w:lang w:eastAsia="cs-CZ"/>
        </w:rPr>
        <w:t xml:space="preserve"> </w:t>
      </w:r>
      <w:r w:rsidR="00E05C90" w:rsidRPr="00215161">
        <w:rPr>
          <w:rFonts w:eastAsia="Times New Roman"/>
          <w:color w:val="000000"/>
          <w:szCs w:val="24"/>
          <w:lang w:eastAsia="cs-CZ"/>
        </w:rPr>
        <w:t>dlouhodobé udržitelnosti</w:t>
      </w:r>
      <w:r w:rsidR="00913B42" w:rsidRPr="00215161">
        <w:rPr>
          <w:rFonts w:eastAsia="Times New Roman"/>
          <w:color w:val="000000"/>
          <w:szCs w:val="24"/>
          <w:lang w:eastAsia="cs-CZ"/>
        </w:rPr>
        <w:t xml:space="preserve"> důchodového</w:t>
      </w:r>
      <w:r w:rsidR="00E05C90" w:rsidRPr="00215161">
        <w:rPr>
          <w:rFonts w:eastAsia="Times New Roman"/>
          <w:color w:val="000000"/>
          <w:szCs w:val="24"/>
          <w:lang w:eastAsia="cs-CZ"/>
        </w:rPr>
        <w:t xml:space="preserve"> systému</w:t>
      </w:r>
      <w:r w:rsidR="00913B42" w:rsidRPr="00215161">
        <w:rPr>
          <w:rFonts w:eastAsia="Times New Roman"/>
          <w:color w:val="000000"/>
          <w:szCs w:val="24"/>
          <w:lang w:eastAsia="cs-CZ"/>
        </w:rPr>
        <w:t xml:space="preserve"> v rámci</w:t>
      </w:r>
      <w:r w:rsidR="00E05C90" w:rsidRPr="00215161">
        <w:rPr>
          <w:rFonts w:eastAsia="Times New Roman"/>
          <w:color w:val="000000"/>
          <w:szCs w:val="24"/>
          <w:lang w:eastAsia="cs-CZ"/>
        </w:rPr>
        <w:t xml:space="preserve"> veřejných financí.</w:t>
      </w:r>
    </w:p>
    <w:p w14:paraId="2EB747DE" w14:textId="77777777" w:rsidR="00E05C90" w:rsidRPr="00215161" w:rsidRDefault="00E05C90" w:rsidP="00555D8A">
      <w:pPr>
        <w:widowControl w:val="0"/>
        <w:spacing w:before="240"/>
        <w:ind w:firstLine="284"/>
        <w:rPr>
          <w:rFonts w:eastAsia="Times New Roman"/>
          <w:color w:val="000000"/>
          <w:szCs w:val="24"/>
          <w:lang w:eastAsia="cs-CZ"/>
        </w:rPr>
      </w:pPr>
      <w:r w:rsidRPr="00215161">
        <w:rPr>
          <w:rFonts w:eastAsia="Times New Roman"/>
          <w:color w:val="000000"/>
          <w:szCs w:val="24"/>
          <w:lang w:eastAsia="cs-CZ"/>
        </w:rPr>
        <w:t xml:space="preserve">Tato část reaguje na některé </w:t>
      </w:r>
      <w:r w:rsidR="00913B42" w:rsidRPr="00215161">
        <w:rPr>
          <w:rFonts w:eastAsia="Times New Roman"/>
          <w:color w:val="000000"/>
          <w:szCs w:val="24"/>
          <w:lang w:eastAsia="cs-CZ"/>
        </w:rPr>
        <w:t>aspekty</w:t>
      </w:r>
      <w:r w:rsidRPr="00215161">
        <w:rPr>
          <w:rFonts w:eastAsia="Times New Roman"/>
          <w:color w:val="000000"/>
          <w:szCs w:val="24"/>
          <w:lang w:eastAsia="cs-CZ"/>
        </w:rPr>
        <w:t xml:space="preserve"> důchodového systému v oblasti možností předčasného odchodu do </w:t>
      </w:r>
      <w:r w:rsidR="00F63179">
        <w:rPr>
          <w:rFonts w:eastAsia="Times New Roman"/>
          <w:color w:val="000000"/>
          <w:szCs w:val="24"/>
          <w:lang w:eastAsia="cs-CZ"/>
        </w:rPr>
        <w:t xml:space="preserve">starobního </w:t>
      </w:r>
      <w:r w:rsidRPr="00215161">
        <w:rPr>
          <w:rFonts w:eastAsia="Times New Roman"/>
          <w:color w:val="000000"/>
          <w:szCs w:val="24"/>
          <w:lang w:eastAsia="cs-CZ"/>
        </w:rPr>
        <w:t xml:space="preserve">důchodu, které byly </w:t>
      </w:r>
      <w:r w:rsidR="00F63179">
        <w:rPr>
          <w:rFonts w:eastAsia="Times New Roman"/>
          <w:color w:val="000000"/>
          <w:szCs w:val="24"/>
          <w:lang w:eastAsia="cs-CZ"/>
        </w:rPr>
        <w:t>akcentovány</w:t>
      </w:r>
      <w:r w:rsidR="00913B42" w:rsidRPr="00215161">
        <w:rPr>
          <w:rFonts w:eastAsia="Times New Roman"/>
          <w:color w:val="000000"/>
          <w:szCs w:val="24"/>
          <w:lang w:eastAsia="cs-CZ"/>
        </w:rPr>
        <w:t xml:space="preserve"> velmi</w:t>
      </w:r>
      <w:r w:rsidRPr="00215161">
        <w:rPr>
          <w:rFonts w:eastAsia="Times New Roman"/>
          <w:color w:val="000000"/>
          <w:szCs w:val="24"/>
          <w:lang w:eastAsia="cs-CZ"/>
        </w:rPr>
        <w:t xml:space="preserve"> nestandardním vysokoinflačním ekonomickým vývojem</w:t>
      </w:r>
      <w:r w:rsidR="00913B42" w:rsidRPr="00215161">
        <w:rPr>
          <w:rFonts w:eastAsia="Times New Roman"/>
          <w:color w:val="000000"/>
          <w:szCs w:val="24"/>
          <w:lang w:eastAsia="cs-CZ"/>
        </w:rPr>
        <w:t xml:space="preserve"> zejména</w:t>
      </w:r>
      <w:r w:rsidRPr="00215161">
        <w:rPr>
          <w:rFonts w:eastAsia="Times New Roman"/>
          <w:color w:val="000000"/>
          <w:szCs w:val="24"/>
          <w:lang w:eastAsia="cs-CZ"/>
        </w:rPr>
        <w:t xml:space="preserve"> v roce 2022. Změny </w:t>
      </w:r>
      <w:r w:rsidR="00DC3C1E">
        <w:rPr>
          <w:rFonts w:eastAsia="Times New Roman"/>
          <w:color w:val="000000"/>
          <w:szCs w:val="24"/>
          <w:lang w:eastAsia="cs-CZ"/>
        </w:rPr>
        <w:t>starobních důchodů, na které vznikne nárok před dosažením důchodového věku (dále také „</w:t>
      </w:r>
      <w:r w:rsidRPr="00215161">
        <w:rPr>
          <w:rFonts w:eastAsia="Times New Roman"/>
          <w:color w:val="000000"/>
          <w:szCs w:val="24"/>
          <w:lang w:eastAsia="cs-CZ"/>
        </w:rPr>
        <w:t>předčasn</w:t>
      </w:r>
      <w:r w:rsidR="00DC3C1E">
        <w:rPr>
          <w:rFonts w:eastAsia="Times New Roman"/>
          <w:color w:val="000000"/>
          <w:szCs w:val="24"/>
          <w:lang w:eastAsia="cs-CZ"/>
        </w:rPr>
        <w:t>é</w:t>
      </w:r>
      <w:r w:rsidRPr="00215161">
        <w:rPr>
          <w:rFonts w:eastAsia="Times New Roman"/>
          <w:color w:val="000000"/>
          <w:szCs w:val="24"/>
          <w:lang w:eastAsia="cs-CZ"/>
        </w:rPr>
        <w:t xml:space="preserve"> důchod</w:t>
      </w:r>
      <w:r w:rsidR="00DC3C1E">
        <w:rPr>
          <w:rFonts w:eastAsia="Times New Roman"/>
          <w:color w:val="000000"/>
          <w:szCs w:val="24"/>
          <w:lang w:eastAsia="cs-CZ"/>
        </w:rPr>
        <w:t>y“ nebo „předčasné starobní důchody“)</w:t>
      </w:r>
      <w:r w:rsidRPr="00215161">
        <w:rPr>
          <w:rFonts w:eastAsia="Times New Roman"/>
          <w:color w:val="000000"/>
          <w:szCs w:val="24"/>
          <w:lang w:eastAsia="cs-CZ"/>
        </w:rPr>
        <w:t xml:space="preserve"> jsou doplněny o dílčí úsporná opatření v oblasti valorizace</w:t>
      </w:r>
      <w:r w:rsidR="00EE239F">
        <w:rPr>
          <w:rFonts w:eastAsia="Times New Roman"/>
          <w:color w:val="000000"/>
          <w:szCs w:val="24"/>
          <w:lang w:eastAsia="cs-CZ"/>
        </w:rPr>
        <w:t xml:space="preserve"> důchodů</w:t>
      </w:r>
      <w:r w:rsidRPr="00215161">
        <w:rPr>
          <w:rFonts w:eastAsia="Times New Roman"/>
          <w:color w:val="000000"/>
          <w:szCs w:val="24"/>
          <w:lang w:eastAsia="cs-CZ"/>
        </w:rPr>
        <w:t>, které mají za cíl ve střednědobém horizontu snížit výdaje na dávky důchodového pojištění.</w:t>
      </w:r>
    </w:p>
    <w:p w14:paraId="484CCAC4" w14:textId="77777777" w:rsidR="00641F26" w:rsidRPr="00215161" w:rsidRDefault="00CB7629" w:rsidP="00CB7629">
      <w:pPr>
        <w:widowControl w:val="0"/>
        <w:spacing w:before="240"/>
        <w:ind w:firstLine="284"/>
        <w:rPr>
          <w:rFonts w:eastAsia="Times New Roman"/>
          <w:color w:val="000000"/>
          <w:szCs w:val="24"/>
          <w:lang w:eastAsia="cs-CZ"/>
        </w:rPr>
      </w:pPr>
      <w:r w:rsidRPr="00215161">
        <w:rPr>
          <w:rFonts w:eastAsia="Times New Roman"/>
          <w:color w:val="000000"/>
          <w:szCs w:val="24"/>
          <w:lang w:eastAsia="cs-CZ"/>
        </w:rPr>
        <w:t>Změny v oblasti předčasných důchodů jsou navrženy tak, aby byly přiměřeně restriktivní</w:t>
      </w:r>
      <w:r w:rsidR="008B7F11">
        <w:rPr>
          <w:rFonts w:eastAsia="Times New Roman"/>
          <w:color w:val="000000"/>
          <w:szCs w:val="24"/>
          <w:lang w:eastAsia="cs-CZ"/>
        </w:rPr>
        <w:t xml:space="preserve"> a</w:t>
      </w:r>
      <w:r w:rsidR="004D5CEF">
        <w:rPr>
          <w:rFonts w:eastAsia="Times New Roman"/>
          <w:color w:val="000000"/>
          <w:szCs w:val="24"/>
          <w:lang w:eastAsia="cs-CZ"/>
        </w:rPr>
        <w:t> </w:t>
      </w:r>
      <w:r w:rsidR="00913B42" w:rsidRPr="00215161">
        <w:rPr>
          <w:rFonts w:eastAsia="Times New Roman"/>
          <w:color w:val="000000"/>
          <w:szCs w:val="24"/>
          <w:lang w:eastAsia="cs-CZ"/>
        </w:rPr>
        <w:t>aby</w:t>
      </w:r>
      <w:r w:rsidR="0035160D">
        <w:rPr>
          <w:rFonts w:eastAsia="Times New Roman"/>
          <w:color w:val="000000"/>
          <w:szCs w:val="24"/>
          <w:lang w:eastAsia="cs-CZ"/>
        </w:rPr>
        <w:t xml:space="preserve"> zároveň</w:t>
      </w:r>
      <w:r w:rsidR="00913B42" w:rsidRPr="00215161">
        <w:rPr>
          <w:rFonts w:eastAsia="Times New Roman"/>
          <w:color w:val="000000"/>
          <w:szCs w:val="24"/>
          <w:lang w:eastAsia="cs-CZ"/>
        </w:rPr>
        <w:t xml:space="preserve"> došlo k </w:t>
      </w:r>
      <w:r w:rsidRPr="00215161">
        <w:rPr>
          <w:rFonts w:eastAsia="Times New Roman"/>
          <w:color w:val="000000"/>
          <w:szCs w:val="24"/>
          <w:lang w:eastAsia="cs-CZ"/>
        </w:rPr>
        <w:t>omez</w:t>
      </w:r>
      <w:r w:rsidR="00913B42" w:rsidRPr="00215161">
        <w:rPr>
          <w:rFonts w:eastAsia="Times New Roman"/>
          <w:color w:val="000000"/>
          <w:szCs w:val="24"/>
          <w:lang w:eastAsia="cs-CZ"/>
        </w:rPr>
        <w:t>ení</w:t>
      </w:r>
      <w:r w:rsidRPr="00215161">
        <w:rPr>
          <w:rFonts w:eastAsia="Times New Roman"/>
          <w:color w:val="000000"/>
          <w:szCs w:val="24"/>
          <w:lang w:eastAsia="cs-CZ"/>
        </w:rPr>
        <w:t xml:space="preserve"> možnost</w:t>
      </w:r>
      <w:r w:rsidR="00913B42" w:rsidRPr="00215161">
        <w:rPr>
          <w:rFonts w:eastAsia="Times New Roman"/>
          <w:color w:val="000000"/>
          <w:szCs w:val="24"/>
          <w:lang w:eastAsia="cs-CZ"/>
        </w:rPr>
        <w:t>í</w:t>
      </w:r>
      <w:r w:rsidRPr="00215161">
        <w:rPr>
          <w:rFonts w:eastAsia="Times New Roman"/>
          <w:color w:val="000000"/>
          <w:szCs w:val="24"/>
          <w:lang w:eastAsia="cs-CZ"/>
        </w:rPr>
        <w:t xml:space="preserve"> využívání předčasných důchodů</w:t>
      </w:r>
      <w:r w:rsidR="00913B42" w:rsidRPr="00215161">
        <w:rPr>
          <w:rFonts w:eastAsia="Times New Roman"/>
          <w:color w:val="000000"/>
          <w:szCs w:val="24"/>
          <w:lang w:eastAsia="cs-CZ"/>
        </w:rPr>
        <w:t xml:space="preserve"> prostřednictvím</w:t>
      </w:r>
      <w:r w:rsidRPr="00215161">
        <w:rPr>
          <w:rFonts w:eastAsia="Times New Roman"/>
          <w:color w:val="000000"/>
          <w:szCs w:val="24"/>
          <w:lang w:eastAsia="cs-CZ"/>
        </w:rPr>
        <w:t xml:space="preserve"> sn</w:t>
      </w:r>
      <w:r w:rsidR="00913B42" w:rsidRPr="00215161">
        <w:rPr>
          <w:rFonts w:eastAsia="Times New Roman"/>
          <w:color w:val="000000"/>
          <w:szCs w:val="24"/>
          <w:lang w:eastAsia="cs-CZ"/>
        </w:rPr>
        <w:t>í</w:t>
      </w:r>
      <w:r w:rsidRPr="00215161">
        <w:rPr>
          <w:rFonts w:eastAsia="Times New Roman"/>
          <w:color w:val="000000"/>
          <w:szCs w:val="24"/>
          <w:lang w:eastAsia="cs-CZ"/>
        </w:rPr>
        <w:t>ž</w:t>
      </w:r>
      <w:r w:rsidR="00913B42" w:rsidRPr="00215161">
        <w:rPr>
          <w:rFonts w:eastAsia="Times New Roman"/>
          <w:color w:val="000000"/>
          <w:szCs w:val="24"/>
          <w:lang w:eastAsia="cs-CZ"/>
        </w:rPr>
        <w:t>ení</w:t>
      </w:r>
      <w:r w:rsidRPr="00215161">
        <w:rPr>
          <w:rFonts w:eastAsia="Times New Roman"/>
          <w:color w:val="000000"/>
          <w:szCs w:val="24"/>
          <w:lang w:eastAsia="cs-CZ"/>
        </w:rPr>
        <w:t xml:space="preserve"> motivac</w:t>
      </w:r>
      <w:r w:rsidR="00913B42" w:rsidRPr="00215161">
        <w:rPr>
          <w:rFonts w:eastAsia="Times New Roman"/>
          <w:color w:val="000000"/>
          <w:szCs w:val="24"/>
          <w:lang w:eastAsia="cs-CZ"/>
        </w:rPr>
        <w:t>e</w:t>
      </w:r>
      <w:r w:rsidRPr="00215161">
        <w:rPr>
          <w:rFonts w:eastAsia="Times New Roman"/>
          <w:color w:val="000000"/>
          <w:szCs w:val="24"/>
          <w:lang w:eastAsia="cs-CZ"/>
        </w:rPr>
        <w:t xml:space="preserve"> k</w:t>
      </w:r>
      <w:r w:rsidR="00913B42" w:rsidRPr="00215161">
        <w:rPr>
          <w:rFonts w:eastAsia="Times New Roman"/>
          <w:color w:val="000000"/>
          <w:szCs w:val="24"/>
          <w:lang w:eastAsia="cs-CZ"/>
        </w:rPr>
        <w:t> předčasnému odchodu do důchodu</w:t>
      </w:r>
      <w:r w:rsidR="0035160D">
        <w:rPr>
          <w:rFonts w:eastAsia="Times New Roman"/>
          <w:color w:val="000000"/>
          <w:szCs w:val="24"/>
          <w:lang w:eastAsia="cs-CZ"/>
        </w:rPr>
        <w:t>.</w:t>
      </w:r>
      <w:r w:rsidRPr="00215161">
        <w:rPr>
          <w:rFonts w:eastAsia="Times New Roman"/>
          <w:color w:val="000000"/>
          <w:szCs w:val="24"/>
          <w:lang w:eastAsia="cs-CZ"/>
        </w:rPr>
        <w:t xml:space="preserve"> </w:t>
      </w:r>
      <w:r w:rsidR="0035160D">
        <w:rPr>
          <w:rFonts w:eastAsia="Times New Roman"/>
          <w:color w:val="000000"/>
          <w:szCs w:val="24"/>
          <w:lang w:eastAsia="cs-CZ"/>
        </w:rPr>
        <w:t>S</w:t>
      </w:r>
      <w:r w:rsidRPr="00215161">
        <w:rPr>
          <w:rFonts w:eastAsia="Times New Roman"/>
          <w:color w:val="000000"/>
          <w:szCs w:val="24"/>
          <w:lang w:eastAsia="cs-CZ"/>
        </w:rPr>
        <w:t>oučasně</w:t>
      </w:r>
      <w:r w:rsidR="00913B42" w:rsidRPr="00215161">
        <w:rPr>
          <w:rFonts w:eastAsia="Times New Roman"/>
          <w:color w:val="000000"/>
          <w:szCs w:val="24"/>
          <w:lang w:eastAsia="cs-CZ"/>
        </w:rPr>
        <w:t xml:space="preserve"> dojde k výraznému</w:t>
      </w:r>
      <w:r w:rsidRPr="00215161">
        <w:rPr>
          <w:rFonts w:eastAsia="Times New Roman"/>
          <w:color w:val="000000"/>
          <w:szCs w:val="24"/>
          <w:lang w:eastAsia="cs-CZ"/>
        </w:rPr>
        <w:t xml:space="preserve"> sníž</w:t>
      </w:r>
      <w:r w:rsidR="00913B42" w:rsidRPr="00215161">
        <w:rPr>
          <w:rFonts w:eastAsia="Times New Roman"/>
          <w:color w:val="000000"/>
          <w:szCs w:val="24"/>
          <w:lang w:eastAsia="cs-CZ"/>
        </w:rPr>
        <w:t>ení</w:t>
      </w:r>
      <w:r w:rsidRPr="00215161">
        <w:rPr>
          <w:rFonts w:eastAsia="Times New Roman"/>
          <w:color w:val="000000"/>
          <w:szCs w:val="24"/>
          <w:lang w:eastAsia="cs-CZ"/>
        </w:rPr>
        <w:t xml:space="preserve"> pravděpodobnost</w:t>
      </w:r>
      <w:r w:rsidR="00913B42" w:rsidRPr="00215161">
        <w:rPr>
          <w:rFonts w:eastAsia="Times New Roman"/>
          <w:color w:val="000000"/>
          <w:szCs w:val="24"/>
          <w:lang w:eastAsia="cs-CZ"/>
        </w:rPr>
        <w:t>i</w:t>
      </w:r>
      <w:r w:rsidRPr="00215161">
        <w:rPr>
          <w:rFonts w:eastAsia="Times New Roman"/>
          <w:color w:val="000000"/>
          <w:szCs w:val="24"/>
          <w:lang w:eastAsia="cs-CZ"/>
        </w:rPr>
        <w:t xml:space="preserve"> opakování situace, kdy je finančně výhodn</w:t>
      </w:r>
      <w:r w:rsidR="0035160D">
        <w:rPr>
          <w:rFonts w:eastAsia="Times New Roman"/>
          <w:color w:val="000000"/>
          <w:szCs w:val="24"/>
          <w:lang w:eastAsia="cs-CZ"/>
        </w:rPr>
        <w:t>ější</w:t>
      </w:r>
      <w:r w:rsidRPr="00215161">
        <w:rPr>
          <w:rFonts w:eastAsia="Times New Roman"/>
          <w:color w:val="000000"/>
          <w:szCs w:val="24"/>
          <w:lang w:eastAsia="cs-CZ"/>
        </w:rPr>
        <w:t xml:space="preserve"> volit předčasný odchod z trhu práce</w:t>
      </w:r>
      <w:r w:rsidR="00EE239F">
        <w:rPr>
          <w:rFonts w:eastAsia="Times New Roman"/>
          <w:color w:val="000000"/>
          <w:szCs w:val="24"/>
          <w:lang w:eastAsia="cs-CZ"/>
        </w:rPr>
        <w:t>, než na něm s</w:t>
      </w:r>
      <w:r w:rsidR="00DC3C1E">
        <w:rPr>
          <w:rFonts w:eastAsia="Times New Roman"/>
          <w:color w:val="000000"/>
          <w:szCs w:val="24"/>
          <w:lang w:eastAsia="cs-CZ"/>
        </w:rPr>
        <w:t>e</w:t>
      </w:r>
      <w:r w:rsidR="00EE239F">
        <w:rPr>
          <w:rFonts w:eastAsia="Times New Roman"/>
          <w:color w:val="000000"/>
          <w:szCs w:val="24"/>
          <w:lang w:eastAsia="cs-CZ"/>
        </w:rPr>
        <w:t>trvat a čerpat důchod až při dosažení důchodového věku</w:t>
      </w:r>
      <w:r w:rsidRPr="00215161">
        <w:rPr>
          <w:rFonts w:eastAsia="Times New Roman"/>
          <w:color w:val="000000"/>
          <w:szCs w:val="24"/>
          <w:lang w:eastAsia="cs-CZ"/>
        </w:rPr>
        <w:t>. Úpravy valoriza</w:t>
      </w:r>
      <w:r w:rsidR="00913B42" w:rsidRPr="00215161">
        <w:rPr>
          <w:rFonts w:eastAsia="Times New Roman"/>
          <w:color w:val="000000"/>
          <w:szCs w:val="24"/>
          <w:lang w:eastAsia="cs-CZ"/>
        </w:rPr>
        <w:t>čního mechanismu</w:t>
      </w:r>
      <w:r w:rsidRPr="00215161">
        <w:rPr>
          <w:rFonts w:eastAsia="Times New Roman"/>
          <w:color w:val="000000"/>
          <w:szCs w:val="24"/>
          <w:lang w:eastAsia="cs-CZ"/>
        </w:rPr>
        <w:t xml:space="preserve"> jsou koncipovány jako citlivé zásahy, které zásadně neovlivní</w:t>
      </w:r>
      <w:r w:rsidR="00913B42" w:rsidRPr="00215161">
        <w:rPr>
          <w:rFonts w:eastAsia="Times New Roman"/>
          <w:color w:val="000000"/>
          <w:szCs w:val="24"/>
          <w:lang w:eastAsia="cs-CZ"/>
        </w:rPr>
        <w:t xml:space="preserve"> okamžitou</w:t>
      </w:r>
      <w:r w:rsidRPr="00215161">
        <w:rPr>
          <w:rFonts w:eastAsia="Times New Roman"/>
          <w:color w:val="000000"/>
          <w:szCs w:val="24"/>
          <w:lang w:eastAsia="cs-CZ"/>
        </w:rPr>
        <w:t xml:space="preserve"> příjmovou a sociální situaci příjemců důchodů, ale mají v delším časovém horizontu potenciál </w:t>
      </w:r>
      <w:r w:rsidR="00F63179">
        <w:rPr>
          <w:rFonts w:eastAsia="Times New Roman"/>
          <w:color w:val="000000"/>
          <w:szCs w:val="24"/>
          <w:lang w:eastAsia="cs-CZ"/>
        </w:rPr>
        <w:t xml:space="preserve">dosáhnout </w:t>
      </w:r>
      <w:r w:rsidRPr="00215161">
        <w:rPr>
          <w:rFonts w:eastAsia="Times New Roman"/>
          <w:color w:val="000000"/>
          <w:szCs w:val="24"/>
          <w:lang w:eastAsia="cs-CZ"/>
        </w:rPr>
        <w:t>významnější úspory výdajů státního rozpočtu na dávky důchodového pojištění.</w:t>
      </w:r>
    </w:p>
    <w:p w14:paraId="450BA71B" w14:textId="77777777" w:rsidR="00651C19" w:rsidRPr="00215161" w:rsidRDefault="00651C19" w:rsidP="007E6DC5">
      <w:pPr>
        <w:pStyle w:val="Nadpis1"/>
        <w:spacing w:before="120" w:after="0"/>
        <w:ind w:left="357" w:hanging="357"/>
        <w:rPr>
          <w:szCs w:val="24"/>
        </w:rPr>
      </w:pPr>
      <w:r w:rsidRPr="00215161">
        <w:rPr>
          <w:szCs w:val="24"/>
        </w:rPr>
        <w:t>Zhodnocení platného právního stavu, včetně zhodnocení současného stavu ve vztahu k zákazu diskriminace a ve vztahu k rovnosti mužů a žen</w:t>
      </w:r>
    </w:p>
    <w:p w14:paraId="6B1691D8" w14:textId="77777777" w:rsidR="00CB7629" w:rsidRPr="00215161" w:rsidRDefault="007F487F" w:rsidP="00CB7629">
      <w:pPr>
        <w:widowControl w:val="0"/>
        <w:spacing w:before="240"/>
        <w:ind w:firstLine="284"/>
        <w:rPr>
          <w:rFonts w:eastAsia="Times New Roman"/>
          <w:color w:val="000000"/>
          <w:szCs w:val="24"/>
          <w:lang w:eastAsia="cs-CZ"/>
        </w:rPr>
      </w:pPr>
      <w:r w:rsidRPr="00215161">
        <w:rPr>
          <w:rFonts w:eastAsia="Times New Roman"/>
          <w:color w:val="000000"/>
          <w:szCs w:val="24"/>
          <w:lang w:eastAsia="cs-CZ"/>
        </w:rPr>
        <w:t xml:space="preserve">Stávající právní úprava </w:t>
      </w:r>
      <w:r w:rsidR="001913B5" w:rsidRPr="00215161">
        <w:rPr>
          <w:rFonts w:eastAsia="Times New Roman"/>
          <w:color w:val="000000"/>
          <w:szCs w:val="24"/>
          <w:lang w:eastAsia="cs-CZ"/>
        </w:rPr>
        <w:t xml:space="preserve">regulující problematiku, kterou se návrh zabývá, </w:t>
      </w:r>
      <w:r w:rsidRPr="00215161">
        <w:rPr>
          <w:rFonts w:eastAsia="Times New Roman"/>
          <w:color w:val="000000"/>
          <w:szCs w:val="24"/>
          <w:lang w:eastAsia="cs-CZ"/>
        </w:rPr>
        <w:t>nemá žádné dopady na rovnost mužů a žen a není ani v rozporu se zákazem diskriminace.</w:t>
      </w:r>
      <w:r w:rsidR="00CB7629" w:rsidRPr="00215161">
        <w:rPr>
          <w:rFonts w:eastAsia="Times New Roman"/>
          <w:color w:val="000000"/>
          <w:szCs w:val="24"/>
          <w:lang w:eastAsia="cs-CZ"/>
        </w:rPr>
        <w:t xml:space="preserve"> </w:t>
      </w:r>
    </w:p>
    <w:p w14:paraId="5BE5FFE8" w14:textId="77777777" w:rsidR="007F487F" w:rsidRPr="00215161" w:rsidRDefault="00CB7629" w:rsidP="00CB7629">
      <w:pPr>
        <w:widowControl w:val="0"/>
        <w:spacing w:before="240"/>
        <w:ind w:firstLine="284"/>
        <w:rPr>
          <w:rFonts w:eastAsia="Times New Roman"/>
          <w:color w:val="000000"/>
          <w:szCs w:val="24"/>
          <w:lang w:eastAsia="cs-CZ"/>
        </w:rPr>
      </w:pPr>
      <w:r w:rsidRPr="00215161">
        <w:rPr>
          <w:rFonts w:eastAsia="Times New Roman"/>
          <w:color w:val="000000"/>
          <w:szCs w:val="24"/>
          <w:lang w:eastAsia="cs-CZ"/>
        </w:rPr>
        <w:t>ZDP obsahuje v dotčených oblastech některé prvky, u kterých přetrvávají rozdíly mezi muži a ženami, mj. v oblasti předčasných důchodů, kde je mužům umožněn odchod do</w:t>
      </w:r>
      <w:r w:rsidR="004D5CEF">
        <w:rPr>
          <w:rFonts w:eastAsia="Times New Roman"/>
          <w:color w:val="000000"/>
          <w:szCs w:val="24"/>
          <w:lang w:eastAsia="cs-CZ"/>
        </w:rPr>
        <w:t> </w:t>
      </w:r>
      <w:r w:rsidRPr="00215161">
        <w:rPr>
          <w:rFonts w:eastAsia="Times New Roman"/>
          <w:color w:val="000000"/>
          <w:szCs w:val="24"/>
          <w:lang w:eastAsia="cs-CZ"/>
        </w:rPr>
        <w:t xml:space="preserve">předčasného důchodu více let před dosažením důchodového věku než ženám, které vychovaly </w:t>
      </w:r>
      <w:r w:rsidR="0035160D">
        <w:rPr>
          <w:rFonts w:eastAsia="Times New Roman"/>
          <w:color w:val="000000"/>
          <w:szCs w:val="24"/>
          <w:lang w:eastAsia="cs-CZ"/>
        </w:rPr>
        <w:t>dvě</w:t>
      </w:r>
      <w:r w:rsidRPr="00215161">
        <w:rPr>
          <w:rFonts w:eastAsia="Times New Roman"/>
          <w:color w:val="000000"/>
          <w:szCs w:val="24"/>
          <w:lang w:eastAsia="cs-CZ"/>
        </w:rPr>
        <w:t xml:space="preserve"> a více dětí, nebo naopak je některým ženám podle počtu dětí umožněn odchod do předčasného důchodu v nižším absolutním věku.</w:t>
      </w:r>
    </w:p>
    <w:p w14:paraId="21974B9D" w14:textId="77777777" w:rsidR="0068719C" w:rsidRPr="00215161" w:rsidRDefault="0068719C" w:rsidP="00CB7629">
      <w:pPr>
        <w:widowControl w:val="0"/>
        <w:spacing w:before="240"/>
        <w:ind w:firstLine="284"/>
        <w:rPr>
          <w:rFonts w:eastAsia="Times New Roman"/>
          <w:color w:val="000000"/>
          <w:szCs w:val="24"/>
          <w:lang w:eastAsia="cs-CZ"/>
        </w:rPr>
      </w:pPr>
      <w:r w:rsidRPr="00215161">
        <w:rPr>
          <w:rFonts w:eastAsia="Times New Roman"/>
          <w:color w:val="000000"/>
          <w:szCs w:val="24"/>
          <w:lang w:eastAsia="cs-CZ"/>
        </w:rPr>
        <w:t xml:space="preserve">Všechny rozdíly v úpravě ZDP pro muže a ženy jsou pouze přechodným stavem. Dřívější novely ZDP již rozdíly odstranily, </w:t>
      </w:r>
      <w:r w:rsidR="00913B42" w:rsidRPr="00215161">
        <w:rPr>
          <w:rFonts w:eastAsia="Times New Roman"/>
          <w:color w:val="000000"/>
          <w:szCs w:val="24"/>
          <w:lang w:eastAsia="cs-CZ"/>
        </w:rPr>
        <w:t>a</w:t>
      </w:r>
      <w:r w:rsidRPr="00215161">
        <w:rPr>
          <w:rFonts w:eastAsia="Times New Roman"/>
          <w:color w:val="000000"/>
          <w:szCs w:val="24"/>
          <w:lang w:eastAsia="cs-CZ"/>
        </w:rPr>
        <w:t>však z důvodu potřeby řešit změny postupně bude cílového stavu, kdy budou podmínky pro všechny ženy a muže totožné</w:t>
      </w:r>
      <w:r w:rsidR="00294A1C">
        <w:rPr>
          <w:rFonts w:eastAsia="Times New Roman"/>
          <w:color w:val="000000"/>
          <w:szCs w:val="24"/>
          <w:lang w:eastAsia="cs-CZ"/>
        </w:rPr>
        <w:t>,</w:t>
      </w:r>
      <w:r w:rsidRPr="00215161">
        <w:rPr>
          <w:rFonts w:eastAsia="Times New Roman"/>
          <w:color w:val="000000"/>
          <w:szCs w:val="24"/>
          <w:lang w:eastAsia="cs-CZ"/>
        </w:rPr>
        <w:t xml:space="preserve"> dosaženo až po</w:t>
      </w:r>
      <w:r w:rsidR="004D5CEF">
        <w:rPr>
          <w:rFonts w:eastAsia="Times New Roman"/>
          <w:color w:val="000000"/>
          <w:szCs w:val="24"/>
          <w:lang w:eastAsia="cs-CZ"/>
        </w:rPr>
        <w:t> </w:t>
      </w:r>
      <w:r w:rsidR="00913B42" w:rsidRPr="00215161">
        <w:rPr>
          <w:rFonts w:eastAsia="Times New Roman"/>
          <w:color w:val="000000"/>
          <w:szCs w:val="24"/>
          <w:lang w:eastAsia="cs-CZ"/>
        </w:rPr>
        <w:t xml:space="preserve">definitivním </w:t>
      </w:r>
      <w:r w:rsidRPr="00215161">
        <w:rPr>
          <w:rFonts w:eastAsia="Times New Roman"/>
          <w:color w:val="000000"/>
          <w:szCs w:val="24"/>
          <w:lang w:eastAsia="cs-CZ"/>
        </w:rPr>
        <w:t>sjednocení věkové hranice pro odchod do důchodu, což podle současné podoby ZDP plně nastane v roce 20</w:t>
      </w:r>
      <w:r w:rsidR="0003777B" w:rsidRPr="00215161">
        <w:rPr>
          <w:rFonts w:eastAsia="Times New Roman"/>
          <w:color w:val="000000"/>
          <w:szCs w:val="24"/>
          <w:lang w:eastAsia="cs-CZ"/>
        </w:rPr>
        <w:t>3</w:t>
      </w:r>
      <w:r w:rsidRPr="00215161">
        <w:rPr>
          <w:rFonts w:eastAsia="Times New Roman"/>
          <w:color w:val="000000"/>
          <w:szCs w:val="24"/>
          <w:lang w:eastAsia="cs-CZ"/>
        </w:rPr>
        <w:t xml:space="preserve">7. </w:t>
      </w:r>
    </w:p>
    <w:p w14:paraId="443C81D4" w14:textId="77777777" w:rsidR="007D559A" w:rsidRPr="00215161" w:rsidRDefault="008F0ED3" w:rsidP="00411EC4">
      <w:pPr>
        <w:autoSpaceDE w:val="0"/>
        <w:autoSpaceDN w:val="0"/>
        <w:adjustRightInd w:val="0"/>
        <w:spacing w:before="240"/>
        <w:rPr>
          <w:b/>
          <w:i/>
          <w:iCs/>
          <w:szCs w:val="24"/>
        </w:rPr>
      </w:pPr>
      <w:bookmarkStart w:id="1" w:name="_Hlk111836790"/>
      <w:r w:rsidRPr="00215161">
        <w:rPr>
          <w:b/>
          <w:i/>
          <w:iCs/>
          <w:szCs w:val="24"/>
        </w:rPr>
        <w:t>Maximální doba pro odchod do předčasného důchodu</w:t>
      </w:r>
    </w:p>
    <w:p w14:paraId="604D79E8" w14:textId="77777777" w:rsidR="008F0ED3" w:rsidRPr="00215161" w:rsidRDefault="00176E90" w:rsidP="008F0ED3">
      <w:pPr>
        <w:autoSpaceDE w:val="0"/>
        <w:autoSpaceDN w:val="0"/>
        <w:adjustRightInd w:val="0"/>
        <w:spacing w:before="120"/>
        <w:ind w:firstLine="426"/>
        <w:rPr>
          <w:bCs/>
          <w:szCs w:val="24"/>
        </w:rPr>
      </w:pPr>
      <w:r>
        <w:rPr>
          <w:bCs/>
          <w:szCs w:val="24"/>
        </w:rPr>
        <w:t xml:space="preserve">Podle </w:t>
      </w:r>
      <w:r w:rsidR="008F0ED3" w:rsidRPr="00215161">
        <w:rPr>
          <w:bCs/>
          <w:szCs w:val="24"/>
        </w:rPr>
        <w:t xml:space="preserve">§ 32 odst. 2 </w:t>
      </w:r>
      <w:r>
        <w:rPr>
          <w:bCs/>
          <w:szCs w:val="24"/>
        </w:rPr>
        <w:t>ZD</w:t>
      </w:r>
      <w:r w:rsidR="00EE239F">
        <w:rPr>
          <w:bCs/>
          <w:szCs w:val="24"/>
        </w:rPr>
        <w:t>P</w:t>
      </w:r>
      <w:r>
        <w:rPr>
          <w:bCs/>
          <w:szCs w:val="24"/>
        </w:rPr>
        <w:t xml:space="preserve"> </w:t>
      </w:r>
      <w:r w:rsidR="008F0ED3" w:rsidRPr="00215161">
        <w:rPr>
          <w:bCs/>
          <w:szCs w:val="24"/>
        </w:rPr>
        <w:t>a přílohy k</w:t>
      </w:r>
      <w:r>
        <w:rPr>
          <w:bCs/>
          <w:szCs w:val="24"/>
        </w:rPr>
        <w:t xml:space="preserve"> tomuto </w:t>
      </w:r>
      <w:r w:rsidR="008F0ED3" w:rsidRPr="00215161">
        <w:rPr>
          <w:bCs/>
          <w:szCs w:val="24"/>
        </w:rPr>
        <w:t xml:space="preserve">zákonu </w:t>
      </w:r>
      <w:r>
        <w:rPr>
          <w:bCs/>
          <w:szCs w:val="24"/>
        </w:rPr>
        <w:t xml:space="preserve">je </w:t>
      </w:r>
      <w:r w:rsidR="008F0ED3" w:rsidRPr="00215161">
        <w:rPr>
          <w:bCs/>
          <w:szCs w:val="24"/>
        </w:rPr>
        <w:t>stanov</w:t>
      </w:r>
      <w:r>
        <w:rPr>
          <w:bCs/>
          <w:szCs w:val="24"/>
        </w:rPr>
        <w:t>en</w:t>
      </w:r>
      <w:r w:rsidR="008F0ED3" w:rsidRPr="00215161">
        <w:rPr>
          <w:bCs/>
          <w:szCs w:val="24"/>
        </w:rPr>
        <w:t xml:space="preserve"> důchodový věk </w:t>
      </w:r>
      <w:r>
        <w:rPr>
          <w:bCs/>
          <w:szCs w:val="24"/>
        </w:rPr>
        <w:t xml:space="preserve">(tj. věk </w:t>
      </w:r>
      <w:r w:rsidR="008F0ED3" w:rsidRPr="00215161">
        <w:rPr>
          <w:bCs/>
          <w:szCs w:val="24"/>
        </w:rPr>
        <w:t>pro</w:t>
      </w:r>
      <w:r w:rsidR="004D5CEF">
        <w:rPr>
          <w:bCs/>
          <w:szCs w:val="24"/>
        </w:rPr>
        <w:t> </w:t>
      </w:r>
      <w:r w:rsidR="008F0ED3" w:rsidRPr="00215161">
        <w:rPr>
          <w:bCs/>
          <w:szCs w:val="24"/>
        </w:rPr>
        <w:t>odchod do řádného starobního důchodu</w:t>
      </w:r>
      <w:r>
        <w:rPr>
          <w:bCs/>
          <w:szCs w:val="24"/>
        </w:rPr>
        <w:t>)</w:t>
      </w:r>
      <w:r w:rsidR="008F0ED3" w:rsidRPr="00215161">
        <w:rPr>
          <w:bCs/>
          <w:szCs w:val="24"/>
        </w:rPr>
        <w:t xml:space="preserve"> v závislosti na roku narození </w:t>
      </w:r>
      <w:r w:rsidR="0035160D">
        <w:rPr>
          <w:bCs/>
          <w:szCs w:val="24"/>
        </w:rPr>
        <w:t>pojištěnce</w:t>
      </w:r>
      <w:r w:rsidR="008F0ED3" w:rsidRPr="00215161">
        <w:rPr>
          <w:bCs/>
          <w:szCs w:val="24"/>
        </w:rPr>
        <w:t>. Podmínky předčasného</w:t>
      </w:r>
      <w:r w:rsidR="00F63179">
        <w:rPr>
          <w:bCs/>
          <w:szCs w:val="24"/>
        </w:rPr>
        <w:t xml:space="preserve"> a</w:t>
      </w:r>
      <w:r w:rsidR="008F0ED3" w:rsidRPr="00215161">
        <w:rPr>
          <w:bCs/>
          <w:szCs w:val="24"/>
        </w:rPr>
        <w:t xml:space="preserve"> trvale kráceného starobního důchodu jsou upraveny v § 31 ZDP.</w:t>
      </w:r>
    </w:p>
    <w:p w14:paraId="174A9599" w14:textId="77777777" w:rsidR="008F0ED3" w:rsidRPr="00215161" w:rsidRDefault="008F0ED3" w:rsidP="008F0ED3">
      <w:pPr>
        <w:autoSpaceDE w:val="0"/>
        <w:autoSpaceDN w:val="0"/>
        <w:adjustRightInd w:val="0"/>
        <w:spacing w:before="120"/>
        <w:ind w:firstLine="426"/>
        <w:rPr>
          <w:bCs/>
          <w:szCs w:val="24"/>
        </w:rPr>
      </w:pPr>
      <w:r w:rsidRPr="00215161">
        <w:rPr>
          <w:bCs/>
          <w:szCs w:val="24"/>
        </w:rPr>
        <w:lastRenderedPageBreak/>
        <w:t xml:space="preserve">Odchod do </w:t>
      </w:r>
      <w:r w:rsidR="00EE239F">
        <w:rPr>
          <w:bCs/>
          <w:szCs w:val="24"/>
        </w:rPr>
        <w:t xml:space="preserve">předčasného </w:t>
      </w:r>
      <w:r w:rsidRPr="00215161">
        <w:rPr>
          <w:bCs/>
          <w:szCs w:val="24"/>
        </w:rPr>
        <w:t>starobního důchodu je umožněn v 60 letech věku nebo 3 roky před dosažením důchodového věku podle § 32</w:t>
      </w:r>
      <w:r w:rsidR="00176E90">
        <w:rPr>
          <w:bCs/>
          <w:szCs w:val="24"/>
        </w:rPr>
        <w:t xml:space="preserve"> ZDP</w:t>
      </w:r>
      <w:r w:rsidRPr="00215161">
        <w:rPr>
          <w:bCs/>
          <w:szCs w:val="24"/>
        </w:rPr>
        <w:t>, podle toho, která hodnota je nižší. Osoby, které mají stanoven důchodový věk p</w:t>
      </w:r>
      <w:r w:rsidR="0035160D">
        <w:rPr>
          <w:bCs/>
          <w:szCs w:val="24"/>
        </w:rPr>
        <w:t>r</w:t>
      </w:r>
      <w:r w:rsidRPr="00215161">
        <w:rPr>
          <w:bCs/>
          <w:szCs w:val="24"/>
        </w:rPr>
        <w:t xml:space="preserve">o odchod do nekráceného starobního důchodu nad 63 let, tak mohou </w:t>
      </w:r>
      <w:r w:rsidR="00EE239F">
        <w:rPr>
          <w:bCs/>
          <w:szCs w:val="24"/>
        </w:rPr>
        <w:t xml:space="preserve">předčasný </w:t>
      </w:r>
      <w:r w:rsidRPr="00215161">
        <w:rPr>
          <w:bCs/>
          <w:szCs w:val="24"/>
        </w:rPr>
        <w:t xml:space="preserve">starobní důchod čerpat nejdříve od okamžiku dosažení 60 let věku, ostatní ve věku nižším.  </w:t>
      </w:r>
    </w:p>
    <w:p w14:paraId="2359B9AB" w14:textId="77777777" w:rsidR="0068719C" w:rsidRPr="00215161" w:rsidRDefault="008F0ED3" w:rsidP="00411EC4">
      <w:pPr>
        <w:autoSpaceDE w:val="0"/>
        <w:autoSpaceDN w:val="0"/>
        <w:adjustRightInd w:val="0"/>
        <w:spacing w:before="240"/>
        <w:rPr>
          <w:b/>
          <w:i/>
          <w:iCs/>
          <w:szCs w:val="24"/>
        </w:rPr>
      </w:pPr>
      <w:r w:rsidRPr="00215161">
        <w:rPr>
          <w:b/>
          <w:i/>
          <w:iCs/>
          <w:szCs w:val="24"/>
        </w:rPr>
        <w:t>Penalizace předčasných důchodů</w:t>
      </w:r>
    </w:p>
    <w:p w14:paraId="4434999B" w14:textId="77777777" w:rsidR="00222813" w:rsidRPr="00215161" w:rsidRDefault="00F63179" w:rsidP="008F6459">
      <w:pPr>
        <w:autoSpaceDE w:val="0"/>
        <w:autoSpaceDN w:val="0"/>
        <w:adjustRightInd w:val="0"/>
        <w:spacing w:before="120"/>
        <w:ind w:firstLine="426"/>
        <w:rPr>
          <w:bCs/>
          <w:szCs w:val="24"/>
        </w:rPr>
      </w:pPr>
      <w:r>
        <w:rPr>
          <w:bCs/>
          <w:szCs w:val="24"/>
        </w:rPr>
        <w:t>Na základě</w:t>
      </w:r>
      <w:r w:rsidR="008F6459" w:rsidRPr="00215161">
        <w:rPr>
          <w:bCs/>
          <w:szCs w:val="24"/>
        </w:rPr>
        <w:t xml:space="preserve"> § 36 ZDP jsou důchody přiznané před splněním podmínk</w:t>
      </w:r>
      <w:r w:rsidR="00913B42" w:rsidRPr="00215161">
        <w:rPr>
          <w:bCs/>
          <w:szCs w:val="24"/>
        </w:rPr>
        <w:t>y</w:t>
      </w:r>
      <w:r w:rsidR="008F6459" w:rsidRPr="00215161">
        <w:rPr>
          <w:bCs/>
          <w:szCs w:val="24"/>
        </w:rPr>
        <w:t xml:space="preserve"> důchodového věku podle § 32</w:t>
      </w:r>
      <w:r w:rsidR="00222813" w:rsidRPr="00215161">
        <w:rPr>
          <w:bCs/>
          <w:szCs w:val="24"/>
        </w:rPr>
        <w:t xml:space="preserve"> </w:t>
      </w:r>
      <w:r w:rsidR="00176E90">
        <w:rPr>
          <w:bCs/>
          <w:szCs w:val="24"/>
        </w:rPr>
        <w:t xml:space="preserve">ZDP </w:t>
      </w:r>
      <w:r w:rsidR="00222813" w:rsidRPr="00215161">
        <w:rPr>
          <w:bCs/>
          <w:szCs w:val="24"/>
        </w:rPr>
        <w:t xml:space="preserve">trvale kráceny. Míra krácení (penalizace) důchodu je odvislá od doby předčasnosti, tedy od počtu dní, které zbývají </w:t>
      </w:r>
      <w:r>
        <w:rPr>
          <w:bCs/>
          <w:szCs w:val="24"/>
        </w:rPr>
        <w:t xml:space="preserve">ode dne přiznání předčasného důchodu </w:t>
      </w:r>
      <w:r w:rsidR="00222813" w:rsidRPr="00215161">
        <w:rPr>
          <w:bCs/>
          <w:szCs w:val="24"/>
        </w:rPr>
        <w:t>do</w:t>
      </w:r>
      <w:r w:rsidR="004D5CEF">
        <w:rPr>
          <w:bCs/>
          <w:szCs w:val="24"/>
        </w:rPr>
        <w:t> </w:t>
      </w:r>
      <w:r w:rsidR="00222813" w:rsidRPr="00215161">
        <w:rPr>
          <w:bCs/>
          <w:szCs w:val="24"/>
        </w:rPr>
        <w:t>dosažení důchodového věku.</w:t>
      </w:r>
    </w:p>
    <w:p w14:paraId="30F5A9E6" w14:textId="77777777" w:rsidR="00EE239F" w:rsidRDefault="00EE239F" w:rsidP="0074444E">
      <w:pPr>
        <w:autoSpaceDE w:val="0"/>
        <w:autoSpaceDN w:val="0"/>
        <w:adjustRightInd w:val="0"/>
        <w:spacing w:before="120"/>
        <w:ind w:firstLine="426"/>
        <w:rPr>
          <w:color w:val="000000"/>
        </w:rPr>
      </w:pPr>
      <w:r>
        <w:rPr>
          <w:color w:val="000000"/>
        </w:rPr>
        <w:t>V</w:t>
      </w:r>
      <w:r w:rsidRPr="00D74582">
        <w:rPr>
          <w:color w:val="000000"/>
        </w:rPr>
        <w:t xml:space="preserve">ýše </w:t>
      </w:r>
      <w:r w:rsidRPr="0074444E">
        <w:rPr>
          <w:color w:val="000000"/>
        </w:rPr>
        <w:t>procentní</w:t>
      </w:r>
      <w:r w:rsidRPr="00D74582">
        <w:rPr>
          <w:color w:val="000000"/>
        </w:rPr>
        <w:t xml:space="preserve"> výměry </w:t>
      </w:r>
      <w:r>
        <w:rPr>
          <w:color w:val="000000"/>
        </w:rPr>
        <w:t xml:space="preserve">předčasného </w:t>
      </w:r>
      <w:r w:rsidRPr="00D74582">
        <w:rPr>
          <w:color w:val="000000"/>
        </w:rPr>
        <w:t>starobního důchodu se snižuje za každých i</w:t>
      </w:r>
      <w:r>
        <w:rPr>
          <w:color w:val="000000"/>
        </w:rPr>
        <w:t> </w:t>
      </w:r>
      <w:r w:rsidRPr="00D74582">
        <w:rPr>
          <w:color w:val="000000"/>
        </w:rPr>
        <w:t>započatých 90 kalendářních dnů z doby ode dne, od kterého se důchod přiznává, do dosažení důchodového věku o</w:t>
      </w:r>
      <w:r>
        <w:rPr>
          <w:color w:val="000000"/>
        </w:rPr>
        <w:t xml:space="preserve"> </w:t>
      </w:r>
      <w:r w:rsidRPr="00D74582">
        <w:rPr>
          <w:color w:val="000000"/>
        </w:rPr>
        <w:t>0,9 % výpočtového základu za období prvních 360</w:t>
      </w:r>
      <w:r>
        <w:rPr>
          <w:color w:val="000000"/>
        </w:rPr>
        <w:t> </w:t>
      </w:r>
      <w:r w:rsidRPr="00D74582">
        <w:rPr>
          <w:color w:val="000000"/>
        </w:rPr>
        <w:t>kalendářních dnů,</w:t>
      </w:r>
      <w:r w:rsidR="00EF3D35">
        <w:rPr>
          <w:color w:val="000000"/>
        </w:rPr>
        <w:t xml:space="preserve"> </w:t>
      </w:r>
      <w:r w:rsidR="00F63179">
        <w:rPr>
          <w:color w:val="000000"/>
        </w:rPr>
        <w:t>o</w:t>
      </w:r>
      <w:r w:rsidR="004D5CEF">
        <w:rPr>
          <w:color w:val="000000"/>
        </w:rPr>
        <w:t> </w:t>
      </w:r>
      <w:r w:rsidRPr="00D74582">
        <w:rPr>
          <w:color w:val="000000"/>
        </w:rPr>
        <w:t>1,2 % výpočtového základu za období od 361. kalendářního dne do 720. kalendářního dne</w:t>
      </w:r>
      <w:r>
        <w:rPr>
          <w:color w:val="000000"/>
        </w:rPr>
        <w:t xml:space="preserve"> a</w:t>
      </w:r>
      <w:r w:rsidR="004D5CEF">
        <w:rPr>
          <w:color w:val="000000"/>
        </w:rPr>
        <w:t> </w:t>
      </w:r>
      <w:r w:rsidR="00EF3D35">
        <w:rPr>
          <w:color w:val="000000"/>
        </w:rPr>
        <w:t xml:space="preserve">o </w:t>
      </w:r>
      <w:r w:rsidRPr="00D74582">
        <w:rPr>
          <w:color w:val="000000"/>
        </w:rPr>
        <w:t>1,5 % výpočtového základu za období od 721.</w:t>
      </w:r>
      <w:r>
        <w:rPr>
          <w:color w:val="000000"/>
        </w:rPr>
        <w:t> </w:t>
      </w:r>
      <w:r w:rsidRPr="00D74582">
        <w:rPr>
          <w:color w:val="000000"/>
        </w:rPr>
        <w:t>kalendářního dne</w:t>
      </w:r>
      <w:r>
        <w:rPr>
          <w:color w:val="000000"/>
        </w:rPr>
        <w:t>.</w:t>
      </w:r>
      <w:r w:rsidR="0074444E">
        <w:rPr>
          <w:color w:val="000000"/>
        </w:rPr>
        <w:t xml:space="preserve"> Jinak řečeno, </w:t>
      </w:r>
      <w:r w:rsidR="0074444E">
        <w:rPr>
          <w:bCs/>
          <w:szCs w:val="24"/>
        </w:rPr>
        <w:t>p</w:t>
      </w:r>
      <w:r w:rsidR="0074444E" w:rsidRPr="00215161">
        <w:rPr>
          <w:bCs/>
          <w:szCs w:val="24"/>
        </w:rPr>
        <w:t xml:space="preserve">rvní čtyři 90denní období znamenají krácení předčasného starobního důchodu o 0,9 % výpočtového základu za každé období, páté až osmé období vedou k penalizaci </w:t>
      </w:r>
      <w:r w:rsidR="00EF3D35">
        <w:rPr>
          <w:bCs/>
          <w:szCs w:val="24"/>
        </w:rPr>
        <w:t xml:space="preserve">o </w:t>
      </w:r>
      <w:r w:rsidR="0074444E" w:rsidRPr="00215161">
        <w:rPr>
          <w:bCs/>
          <w:szCs w:val="24"/>
        </w:rPr>
        <w:t xml:space="preserve">1,2 % výpočtového základu za každé období a každé další období pak </w:t>
      </w:r>
      <w:r w:rsidR="00EF3D35">
        <w:rPr>
          <w:bCs/>
          <w:szCs w:val="24"/>
        </w:rPr>
        <w:t xml:space="preserve">o </w:t>
      </w:r>
      <w:r w:rsidR="0074444E" w:rsidRPr="00215161">
        <w:rPr>
          <w:bCs/>
          <w:szCs w:val="24"/>
        </w:rPr>
        <w:t>1,5 % výpočtového základu.</w:t>
      </w:r>
      <w:r w:rsidR="0074444E">
        <w:rPr>
          <w:color w:val="000000"/>
        </w:rPr>
        <w:t xml:space="preserve"> </w:t>
      </w:r>
    </w:p>
    <w:p w14:paraId="5B83A72F" w14:textId="77777777" w:rsidR="008F6459" w:rsidRPr="00215161" w:rsidRDefault="00222813" w:rsidP="008F6459">
      <w:pPr>
        <w:autoSpaceDE w:val="0"/>
        <w:autoSpaceDN w:val="0"/>
        <w:adjustRightInd w:val="0"/>
        <w:spacing w:before="120"/>
        <w:ind w:firstLine="426"/>
        <w:rPr>
          <w:bCs/>
          <w:szCs w:val="24"/>
        </w:rPr>
      </w:pPr>
      <w:r w:rsidRPr="00215161">
        <w:rPr>
          <w:bCs/>
          <w:szCs w:val="24"/>
        </w:rPr>
        <w:t>Pravidla krácení jsou nastavena tak, aby v průměru a za hladkého ekonomického vývoje byla</w:t>
      </w:r>
      <w:r w:rsidR="007843D8" w:rsidRPr="00215161">
        <w:rPr>
          <w:bCs/>
          <w:szCs w:val="24"/>
        </w:rPr>
        <w:t xml:space="preserve"> v zásadě</w:t>
      </w:r>
      <w:r w:rsidRPr="00215161">
        <w:rPr>
          <w:bCs/>
          <w:szCs w:val="24"/>
        </w:rPr>
        <w:t xml:space="preserve"> pojistně</w:t>
      </w:r>
      <w:r w:rsidR="00176E90">
        <w:rPr>
          <w:bCs/>
          <w:szCs w:val="24"/>
        </w:rPr>
        <w:t>-</w:t>
      </w:r>
      <w:r w:rsidRPr="00215161">
        <w:rPr>
          <w:bCs/>
          <w:szCs w:val="24"/>
        </w:rPr>
        <w:t>matematicky neutrální, tj. aby volba načasování odchodu do důchodu neměla z pohledu průměrného pojištěnce pozitivní ani negativní dopad</w:t>
      </w:r>
      <w:r w:rsidR="007843D8" w:rsidRPr="00215161">
        <w:rPr>
          <w:bCs/>
          <w:szCs w:val="24"/>
        </w:rPr>
        <w:t xml:space="preserve"> z hlediska celkové (celoživotní) výhodnosti pobírání důchodu</w:t>
      </w:r>
      <w:r w:rsidRPr="00215161">
        <w:rPr>
          <w:bCs/>
          <w:szCs w:val="24"/>
        </w:rPr>
        <w:t xml:space="preserve">.  </w:t>
      </w:r>
    </w:p>
    <w:p w14:paraId="64B18C9D" w14:textId="77777777" w:rsidR="008F0ED3" w:rsidRPr="00215161" w:rsidRDefault="008F0ED3" w:rsidP="00411EC4">
      <w:pPr>
        <w:autoSpaceDE w:val="0"/>
        <w:autoSpaceDN w:val="0"/>
        <w:adjustRightInd w:val="0"/>
        <w:spacing w:before="240"/>
        <w:rPr>
          <w:b/>
          <w:i/>
          <w:iCs/>
          <w:szCs w:val="24"/>
        </w:rPr>
      </w:pPr>
      <w:r w:rsidRPr="00215161">
        <w:rPr>
          <w:b/>
          <w:i/>
          <w:iCs/>
          <w:szCs w:val="24"/>
        </w:rPr>
        <w:t>Valorizace předčasných důchodů</w:t>
      </w:r>
    </w:p>
    <w:p w14:paraId="0A6C5B60" w14:textId="77777777" w:rsidR="00222813" w:rsidRPr="00215161" w:rsidRDefault="00222813" w:rsidP="00222813">
      <w:pPr>
        <w:autoSpaceDE w:val="0"/>
        <w:autoSpaceDN w:val="0"/>
        <w:adjustRightInd w:val="0"/>
        <w:spacing w:before="120"/>
        <w:ind w:firstLine="426"/>
        <w:rPr>
          <w:bCs/>
          <w:szCs w:val="24"/>
        </w:rPr>
      </w:pPr>
      <w:r w:rsidRPr="00215161">
        <w:rPr>
          <w:bCs/>
          <w:szCs w:val="24"/>
        </w:rPr>
        <w:t>Na trvale krácené předčasné starobní důchody se uplatňují stejná pravidla valorizace, jako na všechny ostatní důchody</w:t>
      </w:r>
      <w:r w:rsidR="00371FF8" w:rsidRPr="00215161">
        <w:rPr>
          <w:bCs/>
          <w:szCs w:val="24"/>
        </w:rPr>
        <w:t>.</w:t>
      </w:r>
    </w:p>
    <w:p w14:paraId="79FA1A68" w14:textId="77777777" w:rsidR="008F0ED3" w:rsidRPr="00215161" w:rsidRDefault="008F0ED3" w:rsidP="00411EC4">
      <w:pPr>
        <w:autoSpaceDE w:val="0"/>
        <w:autoSpaceDN w:val="0"/>
        <w:adjustRightInd w:val="0"/>
        <w:spacing w:before="240"/>
        <w:rPr>
          <w:b/>
          <w:i/>
          <w:iCs/>
          <w:szCs w:val="24"/>
        </w:rPr>
      </w:pPr>
      <w:r w:rsidRPr="00215161">
        <w:rPr>
          <w:b/>
          <w:i/>
          <w:iCs/>
          <w:szCs w:val="24"/>
        </w:rPr>
        <w:t>Valoriza</w:t>
      </w:r>
      <w:r w:rsidR="00854E6B" w:rsidRPr="00215161">
        <w:rPr>
          <w:b/>
          <w:i/>
          <w:iCs/>
          <w:szCs w:val="24"/>
        </w:rPr>
        <w:t>ce v řádném termínu</w:t>
      </w:r>
    </w:p>
    <w:p w14:paraId="0AD41241" w14:textId="77777777" w:rsidR="005C0D1A" w:rsidRPr="00215161" w:rsidRDefault="001C7CD5" w:rsidP="00854E6B">
      <w:pPr>
        <w:autoSpaceDE w:val="0"/>
        <w:autoSpaceDN w:val="0"/>
        <w:adjustRightInd w:val="0"/>
        <w:spacing w:before="120"/>
        <w:ind w:firstLine="426"/>
        <w:rPr>
          <w:bCs/>
          <w:szCs w:val="24"/>
        </w:rPr>
      </w:pPr>
      <w:r w:rsidRPr="00215161">
        <w:rPr>
          <w:bCs/>
          <w:szCs w:val="24"/>
        </w:rPr>
        <w:t>Z</w:t>
      </w:r>
      <w:r w:rsidR="005C0D1A" w:rsidRPr="00215161">
        <w:rPr>
          <w:bCs/>
          <w:szCs w:val="24"/>
        </w:rPr>
        <w:t>vyšování důchod</w:t>
      </w:r>
      <w:r w:rsidRPr="00215161">
        <w:rPr>
          <w:bCs/>
          <w:szCs w:val="24"/>
        </w:rPr>
        <w:t>ů</w:t>
      </w:r>
      <w:r w:rsidR="005C0D1A" w:rsidRPr="00215161">
        <w:rPr>
          <w:bCs/>
          <w:szCs w:val="24"/>
        </w:rPr>
        <w:t xml:space="preserve"> se řídí ustanoveními § 67 ZDP. </w:t>
      </w:r>
      <w:r w:rsidR="00FC221D" w:rsidRPr="00215161">
        <w:rPr>
          <w:bCs/>
          <w:szCs w:val="24"/>
        </w:rPr>
        <w:t xml:space="preserve">Vyplácené důchody se zvyšují v pravidelných termínech vždy od </w:t>
      </w:r>
      <w:r w:rsidR="00EE239F">
        <w:rPr>
          <w:bCs/>
          <w:szCs w:val="24"/>
        </w:rPr>
        <w:t xml:space="preserve">1. </w:t>
      </w:r>
      <w:r w:rsidR="00FC221D" w:rsidRPr="00215161">
        <w:rPr>
          <w:bCs/>
          <w:szCs w:val="24"/>
        </w:rPr>
        <w:t xml:space="preserve">ledna </w:t>
      </w:r>
      <w:r w:rsidR="005C0D1A" w:rsidRPr="00215161">
        <w:rPr>
          <w:bCs/>
          <w:szCs w:val="24"/>
        </w:rPr>
        <w:t>každého kalendářního roku.</w:t>
      </w:r>
    </w:p>
    <w:p w14:paraId="04CCEE81" w14:textId="77777777" w:rsidR="00854E6B" w:rsidRPr="00215161" w:rsidRDefault="005C0D1A" w:rsidP="00854E6B">
      <w:pPr>
        <w:autoSpaceDE w:val="0"/>
        <w:autoSpaceDN w:val="0"/>
        <w:adjustRightInd w:val="0"/>
        <w:spacing w:before="120"/>
        <w:ind w:firstLine="426"/>
        <w:rPr>
          <w:bCs/>
          <w:szCs w:val="24"/>
        </w:rPr>
      </w:pPr>
      <w:r w:rsidRPr="00215161">
        <w:rPr>
          <w:bCs/>
          <w:szCs w:val="24"/>
        </w:rPr>
        <w:t>Důchody se zvyšují tak, aby u průměrného samostatně vypláceného starobního důchodu procento zvýšení důchodu odpovídalo růstu cen a jedné polovině růstu reálné mzdy. Růst cen se sleduje v období, které začíná prvním měsícem po konci minulého období pro zjišťování růstu cen a končí červnem kalendářního roku, který předchází roku zvýšení důchodů. V typických případech, kdy nedochází k valorizaci v mimořádném termínu</w:t>
      </w:r>
      <w:r w:rsidR="00176E90">
        <w:rPr>
          <w:bCs/>
          <w:szCs w:val="24"/>
        </w:rPr>
        <w:t>,</w:t>
      </w:r>
      <w:r w:rsidRPr="00215161">
        <w:rPr>
          <w:bCs/>
          <w:szCs w:val="24"/>
        </w:rPr>
        <w:t xml:space="preserve"> je obdobím pro</w:t>
      </w:r>
      <w:r w:rsidR="004D5CEF">
        <w:rPr>
          <w:bCs/>
          <w:szCs w:val="24"/>
        </w:rPr>
        <w:t> </w:t>
      </w:r>
      <w:r w:rsidRPr="00215161">
        <w:rPr>
          <w:bCs/>
          <w:szCs w:val="24"/>
        </w:rPr>
        <w:t>zjišťování růstu cen období od července roku, který o dva roky předchází roku zvýšení</w:t>
      </w:r>
      <w:r w:rsidR="00EF3D35">
        <w:rPr>
          <w:bCs/>
          <w:szCs w:val="24"/>
        </w:rPr>
        <w:t xml:space="preserve"> důchodů,</w:t>
      </w:r>
      <w:r w:rsidRPr="00215161">
        <w:rPr>
          <w:bCs/>
          <w:szCs w:val="24"/>
        </w:rPr>
        <w:t xml:space="preserve"> do června roku, který předchází </w:t>
      </w:r>
      <w:r w:rsidR="00EF3D35">
        <w:rPr>
          <w:bCs/>
          <w:szCs w:val="24"/>
        </w:rPr>
        <w:t xml:space="preserve">o jeden </w:t>
      </w:r>
      <w:r w:rsidRPr="00215161">
        <w:rPr>
          <w:bCs/>
          <w:szCs w:val="24"/>
        </w:rPr>
        <w:t>rok zvýšení důchodů.</w:t>
      </w:r>
    </w:p>
    <w:p w14:paraId="44E688C1" w14:textId="77777777" w:rsidR="005C0D1A" w:rsidRPr="00215161" w:rsidRDefault="005C0D1A" w:rsidP="00854E6B">
      <w:pPr>
        <w:autoSpaceDE w:val="0"/>
        <w:autoSpaceDN w:val="0"/>
        <w:adjustRightInd w:val="0"/>
        <w:spacing w:before="120"/>
        <w:ind w:firstLine="426"/>
        <w:rPr>
          <w:bCs/>
          <w:szCs w:val="24"/>
        </w:rPr>
      </w:pPr>
      <w:r w:rsidRPr="00215161">
        <w:rPr>
          <w:bCs/>
          <w:szCs w:val="24"/>
        </w:rPr>
        <w:t>Růst cen se vypočítává z originálních bazických indexů zveřejňovaných ČSÚ</w:t>
      </w:r>
      <w:r w:rsidR="00EE239F">
        <w:rPr>
          <w:bCs/>
          <w:szCs w:val="24"/>
        </w:rPr>
        <w:t>,</w:t>
      </w:r>
      <w:r w:rsidRPr="00215161">
        <w:rPr>
          <w:bCs/>
          <w:szCs w:val="24"/>
        </w:rPr>
        <w:t xml:space="preserve"> a to u dvou indexů – obecné inflace (</w:t>
      </w:r>
      <w:r w:rsidR="0035160D">
        <w:rPr>
          <w:bCs/>
          <w:szCs w:val="24"/>
        </w:rPr>
        <w:t>dále jen „</w:t>
      </w:r>
      <w:r w:rsidRPr="00215161">
        <w:rPr>
          <w:bCs/>
          <w:szCs w:val="24"/>
        </w:rPr>
        <w:t>CPI</w:t>
      </w:r>
      <w:r w:rsidR="0035160D">
        <w:rPr>
          <w:bCs/>
          <w:szCs w:val="24"/>
        </w:rPr>
        <w:t>“</w:t>
      </w:r>
      <w:r w:rsidRPr="00215161">
        <w:rPr>
          <w:bCs/>
          <w:szCs w:val="24"/>
        </w:rPr>
        <w:t>) a životních nákladů domácností důchodců (</w:t>
      </w:r>
      <w:r w:rsidR="0035160D">
        <w:rPr>
          <w:bCs/>
          <w:szCs w:val="24"/>
        </w:rPr>
        <w:t>dále jen „</w:t>
      </w:r>
      <w:r w:rsidRPr="00215161">
        <w:rPr>
          <w:bCs/>
          <w:szCs w:val="24"/>
        </w:rPr>
        <w:t>IŽND</w:t>
      </w:r>
      <w:r w:rsidR="0035160D">
        <w:rPr>
          <w:bCs/>
          <w:szCs w:val="24"/>
        </w:rPr>
        <w:t>“</w:t>
      </w:r>
      <w:r w:rsidRPr="00215161">
        <w:rPr>
          <w:bCs/>
          <w:szCs w:val="24"/>
        </w:rPr>
        <w:t>). Pro stanovení zvýšení důchodů se pak použije růst toho indexu, který v období pro</w:t>
      </w:r>
      <w:r w:rsidR="004D5CEF">
        <w:rPr>
          <w:bCs/>
          <w:szCs w:val="24"/>
        </w:rPr>
        <w:t> </w:t>
      </w:r>
      <w:r w:rsidRPr="00215161">
        <w:rPr>
          <w:bCs/>
          <w:szCs w:val="24"/>
        </w:rPr>
        <w:t>zjišťování růstu cen rostl rychleji</w:t>
      </w:r>
      <w:r w:rsidR="007843D8" w:rsidRPr="00215161">
        <w:rPr>
          <w:bCs/>
          <w:szCs w:val="24"/>
        </w:rPr>
        <w:t>, což znamená, že je vyšší</w:t>
      </w:r>
      <w:r w:rsidRPr="00215161">
        <w:rPr>
          <w:bCs/>
          <w:szCs w:val="24"/>
        </w:rPr>
        <w:t>.</w:t>
      </w:r>
    </w:p>
    <w:p w14:paraId="5B192F4D" w14:textId="77777777" w:rsidR="005C0D1A" w:rsidRPr="00215161" w:rsidRDefault="005C0D1A" w:rsidP="00854E6B">
      <w:pPr>
        <w:autoSpaceDE w:val="0"/>
        <w:autoSpaceDN w:val="0"/>
        <w:adjustRightInd w:val="0"/>
        <w:spacing w:before="120"/>
        <w:ind w:firstLine="426"/>
        <w:rPr>
          <w:bCs/>
          <w:szCs w:val="24"/>
        </w:rPr>
      </w:pPr>
      <w:r w:rsidRPr="00215161">
        <w:rPr>
          <w:bCs/>
          <w:szCs w:val="24"/>
        </w:rPr>
        <w:t>Růst reálné mzdy se vypočte za rok, který o dva roky předchází roku, ve kterém budou důchody zvýšeny. Ze změřeného růstu se pak použije jedna polovina</w:t>
      </w:r>
      <w:r w:rsidR="001E49FB" w:rsidRPr="00215161">
        <w:rPr>
          <w:bCs/>
          <w:szCs w:val="24"/>
        </w:rPr>
        <w:t>.</w:t>
      </w:r>
    </w:p>
    <w:p w14:paraId="703878FB" w14:textId="77777777" w:rsidR="001E49FB" w:rsidRPr="00215161" w:rsidRDefault="001E49FB" w:rsidP="00854E6B">
      <w:pPr>
        <w:autoSpaceDE w:val="0"/>
        <w:autoSpaceDN w:val="0"/>
        <w:adjustRightInd w:val="0"/>
        <w:spacing w:before="120"/>
        <w:ind w:firstLine="426"/>
        <w:rPr>
          <w:bCs/>
          <w:szCs w:val="24"/>
        </w:rPr>
      </w:pPr>
      <w:r w:rsidRPr="00215161">
        <w:rPr>
          <w:bCs/>
          <w:szCs w:val="24"/>
        </w:rPr>
        <w:t xml:space="preserve">Zvýšení důchodů je poté rozděleno mezi zvýšení základní výměry, která je dle ZDP zvýšena tak, aby činila 10 % průměrné mzdy definované ZDP, a </w:t>
      </w:r>
      <w:r w:rsidR="00176E90">
        <w:rPr>
          <w:bCs/>
          <w:szCs w:val="24"/>
        </w:rPr>
        <w:t xml:space="preserve">zvýšení </w:t>
      </w:r>
      <w:r w:rsidRPr="00215161">
        <w:rPr>
          <w:bCs/>
          <w:szCs w:val="24"/>
        </w:rPr>
        <w:t>procentní výměr</w:t>
      </w:r>
      <w:r w:rsidR="00176E90">
        <w:rPr>
          <w:bCs/>
          <w:szCs w:val="24"/>
        </w:rPr>
        <w:t>y</w:t>
      </w:r>
      <w:r w:rsidRPr="00215161">
        <w:rPr>
          <w:bCs/>
          <w:szCs w:val="24"/>
        </w:rPr>
        <w:t xml:space="preserve"> důchodů</w:t>
      </w:r>
      <w:r w:rsidR="00176E90">
        <w:rPr>
          <w:bCs/>
          <w:szCs w:val="24"/>
        </w:rPr>
        <w:t xml:space="preserve"> o příslušné procento její dosavadní hodnoty</w:t>
      </w:r>
      <w:r w:rsidRPr="00215161">
        <w:rPr>
          <w:bCs/>
          <w:szCs w:val="24"/>
        </w:rPr>
        <w:t>.</w:t>
      </w:r>
    </w:p>
    <w:p w14:paraId="4186377C" w14:textId="77777777" w:rsidR="008F0ED3" w:rsidRPr="00215161" w:rsidRDefault="008F0ED3" w:rsidP="00411EC4">
      <w:pPr>
        <w:autoSpaceDE w:val="0"/>
        <w:autoSpaceDN w:val="0"/>
        <w:adjustRightInd w:val="0"/>
        <w:spacing w:before="240"/>
        <w:rPr>
          <w:b/>
          <w:i/>
          <w:iCs/>
          <w:szCs w:val="24"/>
        </w:rPr>
      </w:pPr>
      <w:r w:rsidRPr="00215161">
        <w:rPr>
          <w:b/>
          <w:i/>
          <w:iCs/>
          <w:szCs w:val="24"/>
        </w:rPr>
        <w:lastRenderedPageBreak/>
        <w:t>Valorizace v mimořádném termínu</w:t>
      </w:r>
    </w:p>
    <w:p w14:paraId="550B6517" w14:textId="77777777" w:rsidR="00A57031" w:rsidRPr="00215161" w:rsidRDefault="00A57031" w:rsidP="00E7770A">
      <w:pPr>
        <w:autoSpaceDE w:val="0"/>
        <w:autoSpaceDN w:val="0"/>
        <w:adjustRightInd w:val="0"/>
        <w:spacing w:before="120"/>
        <w:ind w:firstLine="426"/>
        <w:rPr>
          <w:bCs/>
          <w:szCs w:val="24"/>
        </w:rPr>
      </w:pPr>
      <w:r w:rsidRPr="00215161">
        <w:rPr>
          <w:bCs/>
          <w:szCs w:val="24"/>
        </w:rPr>
        <w:t>Kromě zvyšování v řádných termínech upravuje ZDP i zvyšování důchodů v mimořádných termínech. Mimořádný termín zvýšení je použit, pokud růst cen v průběhu období pro zjišťování růstu cen dosáhne alespoň 5 %.</w:t>
      </w:r>
    </w:p>
    <w:p w14:paraId="3132036A" w14:textId="77777777" w:rsidR="00A57031" w:rsidRPr="00215161" w:rsidRDefault="00A57031" w:rsidP="00E7770A">
      <w:pPr>
        <w:autoSpaceDE w:val="0"/>
        <w:autoSpaceDN w:val="0"/>
        <w:adjustRightInd w:val="0"/>
        <w:spacing w:before="120"/>
        <w:ind w:firstLine="426"/>
        <w:rPr>
          <w:bCs/>
          <w:szCs w:val="24"/>
        </w:rPr>
      </w:pPr>
      <w:r w:rsidRPr="00215161">
        <w:rPr>
          <w:bCs/>
          <w:szCs w:val="24"/>
        </w:rPr>
        <w:t xml:space="preserve"> V takovém případě jsou důchody zvýšeny v pátém měsíci následujícím po měsíci, ve</w:t>
      </w:r>
      <w:r w:rsidR="004D5CEF">
        <w:rPr>
          <w:bCs/>
          <w:szCs w:val="24"/>
        </w:rPr>
        <w:t> </w:t>
      </w:r>
      <w:r w:rsidRPr="00215161">
        <w:rPr>
          <w:bCs/>
          <w:szCs w:val="24"/>
        </w:rPr>
        <w:t>kterém byla podmínka 5 % růstu cen splněna. Důchody se v mimořádném termínu zvyšují tak, že se procentní výměry důchodů zvýší o stejné procento, o jaké vzrostly ceny.</w:t>
      </w:r>
    </w:p>
    <w:p w14:paraId="66B9CE1A" w14:textId="77777777" w:rsidR="00A57031" w:rsidRPr="00215161" w:rsidRDefault="00A57031" w:rsidP="00E7770A">
      <w:pPr>
        <w:autoSpaceDE w:val="0"/>
        <w:autoSpaceDN w:val="0"/>
        <w:adjustRightInd w:val="0"/>
        <w:spacing w:before="120"/>
        <w:ind w:firstLine="426"/>
        <w:rPr>
          <w:bCs/>
          <w:szCs w:val="24"/>
        </w:rPr>
      </w:pPr>
      <w:r w:rsidRPr="00215161">
        <w:rPr>
          <w:bCs/>
          <w:szCs w:val="24"/>
        </w:rPr>
        <w:t>Také v případě zvyšování v mimořádném termínu se použije ten z indexů CPI a IŽND, který rostl rychleji.</w:t>
      </w:r>
    </w:p>
    <w:p w14:paraId="01249810" w14:textId="77777777" w:rsidR="00E7770A" w:rsidRPr="00215161" w:rsidRDefault="00A57031" w:rsidP="00E7770A">
      <w:pPr>
        <w:autoSpaceDE w:val="0"/>
        <w:autoSpaceDN w:val="0"/>
        <w:adjustRightInd w:val="0"/>
        <w:spacing w:before="120"/>
        <w:ind w:firstLine="426"/>
        <w:rPr>
          <w:bCs/>
          <w:szCs w:val="24"/>
        </w:rPr>
      </w:pPr>
      <w:r w:rsidRPr="00215161">
        <w:rPr>
          <w:bCs/>
          <w:szCs w:val="24"/>
        </w:rPr>
        <w:t>Prolomení podmínky růstu cen o 5 % ukončuje období pro zjišťování růstu cen a j</w:t>
      </w:r>
      <w:r w:rsidR="007843D8" w:rsidRPr="00215161">
        <w:rPr>
          <w:bCs/>
          <w:szCs w:val="24"/>
        </w:rPr>
        <w:t>e</w:t>
      </w:r>
      <w:r w:rsidRPr="00215161">
        <w:rPr>
          <w:bCs/>
          <w:szCs w:val="24"/>
        </w:rPr>
        <w:t xml:space="preserve"> zahájeno nové období, které začíná prvním měsícem následujícím po měsíci, v něm</w:t>
      </w:r>
      <w:r w:rsidR="007843D8" w:rsidRPr="00215161">
        <w:rPr>
          <w:bCs/>
          <w:szCs w:val="24"/>
        </w:rPr>
        <w:t>ž</w:t>
      </w:r>
      <w:r w:rsidRPr="00215161">
        <w:rPr>
          <w:bCs/>
          <w:szCs w:val="24"/>
        </w:rPr>
        <w:t xml:space="preserve"> byla podmínka splněna. Je tak zajištěno, že každý růst cen je do zvyšování důchodů zahrnut právě jednou a</w:t>
      </w:r>
      <w:r w:rsidR="0035160D">
        <w:rPr>
          <w:bCs/>
          <w:szCs w:val="24"/>
        </w:rPr>
        <w:t xml:space="preserve"> zároveň</w:t>
      </w:r>
      <w:r w:rsidRPr="00215161">
        <w:rPr>
          <w:bCs/>
          <w:szCs w:val="24"/>
        </w:rPr>
        <w:t xml:space="preserve"> žádný měsíční růst cen není vynechán.</w:t>
      </w:r>
    </w:p>
    <w:bookmarkEnd w:id="1"/>
    <w:p w14:paraId="73EA3E67" w14:textId="77777777" w:rsidR="009F0100" w:rsidRPr="00215161" w:rsidRDefault="006C16BB" w:rsidP="007E6DC5">
      <w:pPr>
        <w:pStyle w:val="Nadpis1"/>
        <w:spacing w:before="120" w:after="0"/>
        <w:ind w:left="357" w:hanging="357"/>
        <w:rPr>
          <w:color w:val="000000"/>
          <w:szCs w:val="24"/>
          <w:lang w:eastAsia="cs-CZ"/>
        </w:rPr>
      </w:pPr>
      <w:r w:rsidRPr="00215161">
        <w:rPr>
          <w:szCs w:val="24"/>
          <w:lang w:eastAsia="cs-CZ"/>
        </w:rPr>
        <w:t>Odůvodnění</w:t>
      </w:r>
      <w:r w:rsidR="00651C19" w:rsidRPr="00215161">
        <w:rPr>
          <w:szCs w:val="24"/>
          <w:lang w:eastAsia="cs-CZ"/>
        </w:rPr>
        <w:t xml:space="preserve"> hlavních principů navrhované právní úpravy, včetně dopadů </w:t>
      </w:r>
      <w:r w:rsidR="00651C19" w:rsidRPr="00215161">
        <w:rPr>
          <w:szCs w:val="24"/>
        </w:rPr>
        <w:t>navrhovaného</w:t>
      </w:r>
      <w:r w:rsidR="00651C19" w:rsidRPr="00215161">
        <w:rPr>
          <w:szCs w:val="24"/>
          <w:lang w:eastAsia="cs-CZ"/>
        </w:rPr>
        <w:t xml:space="preserve"> řešení ve vztahu k zákazu diskriminace a </w:t>
      </w:r>
      <w:r w:rsidR="00E32EE2" w:rsidRPr="00215161">
        <w:rPr>
          <w:szCs w:val="24"/>
          <w:lang w:eastAsia="cs-CZ"/>
        </w:rPr>
        <w:t>ve vztahu k rovnosti mužů a</w:t>
      </w:r>
      <w:r w:rsidR="003B688B" w:rsidRPr="00215161">
        <w:rPr>
          <w:szCs w:val="24"/>
          <w:lang w:eastAsia="cs-CZ"/>
        </w:rPr>
        <w:t> </w:t>
      </w:r>
      <w:r w:rsidR="00E32EE2" w:rsidRPr="00215161">
        <w:rPr>
          <w:szCs w:val="24"/>
          <w:lang w:eastAsia="cs-CZ"/>
        </w:rPr>
        <w:t>žen</w:t>
      </w:r>
      <w:r w:rsidR="009F0100" w:rsidRPr="00215161">
        <w:rPr>
          <w:szCs w:val="24"/>
          <w:lang w:eastAsia="cs-CZ"/>
        </w:rPr>
        <w:t xml:space="preserve">, a </w:t>
      </w:r>
      <w:r w:rsidR="009F0100" w:rsidRPr="00215161">
        <w:rPr>
          <w:color w:val="000000"/>
          <w:szCs w:val="24"/>
          <w:lang w:eastAsia="cs-CZ"/>
        </w:rPr>
        <w:t>vysvětlení nezbytnosti navrhované právní úpravy v jejím celku</w:t>
      </w:r>
    </w:p>
    <w:p w14:paraId="7C68F625" w14:textId="77777777" w:rsidR="00EF4A1E" w:rsidRPr="00215161" w:rsidRDefault="00EF4A1E" w:rsidP="00EF4A1E">
      <w:pPr>
        <w:autoSpaceDE w:val="0"/>
        <w:autoSpaceDN w:val="0"/>
        <w:adjustRightInd w:val="0"/>
        <w:spacing w:before="240"/>
        <w:ind w:firstLine="426"/>
        <w:rPr>
          <w:szCs w:val="24"/>
        </w:rPr>
      </w:pPr>
      <w:r w:rsidRPr="00215161">
        <w:rPr>
          <w:bCs/>
          <w:szCs w:val="24"/>
        </w:rPr>
        <w:t xml:space="preserve">Navržená </w:t>
      </w:r>
      <w:r w:rsidR="00717D1A" w:rsidRPr="00215161">
        <w:rPr>
          <w:bCs/>
          <w:szCs w:val="24"/>
        </w:rPr>
        <w:t>změna</w:t>
      </w:r>
      <w:r w:rsidRPr="00215161">
        <w:rPr>
          <w:bCs/>
          <w:szCs w:val="24"/>
        </w:rPr>
        <w:t xml:space="preserve"> Z</w:t>
      </w:r>
      <w:r w:rsidR="0022066C" w:rsidRPr="00215161">
        <w:rPr>
          <w:bCs/>
          <w:szCs w:val="24"/>
        </w:rPr>
        <w:t>DP</w:t>
      </w:r>
      <w:r w:rsidRPr="00215161">
        <w:rPr>
          <w:bCs/>
          <w:szCs w:val="24"/>
        </w:rPr>
        <w:t xml:space="preserve"> nijak nezmění současný genderově neutrální stav zákona, ani nemá diskriminační účinky</w:t>
      </w:r>
      <w:r w:rsidR="00717D1A" w:rsidRPr="00215161">
        <w:rPr>
          <w:bCs/>
          <w:szCs w:val="24"/>
        </w:rPr>
        <w:t xml:space="preserve"> v souvislosti s rovností žen a mužů</w:t>
      </w:r>
      <w:r w:rsidRPr="00215161">
        <w:rPr>
          <w:bCs/>
          <w:szCs w:val="24"/>
        </w:rPr>
        <w:t>.</w:t>
      </w:r>
    </w:p>
    <w:p w14:paraId="61B7D111" w14:textId="77777777" w:rsidR="00977142" w:rsidRPr="00215161" w:rsidRDefault="00717D1A" w:rsidP="00EF4A1E">
      <w:pPr>
        <w:autoSpaceDE w:val="0"/>
        <w:autoSpaceDN w:val="0"/>
        <w:adjustRightInd w:val="0"/>
        <w:spacing w:before="240"/>
        <w:ind w:firstLine="426"/>
        <w:rPr>
          <w:bCs/>
          <w:szCs w:val="24"/>
        </w:rPr>
      </w:pPr>
      <w:r w:rsidRPr="00215161">
        <w:rPr>
          <w:bCs/>
          <w:szCs w:val="24"/>
        </w:rPr>
        <w:t>N</w:t>
      </w:r>
      <w:r w:rsidR="00B13C56" w:rsidRPr="00215161">
        <w:rPr>
          <w:bCs/>
          <w:szCs w:val="24"/>
        </w:rPr>
        <w:t>avržená opatření spojují dva paralelní cíle:</w:t>
      </w:r>
    </w:p>
    <w:p w14:paraId="63DC5B1B" w14:textId="77777777" w:rsidR="00B13C56" w:rsidRPr="00215161" w:rsidRDefault="00B13C56" w:rsidP="00B13C56">
      <w:pPr>
        <w:numPr>
          <w:ilvl w:val="0"/>
          <w:numId w:val="25"/>
        </w:numPr>
        <w:autoSpaceDE w:val="0"/>
        <w:autoSpaceDN w:val="0"/>
        <w:adjustRightInd w:val="0"/>
        <w:spacing w:before="240"/>
        <w:rPr>
          <w:b/>
          <w:i/>
          <w:iCs/>
          <w:szCs w:val="24"/>
        </w:rPr>
      </w:pPr>
      <w:r w:rsidRPr="00215161">
        <w:rPr>
          <w:bCs/>
          <w:szCs w:val="24"/>
        </w:rPr>
        <w:t xml:space="preserve"> Odstranění </w:t>
      </w:r>
      <w:r w:rsidR="00176E90">
        <w:rPr>
          <w:bCs/>
          <w:szCs w:val="24"/>
        </w:rPr>
        <w:t>problematických aspektů</w:t>
      </w:r>
      <w:r w:rsidR="00176E90" w:rsidRPr="00215161">
        <w:rPr>
          <w:bCs/>
          <w:szCs w:val="24"/>
        </w:rPr>
        <w:t xml:space="preserve"> </w:t>
      </w:r>
      <w:r w:rsidRPr="00215161">
        <w:rPr>
          <w:bCs/>
          <w:szCs w:val="24"/>
        </w:rPr>
        <w:t>v právní úpravě, které byly identifikovány</w:t>
      </w:r>
      <w:r w:rsidR="00717D1A" w:rsidRPr="00215161">
        <w:rPr>
          <w:bCs/>
          <w:szCs w:val="24"/>
        </w:rPr>
        <w:t xml:space="preserve"> zejména</w:t>
      </w:r>
      <w:r w:rsidRPr="00215161">
        <w:rPr>
          <w:bCs/>
          <w:szCs w:val="24"/>
        </w:rPr>
        <w:t xml:space="preserve"> během období</w:t>
      </w:r>
      <w:r w:rsidR="00717D1A" w:rsidRPr="00215161">
        <w:rPr>
          <w:bCs/>
          <w:szCs w:val="24"/>
        </w:rPr>
        <w:t xml:space="preserve"> velmi</w:t>
      </w:r>
      <w:r w:rsidRPr="00215161">
        <w:rPr>
          <w:bCs/>
          <w:szCs w:val="24"/>
        </w:rPr>
        <w:t xml:space="preserve"> vysoké inflace v letech 2022 a 2023.</w:t>
      </w:r>
    </w:p>
    <w:p w14:paraId="17A00429" w14:textId="77777777" w:rsidR="00B13C56" w:rsidRPr="00215161" w:rsidRDefault="00B13C56" w:rsidP="00B13C56">
      <w:pPr>
        <w:numPr>
          <w:ilvl w:val="0"/>
          <w:numId w:val="25"/>
        </w:numPr>
        <w:autoSpaceDE w:val="0"/>
        <w:autoSpaceDN w:val="0"/>
        <w:adjustRightInd w:val="0"/>
        <w:spacing w:before="240"/>
        <w:rPr>
          <w:b/>
          <w:i/>
          <w:iCs/>
          <w:szCs w:val="24"/>
        </w:rPr>
      </w:pPr>
      <w:r w:rsidRPr="00215161">
        <w:rPr>
          <w:bCs/>
          <w:szCs w:val="24"/>
        </w:rPr>
        <w:t xml:space="preserve"> Snížení finanční zátěže veřejných financí prostřednictvím přímého snížení výdajů</w:t>
      </w:r>
      <w:r w:rsidR="00717D1A" w:rsidRPr="00215161">
        <w:rPr>
          <w:bCs/>
          <w:szCs w:val="24"/>
        </w:rPr>
        <w:t xml:space="preserve"> důchodového systému</w:t>
      </w:r>
      <w:r w:rsidRPr="00215161">
        <w:rPr>
          <w:bCs/>
          <w:szCs w:val="24"/>
        </w:rPr>
        <w:t xml:space="preserve"> a posílením prvků, které vedou ke snížení motivace k předčasnému odchodu z trhu práce, což podpoří výkonnost ekonomiky</w:t>
      </w:r>
      <w:r w:rsidR="00EE239F">
        <w:rPr>
          <w:bCs/>
          <w:szCs w:val="24"/>
        </w:rPr>
        <w:t>,</w:t>
      </w:r>
      <w:r w:rsidRPr="00215161">
        <w:rPr>
          <w:bCs/>
          <w:szCs w:val="24"/>
        </w:rPr>
        <w:t xml:space="preserve"> zvýší příjmy a sníží výdaje státního rozpočtu nesouvisející přímo s důchodovým systémem.</w:t>
      </w:r>
      <w:r w:rsidR="00717D1A" w:rsidRPr="00215161">
        <w:rPr>
          <w:bCs/>
          <w:szCs w:val="24"/>
        </w:rPr>
        <w:t xml:space="preserve"> Delší doba ekonomické aktivity vede rovněž k pozitivnímu zvýšení úrovně důchodů a</w:t>
      </w:r>
      <w:r w:rsidR="004D5CEF">
        <w:rPr>
          <w:bCs/>
          <w:szCs w:val="24"/>
        </w:rPr>
        <w:t> </w:t>
      </w:r>
      <w:r w:rsidR="00717D1A" w:rsidRPr="00215161">
        <w:rPr>
          <w:bCs/>
          <w:szCs w:val="24"/>
        </w:rPr>
        <w:t>tím posílení ekonomické autonomie seniorů.</w:t>
      </w:r>
    </w:p>
    <w:p w14:paraId="70CC5B34" w14:textId="77777777" w:rsidR="00977142" w:rsidRPr="00215161" w:rsidRDefault="00977142" w:rsidP="00977142">
      <w:pPr>
        <w:autoSpaceDE w:val="0"/>
        <w:autoSpaceDN w:val="0"/>
        <w:adjustRightInd w:val="0"/>
        <w:spacing w:before="240"/>
        <w:rPr>
          <w:b/>
          <w:i/>
          <w:iCs/>
          <w:szCs w:val="24"/>
        </w:rPr>
      </w:pPr>
      <w:r w:rsidRPr="00215161">
        <w:rPr>
          <w:b/>
          <w:i/>
          <w:iCs/>
          <w:szCs w:val="24"/>
        </w:rPr>
        <w:t>Maximální doba pro odchod do předčasného důchodu</w:t>
      </w:r>
    </w:p>
    <w:p w14:paraId="6AD3D093" w14:textId="77777777" w:rsidR="00977142" w:rsidRPr="00215161" w:rsidRDefault="00977142" w:rsidP="00977142">
      <w:pPr>
        <w:autoSpaceDE w:val="0"/>
        <w:autoSpaceDN w:val="0"/>
        <w:adjustRightInd w:val="0"/>
        <w:spacing w:before="120"/>
        <w:ind w:firstLine="426"/>
        <w:rPr>
          <w:bCs/>
          <w:szCs w:val="24"/>
        </w:rPr>
      </w:pPr>
      <w:r w:rsidRPr="00215161">
        <w:rPr>
          <w:bCs/>
          <w:szCs w:val="24"/>
        </w:rPr>
        <w:t>Navrhuje se, aby došlo ke zkrácení maximálního rozsahu možného předčasného</w:t>
      </w:r>
      <w:r w:rsidR="0054620F">
        <w:rPr>
          <w:bCs/>
          <w:szCs w:val="24"/>
        </w:rPr>
        <w:t xml:space="preserve"> odchodu do</w:t>
      </w:r>
      <w:r w:rsidRPr="00215161">
        <w:rPr>
          <w:bCs/>
          <w:szCs w:val="24"/>
        </w:rPr>
        <w:t xml:space="preserve"> důchodu na 3 roky</w:t>
      </w:r>
      <w:r w:rsidR="00717D1A" w:rsidRPr="00215161">
        <w:rPr>
          <w:bCs/>
          <w:szCs w:val="24"/>
        </w:rPr>
        <w:t xml:space="preserve"> (tento stav platil do </w:t>
      </w:r>
      <w:r w:rsidR="008E7CA8">
        <w:rPr>
          <w:bCs/>
          <w:szCs w:val="24"/>
        </w:rPr>
        <w:t xml:space="preserve">účinnosti </w:t>
      </w:r>
      <w:r w:rsidR="00717D1A" w:rsidRPr="00215161">
        <w:rPr>
          <w:bCs/>
          <w:szCs w:val="24"/>
        </w:rPr>
        <w:t>zákon</w:t>
      </w:r>
      <w:r w:rsidR="0088176F">
        <w:rPr>
          <w:bCs/>
          <w:szCs w:val="24"/>
        </w:rPr>
        <w:t>a</w:t>
      </w:r>
      <w:r w:rsidR="00717D1A" w:rsidRPr="00215161">
        <w:rPr>
          <w:bCs/>
          <w:szCs w:val="24"/>
        </w:rPr>
        <w:t xml:space="preserve"> č. 203/2017 Sb.)</w:t>
      </w:r>
      <w:r w:rsidRPr="00215161">
        <w:rPr>
          <w:bCs/>
          <w:szCs w:val="24"/>
        </w:rPr>
        <w:t>.</w:t>
      </w:r>
    </w:p>
    <w:p w14:paraId="5AF58CD0" w14:textId="77777777" w:rsidR="00977142" w:rsidRPr="00215161" w:rsidRDefault="00977142" w:rsidP="00977142">
      <w:pPr>
        <w:autoSpaceDE w:val="0"/>
        <w:autoSpaceDN w:val="0"/>
        <w:adjustRightInd w:val="0"/>
        <w:spacing w:before="120"/>
        <w:ind w:firstLine="426"/>
        <w:rPr>
          <w:bCs/>
          <w:szCs w:val="24"/>
        </w:rPr>
      </w:pPr>
      <w:r w:rsidRPr="00215161">
        <w:rPr>
          <w:bCs/>
          <w:szCs w:val="24"/>
        </w:rPr>
        <w:t xml:space="preserve">Řady pojištěnců, konkrétně žen, které vychovaly </w:t>
      </w:r>
      <w:r w:rsidR="0054620F">
        <w:rPr>
          <w:bCs/>
          <w:szCs w:val="24"/>
        </w:rPr>
        <w:t>dvě</w:t>
      </w:r>
      <w:r w:rsidRPr="00215161">
        <w:rPr>
          <w:bCs/>
          <w:szCs w:val="24"/>
        </w:rPr>
        <w:t xml:space="preserve"> a více dětí, se změna nijak nedotkne. U ostatních dojde k mírnému posun</w:t>
      </w:r>
      <w:r w:rsidR="008E7CA8">
        <w:rPr>
          <w:bCs/>
          <w:szCs w:val="24"/>
        </w:rPr>
        <w:t>u</w:t>
      </w:r>
      <w:r w:rsidRPr="00215161">
        <w:rPr>
          <w:bCs/>
          <w:szCs w:val="24"/>
        </w:rPr>
        <w:t xml:space="preserve"> okamžiku, kdy mohou odejít do starobního důchodu sníženého za předčasnost.</w:t>
      </w:r>
    </w:p>
    <w:p w14:paraId="1927F9AE" w14:textId="77777777" w:rsidR="00977142" w:rsidRPr="00215161" w:rsidRDefault="00977142" w:rsidP="00977142">
      <w:pPr>
        <w:autoSpaceDE w:val="0"/>
        <w:autoSpaceDN w:val="0"/>
        <w:adjustRightInd w:val="0"/>
        <w:spacing w:before="120"/>
        <w:ind w:firstLine="426"/>
        <w:rPr>
          <w:bCs/>
          <w:szCs w:val="24"/>
        </w:rPr>
      </w:pPr>
      <w:r w:rsidRPr="00215161">
        <w:rPr>
          <w:bCs/>
          <w:szCs w:val="24"/>
        </w:rPr>
        <w:t xml:space="preserve">Trvale krácené předčasné starobní důchody </w:t>
      </w:r>
      <w:r w:rsidR="00EF3D35">
        <w:rPr>
          <w:bCs/>
          <w:szCs w:val="24"/>
        </w:rPr>
        <w:t xml:space="preserve">(při dosažení důchodového věku se výše důchodu nijak nepřepočítává) </w:t>
      </w:r>
      <w:r w:rsidRPr="00215161">
        <w:rPr>
          <w:bCs/>
          <w:szCs w:val="24"/>
        </w:rPr>
        <w:t xml:space="preserve">jsou nastaveny tak, aby byly z pohledu </w:t>
      </w:r>
      <w:r w:rsidR="00EF3D35">
        <w:rPr>
          <w:bCs/>
          <w:szCs w:val="24"/>
        </w:rPr>
        <w:t xml:space="preserve">celkové doby pobírání důchodu </w:t>
      </w:r>
      <w:r w:rsidRPr="00215161">
        <w:rPr>
          <w:bCs/>
          <w:szCs w:val="24"/>
        </w:rPr>
        <w:t>neutrální. Snížení důchodu odpovídá prodloužení průměrné doby pobírání důchodu. Z celkového pohledu</w:t>
      </w:r>
      <w:r w:rsidR="0054620F">
        <w:rPr>
          <w:bCs/>
          <w:szCs w:val="24"/>
        </w:rPr>
        <w:t xml:space="preserve"> udržitelnosti</w:t>
      </w:r>
      <w:r w:rsidRPr="00215161">
        <w:rPr>
          <w:bCs/>
          <w:szCs w:val="24"/>
        </w:rPr>
        <w:t xml:space="preserve"> veřejných financí však předčasné důchody situaci zhoršují.</w:t>
      </w:r>
    </w:p>
    <w:p w14:paraId="2DA25431" w14:textId="77777777" w:rsidR="00E003C6" w:rsidRPr="00215161" w:rsidRDefault="00977142" w:rsidP="00977142">
      <w:pPr>
        <w:autoSpaceDE w:val="0"/>
        <w:autoSpaceDN w:val="0"/>
        <w:adjustRightInd w:val="0"/>
        <w:spacing w:before="120"/>
        <w:ind w:firstLine="426"/>
        <w:rPr>
          <w:bCs/>
          <w:szCs w:val="24"/>
        </w:rPr>
      </w:pPr>
      <w:r w:rsidRPr="00215161">
        <w:rPr>
          <w:bCs/>
          <w:szCs w:val="24"/>
        </w:rPr>
        <w:t>Předčasné odchody z trhu práce ved</w:t>
      </w:r>
      <w:r w:rsidR="0054620F">
        <w:rPr>
          <w:bCs/>
          <w:szCs w:val="24"/>
        </w:rPr>
        <w:t>ou</w:t>
      </w:r>
      <w:r w:rsidRPr="00215161">
        <w:rPr>
          <w:bCs/>
          <w:szCs w:val="24"/>
        </w:rPr>
        <w:t xml:space="preserve"> k výpadku inkasa</w:t>
      </w:r>
      <w:r w:rsidR="00717D1A" w:rsidRPr="00215161">
        <w:rPr>
          <w:bCs/>
          <w:szCs w:val="24"/>
        </w:rPr>
        <w:t xml:space="preserve"> u</w:t>
      </w:r>
      <w:r w:rsidRPr="00215161">
        <w:rPr>
          <w:bCs/>
          <w:szCs w:val="24"/>
        </w:rPr>
        <w:t xml:space="preserve"> dalších pojistných</w:t>
      </w:r>
      <w:r w:rsidR="00717D1A" w:rsidRPr="00215161">
        <w:rPr>
          <w:bCs/>
          <w:szCs w:val="24"/>
        </w:rPr>
        <w:t xml:space="preserve"> systémů</w:t>
      </w:r>
      <w:r w:rsidRPr="00215161">
        <w:rPr>
          <w:bCs/>
          <w:szCs w:val="24"/>
        </w:rPr>
        <w:t xml:space="preserve"> (nemocenské </w:t>
      </w:r>
      <w:r w:rsidR="00EF3D35">
        <w:rPr>
          <w:bCs/>
          <w:szCs w:val="24"/>
        </w:rPr>
        <w:t xml:space="preserve">pojištění </w:t>
      </w:r>
      <w:r w:rsidRPr="00215161">
        <w:rPr>
          <w:bCs/>
          <w:szCs w:val="24"/>
        </w:rPr>
        <w:t>a příspěvek na státní politiku zaměstnanosti)</w:t>
      </w:r>
      <w:r w:rsidR="00E003C6" w:rsidRPr="00215161">
        <w:rPr>
          <w:bCs/>
          <w:szCs w:val="24"/>
        </w:rPr>
        <w:t xml:space="preserve"> a</w:t>
      </w:r>
      <w:r w:rsidRPr="00215161">
        <w:rPr>
          <w:bCs/>
          <w:szCs w:val="24"/>
        </w:rPr>
        <w:t xml:space="preserve"> daně z příjmů </w:t>
      </w:r>
      <w:r w:rsidR="00E003C6" w:rsidRPr="00215161">
        <w:rPr>
          <w:bCs/>
          <w:szCs w:val="24"/>
        </w:rPr>
        <w:t>fyzických osob. Nižší zaměstnanost starších</w:t>
      </w:r>
      <w:r w:rsidR="0054620F">
        <w:rPr>
          <w:bCs/>
          <w:szCs w:val="24"/>
        </w:rPr>
        <w:t xml:space="preserve"> (před)seniorských</w:t>
      </w:r>
      <w:r w:rsidR="00E003C6" w:rsidRPr="00215161">
        <w:rPr>
          <w:bCs/>
          <w:szCs w:val="24"/>
        </w:rPr>
        <w:t xml:space="preserve"> věkových kohort také vede k podvazování potenciálního ekonomického růstu s dalším negativním dopadem na příjmy </w:t>
      </w:r>
      <w:r w:rsidR="00E003C6" w:rsidRPr="00215161">
        <w:rPr>
          <w:bCs/>
          <w:szCs w:val="24"/>
        </w:rPr>
        <w:lastRenderedPageBreak/>
        <w:t>státního rozpočtu. Na výdajové straně se starobní důchodci</w:t>
      </w:r>
      <w:r w:rsidR="00717D1A" w:rsidRPr="00215161">
        <w:rPr>
          <w:bCs/>
          <w:szCs w:val="24"/>
        </w:rPr>
        <w:t xml:space="preserve"> automaticky</w:t>
      </w:r>
      <w:r w:rsidR="00E003C6" w:rsidRPr="00215161">
        <w:rPr>
          <w:bCs/>
          <w:szCs w:val="24"/>
        </w:rPr>
        <w:t xml:space="preserve"> stávají státními pojištěnci veřejného zdravotního pojištění, což vede ke zvýšení výdajů státního rozpočtu.</w:t>
      </w:r>
    </w:p>
    <w:p w14:paraId="47849652" w14:textId="77777777" w:rsidR="00E003C6" w:rsidRPr="00215161" w:rsidRDefault="00E003C6" w:rsidP="00977142">
      <w:pPr>
        <w:autoSpaceDE w:val="0"/>
        <w:autoSpaceDN w:val="0"/>
        <w:adjustRightInd w:val="0"/>
        <w:spacing w:before="120"/>
        <w:ind w:firstLine="426"/>
        <w:rPr>
          <w:bCs/>
          <w:szCs w:val="24"/>
        </w:rPr>
      </w:pPr>
      <w:r w:rsidRPr="00215161">
        <w:rPr>
          <w:bCs/>
          <w:szCs w:val="24"/>
        </w:rPr>
        <w:t xml:space="preserve">Trvale krácené </w:t>
      </w:r>
      <w:r w:rsidR="00EF3D35">
        <w:rPr>
          <w:bCs/>
          <w:szCs w:val="24"/>
        </w:rPr>
        <w:t xml:space="preserve">předčasné </w:t>
      </w:r>
      <w:r w:rsidRPr="00215161">
        <w:rPr>
          <w:bCs/>
          <w:szCs w:val="24"/>
        </w:rPr>
        <w:t xml:space="preserve">důchody jsou rovněž </w:t>
      </w:r>
      <w:r w:rsidR="00717D1A" w:rsidRPr="00215161">
        <w:rPr>
          <w:bCs/>
          <w:szCs w:val="24"/>
        </w:rPr>
        <w:t>příčinou</w:t>
      </w:r>
      <w:r w:rsidRPr="00215161">
        <w:rPr>
          <w:bCs/>
          <w:szCs w:val="24"/>
        </w:rPr>
        <w:t xml:space="preserve"> sociálních </w:t>
      </w:r>
      <w:r w:rsidR="00717D1A" w:rsidRPr="00215161">
        <w:rPr>
          <w:bCs/>
          <w:szCs w:val="24"/>
        </w:rPr>
        <w:t>výdajů pro jiné sociální (sub)systémy</w:t>
      </w:r>
      <w:r w:rsidRPr="00215161">
        <w:rPr>
          <w:bCs/>
          <w:szCs w:val="24"/>
        </w:rPr>
        <w:t>. Analýzy ukazují, že většina seniorů ohrožených rizikem příjmové chudoby j</w:t>
      </w:r>
      <w:r w:rsidR="0054620F">
        <w:rPr>
          <w:bCs/>
          <w:szCs w:val="24"/>
        </w:rPr>
        <w:t>sou</w:t>
      </w:r>
      <w:r w:rsidRPr="00215161">
        <w:rPr>
          <w:bCs/>
          <w:szCs w:val="24"/>
        </w:rPr>
        <w:t xml:space="preserve"> současně příjemci trvale krácených </w:t>
      </w:r>
      <w:r w:rsidR="00EF3D35">
        <w:rPr>
          <w:bCs/>
          <w:szCs w:val="24"/>
        </w:rPr>
        <w:t xml:space="preserve">předčasných </w:t>
      </w:r>
      <w:r w:rsidRPr="00215161">
        <w:rPr>
          <w:bCs/>
          <w:szCs w:val="24"/>
        </w:rPr>
        <w:t xml:space="preserve">starobních důchodů. </w:t>
      </w:r>
    </w:p>
    <w:p w14:paraId="44879C4F" w14:textId="77777777" w:rsidR="00977142" w:rsidRPr="00215161" w:rsidRDefault="00E003C6" w:rsidP="00977142">
      <w:pPr>
        <w:autoSpaceDE w:val="0"/>
        <w:autoSpaceDN w:val="0"/>
        <w:adjustRightInd w:val="0"/>
        <w:spacing w:before="120"/>
        <w:ind w:firstLine="426"/>
        <w:rPr>
          <w:bCs/>
          <w:szCs w:val="24"/>
        </w:rPr>
      </w:pPr>
      <w:r w:rsidRPr="00215161">
        <w:rPr>
          <w:bCs/>
          <w:szCs w:val="24"/>
        </w:rPr>
        <w:t>Zkrácení období pro předčasný odchod do důchodu má za cíl limitovat negativní dopady tohoto institutu do veřejných financí i negativní sociální dopady. Potřeba omezit sociální dopad se stává ještě významnější z důvodu navrhovaného zpřísnění penalizace předčasných důchodů a jejich dočasného vynětí z valorizace důchodů.</w:t>
      </w:r>
    </w:p>
    <w:p w14:paraId="21845858" w14:textId="77777777" w:rsidR="00977142" w:rsidRPr="00215161" w:rsidRDefault="00977142" w:rsidP="00977142">
      <w:pPr>
        <w:autoSpaceDE w:val="0"/>
        <w:autoSpaceDN w:val="0"/>
        <w:adjustRightInd w:val="0"/>
        <w:spacing w:before="240"/>
        <w:rPr>
          <w:b/>
          <w:i/>
          <w:iCs/>
          <w:szCs w:val="24"/>
        </w:rPr>
      </w:pPr>
      <w:r w:rsidRPr="00215161">
        <w:rPr>
          <w:b/>
          <w:i/>
          <w:iCs/>
          <w:szCs w:val="24"/>
        </w:rPr>
        <w:t>Penalizace předčasných důchodů</w:t>
      </w:r>
    </w:p>
    <w:p w14:paraId="6D3DF30B" w14:textId="77777777" w:rsidR="00A37E0B" w:rsidRPr="00215161" w:rsidRDefault="00A37E0B" w:rsidP="00A37E0B">
      <w:pPr>
        <w:autoSpaceDE w:val="0"/>
        <w:autoSpaceDN w:val="0"/>
        <w:adjustRightInd w:val="0"/>
        <w:spacing w:before="120"/>
        <w:ind w:firstLine="426"/>
        <w:rPr>
          <w:bCs/>
          <w:szCs w:val="24"/>
        </w:rPr>
      </w:pPr>
      <w:r w:rsidRPr="00215161">
        <w:rPr>
          <w:bCs/>
          <w:szCs w:val="24"/>
        </w:rPr>
        <w:t>Z</w:t>
      </w:r>
      <w:r w:rsidR="00993A09" w:rsidRPr="00215161">
        <w:rPr>
          <w:bCs/>
          <w:szCs w:val="24"/>
        </w:rPr>
        <w:t>a účelem omezení motivace předčasného odchodu z trhu práce do neaktivity je souč</w:t>
      </w:r>
      <w:r w:rsidR="00717D1A" w:rsidRPr="00215161">
        <w:rPr>
          <w:bCs/>
          <w:szCs w:val="24"/>
        </w:rPr>
        <w:t>á</w:t>
      </w:r>
      <w:r w:rsidR="00993A09" w:rsidRPr="00215161">
        <w:rPr>
          <w:bCs/>
          <w:szCs w:val="24"/>
        </w:rPr>
        <w:t>s</w:t>
      </w:r>
      <w:r w:rsidR="00717D1A" w:rsidRPr="00215161">
        <w:rPr>
          <w:bCs/>
          <w:szCs w:val="24"/>
        </w:rPr>
        <w:t>t</w:t>
      </w:r>
      <w:r w:rsidR="00993A09" w:rsidRPr="00215161">
        <w:rPr>
          <w:bCs/>
          <w:szCs w:val="24"/>
        </w:rPr>
        <w:t>í návrhu i zpřísnění a sjednocení koeficientů krácení za předčasnost. Každé započaté 90denní období by nadále mělo být penalizováno částkou odpovídající</w:t>
      </w:r>
      <w:r w:rsidR="00717D1A" w:rsidRPr="00215161">
        <w:rPr>
          <w:bCs/>
          <w:szCs w:val="24"/>
        </w:rPr>
        <w:t xml:space="preserve"> vždy</w:t>
      </w:r>
      <w:r w:rsidR="00993A09" w:rsidRPr="00215161">
        <w:rPr>
          <w:bCs/>
          <w:szCs w:val="24"/>
        </w:rPr>
        <w:t xml:space="preserve"> 1,5 % výpočtového základu</w:t>
      </w:r>
      <w:r w:rsidR="0054620F">
        <w:rPr>
          <w:bCs/>
          <w:szCs w:val="24"/>
        </w:rPr>
        <w:t xml:space="preserve"> (</w:t>
      </w:r>
      <w:r w:rsidR="00CD4598">
        <w:rPr>
          <w:bCs/>
          <w:szCs w:val="24"/>
        </w:rPr>
        <w:t>d</w:t>
      </w:r>
      <w:r w:rsidR="0054620F">
        <w:rPr>
          <w:bCs/>
          <w:szCs w:val="24"/>
        </w:rPr>
        <w:t xml:space="preserve">ochází k zrušení hodnot </w:t>
      </w:r>
      <w:r w:rsidR="00EF3D35">
        <w:rPr>
          <w:bCs/>
          <w:szCs w:val="24"/>
        </w:rPr>
        <w:t xml:space="preserve">o </w:t>
      </w:r>
      <w:r w:rsidR="0054620F">
        <w:rPr>
          <w:bCs/>
          <w:szCs w:val="24"/>
        </w:rPr>
        <w:t>0,9 % a 1,2 %).</w:t>
      </w:r>
    </w:p>
    <w:p w14:paraId="7CA1ED58" w14:textId="77777777" w:rsidR="00993A09" w:rsidRPr="00215161" w:rsidRDefault="00993A09" w:rsidP="00A37E0B">
      <w:pPr>
        <w:autoSpaceDE w:val="0"/>
        <w:autoSpaceDN w:val="0"/>
        <w:adjustRightInd w:val="0"/>
        <w:spacing w:before="120"/>
        <w:ind w:firstLine="426"/>
        <w:rPr>
          <w:bCs/>
          <w:szCs w:val="24"/>
        </w:rPr>
      </w:pPr>
      <w:r w:rsidRPr="00215161">
        <w:rPr>
          <w:bCs/>
          <w:szCs w:val="24"/>
        </w:rPr>
        <w:t>Opatření bude mít největší dopad na odchody do důchodu s krátkou zbývající dobou do</w:t>
      </w:r>
      <w:r w:rsidR="004D5CEF">
        <w:rPr>
          <w:bCs/>
          <w:szCs w:val="24"/>
        </w:rPr>
        <w:t> </w:t>
      </w:r>
      <w:r w:rsidRPr="00215161">
        <w:rPr>
          <w:bCs/>
          <w:szCs w:val="24"/>
        </w:rPr>
        <w:t xml:space="preserve">dosažení důchodového věku, kde je navýšení penalizace </w:t>
      </w:r>
      <w:r w:rsidR="001A5C67">
        <w:rPr>
          <w:bCs/>
          <w:szCs w:val="24"/>
        </w:rPr>
        <w:t>největší</w:t>
      </w:r>
      <w:r w:rsidRPr="00215161">
        <w:rPr>
          <w:bCs/>
          <w:szCs w:val="24"/>
        </w:rPr>
        <w:t>. Vzhledem ke krátké zbývající době do dosažení důchodového věku podle § 32 ZDP přináší ta</w:t>
      </w:r>
      <w:r w:rsidR="00717D1A" w:rsidRPr="00215161">
        <w:rPr>
          <w:bCs/>
          <w:szCs w:val="24"/>
        </w:rPr>
        <w:t>t</w:t>
      </w:r>
      <w:r w:rsidRPr="00215161">
        <w:rPr>
          <w:bCs/>
          <w:szCs w:val="24"/>
        </w:rPr>
        <w:t xml:space="preserve">o změna </w:t>
      </w:r>
      <w:r w:rsidR="00717D1A" w:rsidRPr="00215161">
        <w:rPr>
          <w:bCs/>
          <w:szCs w:val="24"/>
        </w:rPr>
        <w:t xml:space="preserve">relativně </w:t>
      </w:r>
      <w:r w:rsidRPr="00215161">
        <w:rPr>
          <w:bCs/>
          <w:szCs w:val="24"/>
        </w:rPr>
        <w:t>významnou pobídku k setrvání na trhu práce až do dosažení důchodového věku.</w:t>
      </w:r>
    </w:p>
    <w:p w14:paraId="6B1B4F03" w14:textId="77777777" w:rsidR="00977142" w:rsidRPr="00215161" w:rsidRDefault="00977142" w:rsidP="00977142">
      <w:pPr>
        <w:autoSpaceDE w:val="0"/>
        <w:autoSpaceDN w:val="0"/>
        <w:adjustRightInd w:val="0"/>
        <w:spacing w:before="240"/>
        <w:rPr>
          <w:b/>
          <w:i/>
          <w:iCs/>
          <w:szCs w:val="24"/>
        </w:rPr>
      </w:pPr>
      <w:r w:rsidRPr="00215161">
        <w:rPr>
          <w:b/>
          <w:i/>
          <w:iCs/>
          <w:szCs w:val="24"/>
        </w:rPr>
        <w:t>Valorizace předčasných důchodů</w:t>
      </w:r>
    </w:p>
    <w:p w14:paraId="11B324A6" w14:textId="77777777" w:rsidR="00977142" w:rsidRPr="00215161" w:rsidRDefault="00993A09" w:rsidP="00977142">
      <w:pPr>
        <w:autoSpaceDE w:val="0"/>
        <w:autoSpaceDN w:val="0"/>
        <w:adjustRightInd w:val="0"/>
        <w:spacing w:before="120"/>
        <w:ind w:firstLine="426"/>
        <w:rPr>
          <w:bCs/>
          <w:szCs w:val="24"/>
        </w:rPr>
      </w:pPr>
      <w:r w:rsidRPr="00215161">
        <w:rPr>
          <w:bCs/>
          <w:szCs w:val="24"/>
        </w:rPr>
        <w:t xml:space="preserve">Podle návrhu by mělo dojít k vynětí </w:t>
      </w:r>
      <w:r w:rsidR="0003777B" w:rsidRPr="00215161">
        <w:rPr>
          <w:bCs/>
          <w:szCs w:val="24"/>
        </w:rPr>
        <w:t xml:space="preserve">procentních výměr </w:t>
      </w:r>
      <w:r w:rsidRPr="00215161">
        <w:rPr>
          <w:bCs/>
          <w:szCs w:val="24"/>
        </w:rPr>
        <w:t>trvale krácených starobních důchodů vyplácených před dosažením důchodového věku z valorizací důchodů.</w:t>
      </w:r>
    </w:p>
    <w:p w14:paraId="20919FD7" w14:textId="77777777" w:rsidR="00E115FD" w:rsidRPr="00215161" w:rsidRDefault="00E115FD" w:rsidP="00E115FD">
      <w:pPr>
        <w:autoSpaceDE w:val="0"/>
        <w:autoSpaceDN w:val="0"/>
        <w:adjustRightInd w:val="0"/>
        <w:spacing w:before="120"/>
        <w:ind w:firstLine="426"/>
        <w:rPr>
          <w:bCs/>
          <w:szCs w:val="24"/>
        </w:rPr>
      </w:pPr>
      <w:r w:rsidRPr="00215161">
        <w:rPr>
          <w:bCs/>
          <w:szCs w:val="24"/>
        </w:rPr>
        <w:t xml:space="preserve">Nastavení opatření přímo reaguje na nežádoucí efekty, které měly valorizace v mimořádných termínech v průběhu roku 2022, kdy vlivem rychlého zvyšování procentních výměr důchodů nastala situace, že výše trvale krácených </w:t>
      </w:r>
      <w:r w:rsidR="00EF3D35">
        <w:rPr>
          <w:bCs/>
          <w:szCs w:val="24"/>
        </w:rPr>
        <w:t xml:space="preserve">předčasných </w:t>
      </w:r>
      <w:r w:rsidRPr="00215161">
        <w:rPr>
          <w:bCs/>
          <w:szCs w:val="24"/>
        </w:rPr>
        <w:t>starobních důchodů přiznaných v roce 2022 výrazně překonala výši řádných důchodů přiznávaných 2023, a to i za podmínek, kdy parametry přiznávaných důchodů – vyměřovací základy a doba pojištění – byly jinak stejné.</w:t>
      </w:r>
    </w:p>
    <w:p w14:paraId="0DADC30A" w14:textId="77777777" w:rsidR="00E115FD" w:rsidRPr="00215161" w:rsidRDefault="00E115FD" w:rsidP="00E115FD">
      <w:pPr>
        <w:autoSpaceDE w:val="0"/>
        <w:autoSpaceDN w:val="0"/>
        <w:adjustRightInd w:val="0"/>
        <w:spacing w:before="120"/>
        <w:ind w:firstLine="426"/>
        <w:rPr>
          <w:bCs/>
          <w:szCs w:val="24"/>
        </w:rPr>
      </w:pPr>
      <w:r w:rsidRPr="00215161">
        <w:rPr>
          <w:bCs/>
          <w:szCs w:val="24"/>
        </w:rPr>
        <w:t xml:space="preserve">Tento problém není možné přiměřeně řešit penalizací předčasných důchodů, neboť nastavení krácení by muselo být příliš </w:t>
      </w:r>
      <w:r w:rsidR="00717D1A" w:rsidRPr="00215161">
        <w:rPr>
          <w:bCs/>
          <w:szCs w:val="24"/>
        </w:rPr>
        <w:t>restriktivní</w:t>
      </w:r>
      <w:r w:rsidRPr="00215161">
        <w:rPr>
          <w:bCs/>
          <w:szCs w:val="24"/>
        </w:rPr>
        <w:t xml:space="preserve"> a při uplatnění v inflačně </w:t>
      </w:r>
      <w:r w:rsidR="001A5C67">
        <w:rPr>
          <w:bCs/>
          <w:szCs w:val="24"/>
        </w:rPr>
        <w:t>výrazně nevybočujících</w:t>
      </w:r>
      <w:r w:rsidR="001A5C67" w:rsidRPr="00215161">
        <w:rPr>
          <w:bCs/>
          <w:szCs w:val="24"/>
        </w:rPr>
        <w:t xml:space="preserve"> </w:t>
      </w:r>
      <w:r w:rsidRPr="00215161">
        <w:rPr>
          <w:bCs/>
          <w:szCs w:val="24"/>
        </w:rPr>
        <w:t>letech by nové trvale krácené starobní důchody byly příliš nízké</w:t>
      </w:r>
      <w:r w:rsidR="00717D1A" w:rsidRPr="00215161">
        <w:rPr>
          <w:bCs/>
          <w:szCs w:val="24"/>
        </w:rPr>
        <w:t xml:space="preserve"> a docházelo by k</w:t>
      </w:r>
      <w:r w:rsidR="000E621C">
        <w:rPr>
          <w:bCs/>
          <w:szCs w:val="24"/>
        </w:rPr>
        <w:t>e</w:t>
      </w:r>
      <w:r w:rsidR="00717D1A" w:rsidRPr="00215161">
        <w:rPr>
          <w:bCs/>
          <w:szCs w:val="24"/>
        </w:rPr>
        <w:t> zvýšení rizika chudoby</w:t>
      </w:r>
      <w:r w:rsidRPr="00215161">
        <w:rPr>
          <w:bCs/>
          <w:szCs w:val="24"/>
        </w:rPr>
        <w:t>.</w:t>
      </w:r>
    </w:p>
    <w:p w14:paraId="5E20187E" w14:textId="77777777" w:rsidR="002C16D7" w:rsidRPr="00215161" w:rsidRDefault="002C16D7" w:rsidP="00E115FD">
      <w:pPr>
        <w:autoSpaceDE w:val="0"/>
        <w:autoSpaceDN w:val="0"/>
        <w:adjustRightInd w:val="0"/>
        <w:spacing w:before="120"/>
        <w:ind w:firstLine="426"/>
        <w:rPr>
          <w:bCs/>
          <w:szCs w:val="24"/>
        </w:rPr>
      </w:pPr>
      <w:r w:rsidRPr="00215161">
        <w:rPr>
          <w:bCs/>
          <w:szCs w:val="24"/>
        </w:rPr>
        <w:t>Sekundárním efektem opatření je další oslabení motivace k o</w:t>
      </w:r>
      <w:r w:rsidR="008E7CA8">
        <w:rPr>
          <w:bCs/>
          <w:szCs w:val="24"/>
        </w:rPr>
        <w:t>d</w:t>
      </w:r>
      <w:r w:rsidRPr="00215161">
        <w:rPr>
          <w:bCs/>
          <w:szCs w:val="24"/>
        </w:rPr>
        <w:t>chodu do předčasného důchodu</w:t>
      </w:r>
      <w:r w:rsidR="00B9320D" w:rsidRPr="00215161">
        <w:rPr>
          <w:bCs/>
          <w:szCs w:val="24"/>
        </w:rPr>
        <w:t>, což je rovněž v linii cílů reformní</w:t>
      </w:r>
      <w:r w:rsidR="000E621C">
        <w:rPr>
          <w:bCs/>
          <w:szCs w:val="24"/>
        </w:rPr>
        <w:t>ch opatření</w:t>
      </w:r>
      <w:r w:rsidR="00B9320D" w:rsidRPr="00215161">
        <w:rPr>
          <w:bCs/>
          <w:szCs w:val="24"/>
        </w:rPr>
        <w:t>.</w:t>
      </w:r>
    </w:p>
    <w:p w14:paraId="10588D04" w14:textId="77777777" w:rsidR="00977142" w:rsidRPr="00215161" w:rsidRDefault="00977142" w:rsidP="00977142">
      <w:pPr>
        <w:autoSpaceDE w:val="0"/>
        <w:autoSpaceDN w:val="0"/>
        <w:adjustRightInd w:val="0"/>
        <w:spacing w:before="240"/>
        <w:rPr>
          <w:b/>
          <w:i/>
          <w:iCs/>
          <w:szCs w:val="24"/>
        </w:rPr>
      </w:pPr>
      <w:r w:rsidRPr="00215161">
        <w:rPr>
          <w:b/>
          <w:i/>
          <w:iCs/>
          <w:szCs w:val="24"/>
        </w:rPr>
        <w:t xml:space="preserve">Valorizace </w:t>
      </w:r>
      <w:r w:rsidR="0003777B" w:rsidRPr="00215161">
        <w:rPr>
          <w:b/>
          <w:i/>
          <w:iCs/>
          <w:szCs w:val="24"/>
        </w:rPr>
        <w:t>důchodů</w:t>
      </w:r>
    </w:p>
    <w:p w14:paraId="302693DE" w14:textId="77777777" w:rsidR="000F36E2" w:rsidRPr="00215161" w:rsidRDefault="000F36E2" w:rsidP="00977142">
      <w:pPr>
        <w:autoSpaceDE w:val="0"/>
        <w:autoSpaceDN w:val="0"/>
        <w:adjustRightInd w:val="0"/>
        <w:spacing w:before="120"/>
        <w:ind w:firstLine="426"/>
        <w:rPr>
          <w:bCs/>
          <w:szCs w:val="24"/>
        </w:rPr>
      </w:pPr>
      <w:r w:rsidRPr="00215161">
        <w:rPr>
          <w:bCs/>
          <w:szCs w:val="24"/>
        </w:rPr>
        <w:t xml:space="preserve">Navrhují se </w:t>
      </w:r>
      <w:r w:rsidR="0003777B" w:rsidRPr="00215161">
        <w:rPr>
          <w:bCs/>
          <w:szCs w:val="24"/>
        </w:rPr>
        <w:t>tři</w:t>
      </w:r>
      <w:r w:rsidRPr="00215161">
        <w:rPr>
          <w:bCs/>
          <w:szCs w:val="24"/>
        </w:rPr>
        <w:t xml:space="preserve"> úpravy pravidel zvyšování důchodů. V první řadě bude zrušeno sledování dvou statistických indexů růstu cen. Zachován zůstane pouze index životních nákladů domácností důchodců.</w:t>
      </w:r>
    </w:p>
    <w:p w14:paraId="53037514" w14:textId="77777777" w:rsidR="000F36E2" w:rsidRPr="00215161" w:rsidRDefault="000F36E2" w:rsidP="00977142">
      <w:pPr>
        <w:autoSpaceDE w:val="0"/>
        <w:autoSpaceDN w:val="0"/>
        <w:adjustRightInd w:val="0"/>
        <w:spacing w:before="120"/>
        <w:ind w:firstLine="426"/>
        <w:rPr>
          <w:bCs/>
          <w:szCs w:val="24"/>
        </w:rPr>
      </w:pPr>
      <w:r w:rsidRPr="00215161">
        <w:rPr>
          <w:bCs/>
          <w:szCs w:val="24"/>
        </w:rPr>
        <w:t>Z obou dosud používaných indexů tento index lépe zachycuje situaci té socioekonomické skupiny, na kterou valorizace cílí</w:t>
      </w:r>
      <w:r w:rsidR="000E621C">
        <w:rPr>
          <w:bCs/>
          <w:szCs w:val="24"/>
        </w:rPr>
        <w:t xml:space="preserve">, </w:t>
      </w:r>
      <w:r w:rsidRPr="00215161">
        <w:rPr>
          <w:bCs/>
          <w:szCs w:val="24"/>
        </w:rPr>
        <w:t>tedy důchodců. Index CPI byl historicky používán z důvodů lepšího metodického ukotvení, avšak tyto důvody již pominuly a index domácností důchodců je</w:t>
      </w:r>
      <w:r w:rsidR="0054620F">
        <w:rPr>
          <w:bCs/>
          <w:szCs w:val="24"/>
        </w:rPr>
        <w:t xml:space="preserve"> nyní</w:t>
      </w:r>
      <w:r w:rsidRPr="00215161">
        <w:rPr>
          <w:bCs/>
          <w:szCs w:val="24"/>
        </w:rPr>
        <w:t xml:space="preserve"> stejně etablovaný jako CPI</w:t>
      </w:r>
      <w:r w:rsidR="00717D1A" w:rsidRPr="00215161">
        <w:rPr>
          <w:bCs/>
          <w:szCs w:val="24"/>
        </w:rPr>
        <w:t>, přičemž cílí a zrcadlí přímo potřeby seniorů</w:t>
      </w:r>
      <w:r w:rsidRPr="00215161">
        <w:rPr>
          <w:bCs/>
          <w:szCs w:val="24"/>
        </w:rPr>
        <w:t>.</w:t>
      </w:r>
    </w:p>
    <w:p w14:paraId="46AF5A67" w14:textId="77777777" w:rsidR="000F36E2" w:rsidRPr="00215161" w:rsidRDefault="000F36E2" w:rsidP="00977142">
      <w:pPr>
        <w:autoSpaceDE w:val="0"/>
        <w:autoSpaceDN w:val="0"/>
        <w:adjustRightInd w:val="0"/>
        <w:spacing w:before="120"/>
        <w:ind w:firstLine="426"/>
        <w:rPr>
          <w:bCs/>
          <w:szCs w:val="24"/>
        </w:rPr>
      </w:pPr>
      <w:r w:rsidRPr="00215161">
        <w:rPr>
          <w:bCs/>
          <w:szCs w:val="24"/>
        </w:rPr>
        <w:t xml:space="preserve">Používání dvou indexů, </w:t>
      </w:r>
      <w:r w:rsidR="00755406">
        <w:rPr>
          <w:bCs/>
          <w:szCs w:val="24"/>
        </w:rPr>
        <w:t>kdy</w:t>
      </w:r>
      <w:r w:rsidRPr="00215161">
        <w:rPr>
          <w:bCs/>
          <w:szCs w:val="24"/>
        </w:rPr>
        <w:t xml:space="preserve"> zvyšování bylo závislé na rychlejším růstu</w:t>
      </w:r>
      <w:r w:rsidR="008E7CA8">
        <w:rPr>
          <w:bCs/>
          <w:szCs w:val="24"/>
        </w:rPr>
        <w:t>,</w:t>
      </w:r>
      <w:r w:rsidRPr="00215161">
        <w:rPr>
          <w:bCs/>
          <w:szCs w:val="24"/>
        </w:rPr>
        <w:t xml:space="preserve"> vedlo dlouhodobě</w:t>
      </w:r>
      <w:r w:rsidR="00717D1A" w:rsidRPr="00215161">
        <w:rPr>
          <w:bCs/>
          <w:szCs w:val="24"/>
        </w:rPr>
        <w:t xml:space="preserve"> k výběru vždy vyšší hodnoty a</w:t>
      </w:r>
      <w:r w:rsidRPr="00215161">
        <w:rPr>
          <w:bCs/>
          <w:szCs w:val="24"/>
        </w:rPr>
        <w:t xml:space="preserve"> k nadproporčnímu zvyšování důchodů, přičemž </w:t>
      </w:r>
      <w:r w:rsidRPr="00215161">
        <w:rPr>
          <w:bCs/>
          <w:szCs w:val="24"/>
        </w:rPr>
        <w:lastRenderedPageBreak/>
        <w:t>ročně byly důchody v průměru zvyšovány o jednu až dvě desetiny procenta více, než kdyby byl používán pouze jeden index.</w:t>
      </w:r>
    </w:p>
    <w:p w14:paraId="502C0EF6" w14:textId="77777777" w:rsidR="00977142" w:rsidRPr="00215161" w:rsidRDefault="000F36E2" w:rsidP="00977142">
      <w:pPr>
        <w:autoSpaceDE w:val="0"/>
        <w:autoSpaceDN w:val="0"/>
        <w:adjustRightInd w:val="0"/>
        <w:spacing w:before="120"/>
        <w:ind w:firstLine="426"/>
        <w:rPr>
          <w:bCs/>
          <w:szCs w:val="24"/>
        </w:rPr>
      </w:pPr>
      <w:r w:rsidRPr="00215161">
        <w:rPr>
          <w:bCs/>
          <w:szCs w:val="24"/>
        </w:rPr>
        <w:t>Odstranění výběru z</w:t>
      </w:r>
      <w:r w:rsidR="00D75315">
        <w:rPr>
          <w:bCs/>
          <w:szCs w:val="24"/>
        </w:rPr>
        <w:t xml:space="preserve"> dvou</w:t>
      </w:r>
      <w:r w:rsidRPr="00215161">
        <w:rPr>
          <w:bCs/>
          <w:szCs w:val="24"/>
        </w:rPr>
        <w:t> indexů povede dlouhodobě k</w:t>
      </w:r>
      <w:r w:rsidR="00CD4598">
        <w:rPr>
          <w:bCs/>
          <w:szCs w:val="24"/>
        </w:rPr>
        <w:t>e</w:t>
      </w:r>
      <w:r w:rsidRPr="00215161">
        <w:rPr>
          <w:bCs/>
          <w:szCs w:val="24"/>
        </w:rPr>
        <w:t xml:space="preserve"> snížení výdajů na důchody, což je druhý z hlavních cílů navrhovaných změn. Současně nedojde k zhoršení průměrné kupní síly starobních důchodů, protože použitím indexu IŽND pro zvyšování důchodů je zajištěno, že důchody porostou alespoň stejně rychle, jako rostly ceny ve spotřebním koši domácností důchodců.</w:t>
      </w:r>
    </w:p>
    <w:p w14:paraId="4546E2A3" w14:textId="77777777" w:rsidR="00CC21E8" w:rsidRPr="00215161" w:rsidRDefault="00581C26" w:rsidP="00977142">
      <w:pPr>
        <w:autoSpaceDE w:val="0"/>
        <w:autoSpaceDN w:val="0"/>
        <w:adjustRightInd w:val="0"/>
        <w:spacing w:before="120"/>
        <w:ind w:firstLine="426"/>
        <w:rPr>
          <w:bCs/>
          <w:szCs w:val="24"/>
        </w:rPr>
      </w:pPr>
      <w:r w:rsidRPr="00215161">
        <w:rPr>
          <w:bCs/>
          <w:szCs w:val="24"/>
        </w:rPr>
        <w:t>Druhou úpravou, která je navržena z</w:t>
      </w:r>
      <w:r w:rsidR="00CC21E8" w:rsidRPr="00215161">
        <w:rPr>
          <w:bCs/>
          <w:szCs w:val="24"/>
        </w:rPr>
        <w:t>a účelem dalšího snížení</w:t>
      </w:r>
      <w:r w:rsidR="00717D1A" w:rsidRPr="00215161">
        <w:rPr>
          <w:bCs/>
          <w:szCs w:val="24"/>
        </w:rPr>
        <w:t xml:space="preserve"> dlouhodobé</w:t>
      </w:r>
      <w:r w:rsidR="00CC21E8" w:rsidRPr="00215161">
        <w:rPr>
          <w:bCs/>
          <w:szCs w:val="24"/>
        </w:rPr>
        <w:t xml:space="preserve"> finanční zátěže, kterou důchodový systém vytváří </w:t>
      </w:r>
      <w:r w:rsidR="000E621C">
        <w:rPr>
          <w:bCs/>
          <w:szCs w:val="24"/>
        </w:rPr>
        <w:t>vůči</w:t>
      </w:r>
      <w:r w:rsidR="00CC21E8" w:rsidRPr="00215161">
        <w:rPr>
          <w:bCs/>
          <w:szCs w:val="24"/>
        </w:rPr>
        <w:t xml:space="preserve"> státní</w:t>
      </w:r>
      <w:r w:rsidR="000E621C">
        <w:rPr>
          <w:bCs/>
          <w:szCs w:val="24"/>
        </w:rPr>
        <w:t>mu</w:t>
      </w:r>
      <w:r w:rsidR="00CC21E8" w:rsidRPr="00215161">
        <w:rPr>
          <w:bCs/>
          <w:szCs w:val="24"/>
        </w:rPr>
        <w:t xml:space="preserve"> rozpoč</w:t>
      </w:r>
      <w:r w:rsidR="000E621C">
        <w:rPr>
          <w:bCs/>
          <w:szCs w:val="24"/>
        </w:rPr>
        <w:t>tu</w:t>
      </w:r>
      <w:r w:rsidR="00CC21E8" w:rsidRPr="00215161">
        <w:rPr>
          <w:bCs/>
          <w:szCs w:val="24"/>
        </w:rPr>
        <w:t>, je snížení zápočtu růstu reálné mzdy při zvyšování důchodů z jedné poloviny na jednu třetinu.</w:t>
      </w:r>
    </w:p>
    <w:p w14:paraId="4B7156F0" w14:textId="77777777" w:rsidR="00CC21E8" w:rsidRPr="00215161" w:rsidRDefault="00CC21E8" w:rsidP="00977142">
      <w:pPr>
        <w:autoSpaceDE w:val="0"/>
        <w:autoSpaceDN w:val="0"/>
        <w:adjustRightInd w:val="0"/>
        <w:spacing w:before="120"/>
        <w:ind w:firstLine="426"/>
        <w:rPr>
          <w:bCs/>
          <w:szCs w:val="24"/>
        </w:rPr>
      </w:pPr>
      <w:r w:rsidRPr="00215161">
        <w:rPr>
          <w:bCs/>
          <w:szCs w:val="24"/>
        </w:rPr>
        <w:t xml:space="preserve">V praxi se jedná o návrat k právnímu stavu před rok </w:t>
      </w:r>
      <w:r w:rsidR="008E7CA8" w:rsidRPr="00215161">
        <w:rPr>
          <w:bCs/>
          <w:szCs w:val="24"/>
        </w:rPr>
        <w:t>201</w:t>
      </w:r>
      <w:r w:rsidR="008E7CA8">
        <w:rPr>
          <w:bCs/>
          <w:szCs w:val="24"/>
        </w:rPr>
        <w:t>8</w:t>
      </w:r>
      <w:r w:rsidRPr="00215161">
        <w:rPr>
          <w:bCs/>
          <w:szCs w:val="24"/>
        </w:rPr>
        <w:t xml:space="preserve">. Do roku </w:t>
      </w:r>
      <w:r w:rsidR="008E7CA8">
        <w:rPr>
          <w:bCs/>
          <w:szCs w:val="24"/>
        </w:rPr>
        <w:t xml:space="preserve">2017 </w:t>
      </w:r>
      <w:r w:rsidRPr="00215161">
        <w:rPr>
          <w:bCs/>
          <w:szCs w:val="24"/>
        </w:rPr>
        <w:t>byla pro zvyšování důchodů</w:t>
      </w:r>
      <w:r w:rsidR="00D75315">
        <w:rPr>
          <w:bCs/>
          <w:szCs w:val="24"/>
        </w:rPr>
        <w:t xml:space="preserve"> téměř</w:t>
      </w:r>
      <w:r w:rsidR="009066DB" w:rsidRPr="00215161">
        <w:rPr>
          <w:bCs/>
          <w:szCs w:val="24"/>
        </w:rPr>
        <w:t xml:space="preserve"> po celou dobu účinnosti ZDP</w:t>
      </w:r>
      <w:r w:rsidRPr="00215161">
        <w:rPr>
          <w:bCs/>
          <w:szCs w:val="24"/>
        </w:rPr>
        <w:t xml:space="preserve">, tedy od roku 1996, do výpočtu zvýšení důchodů zahrnována právě jedna třetina růstu reálné mzdy. Takto nastavená pravidla do jisté míry limitují participaci neaktivní části populace na růstu </w:t>
      </w:r>
      <w:r w:rsidR="00D75315">
        <w:rPr>
          <w:bCs/>
          <w:szCs w:val="24"/>
        </w:rPr>
        <w:t>životní úrovně</w:t>
      </w:r>
      <w:r w:rsidRPr="00215161">
        <w:rPr>
          <w:bCs/>
          <w:szCs w:val="24"/>
        </w:rPr>
        <w:t xml:space="preserve"> pracujících, avšak celkový efekt není dramatický.</w:t>
      </w:r>
    </w:p>
    <w:p w14:paraId="56211937" w14:textId="77777777" w:rsidR="00CC21E8" w:rsidRPr="00215161" w:rsidRDefault="00CC21E8" w:rsidP="00977142">
      <w:pPr>
        <w:autoSpaceDE w:val="0"/>
        <w:autoSpaceDN w:val="0"/>
        <w:adjustRightInd w:val="0"/>
        <w:spacing w:before="120"/>
        <w:ind w:firstLine="426"/>
        <w:rPr>
          <w:bCs/>
          <w:szCs w:val="24"/>
        </w:rPr>
      </w:pPr>
      <w:r w:rsidRPr="00215161">
        <w:rPr>
          <w:bCs/>
          <w:szCs w:val="24"/>
        </w:rPr>
        <w:t>Omezení zápočtu růstu reálné mzdy se v důchodech velmi pravděpodobně projeví</w:t>
      </w:r>
      <w:r w:rsidR="00717D1A" w:rsidRPr="00215161">
        <w:rPr>
          <w:bCs/>
          <w:szCs w:val="24"/>
        </w:rPr>
        <w:t xml:space="preserve"> patrně</w:t>
      </w:r>
      <w:r w:rsidRPr="00215161">
        <w:rPr>
          <w:bCs/>
          <w:szCs w:val="24"/>
        </w:rPr>
        <w:t xml:space="preserve"> až v horizontu roku 2030. Vlivem poklesu reálné mzdy v roce 2022 a</w:t>
      </w:r>
      <w:r w:rsidR="00717D1A" w:rsidRPr="00215161">
        <w:rPr>
          <w:bCs/>
          <w:szCs w:val="24"/>
        </w:rPr>
        <w:t xml:space="preserve"> vlivem</w:t>
      </w:r>
      <w:r w:rsidRPr="00215161">
        <w:rPr>
          <w:bCs/>
          <w:szCs w:val="24"/>
        </w:rPr>
        <w:t xml:space="preserve"> očekávané</w:t>
      </w:r>
      <w:r w:rsidR="00717D1A" w:rsidRPr="00215161">
        <w:rPr>
          <w:bCs/>
          <w:szCs w:val="24"/>
        </w:rPr>
        <w:t>ho</w:t>
      </w:r>
      <w:r w:rsidRPr="00215161">
        <w:rPr>
          <w:bCs/>
          <w:szCs w:val="24"/>
        </w:rPr>
        <w:t xml:space="preserve"> další</w:t>
      </w:r>
      <w:r w:rsidR="00717D1A" w:rsidRPr="00215161">
        <w:rPr>
          <w:bCs/>
          <w:szCs w:val="24"/>
        </w:rPr>
        <w:t>ho</w:t>
      </w:r>
      <w:r w:rsidRPr="00215161">
        <w:rPr>
          <w:bCs/>
          <w:szCs w:val="24"/>
        </w:rPr>
        <w:t xml:space="preserve"> poklesu v roce 2023 </w:t>
      </w:r>
      <w:r w:rsidR="00717D1A" w:rsidRPr="00215161">
        <w:rPr>
          <w:bCs/>
          <w:szCs w:val="24"/>
        </w:rPr>
        <w:t>lze důvodně odhadovat</w:t>
      </w:r>
      <w:r w:rsidRPr="00215161">
        <w:rPr>
          <w:bCs/>
          <w:szCs w:val="24"/>
        </w:rPr>
        <w:t>, že k návratu růstu reálné mzdy od minulého dosaženého maxima z roku 2021 dojde až v roce 2028, což bude použito právě pro valorizaci od ledna 2030.</w:t>
      </w:r>
    </w:p>
    <w:p w14:paraId="4ED13FA0" w14:textId="77777777" w:rsidR="00977142" w:rsidRPr="00215161" w:rsidRDefault="009066DB" w:rsidP="009066DB">
      <w:pPr>
        <w:autoSpaceDE w:val="0"/>
        <w:autoSpaceDN w:val="0"/>
        <w:adjustRightInd w:val="0"/>
        <w:spacing w:before="240"/>
        <w:ind w:firstLine="426"/>
        <w:rPr>
          <w:b/>
          <w:i/>
          <w:iCs/>
          <w:szCs w:val="24"/>
        </w:rPr>
      </w:pPr>
      <w:r w:rsidRPr="00215161">
        <w:rPr>
          <w:bCs/>
          <w:szCs w:val="24"/>
        </w:rPr>
        <w:t xml:space="preserve">Třetí </w:t>
      </w:r>
      <w:r w:rsidR="000E621C">
        <w:rPr>
          <w:bCs/>
          <w:szCs w:val="24"/>
        </w:rPr>
        <w:t xml:space="preserve">navrhovanou </w:t>
      </w:r>
      <w:r w:rsidRPr="00215161">
        <w:rPr>
          <w:bCs/>
          <w:szCs w:val="24"/>
        </w:rPr>
        <w:t>úpravou je n</w:t>
      </w:r>
      <w:r w:rsidR="00717D1A" w:rsidRPr="00215161">
        <w:rPr>
          <w:bCs/>
          <w:szCs w:val="24"/>
        </w:rPr>
        <w:t>ahrazení v</w:t>
      </w:r>
      <w:r w:rsidR="00977142" w:rsidRPr="00215161">
        <w:rPr>
          <w:bCs/>
          <w:szCs w:val="24"/>
        </w:rPr>
        <w:t>alorizace v mimořádném termínu</w:t>
      </w:r>
      <w:r w:rsidR="00717D1A" w:rsidRPr="00215161">
        <w:rPr>
          <w:bCs/>
          <w:szCs w:val="24"/>
        </w:rPr>
        <w:t xml:space="preserve"> </w:t>
      </w:r>
      <w:r w:rsidRPr="00215161">
        <w:rPr>
          <w:bCs/>
          <w:szCs w:val="24"/>
        </w:rPr>
        <w:t xml:space="preserve">dočasným plněním, které bude vypláceno částečně v jednotné výši v podobě </w:t>
      </w:r>
      <w:r w:rsidR="00717D1A" w:rsidRPr="00215161">
        <w:rPr>
          <w:bCs/>
          <w:szCs w:val="24"/>
        </w:rPr>
        <w:t>dočasn</w:t>
      </w:r>
      <w:r w:rsidRPr="00215161">
        <w:rPr>
          <w:bCs/>
          <w:szCs w:val="24"/>
        </w:rPr>
        <w:t>ého</w:t>
      </w:r>
      <w:r w:rsidR="00717D1A" w:rsidRPr="00215161">
        <w:rPr>
          <w:bCs/>
          <w:szCs w:val="24"/>
        </w:rPr>
        <w:t xml:space="preserve"> přídavk</w:t>
      </w:r>
      <w:r w:rsidRPr="00215161">
        <w:rPr>
          <w:bCs/>
          <w:szCs w:val="24"/>
        </w:rPr>
        <w:t>u</w:t>
      </w:r>
      <w:r w:rsidR="00717D1A" w:rsidRPr="00215161">
        <w:rPr>
          <w:bCs/>
          <w:szCs w:val="24"/>
        </w:rPr>
        <w:t xml:space="preserve"> k</w:t>
      </w:r>
      <w:r w:rsidRPr="00215161">
        <w:rPr>
          <w:bCs/>
          <w:szCs w:val="24"/>
        </w:rPr>
        <w:t> </w:t>
      </w:r>
      <w:r w:rsidR="00717D1A" w:rsidRPr="00215161">
        <w:rPr>
          <w:bCs/>
          <w:szCs w:val="24"/>
        </w:rPr>
        <w:t>důchodu</w:t>
      </w:r>
      <w:r w:rsidRPr="00215161">
        <w:rPr>
          <w:bCs/>
          <w:szCs w:val="24"/>
        </w:rPr>
        <w:t xml:space="preserve"> a částečně v závislosti na výši vypláceného důchodu.</w:t>
      </w:r>
    </w:p>
    <w:p w14:paraId="4C82C580" w14:textId="77777777" w:rsidR="00977142" w:rsidRPr="00215161" w:rsidRDefault="00581C26" w:rsidP="00977142">
      <w:pPr>
        <w:autoSpaceDE w:val="0"/>
        <w:autoSpaceDN w:val="0"/>
        <w:adjustRightInd w:val="0"/>
        <w:spacing w:before="120"/>
        <w:ind w:firstLine="426"/>
        <w:rPr>
          <w:bCs/>
          <w:szCs w:val="24"/>
        </w:rPr>
      </w:pPr>
      <w:r w:rsidRPr="00215161">
        <w:rPr>
          <w:bCs/>
          <w:szCs w:val="24"/>
        </w:rPr>
        <w:t>Valorizace v mimořádných termínech v letech 2022 a 2023 odhalily nedostatky stávající právní úpravy</w:t>
      </w:r>
      <w:r w:rsidR="001A5C67">
        <w:rPr>
          <w:bCs/>
          <w:szCs w:val="24"/>
        </w:rPr>
        <w:t>, kdy valorizace v mimořádných termínech procentně více navyšovaly nadprůměrné důchody</w:t>
      </w:r>
      <w:r w:rsidRPr="00215161">
        <w:rPr>
          <w:bCs/>
          <w:szCs w:val="24"/>
        </w:rPr>
        <w:t>. Za účelem</w:t>
      </w:r>
      <w:r w:rsidR="00BF158C" w:rsidRPr="00215161">
        <w:rPr>
          <w:bCs/>
          <w:szCs w:val="24"/>
        </w:rPr>
        <w:t xml:space="preserve"> posílení sociálního rozměru zvýšení v mimořádném termínu je navrženo komple</w:t>
      </w:r>
      <w:r w:rsidR="009066DB" w:rsidRPr="00215161">
        <w:rPr>
          <w:bCs/>
          <w:szCs w:val="24"/>
        </w:rPr>
        <w:t>x</w:t>
      </w:r>
      <w:r w:rsidR="00BF158C" w:rsidRPr="00215161">
        <w:rPr>
          <w:bCs/>
          <w:szCs w:val="24"/>
        </w:rPr>
        <w:t xml:space="preserve">ní přepracování </w:t>
      </w:r>
      <w:r w:rsidR="009066DB" w:rsidRPr="00215161">
        <w:rPr>
          <w:bCs/>
          <w:szCs w:val="24"/>
        </w:rPr>
        <w:t xml:space="preserve">reakce na zvýšení růst cen v podobě nahrazení stávajících </w:t>
      </w:r>
      <w:r w:rsidR="00BF158C" w:rsidRPr="00215161">
        <w:rPr>
          <w:bCs/>
          <w:szCs w:val="24"/>
        </w:rPr>
        <w:t>valorizací v mimořádných termínech</w:t>
      </w:r>
      <w:r w:rsidR="00717D1A" w:rsidRPr="00215161">
        <w:rPr>
          <w:bCs/>
          <w:szCs w:val="24"/>
        </w:rPr>
        <w:t xml:space="preserve"> </w:t>
      </w:r>
      <w:r w:rsidR="009066DB" w:rsidRPr="00215161">
        <w:rPr>
          <w:bCs/>
          <w:szCs w:val="24"/>
        </w:rPr>
        <w:t>zcela</w:t>
      </w:r>
      <w:r w:rsidR="00717D1A" w:rsidRPr="00215161">
        <w:rPr>
          <w:bCs/>
          <w:szCs w:val="24"/>
        </w:rPr>
        <w:t xml:space="preserve"> novým mechanismem</w:t>
      </w:r>
      <w:r w:rsidR="00BF158C" w:rsidRPr="00215161">
        <w:rPr>
          <w:bCs/>
          <w:szCs w:val="24"/>
        </w:rPr>
        <w:t>. Sekundárně je úprava zaměřena na omezení rozpočtového dopadu v průběžném rozpočtovém roce tak, aby státní rozpočet nemusel být zásadně měněn v průběhu roku.</w:t>
      </w:r>
    </w:p>
    <w:p w14:paraId="4FDF9A50" w14:textId="77777777" w:rsidR="002F1C58" w:rsidRPr="00215161" w:rsidRDefault="002F1C58" w:rsidP="00977142">
      <w:pPr>
        <w:autoSpaceDE w:val="0"/>
        <w:autoSpaceDN w:val="0"/>
        <w:adjustRightInd w:val="0"/>
        <w:spacing w:before="120"/>
        <w:ind w:firstLine="426"/>
        <w:rPr>
          <w:bCs/>
          <w:szCs w:val="24"/>
        </w:rPr>
      </w:pPr>
      <w:r w:rsidRPr="00215161">
        <w:rPr>
          <w:bCs/>
          <w:szCs w:val="24"/>
        </w:rPr>
        <w:t>Podmínka cenového růstu zůstává stejná, tedy 5 %. Pokud bude podmínka splněna, pak dojde v nejbližším červenci nebo ve lhůtě 4 měsíců, pokud b</w:t>
      </w:r>
      <w:r w:rsidR="00CD4598">
        <w:rPr>
          <w:bCs/>
          <w:szCs w:val="24"/>
        </w:rPr>
        <w:t>ude</w:t>
      </w:r>
      <w:r w:rsidRPr="00215161">
        <w:rPr>
          <w:bCs/>
          <w:szCs w:val="24"/>
        </w:rPr>
        <w:t xml:space="preserve"> podmínka splněna v dubnu, květnu nebo červnu, ke zvýšení </w:t>
      </w:r>
      <w:r w:rsidR="009066DB" w:rsidRPr="00215161">
        <w:rPr>
          <w:bCs/>
          <w:szCs w:val="24"/>
        </w:rPr>
        <w:t xml:space="preserve">procentních výměr vyplácených </w:t>
      </w:r>
      <w:r w:rsidRPr="00215161">
        <w:rPr>
          <w:bCs/>
          <w:szCs w:val="24"/>
        </w:rPr>
        <w:t xml:space="preserve">důchodů a zahájení výplaty dočasného přídavku k důchodu. </w:t>
      </w:r>
    </w:p>
    <w:p w14:paraId="502FCE98" w14:textId="77777777" w:rsidR="00BF158C" w:rsidRPr="00215161" w:rsidRDefault="002F1C58" w:rsidP="00977142">
      <w:pPr>
        <w:autoSpaceDE w:val="0"/>
        <w:autoSpaceDN w:val="0"/>
        <w:adjustRightInd w:val="0"/>
        <w:spacing w:before="120"/>
        <w:ind w:firstLine="426"/>
        <w:rPr>
          <w:bCs/>
          <w:szCs w:val="24"/>
        </w:rPr>
      </w:pPr>
      <w:r w:rsidRPr="00215161">
        <w:rPr>
          <w:bCs/>
          <w:szCs w:val="24"/>
        </w:rPr>
        <w:t xml:space="preserve">Obecným pravidlem je, že zvýšení </w:t>
      </w:r>
      <w:r w:rsidR="000E621C">
        <w:rPr>
          <w:bCs/>
          <w:szCs w:val="24"/>
        </w:rPr>
        <w:t xml:space="preserve">procentní výměry vyplácených důchodů </w:t>
      </w:r>
      <w:r w:rsidRPr="00215161">
        <w:rPr>
          <w:bCs/>
          <w:szCs w:val="24"/>
        </w:rPr>
        <w:t>a dočasný přídavek náleží od července. Pouze v případech, kdy není možné z technických důvodů zajistit výplatu od tohoto data</w:t>
      </w:r>
      <w:r w:rsidR="000E621C">
        <w:rPr>
          <w:bCs/>
          <w:szCs w:val="24"/>
        </w:rPr>
        <w:t>,</w:t>
      </w:r>
      <w:r w:rsidRPr="00215161">
        <w:rPr>
          <w:bCs/>
          <w:szCs w:val="24"/>
        </w:rPr>
        <w:t xml:space="preserve"> je zahájení výplaty posunuto na nejbližší technicky proveditelný okamžik.</w:t>
      </w:r>
    </w:p>
    <w:p w14:paraId="55158DC3" w14:textId="77777777" w:rsidR="001C02BA" w:rsidRPr="00215161" w:rsidRDefault="001C02BA" w:rsidP="00977142">
      <w:pPr>
        <w:autoSpaceDE w:val="0"/>
        <w:autoSpaceDN w:val="0"/>
        <w:adjustRightInd w:val="0"/>
        <w:spacing w:before="120"/>
        <w:ind w:firstLine="426"/>
        <w:rPr>
          <w:bCs/>
          <w:szCs w:val="24"/>
        </w:rPr>
      </w:pPr>
      <w:r w:rsidRPr="00215161">
        <w:rPr>
          <w:bCs/>
          <w:szCs w:val="24"/>
        </w:rPr>
        <w:t>Pro stanovení výše dočasného přídavku</w:t>
      </w:r>
      <w:r w:rsidR="003034D4" w:rsidRPr="00215161">
        <w:rPr>
          <w:bCs/>
          <w:szCs w:val="24"/>
        </w:rPr>
        <w:t xml:space="preserve"> k důchodu</w:t>
      </w:r>
      <w:r w:rsidRPr="00215161">
        <w:rPr>
          <w:bCs/>
          <w:szCs w:val="24"/>
        </w:rPr>
        <w:t xml:space="preserve"> a zvýšení procentních výměr bude použito 60 % změřeného růstu cen. </w:t>
      </w:r>
      <w:r w:rsidR="009066DB" w:rsidRPr="00215161">
        <w:rPr>
          <w:bCs/>
          <w:szCs w:val="24"/>
        </w:rPr>
        <w:t xml:space="preserve">Takto stanovený růst </w:t>
      </w:r>
      <w:r w:rsidRPr="00215161">
        <w:rPr>
          <w:bCs/>
          <w:szCs w:val="24"/>
        </w:rPr>
        <w:t>bude rozdělen na dvě poloviny</w:t>
      </w:r>
      <w:r w:rsidR="00AE370A" w:rsidRPr="00215161">
        <w:rPr>
          <w:bCs/>
          <w:szCs w:val="24"/>
        </w:rPr>
        <w:t>. P</w:t>
      </w:r>
      <w:r w:rsidR="009066DB" w:rsidRPr="00215161">
        <w:rPr>
          <w:bCs/>
          <w:szCs w:val="24"/>
        </w:rPr>
        <w:t>odle první</w:t>
      </w:r>
      <w:r w:rsidR="00D75315">
        <w:rPr>
          <w:bCs/>
          <w:szCs w:val="24"/>
        </w:rPr>
        <w:t xml:space="preserve"> poloviny</w:t>
      </w:r>
      <w:r w:rsidRPr="00215161">
        <w:rPr>
          <w:bCs/>
          <w:szCs w:val="24"/>
        </w:rPr>
        <w:t xml:space="preserve"> </w:t>
      </w:r>
      <w:r w:rsidR="009066DB" w:rsidRPr="00215161">
        <w:rPr>
          <w:bCs/>
          <w:szCs w:val="24"/>
        </w:rPr>
        <w:t>se stanoví výše jednotné částky dočasného přídavku, a to tak, aby</w:t>
      </w:r>
      <w:r w:rsidR="00D75315">
        <w:rPr>
          <w:bCs/>
          <w:szCs w:val="24"/>
        </w:rPr>
        <w:t xml:space="preserve"> odpovídal</w:t>
      </w:r>
      <w:r w:rsidR="009066DB" w:rsidRPr="00215161">
        <w:rPr>
          <w:bCs/>
          <w:szCs w:val="24"/>
        </w:rPr>
        <w:t xml:space="preserve"> částce zvýšení průměrného starobního důchodu o 30 % růstu cen</w:t>
      </w:r>
      <w:r w:rsidR="00AE370A" w:rsidRPr="00215161">
        <w:rPr>
          <w:bCs/>
          <w:szCs w:val="24"/>
        </w:rPr>
        <w:t>. Podle druhé</w:t>
      </w:r>
      <w:r w:rsidR="00D75315">
        <w:rPr>
          <w:bCs/>
          <w:szCs w:val="24"/>
        </w:rPr>
        <w:t xml:space="preserve"> poloviny</w:t>
      </w:r>
      <w:r w:rsidR="00AE370A" w:rsidRPr="00215161">
        <w:rPr>
          <w:bCs/>
          <w:szCs w:val="24"/>
        </w:rPr>
        <w:t xml:space="preserve"> se určí procento zvýšení procentních výměr vyplácených důchodů, a to tak, aby opět odpovídalo zvýšení průměrného starobního důchodu o 30 % růstu cen</w:t>
      </w:r>
      <w:r w:rsidRPr="00215161">
        <w:rPr>
          <w:bCs/>
          <w:szCs w:val="24"/>
        </w:rPr>
        <w:t>.</w:t>
      </w:r>
    </w:p>
    <w:p w14:paraId="36EC44F0" w14:textId="77777777" w:rsidR="00F54101" w:rsidRPr="00215161" w:rsidRDefault="00F54101" w:rsidP="00977142">
      <w:pPr>
        <w:autoSpaceDE w:val="0"/>
        <w:autoSpaceDN w:val="0"/>
        <w:adjustRightInd w:val="0"/>
        <w:spacing w:before="120"/>
        <w:ind w:firstLine="426"/>
        <w:rPr>
          <w:bCs/>
          <w:szCs w:val="24"/>
        </w:rPr>
      </w:pPr>
      <w:r w:rsidRPr="00215161">
        <w:rPr>
          <w:bCs/>
          <w:szCs w:val="24"/>
        </w:rPr>
        <w:lastRenderedPageBreak/>
        <w:t>Rozdělením zvýšen</w:t>
      </w:r>
      <w:r w:rsidR="003034D4" w:rsidRPr="00215161">
        <w:rPr>
          <w:bCs/>
          <w:szCs w:val="24"/>
        </w:rPr>
        <w:t>í</w:t>
      </w:r>
      <w:r w:rsidRPr="00215161">
        <w:rPr>
          <w:bCs/>
          <w:szCs w:val="24"/>
        </w:rPr>
        <w:t xml:space="preserve"> na pevnou </w:t>
      </w:r>
      <w:r w:rsidR="000E621C">
        <w:rPr>
          <w:bCs/>
          <w:szCs w:val="24"/>
        </w:rPr>
        <w:t>část a n</w:t>
      </w:r>
      <w:r w:rsidRPr="00215161">
        <w:rPr>
          <w:bCs/>
          <w:szCs w:val="24"/>
        </w:rPr>
        <w:t xml:space="preserve">a procentní část bude zajištěno, že se </w:t>
      </w:r>
      <w:r w:rsidR="001A5C67">
        <w:rPr>
          <w:bCs/>
          <w:szCs w:val="24"/>
        </w:rPr>
        <w:t xml:space="preserve">v období bezprostředně po zvýšeném růstu cen </w:t>
      </w:r>
      <w:r w:rsidRPr="00215161">
        <w:rPr>
          <w:bCs/>
          <w:szCs w:val="24"/>
        </w:rPr>
        <w:t>relativně více zvýší příjmy příjemců nižších důchodů.</w:t>
      </w:r>
    </w:p>
    <w:p w14:paraId="211D6F86" w14:textId="77777777" w:rsidR="0074444E" w:rsidRDefault="00F54101" w:rsidP="004C37E5">
      <w:pPr>
        <w:autoSpaceDE w:val="0"/>
        <w:autoSpaceDN w:val="0"/>
        <w:adjustRightInd w:val="0"/>
        <w:spacing w:before="120"/>
        <w:ind w:firstLine="426"/>
        <w:rPr>
          <w:bCs/>
          <w:szCs w:val="24"/>
        </w:rPr>
      </w:pPr>
      <w:r w:rsidRPr="00215161">
        <w:rPr>
          <w:bCs/>
          <w:szCs w:val="24"/>
        </w:rPr>
        <w:t>Dočasný přídavek</w:t>
      </w:r>
      <w:r w:rsidR="00C62F87">
        <w:rPr>
          <w:bCs/>
          <w:szCs w:val="24"/>
        </w:rPr>
        <w:t xml:space="preserve"> nebude součástí důchodu, avšak</w:t>
      </w:r>
      <w:r w:rsidRPr="00215161">
        <w:rPr>
          <w:bCs/>
          <w:szCs w:val="24"/>
        </w:rPr>
        <w:t xml:space="preserve"> bude vypl</w:t>
      </w:r>
      <w:r w:rsidR="000E621C">
        <w:rPr>
          <w:bCs/>
          <w:szCs w:val="24"/>
        </w:rPr>
        <w:t>á</w:t>
      </w:r>
      <w:r w:rsidRPr="00215161">
        <w:rPr>
          <w:bCs/>
          <w:szCs w:val="24"/>
        </w:rPr>
        <w:t xml:space="preserve">cen </w:t>
      </w:r>
      <w:r w:rsidR="00C62F87">
        <w:rPr>
          <w:bCs/>
          <w:szCs w:val="24"/>
        </w:rPr>
        <w:t xml:space="preserve">současně s ním, a to </w:t>
      </w:r>
      <w:r w:rsidR="00CD4598">
        <w:rPr>
          <w:bCs/>
          <w:szCs w:val="24"/>
        </w:rPr>
        <w:t>naposledy se splátkou důchodu spl</w:t>
      </w:r>
      <w:r w:rsidR="004C37E5">
        <w:rPr>
          <w:bCs/>
          <w:szCs w:val="24"/>
        </w:rPr>
        <w:t>a</w:t>
      </w:r>
      <w:r w:rsidR="00CD4598">
        <w:rPr>
          <w:bCs/>
          <w:szCs w:val="24"/>
        </w:rPr>
        <w:t xml:space="preserve">tnou v prosinci kalendářního roku, ve kterém </w:t>
      </w:r>
      <w:r w:rsidRPr="00215161">
        <w:rPr>
          <w:bCs/>
          <w:szCs w:val="24"/>
        </w:rPr>
        <w:t xml:space="preserve">byl </w:t>
      </w:r>
      <w:r w:rsidR="00C62F87">
        <w:rPr>
          <w:bCs/>
          <w:szCs w:val="24"/>
        </w:rPr>
        <w:t xml:space="preserve">přídavek </w:t>
      </w:r>
      <w:r w:rsidRPr="00215161">
        <w:rPr>
          <w:bCs/>
          <w:szCs w:val="24"/>
        </w:rPr>
        <w:t>přiznán</w:t>
      </w:r>
      <w:r w:rsidR="00CD4598">
        <w:rPr>
          <w:bCs/>
          <w:szCs w:val="24"/>
        </w:rPr>
        <w:t xml:space="preserve">. </w:t>
      </w:r>
      <w:r w:rsidR="00C62F87">
        <w:rPr>
          <w:bCs/>
          <w:szCs w:val="24"/>
        </w:rPr>
        <w:t xml:space="preserve">Dočasný přídavek bude náležet za stejné období jako splátky důchodu, s nimiž je vyplácen. </w:t>
      </w:r>
      <w:r w:rsidR="00CD4598">
        <w:rPr>
          <w:bCs/>
          <w:szCs w:val="24"/>
        </w:rPr>
        <w:t xml:space="preserve">Na </w:t>
      </w:r>
      <w:r w:rsidR="00C62F87">
        <w:rPr>
          <w:bCs/>
          <w:szCs w:val="24"/>
        </w:rPr>
        <w:t>ukončení výplaty dočasného přídavku</w:t>
      </w:r>
      <w:r w:rsidR="00CD4598">
        <w:rPr>
          <w:bCs/>
          <w:szCs w:val="24"/>
        </w:rPr>
        <w:t xml:space="preserve"> plynule naváže</w:t>
      </w:r>
      <w:r w:rsidRPr="00215161">
        <w:rPr>
          <w:bCs/>
          <w:szCs w:val="24"/>
        </w:rPr>
        <w:t xml:space="preserve"> zvýšení důchodů</w:t>
      </w:r>
      <w:r w:rsidR="004D5CEF">
        <w:rPr>
          <w:bCs/>
          <w:szCs w:val="24"/>
        </w:rPr>
        <w:t xml:space="preserve"> </w:t>
      </w:r>
      <w:r w:rsidR="00CD4598">
        <w:rPr>
          <w:bCs/>
          <w:szCs w:val="24"/>
        </w:rPr>
        <w:t>od</w:t>
      </w:r>
      <w:r w:rsidR="004D5CEF">
        <w:rPr>
          <w:bCs/>
          <w:szCs w:val="24"/>
        </w:rPr>
        <w:t> </w:t>
      </w:r>
      <w:r w:rsidR="00CD4598">
        <w:rPr>
          <w:bCs/>
          <w:szCs w:val="24"/>
        </w:rPr>
        <w:t>1.</w:t>
      </w:r>
      <w:r w:rsidR="004D5CEF">
        <w:rPr>
          <w:bCs/>
          <w:szCs w:val="24"/>
        </w:rPr>
        <w:t> </w:t>
      </w:r>
      <w:r w:rsidR="003034D4" w:rsidRPr="00215161">
        <w:rPr>
          <w:bCs/>
          <w:szCs w:val="24"/>
        </w:rPr>
        <w:t>ledn</w:t>
      </w:r>
      <w:r w:rsidR="00CD4598">
        <w:rPr>
          <w:bCs/>
          <w:szCs w:val="24"/>
        </w:rPr>
        <w:t>a následujícího kalendářního roku</w:t>
      </w:r>
      <w:r w:rsidRPr="00215161">
        <w:rPr>
          <w:bCs/>
          <w:szCs w:val="24"/>
        </w:rPr>
        <w:t xml:space="preserve">. V tomto termínu budou </w:t>
      </w:r>
      <w:r w:rsidR="00AE370A" w:rsidRPr="00215161">
        <w:rPr>
          <w:bCs/>
          <w:szCs w:val="24"/>
        </w:rPr>
        <w:t>zvýšeny i p</w:t>
      </w:r>
      <w:r w:rsidRPr="00215161">
        <w:rPr>
          <w:bCs/>
          <w:szCs w:val="24"/>
        </w:rPr>
        <w:t>rocentní výměry, avšak procento</w:t>
      </w:r>
      <w:r w:rsidR="00AE370A" w:rsidRPr="00215161">
        <w:rPr>
          <w:bCs/>
          <w:szCs w:val="24"/>
        </w:rPr>
        <w:t xml:space="preserve"> jejich zvýšení </w:t>
      </w:r>
      <w:r w:rsidRPr="00215161">
        <w:rPr>
          <w:bCs/>
          <w:szCs w:val="24"/>
        </w:rPr>
        <w:t xml:space="preserve">bude sníženo o </w:t>
      </w:r>
      <w:r w:rsidR="000E621C">
        <w:rPr>
          <w:bCs/>
          <w:szCs w:val="24"/>
        </w:rPr>
        <w:t xml:space="preserve">to </w:t>
      </w:r>
      <w:r w:rsidRPr="00215161">
        <w:rPr>
          <w:bCs/>
          <w:szCs w:val="24"/>
        </w:rPr>
        <w:t>procento, o které již byly důchody navýšeny</w:t>
      </w:r>
      <w:r w:rsidR="003034D4" w:rsidRPr="00215161">
        <w:rPr>
          <w:bCs/>
          <w:szCs w:val="24"/>
        </w:rPr>
        <w:t xml:space="preserve"> </w:t>
      </w:r>
      <w:r w:rsidR="00AE370A" w:rsidRPr="00215161">
        <w:rPr>
          <w:bCs/>
          <w:szCs w:val="24"/>
        </w:rPr>
        <w:t>ve vazbě na výplatu</w:t>
      </w:r>
      <w:r w:rsidR="003034D4" w:rsidRPr="00215161">
        <w:rPr>
          <w:bCs/>
          <w:szCs w:val="24"/>
        </w:rPr>
        <w:t xml:space="preserve"> dočasného přídavku</w:t>
      </w:r>
      <w:r w:rsidRPr="00215161">
        <w:rPr>
          <w:bCs/>
          <w:szCs w:val="24"/>
        </w:rPr>
        <w:t>.</w:t>
      </w:r>
    </w:p>
    <w:p w14:paraId="014C3456" w14:textId="77777777" w:rsidR="004C37E5" w:rsidRDefault="004C37E5" w:rsidP="00977142">
      <w:pPr>
        <w:autoSpaceDE w:val="0"/>
        <w:autoSpaceDN w:val="0"/>
        <w:adjustRightInd w:val="0"/>
        <w:spacing w:before="120"/>
        <w:ind w:firstLine="426"/>
        <w:rPr>
          <w:bCs/>
          <w:szCs w:val="24"/>
        </w:rPr>
      </w:pPr>
      <w:r>
        <w:rPr>
          <w:bCs/>
          <w:szCs w:val="24"/>
        </w:rPr>
        <w:t>Dočasný přídavek bude vyplácen každému příjemci důchodu pouze jednou (stejně jako základní výměra důchodu), i když bude pobírat více důchodů. Stejně jako základní výměra důchodu bude i dílčen, pokud bude příjemci důchodu vyplácen důchod vypočtený se zřetelem k mezinárodní smlouvě podle poměru dob získaných v České republice k celkově získané době.</w:t>
      </w:r>
    </w:p>
    <w:p w14:paraId="638073BF" w14:textId="77777777" w:rsidR="00F54101" w:rsidRPr="00215161" w:rsidRDefault="003034D4" w:rsidP="00977142">
      <w:pPr>
        <w:autoSpaceDE w:val="0"/>
        <w:autoSpaceDN w:val="0"/>
        <w:adjustRightInd w:val="0"/>
        <w:spacing w:before="120"/>
        <w:ind w:firstLine="426"/>
        <w:rPr>
          <w:bCs/>
          <w:szCs w:val="24"/>
        </w:rPr>
      </w:pPr>
      <w:r w:rsidRPr="00215161">
        <w:rPr>
          <w:bCs/>
          <w:szCs w:val="24"/>
        </w:rPr>
        <w:t>Výsledným a zamýšleným</w:t>
      </w:r>
      <w:r w:rsidR="00F54101" w:rsidRPr="00215161">
        <w:rPr>
          <w:bCs/>
          <w:szCs w:val="24"/>
        </w:rPr>
        <w:t xml:space="preserve"> efektem bude, že </w:t>
      </w:r>
      <w:r w:rsidR="00AE370A" w:rsidRPr="00215161">
        <w:rPr>
          <w:bCs/>
          <w:szCs w:val="24"/>
        </w:rPr>
        <w:t xml:space="preserve">na výši </w:t>
      </w:r>
      <w:r w:rsidR="00F54101" w:rsidRPr="00215161">
        <w:rPr>
          <w:bCs/>
          <w:szCs w:val="24"/>
        </w:rPr>
        <w:t>důchod</w:t>
      </w:r>
      <w:r w:rsidR="00AE370A" w:rsidRPr="00215161">
        <w:rPr>
          <w:bCs/>
          <w:szCs w:val="24"/>
        </w:rPr>
        <w:t>ů</w:t>
      </w:r>
      <w:r w:rsidR="00F54101" w:rsidRPr="00215161">
        <w:rPr>
          <w:bCs/>
          <w:szCs w:val="24"/>
        </w:rPr>
        <w:t xml:space="preserve"> vyplácen</w:t>
      </w:r>
      <w:r w:rsidR="00AE370A" w:rsidRPr="00215161">
        <w:rPr>
          <w:bCs/>
          <w:szCs w:val="24"/>
        </w:rPr>
        <w:t>ých</w:t>
      </w:r>
      <w:r w:rsidR="00F54101" w:rsidRPr="00215161">
        <w:rPr>
          <w:bCs/>
          <w:szCs w:val="24"/>
        </w:rPr>
        <w:t xml:space="preserve"> </w:t>
      </w:r>
      <w:r w:rsidR="00AE370A" w:rsidRPr="00215161">
        <w:rPr>
          <w:bCs/>
          <w:szCs w:val="24"/>
        </w:rPr>
        <w:t>v</w:t>
      </w:r>
      <w:r w:rsidR="00F54101" w:rsidRPr="00215161">
        <w:rPr>
          <w:bCs/>
          <w:szCs w:val="24"/>
        </w:rPr>
        <w:t xml:space="preserve"> ledn</w:t>
      </w:r>
      <w:r w:rsidR="00D75315">
        <w:rPr>
          <w:bCs/>
          <w:szCs w:val="24"/>
        </w:rPr>
        <w:t>u</w:t>
      </w:r>
      <w:r w:rsidR="00F54101" w:rsidRPr="00215161">
        <w:rPr>
          <w:bCs/>
          <w:szCs w:val="24"/>
        </w:rPr>
        <w:t xml:space="preserve"> roku následujícího po roce, v němž byl</w:t>
      </w:r>
      <w:r w:rsidRPr="00215161">
        <w:rPr>
          <w:bCs/>
          <w:szCs w:val="24"/>
        </w:rPr>
        <w:t xml:space="preserve"> přiznán dočasný přídavek</w:t>
      </w:r>
      <w:r w:rsidR="00F54101" w:rsidRPr="00215161">
        <w:rPr>
          <w:bCs/>
          <w:szCs w:val="24"/>
        </w:rPr>
        <w:t xml:space="preserve">, </w:t>
      </w:r>
      <w:r w:rsidR="00AE370A" w:rsidRPr="00215161">
        <w:rPr>
          <w:bCs/>
          <w:szCs w:val="24"/>
        </w:rPr>
        <w:t>ne</w:t>
      </w:r>
      <w:r w:rsidR="00F54101" w:rsidRPr="00215161">
        <w:rPr>
          <w:bCs/>
          <w:szCs w:val="24"/>
        </w:rPr>
        <w:t>bud</w:t>
      </w:r>
      <w:r w:rsidR="00AE370A" w:rsidRPr="00215161">
        <w:rPr>
          <w:bCs/>
          <w:szCs w:val="24"/>
        </w:rPr>
        <w:t>e</w:t>
      </w:r>
      <w:r w:rsidR="00F54101" w:rsidRPr="00215161">
        <w:rPr>
          <w:bCs/>
          <w:szCs w:val="24"/>
        </w:rPr>
        <w:t xml:space="preserve"> </w:t>
      </w:r>
      <w:r w:rsidR="00AE370A" w:rsidRPr="00215161">
        <w:rPr>
          <w:bCs/>
          <w:szCs w:val="24"/>
        </w:rPr>
        <w:t xml:space="preserve">mít existence dočasného plnění vliv, tj. </w:t>
      </w:r>
      <w:r w:rsidR="000E621C">
        <w:rPr>
          <w:bCs/>
          <w:szCs w:val="24"/>
        </w:rPr>
        <w:t xml:space="preserve">důchody </w:t>
      </w:r>
      <w:r w:rsidR="00AE370A" w:rsidRPr="00215161">
        <w:rPr>
          <w:bCs/>
          <w:szCs w:val="24"/>
        </w:rPr>
        <w:t>budou ve stejné výši</w:t>
      </w:r>
      <w:r w:rsidR="000E621C">
        <w:rPr>
          <w:bCs/>
          <w:szCs w:val="24"/>
        </w:rPr>
        <w:t>,</w:t>
      </w:r>
      <w:r w:rsidR="00AE370A" w:rsidRPr="00215161">
        <w:rPr>
          <w:bCs/>
          <w:szCs w:val="24"/>
        </w:rPr>
        <w:t xml:space="preserve"> jako by dočasné plnění vůbec neexistovalo a</w:t>
      </w:r>
      <w:r w:rsidR="004D5CEF">
        <w:rPr>
          <w:bCs/>
          <w:szCs w:val="24"/>
        </w:rPr>
        <w:t> </w:t>
      </w:r>
      <w:r w:rsidR="00F54101" w:rsidRPr="00215161">
        <w:rPr>
          <w:bCs/>
          <w:szCs w:val="24"/>
        </w:rPr>
        <w:t>důchody byly zvýšeny pouze v </w:t>
      </w:r>
      <w:r w:rsidR="00AE370A" w:rsidRPr="00215161">
        <w:rPr>
          <w:bCs/>
          <w:szCs w:val="24"/>
        </w:rPr>
        <w:t>lednu</w:t>
      </w:r>
      <w:r w:rsidR="00F54101" w:rsidRPr="00215161">
        <w:rPr>
          <w:bCs/>
          <w:szCs w:val="24"/>
        </w:rPr>
        <w:t>.</w:t>
      </w:r>
    </w:p>
    <w:p w14:paraId="51E5628B" w14:textId="77777777" w:rsidR="00EF7286" w:rsidRPr="00D75315" w:rsidRDefault="00EF7286" w:rsidP="00EF7286">
      <w:pPr>
        <w:spacing w:before="120" w:after="240"/>
        <w:rPr>
          <w:b/>
          <w:bCs/>
          <w:i/>
          <w:iCs/>
          <w:szCs w:val="24"/>
        </w:rPr>
      </w:pPr>
      <w:r w:rsidRPr="00D75315">
        <w:rPr>
          <w:b/>
          <w:bCs/>
          <w:i/>
          <w:iCs/>
          <w:szCs w:val="24"/>
        </w:rPr>
        <w:t>Mezinárodní srovnání</w:t>
      </w:r>
    </w:p>
    <w:p w14:paraId="680252F9" w14:textId="77777777" w:rsidR="00EF7286" w:rsidRPr="00215161" w:rsidRDefault="00D03391" w:rsidP="00D03391">
      <w:pPr>
        <w:rPr>
          <w:szCs w:val="24"/>
        </w:rPr>
      </w:pPr>
      <w:r>
        <w:rPr>
          <w:szCs w:val="24"/>
        </w:rPr>
        <w:t xml:space="preserve">       </w:t>
      </w:r>
      <w:r w:rsidR="00EF7286" w:rsidRPr="00215161">
        <w:rPr>
          <w:szCs w:val="24"/>
        </w:rPr>
        <w:t>Valorizační mechanismy platné pro základní důchodová schémata jsou z hlediska mezinárodního srovnání poměrně různorod</w:t>
      </w:r>
      <w:r w:rsidR="001A5C67">
        <w:rPr>
          <w:szCs w:val="24"/>
        </w:rPr>
        <w:t>é</w:t>
      </w:r>
      <w:r w:rsidR="00EF7286" w:rsidRPr="00215161">
        <w:rPr>
          <w:szCs w:val="24"/>
        </w:rPr>
        <w:t>. Základní důchodový systém je zpravidla tvořen různými typy důchodů (minimální, jednotný, příjmově odvozený, starobní, předčasný, zaměstnanecký, invalidní, pozůstalostní, národní apod.) a je možno teoreticky ke každému důchodovému schématu přiřadit jiný typ či princip valorizačního mechanismu. Nicméně většinou jsou valorizační schémata v zásadě stejná pro velkou většinu typu důchodů.</w:t>
      </w:r>
    </w:p>
    <w:p w14:paraId="3C360A8D" w14:textId="77777777" w:rsidR="00EF7286" w:rsidRDefault="00EF7286" w:rsidP="00EF7286">
      <w:pPr>
        <w:autoSpaceDE w:val="0"/>
        <w:autoSpaceDN w:val="0"/>
        <w:adjustRightInd w:val="0"/>
        <w:spacing w:before="120"/>
        <w:ind w:firstLine="426"/>
        <w:rPr>
          <w:szCs w:val="24"/>
        </w:rPr>
      </w:pPr>
      <w:r w:rsidRPr="00215161">
        <w:rPr>
          <w:szCs w:val="24"/>
        </w:rPr>
        <w:t xml:space="preserve">Nejčastějším ukazatelem a hybatelem zvyšování vyplácených důchodů je růst </w:t>
      </w:r>
      <w:r w:rsidR="00AE370A" w:rsidRPr="00215161">
        <w:rPr>
          <w:szCs w:val="24"/>
        </w:rPr>
        <w:t xml:space="preserve">cenového </w:t>
      </w:r>
      <w:r w:rsidRPr="00215161">
        <w:rPr>
          <w:szCs w:val="24"/>
        </w:rPr>
        <w:t>indexu, čili inflace (v některých případech poněkud transformovaná a definovaná jako růst životních nákladů apod.). Někdy se jedná o míru inflace očištěnou o vybrané vlivy (např. ceny tabákových výrobků). Dalším klíčovým parametrem je růst mezd (opět možno modifikovaně nalézt jako růst reálných či nominálních příjmů). Tyto dva ukazatele a jejich nejrůznější kombinace jsou stěžejní ve většině zemí EU. Poněkud méně obvyklé jsou mechanismy spočívající v úpravě a nalézání či odvozování od jiných veličin typu růst HDP, definování „koeficientů udržitelnosti“, závislost valorizace na výši důchodu, na růstu pojistného apod. Poměrně řídkým jevem je absence pravidel zakotvených v</w:t>
      </w:r>
      <w:r w:rsidR="00D03391">
        <w:rPr>
          <w:szCs w:val="24"/>
        </w:rPr>
        <w:t> </w:t>
      </w:r>
      <w:r w:rsidRPr="00215161">
        <w:rPr>
          <w:szCs w:val="24"/>
        </w:rPr>
        <w:t>zákoně</w:t>
      </w:r>
      <w:r w:rsidR="00D03391">
        <w:rPr>
          <w:szCs w:val="24"/>
        </w:rPr>
        <w:t xml:space="preserve"> a zvyšování důchodů bez těchto pravidel</w:t>
      </w:r>
      <w:r w:rsidRPr="00215161">
        <w:rPr>
          <w:szCs w:val="24"/>
        </w:rPr>
        <w:t xml:space="preserve">, </w:t>
      </w:r>
      <w:r w:rsidR="00D03391">
        <w:rPr>
          <w:szCs w:val="24"/>
        </w:rPr>
        <w:t>tj.</w:t>
      </w:r>
      <w:r w:rsidRPr="00215161">
        <w:rPr>
          <w:szCs w:val="24"/>
        </w:rPr>
        <w:t xml:space="preserve"> </w:t>
      </w:r>
      <w:r w:rsidRPr="00F0365E">
        <w:rPr>
          <w:i/>
          <w:iCs/>
          <w:szCs w:val="24"/>
        </w:rPr>
        <w:t>ad hoc</w:t>
      </w:r>
      <w:r w:rsidRPr="00215161">
        <w:rPr>
          <w:szCs w:val="24"/>
        </w:rPr>
        <w:t xml:space="preserve"> valorizace. S jistou opatrností lze konstatovat, že mechanismus valorizace důchodů v zahraničních systémech poměrně jasně reaguje na růst cen. Zároveň existuje i snaha s různou intenzitou reagovat i na růst životní úrovně reprezentovaný zpravidla růstem mezd. V některých zemích lze rovněž vysledovat možnost zvýšení mimo pravidelný termín. Eventuálně </w:t>
      </w:r>
      <w:r w:rsidR="002E703B">
        <w:rPr>
          <w:szCs w:val="24"/>
        </w:rPr>
        <w:t xml:space="preserve">existuje </w:t>
      </w:r>
      <w:r w:rsidRPr="00215161">
        <w:rPr>
          <w:szCs w:val="24"/>
        </w:rPr>
        <w:t>možnost neprovedení valorizace v případě, že by se jednalo</w:t>
      </w:r>
      <w:r w:rsidR="002E703B">
        <w:rPr>
          <w:szCs w:val="24"/>
        </w:rPr>
        <w:t xml:space="preserve"> </w:t>
      </w:r>
      <w:r w:rsidRPr="00215161">
        <w:rPr>
          <w:szCs w:val="24"/>
        </w:rPr>
        <w:t>o</w:t>
      </w:r>
      <w:r w:rsidR="004D5CEF">
        <w:rPr>
          <w:szCs w:val="24"/>
        </w:rPr>
        <w:t> </w:t>
      </w:r>
      <w:r w:rsidRPr="00215161">
        <w:rPr>
          <w:szCs w:val="24"/>
        </w:rPr>
        <w:t xml:space="preserve">velmi nízkou částku, respektive nedosažení limitu růstu určité veličiny. Každopádně lze identifikovat </w:t>
      </w:r>
      <w:r w:rsidR="001A5C67">
        <w:rPr>
          <w:szCs w:val="24"/>
        </w:rPr>
        <w:t>úpravy zaměřené zpravidla tak</w:t>
      </w:r>
      <w:r w:rsidRPr="00215161">
        <w:rPr>
          <w:szCs w:val="24"/>
        </w:rPr>
        <w:t>, aby valorizace důchodů na jedné straně nevedla k </w:t>
      </w:r>
      <w:r w:rsidR="001A5C67">
        <w:rPr>
          <w:szCs w:val="24"/>
        </w:rPr>
        <w:t>sociálnímu ohrožení</w:t>
      </w:r>
      <w:r w:rsidR="001A5C67" w:rsidRPr="00215161">
        <w:rPr>
          <w:szCs w:val="24"/>
        </w:rPr>
        <w:t xml:space="preserve"> </w:t>
      </w:r>
      <w:r w:rsidRPr="00215161">
        <w:rPr>
          <w:szCs w:val="24"/>
        </w:rPr>
        <w:t>seniorů a zajišťovala jim důstojnou životní úroveň (adekvátnost)</w:t>
      </w:r>
      <w:r w:rsidR="002E703B">
        <w:rPr>
          <w:szCs w:val="24"/>
        </w:rPr>
        <w:t xml:space="preserve"> a</w:t>
      </w:r>
      <w:r w:rsidR="004D5CEF">
        <w:rPr>
          <w:szCs w:val="24"/>
        </w:rPr>
        <w:t> </w:t>
      </w:r>
      <w:r w:rsidRPr="00215161">
        <w:rPr>
          <w:szCs w:val="24"/>
        </w:rPr>
        <w:t>na</w:t>
      </w:r>
      <w:r w:rsidR="004D5CEF">
        <w:rPr>
          <w:szCs w:val="24"/>
        </w:rPr>
        <w:t> </w:t>
      </w:r>
      <w:r w:rsidRPr="00215161">
        <w:rPr>
          <w:szCs w:val="24"/>
        </w:rPr>
        <w:t>druh</w:t>
      </w:r>
      <w:r w:rsidR="002E703B">
        <w:rPr>
          <w:szCs w:val="24"/>
        </w:rPr>
        <w:t>é</w:t>
      </w:r>
      <w:r w:rsidRPr="00215161">
        <w:rPr>
          <w:szCs w:val="24"/>
        </w:rPr>
        <w:t xml:space="preserve"> stran</w:t>
      </w:r>
      <w:r w:rsidR="002E703B">
        <w:rPr>
          <w:szCs w:val="24"/>
        </w:rPr>
        <w:t>ě</w:t>
      </w:r>
      <w:r w:rsidRPr="00215161">
        <w:rPr>
          <w:szCs w:val="24"/>
        </w:rPr>
        <w:t xml:space="preserve"> </w:t>
      </w:r>
      <w:r w:rsidR="001A5C67">
        <w:rPr>
          <w:szCs w:val="24"/>
        </w:rPr>
        <w:t>a</w:t>
      </w:r>
      <w:r w:rsidRPr="00215161">
        <w:rPr>
          <w:szCs w:val="24"/>
        </w:rPr>
        <w:t>by</w:t>
      </w:r>
      <w:r w:rsidR="001A5C67">
        <w:rPr>
          <w:szCs w:val="24"/>
        </w:rPr>
        <w:t xml:space="preserve"> byl</w:t>
      </w:r>
      <w:r w:rsidRPr="00215161">
        <w:rPr>
          <w:szCs w:val="24"/>
        </w:rPr>
        <w:t xml:space="preserve"> mechanismus zvyšování důchodů nějakým způsobem napojen na</w:t>
      </w:r>
      <w:r w:rsidR="004D5CEF">
        <w:rPr>
          <w:szCs w:val="24"/>
        </w:rPr>
        <w:t> </w:t>
      </w:r>
      <w:r w:rsidRPr="00215161">
        <w:rPr>
          <w:szCs w:val="24"/>
        </w:rPr>
        <w:t>reálnou ekonom</w:t>
      </w:r>
      <w:r w:rsidR="002E703B">
        <w:rPr>
          <w:szCs w:val="24"/>
        </w:rPr>
        <w:t>i</w:t>
      </w:r>
      <w:r w:rsidRPr="00215161">
        <w:rPr>
          <w:szCs w:val="24"/>
        </w:rPr>
        <w:t xml:space="preserve">ckou či fiskální situaci (udržitelnost). Jde o </w:t>
      </w:r>
      <w:r w:rsidR="001A5C67">
        <w:rPr>
          <w:szCs w:val="24"/>
        </w:rPr>
        <w:t>neustálé</w:t>
      </w:r>
      <w:r w:rsidR="001A5C67" w:rsidRPr="00215161">
        <w:rPr>
          <w:szCs w:val="24"/>
        </w:rPr>
        <w:t xml:space="preserve"> </w:t>
      </w:r>
      <w:r w:rsidRPr="00215161">
        <w:rPr>
          <w:szCs w:val="24"/>
        </w:rPr>
        <w:t xml:space="preserve">citlivé hledání vyváženosti </w:t>
      </w:r>
      <w:r w:rsidR="001A5C67">
        <w:rPr>
          <w:szCs w:val="24"/>
        </w:rPr>
        <w:t xml:space="preserve">adekvátní výše důchodů </w:t>
      </w:r>
      <w:r w:rsidRPr="00215161">
        <w:rPr>
          <w:szCs w:val="24"/>
        </w:rPr>
        <w:t>a udržitelnosti důchodového systému.</w:t>
      </w:r>
    </w:p>
    <w:p w14:paraId="003F92E0" w14:textId="77777777" w:rsidR="001A5C67" w:rsidRPr="001A5C67" w:rsidRDefault="001A5C67" w:rsidP="001A5C67">
      <w:pPr>
        <w:rPr>
          <w:szCs w:val="24"/>
        </w:rPr>
      </w:pPr>
    </w:p>
    <w:p w14:paraId="21F25213" w14:textId="621D0C8F" w:rsidR="00EF7286" w:rsidRPr="00215161" w:rsidRDefault="007B4821" w:rsidP="00EF7286">
      <w:pPr>
        <w:autoSpaceDE w:val="0"/>
        <w:autoSpaceDN w:val="0"/>
        <w:adjustRightInd w:val="0"/>
        <w:spacing w:before="120"/>
        <w:ind w:firstLine="426"/>
        <w:rPr>
          <w:bCs/>
          <w:szCs w:val="24"/>
        </w:rPr>
      </w:pPr>
      <w:r w:rsidRPr="00215161">
        <w:rPr>
          <w:noProof/>
          <w:szCs w:val="24"/>
        </w:rPr>
        <w:lastRenderedPageBreak/>
        <w:drawing>
          <wp:inline distT="0" distB="0" distL="0" distR="0" wp14:anchorId="0D5AF153" wp14:editId="28D3D848">
            <wp:extent cx="5646420" cy="253746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46420" cy="2537460"/>
                    </a:xfrm>
                    <a:prstGeom prst="rect">
                      <a:avLst/>
                    </a:prstGeom>
                    <a:noFill/>
                    <a:ln>
                      <a:noFill/>
                    </a:ln>
                  </pic:spPr>
                </pic:pic>
              </a:graphicData>
            </a:graphic>
          </wp:inline>
        </w:drawing>
      </w:r>
    </w:p>
    <w:p w14:paraId="68436D4E" w14:textId="77777777" w:rsidR="00EF7286" w:rsidRPr="00215161" w:rsidRDefault="00EF7286" w:rsidP="007E6DC5">
      <w:pPr>
        <w:spacing w:before="120"/>
        <w:rPr>
          <w:rFonts w:eastAsia="Times New Roman"/>
          <w:noProof/>
          <w:color w:val="000000"/>
          <w:szCs w:val="24"/>
          <w:lang w:eastAsia="cs-CZ"/>
        </w:rPr>
      </w:pPr>
    </w:p>
    <w:p w14:paraId="7DC53FB8" w14:textId="77777777" w:rsidR="00625800" w:rsidRDefault="002F10E6" w:rsidP="003627F5">
      <w:pPr>
        <w:pStyle w:val="Nadpis1"/>
        <w:spacing w:before="120" w:after="0"/>
        <w:ind w:left="357" w:hanging="357"/>
        <w:rPr>
          <w:color w:val="000000"/>
          <w:szCs w:val="24"/>
          <w:lang w:eastAsia="cs-CZ"/>
        </w:rPr>
      </w:pPr>
      <w:bookmarkStart w:id="2" w:name="_Hlk127281074"/>
      <w:r w:rsidRPr="00215161">
        <w:rPr>
          <w:color w:val="000000"/>
          <w:szCs w:val="24"/>
          <w:lang w:eastAsia="cs-CZ"/>
        </w:rPr>
        <w:t xml:space="preserve">Zhodnocení souladu navrhované právní úpravy s ústavním pořádkem České republiky </w:t>
      </w:r>
    </w:p>
    <w:p w14:paraId="132A75C0" w14:textId="77777777" w:rsidR="003805EF" w:rsidRDefault="003805EF" w:rsidP="003805EF">
      <w:pPr>
        <w:rPr>
          <w:lang w:eastAsia="cs-CZ"/>
        </w:rPr>
      </w:pPr>
    </w:p>
    <w:p w14:paraId="5EF3FC9F" w14:textId="77777777" w:rsidR="00601604" w:rsidRDefault="00601604" w:rsidP="00601604">
      <w:pPr>
        <w:widowControl w:val="0"/>
        <w:spacing w:before="120"/>
        <w:ind w:firstLine="426"/>
        <w:rPr>
          <w:rFonts w:eastAsia="Times New Roman"/>
          <w:noProof/>
          <w:color w:val="000000"/>
          <w:szCs w:val="24"/>
          <w:lang w:eastAsia="cs-CZ"/>
        </w:rPr>
      </w:pPr>
      <w:r>
        <w:rPr>
          <w:rFonts w:eastAsia="Times New Roman"/>
          <w:noProof/>
          <w:color w:val="000000"/>
          <w:szCs w:val="24"/>
          <w:lang w:eastAsia="cs-CZ"/>
        </w:rPr>
        <w:t xml:space="preserve">Návrh </w:t>
      </w:r>
      <w:r w:rsidRPr="000C1BED">
        <w:rPr>
          <w:bCs/>
          <w:szCs w:val="24"/>
        </w:rPr>
        <w:t>zákona</w:t>
      </w:r>
      <w:r>
        <w:rPr>
          <w:rFonts w:eastAsia="Times New Roman"/>
          <w:noProof/>
          <w:color w:val="000000"/>
          <w:szCs w:val="24"/>
          <w:lang w:eastAsia="cs-CZ"/>
        </w:rPr>
        <w:t xml:space="preserve"> je v souladu s ústavním pořádkem České republiky, především s ohledem na čl. 30 odst. 1 Listiny základních práv a svobod, který zakotvuje právo občanů na přiměřené hmotné zabezpečení ve stáří, a na čl. 1 a čl. 3 Listiny základních práv a svobod garantující rovnost obecně i rovnost v základních právech zaručených ústavním pořádkem. </w:t>
      </w:r>
    </w:p>
    <w:p w14:paraId="512F509A" w14:textId="77777777" w:rsidR="00601604" w:rsidRDefault="00601604" w:rsidP="00071E0E">
      <w:pPr>
        <w:widowControl w:val="0"/>
        <w:spacing w:before="120"/>
        <w:ind w:firstLine="426"/>
        <w:rPr>
          <w:bCs/>
          <w:szCs w:val="24"/>
        </w:rPr>
      </w:pPr>
      <w:r>
        <w:rPr>
          <w:bCs/>
          <w:szCs w:val="24"/>
        </w:rPr>
        <w:t>N</w:t>
      </w:r>
      <w:r w:rsidRPr="00CE70C0">
        <w:rPr>
          <w:bCs/>
          <w:szCs w:val="24"/>
        </w:rPr>
        <w:t>ávrh respektuj</w:t>
      </w:r>
      <w:r>
        <w:rPr>
          <w:bCs/>
          <w:szCs w:val="24"/>
        </w:rPr>
        <w:t>e</w:t>
      </w:r>
      <w:r w:rsidRPr="00CE70C0">
        <w:rPr>
          <w:bCs/>
          <w:szCs w:val="24"/>
        </w:rPr>
        <w:t xml:space="preserve"> </w:t>
      </w:r>
      <w:r w:rsidRPr="00071E0E">
        <w:rPr>
          <w:rFonts w:eastAsia="Times New Roman"/>
          <w:noProof/>
          <w:color w:val="000000"/>
          <w:szCs w:val="24"/>
          <w:lang w:eastAsia="cs-CZ"/>
        </w:rPr>
        <w:t>obecné</w:t>
      </w:r>
      <w:r w:rsidRPr="00CE70C0">
        <w:rPr>
          <w:bCs/>
          <w:szCs w:val="24"/>
        </w:rPr>
        <w:t xml:space="preserve"> zásady ústavního pořádku České republiky a ne</w:t>
      </w:r>
      <w:r>
        <w:rPr>
          <w:bCs/>
          <w:szCs w:val="24"/>
        </w:rPr>
        <w:t>ní</w:t>
      </w:r>
      <w:r w:rsidRPr="00CE70C0">
        <w:rPr>
          <w:bCs/>
          <w:szCs w:val="24"/>
        </w:rPr>
        <w:t xml:space="preserve"> v rozporu s nálezy Ústavního soudu České republiky.</w:t>
      </w:r>
      <w:r>
        <w:rPr>
          <w:bCs/>
          <w:szCs w:val="24"/>
        </w:rPr>
        <w:t xml:space="preserve"> </w:t>
      </w:r>
      <w:r w:rsidR="0029421C">
        <w:rPr>
          <w:bCs/>
          <w:szCs w:val="24"/>
        </w:rPr>
        <w:t>Nebyly identifikovány žádné aspekty návrhu, které by byly potenciálně rizikové z hlediska ústavnosti.</w:t>
      </w:r>
      <w:r w:rsidR="00914864">
        <w:rPr>
          <w:bCs/>
          <w:szCs w:val="24"/>
        </w:rPr>
        <w:t xml:space="preserve"> Všechna opatření jsou navržena jako proporcionální a genderově neutrální, jak je vysvětleno </w:t>
      </w:r>
      <w:r w:rsidR="00AC0EA6">
        <w:rPr>
          <w:bCs/>
          <w:szCs w:val="24"/>
        </w:rPr>
        <w:t>v ostatních relevantních částech důvodové zprávy</w:t>
      </w:r>
      <w:r w:rsidR="00914864">
        <w:rPr>
          <w:bCs/>
          <w:szCs w:val="24"/>
        </w:rPr>
        <w:t>.</w:t>
      </w:r>
    </w:p>
    <w:p w14:paraId="1F3412EB" w14:textId="77777777" w:rsidR="00914864" w:rsidRDefault="00071E0E" w:rsidP="00071E0E">
      <w:pPr>
        <w:widowControl w:val="0"/>
        <w:spacing w:before="120"/>
        <w:ind w:firstLine="426"/>
        <w:rPr>
          <w:bCs/>
          <w:szCs w:val="24"/>
        </w:rPr>
      </w:pPr>
      <w:r>
        <w:rPr>
          <w:bCs/>
          <w:szCs w:val="24"/>
        </w:rPr>
        <w:t xml:space="preserve">Z hlediska </w:t>
      </w:r>
      <w:r w:rsidRPr="00071E0E">
        <w:rPr>
          <w:rFonts w:eastAsia="Times New Roman"/>
          <w:noProof/>
          <w:color w:val="000000"/>
          <w:szCs w:val="24"/>
          <w:lang w:eastAsia="cs-CZ"/>
        </w:rPr>
        <w:t>dopadů</w:t>
      </w:r>
      <w:r>
        <w:rPr>
          <w:bCs/>
          <w:szCs w:val="24"/>
        </w:rPr>
        <w:t xml:space="preserve"> na jednotlivce </w:t>
      </w:r>
      <w:r w:rsidR="002026C2">
        <w:rPr>
          <w:bCs/>
          <w:szCs w:val="24"/>
        </w:rPr>
        <w:t>je podstatná</w:t>
      </w:r>
      <w:r>
        <w:rPr>
          <w:bCs/>
          <w:szCs w:val="24"/>
        </w:rPr>
        <w:t xml:space="preserve"> kombinace opatření</w:t>
      </w:r>
      <w:r w:rsidR="003B06CE">
        <w:rPr>
          <w:bCs/>
          <w:szCs w:val="24"/>
        </w:rPr>
        <w:t xml:space="preserve"> směřujících ke zpřísnění</w:t>
      </w:r>
      <w:r>
        <w:rPr>
          <w:bCs/>
          <w:szCs w:val="24"/>
        </w:rPr>
        <w:t xml:space="preserve"> podmínek nároku na tzv. předčasný starobní důchod a pravidel pro stanovení jeho výše. Dle názoru p</w:t>
      </w:r>
      <w:r w:rsidR="00914864">
        <w:rPr>
          <w:bCs/>
          <w:szCs w:val="24"/>
        </w:rPr>
        <w:t>ředkladatel</w:t>
      </w:r>
      <w:r>
        <w:rPr>
          <w:bCs/>
          <w:szCs w:val="24"/>
        </w:rPr>
        <w:t>e</w:t>
      </w:r>
      <w:r w:rsidR="00914864">
        <w:rPr>
          <w:bCs/>
          <w:szCs w:val="24"/>
        </w:rPr>
        <w:t xml:space="preserve"> </w:t>
      </w:r>
      <w:r>
        <w:rPr>
          <w:bCs/>
          <w:szCs w:val="24"/>
        </w:rPr>
        <w:t xml:space="preserve">tato </w:t>
      </w:r>
      <w:r w:rsidR="00914864">
        <w:rPr>
          <w:bCs/>
          <w:szCs w:val="24"/>
        </w:rPr>
        <w:t>opatření obstojí z hlediska přiměřenosti hmotného zabezpečení ve smyslu čl. 30 Listiny základních práv a svobod</w:t>
      </w:r>
      <w:r>
        <w:rPr>
          <w:bCs/>
          <w:szCs w:val="24"/>
        </w:rPr>
        <w:t>, neboť v naprosté většině případů bude výše dávky i po aplikaci těchto restrikcí přiměřeně vysoká pro naplnění jejího účelu, jímž je financování základních životních potřeb jejího poživatele</w:t>
      </w:r>
      <w:r w:rsidR="00914864">
        <w:rPr>
          <w:bCs/>
          <w:szCs w:val="24"/>
        </w:rPr>
        <w:t xml:space="preserve">. </w:t>
      </w:r>
    </w:p>
    <w:p w14:paraId="2BC67539" w14:textId="77777777" w:rsidR="00C62F87" w:rsidRDefault="00071E0E" w:rsidP="00071E0E">
      <w:pPr>
        <w:widowControl w:val="0"/>
        <w:spacing w:before="120"/>
        <w:ind w:firstLine="426"/>
        <w:rPr>
          <w:bCs/>
          <w:szCs w:val="24"/>
        </w:rPr>
      </w:pPr>
      <w:r>
        <w:rPr>
          <w:bCs/>
          <w:szCs w:val="24"/>
        </w:rPr>
        <w:t xml:space="preserve">Cílem </w:t>
      </w:r>
      <w:r w:rsidRPr="00071E0E">
        <w:rPr>
          <w:rFonts w:eastAsia="Times New Roman"/>
          <w:noProof/>
          <w:color w:val="000000"/>
          <w:szCs w:val="24"/>
          <w:lang w:eastAsia="cs-CZ"/>
        </w:rPr>
        <w:t>opatření</w:t>
      </w:r>
      <w:r>
        <w:rPr>
          <w:bCs/>
          <w:szCs w:val="24"/>
        </w:rPr>
        <w:t xml:space="preserve"> je mj. vyslat signál, že odchod do předčasného starobního důchodu není standardním postupem, ale jde o jev</w:t>
      </w:r>
      <w:r w:rsidR="002E703B">
        <w:rPr>
          <w:bCs/>
          <w:szCs w:val="24"/>
        </w:rPr>
        <w:t>, který</w:t>
      </w:r>
      <w:r>
        <w:rPr>
          <w:bCs/>
          <w:szCs w:val="24"/>
        </w:rPr>
        <w:t xml:space="preserve"> společensky a zejména </w:t>
      </w:r>
      <w:r w:rsidR="002026C2">
        <w:rPr>
          <w:bCs/>
          <w:szCs w:val="24"/>
        </w:rPr>
        <w:t xml:space="preserve">sociálně a </w:t>
      </w:r>
      <w:r>
        <w:rPr>
          <w:bCs/>
          <w:szCs w:val="24"/>
        </w:rPr>
        <w:t>ekonomicky ne</w:t>
      </w:r>
      <w:r w:rsidR="002E703B">
        <w:rPr>
          <w:bCs/>
          <w:szCs w:val="24"/>
        </w:rPr>
        <w:t xml:space="preserve">ní </w:t>
      </w:r>
      <w:r>
        <w:rPr>
          <w:bCs/>
          <w:szCs w:val="24"/>
        </w:rPr>
        <w:t xml:space="preserve">žádoucí. Pojištěnec není </w:t>
      </w:r>
      <w:r w:rsidR="002E703B">
        <w:rPr>
          <w:bCs/>
          <w:szCs w:val="24"/>
        </w:rPr>
        <w:t xml:space="preserve">nijak </w:t>
      </w:r>
      <w:r>
        <w:rPr>
          <w:bCs/>
          <w:szCs w:val="24"/>
        </w:rPr>
        <w:t>nucen tento postup využít, ale může vždy volit jiná řešení, která mu sociální systém nabízí. Pokud se přesto rozhodne upřednostnit tuto alternativu před možností setrvat na trhu práce až do dosažení důchodového věku (resp. pokud o toto setrvání v případě ztráty zaměstnání aktivně neusiluje registrací svojí osoby v evidenci uchazečů o</w:t>
      </w:r>
      <w:r w:rsidR="004D5CEF">
        <w:rPr>
          <w:bCs/>
          <w:szCs w:val="24"/>
        </w:rPr>
        <w:t> </w:t>
      </w:r>
      <w:r>
        <w:rPr>
          <w:bCs/>
          <w:szCs w:val="24"/>
        </w:rPr>
        <w:t xml:space="preserve">zaměstnání), měl by být srozuměn s tím, že tato volba bude mít dlouhodobě a významně negativní dopad na úroveň jeho hmotného zabezpečení ve stáří. Míra příslušné restrikce se s délkou doby předčasnosti bude stupňovat více, než je tomu podle dosavadní právní úpravy. </w:t>
      </w:r>
    </w:p>
    <w:p w14:paraId="778BD9DB" w14:textId="77777777" w:rsidR="00071E0E" w:rsidRDefault="00071E0E" w:rsidP="00071E0E">
      <w:pPr>
        <w:widowControl w:val="0"/>
        <w:spacing w:before="120"/>
        <w:ind w:firstLine="426"/>
      </w:pPr>
      <w:r>
        <w:rPr>
          <w:bCs/>
          <w:szCs w:val="24"/>
        </w:rPr>
        <w:t>Navrhované zvýraznění tohoto demotivačního efektu není samoúčelné ani svévolné</w:t>
      </w:r>
      <w:r w:rsidR="003B06CE">
        <w:rPr>
          <w:bCs/>
          <w:szCs w:val="24"/>
        </w:rPr>
        <w:t>, naopak je podepřeno legitimními důvody</w:t>
      </w:r>
      <w:r>
        <w:rPr>
          <w:bCs/>
          <w:szCs w:val="24"/>
        </w:rPr>
        <w:t>. Záměrem je omezit dosud široce využívanou možnost odchodu do předčasného důchodu, zmírnit rozpočtové dopady tohoto fenoménu a</w:t>
      </w:r>
      <w:r w:rsidR="004D5CEF">
        <w:rPr>
          <w:bCs/>
          <w:szCs w:val="24"/>
        </w:rPr>
        <w:t> </w:t>
      </w:r>
      <w:r>
        <w:rPr>
          <w:bCs/>
          <w:szCs w:val="24"/>
        </w:rPr>
        <w:t xml:space="preserve">přispět tak k </w:t>
      </w:r>
      <w:r>
        <w:t>zachování udržitelnosti důchodového systému, jenž je předpokladem realizovatelnosti práv podle čl. 30 Listiny základních práv a svobod.</w:t>
      </w:r>
      <w:r w:rsidR="00C62F87">
        <w:t xml:space="preserve"> Záměrem je rovněž </w:t>
      </w:r>
      <w:r w:rsidR="00C62F87">
        <w:lastRenderedPageBreak/>
        <w:t xml:space="preserve">zabránit </w:t>
      </w:r>
      <w:r w:rsidR="002026C2">
        <w:t xml:space="preserve">výjimečným </w:t>
      </w:r>
      <w:r w:rsidR="00C62F87">
        <w:t xml:space="preserve">paradoxním situacím, kdy odchod do předčasného důchodu je z dlouhodobého hlediska finančně výhodnější než vyčkat a pracovat až do dosažení důchodového věku. </w:t>
      </w:r>
    </w:p>
    <w:p w14:paraId="4B3191B5" w14:textId="77777777" w:rsidR="00071E0E" w:rsidRDefault="00071E0E" w:rsidP="00071E0E">
      <w:pPr>
        <w:widowControl w:val="0"/>
        <w:spacing w:before="120"/>
        <w:ind w:firstLine="426"/>
        <w:rPr>
          <w:bCs/>
          <w:szCs w:val="24"/>
        </w:rPr>
      </w:pPr>
      <w:r>
        <w:t xml:space="preserve">Osobám, jejichž úroveň hmotného zabezpečení ve stáří je nedostatečná </w:t>
      </w:r>
      <w:r w:rsidR="003B06CE">
        <w:t xml:space="preserve">např. </w:t>
      </w:r>
      <w:r>
        <w:t>v důsledku krácení důchodu za předčasnost, omezení valorizace nebo z jakéhokoliv jiného důvodu, nabízí sociální systém jako celek řešení v podobě nároku na tzv. nepojistné sociální dávky, např. příspěvek na bydlení.</w:t>
      </w:r>
    </w:p>
    <w:p w14:paraId="47AF9D01" w14:textId="77777777" w:rsidR="00601604" w:rsidRPr="003805EF" w:rsidRDefault="003B06CE" w:rsidP="003B06CE">
      <w:pPr>
        <w:widowControl w:val="0"/>
        <w:spacing w:before="120"/>
        <w:ind w:firstLine="426"/>
        <w:rPr>
          <w:lang w:eastAsia="cs-CZ"/>
        </w:rPr>
      </w:pPr>
      <w:r>
        <w:rPr>
          <w:bCs/>
          <w:szCs w:val="24"/>
        </w:rPr>
        <w:t>Z hlediska temporálních souvislostí je úprava navržena tak, že o</w:t>
      </w:r>
      <w:r w:rsidR="00071E0E">
        <w:rPr>
          <w:bCs/>
          <w:szCs w:val="24"/>
        </w:rPr>
        <w:t>mezení valorizace až do</w:t>
      </w:r>
      <w:r w:rsidR="004D5CEF">
        <w:rPr>
          <w:bCs/>
          <w:szCs w:val="24"/>
        </w:rPr>
        <w:t> </w:t>
      </w:r>
      <w:r w:rsidR="00071E0E">
        <w:rPr>
          <w:bCs/>
          <w:szCs w:val="24"/>
        </w:rPr>
        <w:t xml:space="preserve">dosažení </w:t>
      </w:r>
      <w:r w:rsidR="00071E0E" w:rsidRPr="00071E0E">
        <w:rPr>
          <w:rFonts w:eastAsia="Times New Roman"/>
          <w:noProof/>
          <w:color w:val="000000"/>
          <w:szCs w:val="24"/>
          <w:lang w:eastAsia="cs-CZ"/>
        </w:rPr>
        <w:t>důchodového</w:t>
      </w:r>
      <w:r w:rsidR="00071E0E">
        <w:rPr>
          <w:bCs/>
          <w:szCs w:val="24"/>
        </w:rPr>
        <w:t xml:space="preserve"> věku, jakož i zpřísnění parametrů pro krácení za předčasnost se dotkn</w:t>
      </w:r>
      <w:r w:rsidR="002E703B">
        <w:rPr>
          <w:bCs/>
          <w:szCs w:val="24"/>
        </w:rPr>
        <w:t>ou</w:t>
      </w:r>
      <w:r w:rsidR="00071E0E">
        <w:rPr>
          <w:bCs/>
          <w:szCs w:val="24"/>
        </w:rPr>
        <w:t xml:space="preserve"> pouze těch poživatelů předčasného starobního důchodu, jimž bude důchod přiznán od data spadajícího do období účinnosti nové úpravy. Tyto osoby </w:t>
      </w:r>
      <w:r>
        <w:rPr>
          <w:bCs/>
          <w:szCs w:val="24"/>
        </w:rPr>
        <w:t>tedy budou</w:t>
      </w:r>
      <w:r w:rsidR="00071E0E">
        <w:rPr>
          <w:bCs/>
          <w:szCs w:val="24"/>
        </w:rPr>
        <w:t xml:space="preserve"> s tímto negativem srozuměny a </w:t>
      </w:r>
      <w:r>
        <w:rPr>
          <w:bCs/>
          <w:szCs w:val="24"/>
        </w:rPr>
        <w:t xml:space="preserve">budou mít </w:t>
      </w:r>
      <w:r w:rsidR="00071E0E">
        <w:rPr>
          <w:bCs/>
          <w:szCs w:val="24"/>
        </w:rPr>
        <w:t>možnost se rozhodnout, zda tyto restriktivnější podmínky akceptují či nikoliv. Nároky osob, jimž byl předčasný starobní důchod přiznán od data spadajícího do období před účinností nové úpravy, nejsou návrhem nijak dotčeny. Navržená úprava tedy v tomto směru nepředstavuje u dotčených osob nepřiměřený zásah do legitimního očekávání</w:t>
      </w:r>
      <w:r w:rsidR="002E703B">
        <w:rPr>
          <w:bCs/>
          <w:szCs w:val="24"/>
        </w:rPr>
        <w:t xml:space="preserve"> a</w:t>
      </w:r>
      <w:r w:rsidR="00071E0E">
        <w:rPr>
          <w:bCs/>
          <w:szCs w:val="24"/>
        </w:rPr>
        <w:t xml:space="preserve"> nepůsobí retroaktivně</w:t>
      </w:r>
      <w:r w:rsidR="002E703B">
        <w:rPr>
          <w:bCs/>
          <w:szCs w:val="24"/>
        </w:rPr>
        <w:t xml:space="preserve"> (</w:t>
      </w:r>
      <w:r w:rsidR="00071E0E">
        <w:rPr>
          <w:bCs/>
          <w:szCs w:val="24"/>
        </w:rPr>
        <w:t xml:space="preserve">nejde </w:t>
      </w:r>
      <w:r w:rsidR="002E703B">
        <w:rPr>
          <w:bCs/>
          <w:szCs w:val="24"/>
        </w:rPr>
        <w:t xml:space="preserve">přitom </w:t>
      </w:r>
      <w:r w:rsidR="00071E0E">
        <w:rPr>
          <w:bCs/>
          <w:szCs w:val="24"/>
        </w:rPr>
        <w:t>ani o retroaktivitu nepravou</w:t>
      </w:r>
      <w:r w:rsidR="002E703B">
        <w:rPr>
          <w:bCs/>
          <w:szCs w:val="24"/>
        </w:rPr>
        <w:t>)</w:t>
      </w:r>
      <w:r w:rsidR="00071E0E">
        <w:rPr>
          <w:bCs/>
          <w:szCs w:val="24"/>
        </w:rPr>
        <w:t>.</w:t>
      </w:r>
    </w:p>
    <w:bookmarkEnd w:id="2"/>
    <w:p w14:paraId="3726F772" w14:textId="77777777" w:rsidR="00651C19" w:rsidRDefault="00651C19" w:rsidP="003805EF">
      <w:pPr>
        <w:pStyle w:val="Nadpis1"/>
        <w:spacing w:after="160"/>
        <w:ind w:left="357" w:hanging="357"/>
        <w:rPr>
          <w:color w:val="000000"/>
          <w:szCs w:val="24"/>
          <w:lang w:eastAsia="cs-CZ"/>
        </w:rPr>
      </w:pPr>
      <w:r w:rsidRPr="00215161">
        <w:rPr>
          <w:color w:val="000000"/>
          <w:szCs w:val="24"/>
          <w:lang w:eastAsia="cs-CZ"/>
        </w:rPr>
        <w:t xml:space="preserve">Zhodnocení slučitelnosti navrhované právní úpravy s předpisy Evropské unie, </w:t>
      </w:r>
      <w:r w:rsidRPr="00215161">
        <w:rPr>
          <w:color w:val="000000"/>
          <w:szCs w:val="24"/>
        </w:rPr>
        <w:t>judikaturou</w:t>
      </w:r>
      <w:r w:rsidRPr="00215161">
        <w:rPr>
          <w:color w:val="000000"/>
          <w:szCs w:val="24"/>
          <w:lang w:eastAsia="cs-CZ"/>
        </w:rPr>
        <w:t xml:space="preserve"> soudních orgánů Evropské unie nebo obecnými právními zásadami práva Evropské unie</w:t>
      </w:r>
      <w:r w:rsidR="00115B31" w:rsidRPr="00215161">
        <w:rPr>
          <w:color w:val="000000"/>
          <w:szCs w:val="24"/>
          <w:lang w:eastAsia="cs-CZ"/>
        </w:rPr>
        <w:t xml:space="preserve"> a s mezinárodními smlouvami, jimiž je Česká republika vázána</w:t>
      </w:r>
    </w:p>
    <w:p w14:paraId="6CEFA036" w14:textId="77777777" w:rsidR="00601604" w:rsidRDefault="00601604" w:rsidP="00601604">
      <w:pPr>
        <w:widowControl w:val="0"/>
        <w:spacing w:before="120"/>
        <w:rPr>
          <w:bCs/>
          <w:szCs w:val="24"/>
        </w:rPr>
      </w:pPr>
      <w:r>
        <w:rPr>
          <w:szCs w:val="24"/>
        </w:rPr>
        <w:t xml:space="preserve">       </w:t>
      </w:r>
      <w:r w:rsidRPr="00C34845">
        <w:rPr>
          <w:szCs w:val="24"/>
        </w:rPr>
        <w:t xml:space="preserve">Návrhu zákona se v širších souvislostech dotýkají </w:t>
      </w:r>
      <w:r w:rsidRPr="00C34845">
        <w:rPr>
          <w:bCs/>
          <w:szCs w:val="24"/>
        </w:rPr>
        <w:t xml:space="preserve">předpisy EU </w:t>
      </w:r>
      <w:r w:rsidRPr="00C34845">
        <w:rPr>
          <w:szCs w:val="24"/>
        </w:rPr>
        <w:t>zejména</w:t>
      </w:r>
      <w:r w:rsidRPr="008701FD">
        <w:rPr>
          <w:bCs/>
          <w:szCs w:val="24"/>
        </w:rPr>
        <w:t xml:space="preserve"> z oblasti koordinace sociálního zabezpečení a z oblasti rovnosti a zákazu diskriminace, v platném znění:</w:t>
      </w:r>
    </w:p>
    <w:p w14:paraId="3FE2229D" w14:textId="77777777" w:rsidR="00601604" w:rsidRDefault="00601604" w:rsidP="00601604">
      <w:pPr>
        <w:pStyle w:val="Bezmezer"/>
        <w:numPr>
          <w:ilvl w:val="0"/>
          <w:numId w:val="26"/>
        </w:numPr>
        <w:spacing w:line="240" w:lineRule="auto"/>
        <w:ind w:left="567" w:hanging="268"/>
        <w:rPr>
          <w:sz w:val="24"/>
          <w:szCs w:val="24"/>
        </w:rPr>
      </w:pPr>
      <w:r w:rsidRPr="006C0ED8">
        <w:rPr>
          <w:bCs/>
          <w:sz w:val="24"/>
          <w:szCs w:val="24"/>
        </w:rPr>
        <w:t xml:space="preserve">čl. 48 a čl. 153 odst. 4 Smlouvy o fungování Evropské unie a také </w:t>
      </w:r>
      <w:r w:rsidRPr="006C0ED8">
        <w:rPr>
          <w:sz w:val="24"/>
          <w:szCs w:val="24"/>
        </w:rPr>
        <w:t xml:space="preserve">čl. 126 </w:t>
      </w:r>
      <w:r>
        <w:rPr>
          <w:sz w:val="24"/>
          <w:szCs w:val="24"/>
        </w:rPr>
        <w:t>této Smlouvy</w:t>
      </w:r>
      <w:r w:rsidRPr="006C0ED8">
        <w:rPr>
          <w:sz w:val="24"/>
          <w:szCs w:val="24"/>
        </w:rPr>
        <w:t>, resp. Protokol (č. 12) o postupu při nadměrném schodku (z hlediska finanční udržitelnosti důchodového systému),</w:t>
      </w:r>
    </w:p>
    <w:p w14:paraId="6156C98F" w14:textId="77777777" w:rsidR="00601604" w:rsidRPr="001C6411" w:rsidRDefault="00601604" w:rsidP="00601604">
      <w:pPr>
        <w:pStyle w:val="Bezmezer"/>
        <w:numPr>
          <w:ilvl w:val="0"/>
          <w:numId w:val="26"/>
        </w:numPr>
        <w:spacing w:line="240" w:lineRule="auto"/>
        <w:ind w:left="567" w:hanging="268"/>
        <w:rPr>
          <w:sz w:val="24"/>
          <w:szCs w:val="24"/>
        </w:rPr>
      </w:pPr>
      <w:r w:rsidRPr="0061430D">
        <w:rPr>
          <w:bCs/>
          <w:sz w:val="24"/>
          <w:szCs w:val="24"/>
        </w:rPr>
        <w:t>nařízení Evropského parlamentu a Rady (ES) č. 883/2004 ze dne 29. dubna 2004 o koordinaci systémů sociálního zabezpečení,</w:t>
      </w:r>
    </w:p>
    <w:p w14:paraId="597F5BB3" w14:textId="77777777" w:rsidR="00601604" w:rsidRPr="001C6411" w:rsidRDefault="00601604" w:rsidP="00601604">
      <w:pPr>
        <w:pStyle w:val="Bezmezer"/>
        <w:numPr>
          <w:ilvl w:val="0"/>
          <w:numId w:val="26"/>
        </w:numPr>
        <w:spacing w:line="240" w:lineRule="auto"/>
        <w:ind w:left="567" w:hanging="268"/>
        <w:rPr>
          <w:sz w:val="24"/>
          <w:szCs w:val="24"/>
        </w:rPr>
      </w:pPr>
      <w:r w:rsidRPr="001C59D8">
        <w:rPr>
          <w:bCs/>
          <w:sz w:val="24"/>
          <w:szCs w:val="24"/>
        </w:rPr>
        <w:t>nařízení Evropského parlamentu a Rady (ES) č. 987/2009 ze dne 16. září 2009, kterým se stanoví prováděcí pravidla k nařízení (ES) č. 883/2004 o koordinaci systémů sociálního zabezpečení,</w:t>
      </w:r>
    </w:p>
    <w:p w14:paraId="05EDB953" w14:textId="77777777" w:rsidR="00601604" w:rsidRPr="001C6411" w:rsidRDefault="00601604" w:rsidP="00601604">
      <w:pPr>
        <w:pStyle w:val="Bezmezer"/>
        <w:numPr>
          <w:ilvl w:val="0"/>
          <w:numId w:val="26"/>
        </w:numPr>
        <w:spacing w:line="240" w:lineRule="auto"/>
        <w:ind w:left="567" w:hanging="268"/>
        <w:rPr>
          <w:sz w:val="24"/>
          <w:szCs w:val="24"/>
        </w:rPr>
      </w:pPr>
      <w:r w:rsidRPr="003747E6">
        <w:rPr>
          <w:bCs/>
          <w:sz w:val="24"/>
          <w:szCs w:val="24"/>
        </w:rPr>
        <w:t>nařízení Evropského parlamentu a Rady (EU) č. 1231/2010 ze dne 24. listopadu 2010, kterým se rozšiřuje působnost nařízení (ES) č. 883/2004 a nařízení (ES) č. 987/2009 na státní příslušníky třetích zemí, na které se tato nařízení dosud nevztahují pouze z důvodu jejich státní příslušnosti,</w:t>
      </w:r>
    </w:p>
    <w:p w14:paraId="0BEB49B9" w14:textId="77777777" w:rsidR="00601604" w:rsidRPr="006C0ED8" w:rsidRDefault="00601604" w:rsidP="00601604">
      <w:pPr>
        <w:pStyle w:val="Bezmezer"/>
        <w:numPr>
          <w:ilvl w:val="0"/>
          <w:numId w:val="26"/>
        </w:numPr>
        <w:spacing w:line="240" w:lineRule="auto"/>
        <w:ind w:left="567" w:hanging="268"/>
        <w:rPr>
          <w:bCs/>
          <w:sz w:val="24"/>
          <w:szCs w:val="24"/>
        </w:rPr>
      </w:pPr>
      <w:r w:rsidRPr="006C0ED8">
        <w:rPr>
          <w:bCs/>
          <w:sz w:val="24"/>
          <w:szCs w:val="24"/>
        </w:rPr>
        <w:t>směrnice Rady 79/7/EHS ze dne 19. prosince 1978 o postupném zavedení zásady rovného zacházení pro muže a ženy v oblasti sociálního zabezpečení.</w:t>
      </w:r>
    </w:p>
    <w:p w14:paraId="5C77E3E5" w14:textId="77777777" w:rsidR="00601604" w:rsidRDefault="00601604" w:rsidP="00601604">
      <w:pPr>
        <w:widowControl w:val="0"/>
        <w:spacing w:before="120"/>
        <w:rPr>
          <w:szCs w:val="24"/>
        </w:rPr>
      </w:pPr>
      <w:r>
        <w:rPr>
          <w:szCs w:val="24"/>
        </w:rPr>
        <w:t xml:space="preserve">      Návrh zákona není v rozporu s těmito právními předpisy Evropské unie</w:t>
      </w:r>
      <w:r>
        <w:rPr>
          <w:rFonts w:eastAsia="Times New Roman"/>
          <w:noProof/>
          <w:color w:val="000000"/>
          <w:szCs w:val="24"/>
          <w:lang w:eastAsia="cs-CZ"/>
        </w:rPr>
        <w:t xml:space="preserve">, jejichž principy respektuje. Relevantní judikatura vztahující se k předmětné problematice nebyla identifikována. </w:t>
      </w:r>
      <w:r>
        <w:rPr>
          <w:szCs w:val="24"/>
        </w:rPr>
        <w:t xml:space="preserve"> </w:t>
      </w:r>
    </w:p>
    <w:p w14:paraId="7E6EB00A" w14:textId="77777777" w:rsidR="00601604" w:rsidRDefault="00601604" w:rsidP="00601604">
      <w:pPr>
        <w:widowControl w:val="0"/>
        <w:spacing w:before="120"/>
        <w:rPr>
          <w:szCs w:val="24"/>
        </w:rPr>
      </w:pPr>
      <w:r>
        <w:rPr>
          <w:szCs w:val="24"/>
        </w:rPr>
        <w:t xml:space="preserve">      </w:t>
      </w:r>
      <w:r w:rsidRPr="00CF3186">
        <w:rPr>
          <w:szCs w:val="24"/>
        </w:rPr>
        <w:t>Postavení českých občanů a občanů jiných členských států EU je rovnoprávné.</w:t>
      </w:r>
      <w:r>
        <w:rPr>
          <w:szCs w:val="24"/>
        </w:rPr>
        <w:t xml:space="preserve"> </w:t>
      </w:r>
    </w:p>
    <w:p w14:paraId="77646664" w14:textId="77777777" w:rsidR="00601604" w:rsidRDefault="00601604" w:rsidP="00601604">
      <w:pPr>
        <w:autoSpaceDE w:val="0"/>
        <w:autoSpaceDN w:val="0"/>
        <w:adjustRightInd w:val="0"/>
        <w:spacing w:before="120"/>
        <w:rPr>
          <w:szCs w:val="24"/>
        </w:rPr>
      </w:pPr>
      <w:r>
        <w:rPr>
          <w:szCs w:val="24"/>
        </w:rPr>
        <w:t xml:space="preserve">      Česká republika je též vázána dvoustrannými a mnohostrannými úmluvami v oblasti sociálního zabezpečení. Mezi mnohostranné úmluvy patří Úmluva MOP č. 102 o minimálních standardech sociálního zabezpečení, Úmluva MOP č. 128 o invalidních, starobních</w:t>
      </w:r>
      <w:r w:rsidR="004D5CEF">
        <w:rPr>
          <w:szCs w:val="24"/>
        </w:rPr>
        <w:t xml:space="preserve"> </w:t>
      </w:r>
      <w:r>
        <w:rPr>
          <w:szCs w:val="24"/>
        </w:rPr>
        <w:t>a</w:t>
      </w:r>
      <w:r w:rsidR="004D5CEF">
        <w:rPr>
          <w:szCs w:val="24"/>
        </w:rPr>
        <w:t> </w:t>
      </w:r>
      <w:r>
        <w:rPr>
          <w:szCs w:val="24"/>
        </w:rPr>
        <w:t>pozůstalostních dávkách a Evropský zákoník sociálního zabezpečení. Navrhovaná opatření nejsou s dvoustrannými a mnohostrannými úmluvami, které Česká republika ratifikovala, v rozporu a tyto úmluvy plně respektují.</w:t>
      </w:r>
    </w:p>
    <w:p w14:paraId="61B906C8" w14:textId="77777777" w:rsidR="003805EF" w:rsidRPr="003805EF" w:rsidRDefault="003805EF" w:rsidP="003805EF">
      <w:pPr>
        <w:rPr>
          <w:lang w:eastAsia="cs-CZ"/>
        </w:rPr>
      </w:pPr>
    </w:p>
    <w:p w14:paraId="12461B9F" w14:textId="77777777" w:rsidR="002A5A1C" w:rsidRDefault="00651C19" w:rsidP="001A0353">
      <w:pPr>
        <w:pStyle w:val="Nadpis1"/>
        <w:spacing w:after="0"/>
        <w:ind w:left="357" w:hanging="357"/>
        <w:rPr>
          <w:szCs w:val="24"/>
          <w:lang w:eastAsia="cs-CZ"/>
        </w:rPr>
      </w:pPr>
      <w:r w:rsidRPr="00215161">
        <w:rPr>
          <w:szCs w:val="24"/>
        </w:rPr>
        <w:t>Předpokládaný</w:t>
      </w:r>
      <w:r w:rsidRPr="00215161">
        <w:rPr>
          <w:szCs w:val="24"/>
          <w:lang w:eastAsia="cs-CZ"/>
        </w:rPr>
        <w:t xml:space="preserve"> hospodářský a finanční dopad </w:t>
      </w:r>
      <w:r w:rsidR="00853152" w:rsidRPr="00215161">
        <w:rPr>
          <w:szCs w:val="24"/>
          <w:lang w:eastAsia="cs-CZ"/>
        </w:rPr>
        <w:t xml:space="preserve">navrhované právní úpravy </w:t>
      </w:r>
      <w:r w:rsidRPr="00215161">
        <w:rPr>
          <w:szCs w:val="24"/>
          <w:lang w:eastAsia="cs-CZ"/>
        </w:rPr>
        <w:t>na státní rozpočet, ostatní veřejné rozpočty, na podnikatelské prostředí České republiky a</w:t>
      </w:r>
      <w:r w:rsidR="002A5A1C" w:rsidRPr="00215161">
        <w:rPr>
          <w:szCs w:val="24"/>
          <w:lang w:eastAsia="cs-CZ"/>
        </w:rPr>
        <w:t> </w:t>
      </w:r>
      <w:r w:rsidRPr="00215161">
        <w:rPr>
          <w:szCs w:val="24"/>
          <w:lang w:eastAsia="cs-CZ"/>
        </w:rPr>
        <w:t>sociální dopady</w:t>
      </w:r>
      <w:r w:rsidR="00A153CA" w:rsidRPr="00215161">
        <w:rPr>
          <w:szCs w:val="24"/>
          <w:lang w:eastAsia="cs-CZ"/>
        </w:rPr>
        <w:t>, včetně dopadů na specifické skupiny obyvatel, zejména osoby</w:t>
      </w:r>
      <w:r w:rsidR="002A5A1C" w:rsidRPr="00215161">
        <w:rPr>
          <w:szCs w:val="24"/>
          <w:lang w:eastAsia="cs-CZ"/>
        </w:rPr>
        <w:t xml:space="preserve"> sociálně slabé, osoby se zdravotním postižením a národnostní </w:t>
      </w:r>
      <w:r w:rsidR="00F5445A">
        <w:rPr>
          <w:szCs w:val="24"/>
          <w:lang w:eastAsia="cs-CZ"/>
        </w:rPr>
        <w:t>menšiny</w:t>
      </w:r>
    </w:p>
    <w:p w14:paraId="269E6AFF" w14:textId="77777777" w:rsidR="002E703B" w:rsidRPr="002E703B" w:rsidRDefault="002E703B" w:rsidP="002E703B">
      <w:pPr>
        <w:rPr>
          <w:lang w:eastAsia="cs-CZ"/>
        </w:rPr>
      </w:pPr>
    </w:p>
    <w:p w14:paraId="267B7003" w14:textId="77777777" w:rsidR="00A718E3" w:rsidRPr="002E703B" w:rsidRDefault="00A718E3" w:rsidP="001A0353">
      <w:pPr>
        <w:spacing w:before="120" w:after="240"/>
        <w:rPr>
          <w:b/>
          <w:bCs/>
          <w:szCs w:val="24"/>
        </w:rPr>
      </w:pPr>
      <w:r w:rsidRPr="002E703B">
        <w:rPr>
          <w:b/>
          <w:bCs/>
          <w:szCs w:val="24"/>
        </w:rPr>
        <w:t>Dopad do státního rozpočtu</w:t>
      </w:r>
    </w:p>
    <w:p w14:paraId="6884DF7B" w14:textId="77777777" w:rsidR="003304E3" w:rsidRPr="00215161" w:rsidRDefault="003304E3" w:rsidP="00AE1EEC">
      <w:pPr>
        <w:spacing w:after="160"/>
        <w:rPr>
          <w:szCs w:val="24"/>
          <w:u w:val="single"/>
        </w:rPr>
      </w:pPr>
      <w:r w:rsidRPr="00215161">
        <w:rPr>
          <w:szCs w:val="24"/>
          <w:u w:val="single"/>
        </w:rPr>
        <w:t>Úpravy předčasných starobních důchodů</w:t>
      </w:r>
    </w:p>
    <w:p w14:paraId="4C7E5AF5" w14:textId="77777777" w:rsidR="003304E3" w:rsidRPr="00215161" w:rsidRDefault="003304E3" w:rsidP="00E70FEE">
      <w:pPr>
        <w:spacing w:after="160" w:line="259" w:lineRule="auto"/>
        <w:ind w:firstLine="426"/>
        <w:rPr>
          <w:szCs w:val="24"/>
        </w:rPr>
      </w:pPr>
      <w:r w:rsidRPr="00215161">
        <w:rPr>
          <w:szCs w:val="24"/>
        </w:rPr>
        <w:t>Počet osob, které odchází do starobního důchodu před dosažením důchodového věku</w:t>
      </w:r>
      <w:r w:rsidR="002E703B">
        <w:rPr>
          <w:szCs w:val="24"/>
        </w:rPr>
        <w:t>,</w:t>
      </w:r>
      <w:r w:rsidRPr="00215161">
        <w:rPr>
          <w:szCs w:val="24"/>
        </w:rPr>
        <w:t xml:space="preserve"> je v čase relativně stabilní</w:t>
      </w:r>
      <w:r w:rsidR="00E70FEE">
        <w:rPr>
          <w:szCs w:val="24"/>
        </w:rPr>
        <w:t xml:space="preserve"> (pohybuje se okolo 30 %)</w:t>
      </w:r>
      <w:r w:rsidRPr="00215161">
        <w:rPr>
          <w:szCs w:val="24"/>
        </w:rPr>
        <w:t xml:space="preserve"> a je ovlivněn spíše velikostí jednotlivých generací, které mají možnost v daném roce předčasně do starobního důchodu odejít. Výjimku z tohoto vývoje představují roky, které předcházely restriktivním legislativním úpravám (tj. roky 2003, 2009 a 2011)</w:t>
      </w:r>
      <w:r w:rsidR="002E703B">
        <w:rPr>
          <w:szCs w:val="24"/>
        </w:rPr>
        <w:t>,</w:t>
      </w:r>
      <w:r w:rsidRPr="00215161">
        <w:rPr>
          <w:szCs w:val="24"/>
        </w:rPr>
        <w:t xml:space="preserve"> nebo ty roky, kdy důchody přiznané v daném roce byly po zvýšení vyšší než důchody přiznané v roce následujícím (tj. roky 2019, 2020 a 2022, kde zatím nejsou k dispozici konečné údaje).</w:t>
      </w:r>
    </w:p>
    <w:p w14:paraId="26744AB6" w14:textId="77777777" w:rsidR="003304E3" w:rsidRPr="00215161" w:rsidRDefault="003304E3" w:rsidP="00E70FEE">
      <w:pPr>
        <w:spacing w:after="200"/>
        <w:ind w:firstLine="426"/>
        <w:rPr>
          <w:i/>
          <w:iCs/>
          <w:color w:val="44546A"/>
          <w:szCs w:val="24"/>
        </w:rPr>
      </w:pPr>
      <w:bookmarkStart w:id="3" w:name="_Ref125963400"/>
      <w:r w:rsidRPr="00215161">
        <w:rPr>
          <w:i/>
          <w:iCs/>
          <w:color w:val="44546A"/>
          <w:szCs w:val="24"/>
        </w:rPr>
        <w:t xml:space="preserve">Graf </w:t>
      </w:r>
      <w:r w:rsidRPr="00215161">
        <w:rPr>
          <w:i/>
          <w:iCs/>
          <w:color w:val="44546A"/>
          <w:szCs w:val="24"/>
        </w:rPr>
        <w:fldChar w:fldCharType="begin"/>
      </w:r>
      <w:r w:rsidRPr="00215161">
        <w:rPr>
          <w:i/>
          <w:iCs/>
          <w:color w:val="44546A"/>
          <w:szCs w:val="24"/>
        </w:rPr>
        <w:instrText xml:space="preserve"> SEQ Graf \* ARABIC </w:instrText>
      </w:r>
      <w:r w:rsidRPr="00215161">
        <w:rPr>
          <w:i/>
          <w:iCs/>
          <w:color w:val="44546A"/>
          <w:szCs w:val="24"/>
        </w:rPr>
        <w:fldChar w:fldCharType="separate"/>
      </w:r>
      <w:r w:rsidR="00880F0E">
        <w:rPr>
          <w:i/>
          <w:iCs/>
          <w:noProof/>
          <w:color w:val="44546A"/>
          <w:szCs w:val="24"/>
        </w:rPr>
        <w:t>1</w:t>
      </w:r>
      <w:r w:rsidRPr="00215161">
        <w:rPr>
          <w:i/>
          <w:iCs/>
          <w:noProof/>
          <w:color w:val="44546A"/>
          <w:szCs w:val="24"/>
        </w:rPr>
        <w:fldChar w:fldCharType="end"/>
      </w:r>
      <w:bookmarkEnd w:id="3"/>
      <w:r w:rsidRPr="00215161">
        <w:rPr>
          <w:i/>
          <w:iCs/>
          <w:color w:val="44546A"/>
          <w:szCs w:val="24"/>
        </w:rPr>
        <w:t xml:space="preserve"> – Počet osob, kterým byl přiznán předčasný starobní důchod</w:t>
      </w:r>
    </w:p>
    <w:p w14:paraId="5662FC8F" w14:textId="155EBCC5" w:rsidR="003304E3" w:rsidRPr="00215161" w:rsidRDefault="007B4821" w:rsidP="00E70FEE">
      <w:pPr>
        <w:spacing w:after="160" w:line="259" w:lineRule="auto"/>
        <w:ind w:firstLine="426"/>
        <w:rPr>
          <w:szCs w:val="24"/>
        </w:rPr>
      </w:pPr>
      <w:r w:rsidRPr="00215161">
        <w:rPr>
          <w:noProof/>
          <w:szCs w:val="24"/>
        </w:rPr>
        <w:drawing>
          <wp:inline distT="0" distB="0" distL="0" distR="0" wp14:anchorId="74E8ABFB" wp14:editId="470B3E38">
            <wp:extent cx="4907280" cy="2994660"/>
            <wp:effectExtent l="0" t="0" r="0"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07280" cy="2994660"/>
                    </a:xfrm>
                    <a:prstGeom prst="rect">
                      <a:avLst/>
                    </a:prstGeom>
                    <a:noFill/>
                    <a:ln>
                      <a:noFill/>
                    </a:ln>
                  </pic:spPr>
                </pic:pic>
              </a:graphicData>
            </a:graphic>
          </wp:inline>
        </w:drawing>
      </w:r>
    </w:p>
    <w:p w14:paraId="2E7FEEFD" w14:textId="77777777" w:rsidR="003304E3" w:rsidRPr="00215161" w:rsidRDefault="003304E3" w:rsidP="00E70FEE">
      <w:pPr>
        <w:spacing w:after="160" w:line="259" w:lineRule="auto"/>
        <w:ind w:firstLine="426"/>
        <w:rPr>
          <w:szCs w:val="24"/>
        </w:rPr>
      </w:pPr>
      <w:r w:rsidRPr="00215161">
        <w:rPr>
          <w:szCs w:val="24"/>
        </w:rPr>
        <w:t>Na základě výše uvedeného lze odhadnout, že navrhovaná opatření povedou</w:t>
      </w:r>
      <w:r w:rsidR="00D03391">
        <w:rPr>
          <w:szCs w:val="24"/>
        </w:rPr>
        <w:t xml:space="preserve"> </w:t>
      </w:r>
      <w:r w:rsidR="00ED2B6E">
        <w:rPr>
          <w:szCs w:val="24"/>
        </w:rPr>
        <w:t xml:space="preserve">v období před účinností navrhovaného zákona </w:t>
      </w:r>
      <w:r w:rsidRPr="00215161">
        <w:rPr>
          <w:szCs w:val="24"/>
        </w:rPr>
        <w:t>ke zvýšenému zájmu o přiznání předčasného starobního důchodu za stávajících podmínek, což způsobí dočasně zvýšené výdaje na důchody, než se projeví přímé efekty navrhovaných změn. Na druhou stranu zvýšený zájem o předčasný starobní důchod v roce 2022 mohl do určité míry vyčerpat potenciál zvýšeného zájmu</w:t>
      </w:r>
      <w:r w:rsidR="00E70FEE">
        <w:rPr>
          <w:szCs w:val="24"/>
        </w:rPr>
        <w:t>,</w:t>
      </w:r>
      <w:r w:rsidRPr="00215161">
        <w:rPr>
          <w:szCs w:val="24"/>
        </w:rPr>
        <w:t xml:space="preserve"> čímž by mohl být efekt dočasně zvýšených výdajů omezen.</w:t>
      </w:r>
    </w:p>
    <w:p w14:paraId="7D002F1B" w14:textId="77777777" w:rsidR="003304E3" w:rsidRPr="00215161" w:rsidRDefault="003304E3" w:rsidP="00E70FEE">
      <w:pPr>
        <w:spacing w:after="160" w:line="259" w:lineRule="auto"/>
        <w:ind w:firstLine="426"/>
        <w:rPr>
          <w:szCs w:val="24"/>
        </w:rPr>
      </w:pPr>
      <w:r w:rsidRPr="00215161">
        <w:rPr>
          <w:szCs w:val="24"/>
        </w:rPr>
        <w:t>Míra krácení předčasného starobního důchodu bude nově vyšší, resp. srovnatelné výše krácení bude dosaženo při výrazně nižším počtu měsíců předčasnosti, a to až o 7 měsíců.</w:t>
      </w:r>
    </w:p>
    <w:p w14:paraId="0B1C1ECA" w14:textId="77777777" w:rsidR="003304E3" w:rsidRPr="00215161" w:rsidRDefault="003304E3" w:rsidP="00E70FEE">
      <w:pPr>
        <w:keepNext/>
        <w:spacing w:after="200"/>
        <w:ind w:firstLine="426"/>
        <w:rPr>
          <w:i/>
          <w:iCs/>
          <w:color w:val="44546A"/>
          <w:szCs w:val="24"/>
        </w:rPr>
      </w:pPr>
      <w:r w:rsidRPr="00215161">
        <w:rPr>
          <w:i/>
          <w:iCs/>
          <w:color w:val="44546A"/>
          <w:szCs w:val="24"/>
        </w:rPr>
        <w:lastRenderedPageBreak/>
        <w:t xml:space="preserve">Graf </w:t>
      </w:r>
      <w:r w:rsidRPr="00215161">
        <w:rPr>
          <w:i/>
          <w:iCs/>
          <w:color w:val="44546A"/>
          <w:szCs w:val="24"/>
        </w:rPr>
        <w:fldChar w:fldCharType="begin"/>
      </w:r>
      <w:r w:rsidRPr="00215161">
        <w:rPr>
          <w:i/>
          <w:iCs/>
          <w:color w:val="44546A"/>
          <w:szCs w:val="24"/>
        </w:rPr>
        <w:instrText xml:space="preserve"> SEQ Graf \* ARABIC </w:instrText>
      </w:r>
      <w:r w:rsidRPr="00215161">
        <w:rPr>
          <w:i/>
          <w:iCs/>
          <w:color w:val="44546A"/>
          <w:szCs w:val="24"/>
        </w:rPr>
        <w:fldChar w:fldCharType="separate"/>
      </w:r>
      <w:r w:rsidR="00880F0E">
        <w:rPr>
          <w:i/>
          <w:iCs/>
          <w:noProof/>
          <w:color w:val="44546A"/>
          <w:szCs w:val="24"/>
        </w:rPr>
        <w:t>2</w:t>
      </w:r>
      <w:r w:rsidRPr="00215161">
        <w:rPr>
          <w:i/>
          <w:iCs/>
          <w:noProof/>
          <w:color w:val="44546A"/>
          <w:szCs w:val="24"/>
        </w:rPr>
        <w:fldChar w:fldCharType="end"/>
      </w:r>
      <w:r w:rsidRPr="00215161">
        <w:rPr>
          <w:i/>
          <w:iCs/>
          <w:color w:val="44546A"/>
          <w:szCs w:val="24"/>
        </w:rPr>
        <w:t xml:space="preserve"> – Míra krácení předčasného starobního důchodu podle doby předčasnosti</w:t>
      </w:r>
    </w:p>
    <w:p w14:paraId="50D5E826" w14:textId="6E5D8B28" w:rsidR="003304E3" w:rsidRPr="00215161" w:rsidRDefault="007B4821" w:rsidP="00E70FEE">
      <w:pPr>
        <w:spacing w:after="160" w:line="259" w:lineRule="auto"/>
        <w:ind w:firstLine="426"/>
        <w:rPr>
          <w:szCs w:val="24"/>
        </w:rPr>
      </w:pPr>
      <w:r w:rsidRPr="00215161">
        <w:rPr>
          <w:noProof/>
          <w:szCs w:val="24"/>
        </w:rPr>
        <w:drawing>
          <wp:inline distT="0" distB="0" distL="0" distR="0" wp14:anchorId="1D1AAA2E" wp14:editId="0C81E5E7">
            <wp:extent cx="5021580" cy="2354580"/>
            <wp:effectExtent l="0" t="0" r="0" b="0"/>
            <wp:docPr id="3"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21580" cy="2354580"/>
                    </a:xfrm>
                    <a:prstGeom prst="rect">
                      <a:avLst/>
                    </a:prstGeom>
                    <a:noFill/>
                    <a:ln>
                      <a:noFill/>
                    </a:ln>
                  </pic:spPr>
                </pic:pic>
              </a:graphicData>
            </a:graphic>
          </wp:inline>
        </w:drawing>
      </w:r>
    </w:p>
    <w:p w14:paraId="3937DF8F" w14:textId="77777777" w:rsidR="003304E3" w:rsidRPr="00215161" w:rsidRDefault="003304E3" w:rsidP="00E70FEE">
      <w:pPr>
        <w:spacing w:after="160" w:line="259" w:lineRule="auto"/>
        <w:ind w:firstLine="426"/>
        <w:rPr>
          <w:szCs w:val="24"/>
        </w:rPr>
      </w:pPr>
      <w:r w:rsidRPr="00215161">
        <w:rPr>
          <w:szCs w:val="24"/>
        </w:rPr>
        <w:t>Z</w:t>
      </w:r>
      <w:r w:rsidR="00E70FEE">
        <w:rPr>
          <w:szCs w:val="24"/>
        </w:rPr>
        <w:t> </w:t>
      </w:r>
      <w:r w:rsidRPr="00215161">
        <w:rPr>
          <w:szCs w:val="24"/>
        </w:rPr>
        <w:t>těch</w:t>
      </w:r>
      <w:r w:rsidR="00E70FEE">
        <w:rPr>
          <w:szCs w:val="24"/>
        </w:rPr>
        <w:t xml:space="preserve"> osob</w:t>
      </w:r>
      <w:r w:rsidRPr="00215161">
        <w:rPr>
          <w:szCs w:val="24"/>
        </w:rPr>
        <w:t xml:space="preserve">, </w:t>
      </w:r>
      <w:r w:rsidR="00A85E8D">
        <w:rPr>
          <w:szCs w:val="24"/>
        </w:rPr>
        <w:t>které</w:t>
      </w:r>
      <w:r w:rsidR="00A85E8D" w:rsidRPr="00215161">
        <w:rPr>
          <w:szCs w:val="24"/>
        </w:rPr>
        <w:t xml:space="preserve"> </w:t>
      </w:r>
      <w:r w:rsidRPr="00215161">
        <w:rPr>
          <w:szCs w:val="24"/>
        </w:rPr>
        <w:t>odcházejí do starobního důchodu předčasně, jich polovina odchází maximálně do jednoho roku před dosažením důchodového věku. Necelých 10 % odchodů do</w:t>
      </w:r>
      <w:r w:rsidR="004D5CEF">
        <w:rPr>
          <w:szCs w:val="24"/>
        </w:rPr>
        <w:t> </w:t>
      </w:r>
      <w:r w:rsidRPr="00215161">
        <w:rPr>
          <w:szCs w:val="24"/>
        </w:rPr>
        <w:t>předčasného starobního důchodu je o více než 3 roky před dosažením důchodového věku. Tyto osoby by byly nuceny odchod do starobního důchodu odložit nejméně do okamžiku, kdy by dosáhly věku o 3 roky nižšího, než je jejich důchodový věk. Toto odložení povede ke</w:t>
      </w:r>
      <w:r w:rsidR="004D5CEF">
        <w:rPr>
          <w:szCs w:val="24"/>
        </w:rPr>
        <w:t> </w:t>
      </w:r>
      <w:r w:rsidRPr="00215161">
        <w:rPr>
          <w:szCs w:val="24"/>
        </w:rPr>
        <w:t>snížení výdajů na důchody nicméně s ohledem na skutečnost, že se jedná zejména o osoby, které nejsou výdělečně činné, by úsporu na výdajích na důchody u těchto osob minimálně kompenzovaly výdaje spojené s jejich nezaměstnaností</w:t>
      </w:r>
      <w:r w:rsidRPr="00215161">
        <w:rPr>
          <w:szCs w:val="24"/>
          <w:vertAlign w:val="superscript"/>
        </w:rPr>
        <w:footnoteReference w:id="2"/>
      </w:r>
      <w:r w:rsidRPr="00215161">
        <w:rPr>
          <w:szCs w:val="24"/>
        </w:rPr>
        <w:t>.</w:t>
      </w:r>
    </w:p>
    <w:p w14:paraId="2F883E0D" w14:textId="77777777" w:rsidR="003304E3" w:rsidRPr="00215161" w:rsidRDefault="003304E3" w:rsidP="00E70FEE">
      <w:pPr>
        <w:keepNext/>
        <w:spacing w:after="200"/>
        <w:ind w:firstLine="426"/>
        <w:rPr>
          <w:i/>
          <w:iCs/>
          <w:color w:val="44546A"/>
          <w:szCs w:val="24"/>
        </w:rPr>
      </w:pPr>
      <w:r w:rsidRPr="00215161">
        <w:rPr>
          <w:i/>
          <w:iCs/>
          <w:color w:val="44546A"/>
          <w:szCs w:val="24"/>
        </w:rPr>
        <w:t xml:space="preserve">Graf </w:t>
      </w:r>
      <w:r w:rsidRPr="00215161">
        <w:rPr>
          <w:i/>
          <w:iCs/>
          <w:color w:val="44546A"/>
          <w:szCs w:val="24"/>
        </w:rPr>
        <w:fldChar w:fldCharType="begin"/>
      </w:r>
      <w:r w:rsidRPr="00215161">
        <w:rPr>
          <w:i/>
          <w:iCs/>
          <w:color w:val="44546A"/>
          <w:szCs w:val="24"/>
        </w:rPr>
        <w:instrText xml:space="preserve"> SEQ Graf \* ARABIC </w:instrText>
      </w:r>
      <w:r w:rsidRPr="00215161">
        <w:rPr>
          <w:i/>
          <w:iCs/>
          <w:color w:val="44546A"/>
          <w:szCs w:val="24"/>
        </w:rPr>
        <w:fldChar w:fldCharType="separate"/>
      </w:r>
      <w:r w:rsidR="00880F0E">
        <w:rPr>
          <w:i/>
          <w:iCs/>
          <w:noProof/>
          <w:color w:val="44546A"/>
          <w:szCs w:val="24"/>
        </w:rPr>
        <w:t>3</w:t>
      </w:r>
      <w:r w:rsidRPr="00215161">
        <w:rPr>
          <w:i/>
          <w:iCs/>
          <w:noProof/>
          <w:color w:val="44546A"/>
          <w:szCs w:val="24"/>
        </w:rPr>
        <w:fldChar w:fldCharType="end"/>
      </w:r>
      <w:r w:rsidRPr="00215161">
        <w:rPr>
          <w:i/>
          <w:iCs/>
          <w:color w:val="44546A"/>
          <w:szCs w:val="24"/>
        </w:rPr>
        <w:t xml:space="preserve"> – Podíl osob, kterým byl přiznán předčasný starobní důchod podle doby předčasnosti</w:t>
      </w:r>
    </w:p>
    <w:p w14:paraId="18C14F0B" w14:textId="6E771A10" w:rsidR="003304E3" w:rsidRPr="00215161" w:rsidRDefault="007B4821" w:rsidP="00E70FEE">
      <w:pPr>
        <w:spacing w:after="160" w:line="259" w:lineRule="auto"/>
        <w:ind w:firstLine="426"/>
        <w:rPr>
          <w:szCs w:val="24"/>
        </w:rPr>
      </w:pPr>
      <w:r w:rsidRPr="00215161">
        <w:rPr>
          <w:noProof/>
          <w:szCs w:val="24"/>
        </w:rPr>
        <w:drawing>
          <wp:inline distT="0" distB="0" distL="0" distR="0" wp14:anchorId="22FF7311" wp14:editId="0200A99A">
            <wp:extent cx="4907280" cy="2994660"/>
            <wp:effectExtent l="0" t="0" r="0" b="0"/>
            <wp:docPr id="4" name="Obráz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07280" cy="2994660"/>
                    </a:xfrm>
                    <a:prstGeom prst="rect">
                      <a:avLst/>
                    </a:prstGeom>
                    <a:noFill/>
                    <a:ln>
                      <a:noFill/>
                    </a:ln>
                  </pic:spPr>
                </pic:pic>
              </a:graphicData>
            </a:graphic>
          </wp:inline>
        </w:drawing>
      </w:r>
    </w:p>
    <w:p w14:paraId="4B021610" w14:textId="77777777" w:rsidR="003304E3" w:rsidRPr="00215161" w:rsidRDefault="003304E3" w:rsidP="00E70FEE">
      <w:pPr>
        <w:spacing w:after="160" w:line="259" w:lineRule="auto"/>
        <w:ind w:firstLine="426"/>
        <w:rPr>
          <w:szCs w:val="24"/>
        </w:rPr>
      </w:pPr>
      <w:r w:rsidRPr="00215161">
        <w:rPr>
          <w:szCs w:val="24"/>
        </w:rPr>
        <w:lastRenderedPageBreak/>
        <w:t xml:space="preserve">U řádných starobních důchodů je výrazně nejvyšší podíl </w:t>
      </w:r>
      <w:r w:rsidR="00A85E8D">
        <w:rPr>
          <w:szCs w:val="24"/>
        </w:rPr>
        <w:t>osob, které</w:t>
      </w:r>
      <w:r w:rsidRPr="00215161">
        <w:rPr>
          <w:szCs w:val="24"/>
        </w:rPr>
        <w:t xml:space="preserve"> mají tento důchod přiznán v lednu (téměř 16 %) a zvýšený pak v měsíci červenci, přičemž v ostatních měsících je výrazně nižší</w:t>
      </w:r>
      <w:r w:rsidR="00ED2B6E">
        <w:rPr>
          <w:szCs w:val="24"/>
        </w:rPr>
        <w:t>,</w:t>
      </w:r>
      <w:r w:rsidRPr="00215161">
        <w:rPr>
          <w:szCs w:val="24"/>
        </w:rPr>
        <w:t xml:space="preserve"> zejména pak v posledních 3 měsících roku. U předčasných odchodů je situace odlišná, neboť nejvyšší podíl je v prosinci a zvýšený pak v lednu (vyšší podíl v září je dán jednorázovým zvýšeným zájmem o předčasný odchod do starobního důchodu v roce 2011 při změně způsobu výpočtu důchodu v reakci na nález Ústavního soudu</w:t>
      </w:r>
      <w:r w:rsidR="00E70FEE">
        <w:rPr>
          <w:szCs w:val="24"/>
        </w:rPr>
        <w:t xml:space="preserve"> č. 135/2010 Sb.</w:t>
      </w:r>
      <w:r w:rsidR="00612D29">
        <w:rPr>
          <w:rStyle w:val="Znakapoznpodarou"/>
          <w:szCs w:val="24"/>
        </w:rPr>
        <w:footnoteReference w:id="3"/>
      </w:r>
      <w:r w:rsidRPr="00215161">
        <w:rPr>
          <w:szCs w:val="24"/>
        </w:rPr>
        <w:t>). Lze předpokládat, že část návrhu spočívající ve zrušení valorizace starobních důchodů přiznaných před dosažením důchodového věku až do jeho dosažení by mohla „posunout“ část důchodů přiznávaných v prosinci, tj. před valorizací, na 1. leden.</w:t>
      </w:r>
    </w:p>
    <w:p w14:paraId="2A153F14" w14:textId="77777777" w:rsidR="003304E3" w:rsidRPr="00215161" w:rsidRDefault="003304E3" w:rsidP="00E70FEE">
      <w:pPr>
        <w:keepNext/>
        <w:spacing w:after="200"/>
        <w:ind w:firstLine="426"/>
        <w:rPr>
          <w:i/>
          <w:iCs/>
          <w:color w:val="44546A"/>
          <w:szCs w:val="24"/>
        </w:rPr>
      </w:pPr>
      <w:r w:rsidRPr="00215161">
        <w:rPr>
          <w:i/>
          <w:iCs/>
          <w:color w:val="44546A"/>
          <w:szCs w:val="24"/>
        </w:rPr>
        <w:t xml:space="preserve">Graf </w:t>
      </w:r>
      <w:r w:rsidRPr="00215161">
        <w:rPr>
          <w:i/>
          <w:iCs/>
          <w:color w:val="44546A"/>
          <w:szCs w:val="24"/>
        </w:rPr>
        <w:fldChar w:fldCharType="begin"/>
      </w:r>
      <w:r w:rsidRPr="00215161">
        <w:rPr>
          <w:i/>
          <w:iCs/>
          <w:color w:val="44546A"/>
          <w:szCs w:val="24"/>
        </w:rPr>
        <w:instrText xml:space="preserve"> SEQ Graf \* ARABIC </w:instrText>
      </w:r>
      <w:r w:rsidRPr="00215161">
        <w:rPr>
          <w:i/>
          <w:iCs/>
          <w:color w:val="44546A"/>
          <w:szCs w:val="24"/>
        </w:rPr>
        <w:fldChar w:fldCharType="separate"/>
      </w:r>
      <w:r w:rsidR="00880F0E">
        <w:rPr>
          <w:i/>
          <w:iCs/>
          <w:noProof/>
          <w:color w:val="44546A"/>
          <w:szCs w:val="24"/>
        </w:rPr>
        <w:t>4</w:t>
      </w:r>
      <w:r w:rsidRPr="00215161">
        <w:rPr>
          <w:i/>
          <w:iCs/>
          <w:noProof/>
          <w:color w:val="44546A"/>
          <w:szCs w:val="24"/>
        </w:rPr>
        <w:fldChar w:fldCharType="end"/>
      </w:r>
      <w:r w:rsidRPr="00215161">
        <w:rPr>
          <w:i/>
          <w:iCs/>
          <w:color w:val="44546A"/>
          <w:szCs w:val="24"/>
        </w:rPr>
        <w:t xml:space="preserve"> – Podíl osob, kterým byl přiznán starobní důchod podle kalendářního měsíce přiznání</w:t>
      </w:r>
    </w:p>
    <w:p w14:paraId="0C219EE3" w14:textId="7D12A60B" w:rsidR="003304E3" w:rsidRPr="00215161" w:rsidRDefault="007B4821" w:rsidP="00E70FEE">
      <w:pPr>
        <w:spacing w:after="160" w:line="259" w:lineRule="auto"/>
        <w:ind w:firstLine="426"/>
        <w:rPr>
          <w:szCs w:val="24"/>
        </w:rPr>
      </w:pPr>
      <w:r w:rsidRPr="00215161">
        <w:rPr>
          <w:noProof/>
          <w:szCs w:val="24"/>
        </w:rPr>
        <w:drawing>
          <wp:inline distT="0" distB="0" distL="0" distR="0" wp14:anchorId="3CEE0A2C" wp14:editId="018F99F9">
            <wp:extent cx="4907280" cy="2994660"/>
            <wp:effectExtent l="0" t="0" r="0" b="0"/>
            <wp:docPr id="5" name="Obráze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07280" cy="2994660"/>
                    </a:xfrm>
                    <a:prstGeom prst="rect">
                      <a:avLst/>
                    </a:prstGeom>
                    <a:noFill/>
                    <a:ln>
                      <a:noFill/>
                    </a:ln>
                  </pic:spPr>
                </pic:pic>
              </a:graphicData>
            </a:graphic>
          </wp:inline>
        </w:drawing>
      </w:r>
    </w:p>
    <w:p w14:paraId="00D91BEC" w14:textId="77777777" w:rsidR="003304E3" w:rsidRPr="00215161" w:rsidRDefault="003304E3" w:rsidP="00E70FEE">
      <w:pPr>
        <w:spacing w:after="160" w:line="259" w:lineRule="auto"/>
        <w:ind w:firstLine="426"/>
        <w:rPr>
          <w:szCs w:val="24"/>
        </w:rPr>
      </w:pPr>
      <w:r w:rsidRPr="00215161">
        <w:rPr>
          <w:szCs w:val="24"/>
        </w:rPr>
        <w:t>Možnost vyhnout se či zmírnit dopad dodatečné sankce v podobě vynětí předčasného starobního důchodu z valorizace až do dosažení důchodového věku je významně ovlivněna okamžikem, kdy daná osoba dosáhne důchodového věku, neboť má významné redistribuční efekty.</w:t>
      </w:r>
    </w:p>
    <w:p w14:paraId="2410DBB7" w14:textId="77777777" w:rsidR="003304E3" w:rsidRPr="00215161" w:rsidRDefault="003304E3" w:rsidP="00E70FEE">
      <w:pPr>
        <w:spacing w:after="160" w:line="259" w:lineRule="auto"/>
        <w:ind w:firstLine="426"/>
        <w:rPr>
          <w:szCs w:val="24"/>
        </w:rPr>
      </w:pPr>
      <w:r w:rsidRPr="00215161">
        <w:rPr>
          <w:szCs w:val="24"/>
        </w:rPr>
        <w:t xml:space="preserve">Z tabulky </w:t>
      </w:r>
      <w:r w:rsidR="00ED2B6E">
        <w:rPr>
          <w:szCs w:val="24"/>
        </w:rPr>
        <w:t xml:space="preserve">1 uvedené </w:t>
      </w:r>
      <w:r w:rsidRPr="00215161">
        <w:rPr>
          <w:szCs w:val="24"/>
        </w:rPr>
        <w:t>níže je patrné, že u pojištěnců, kteří dosáhnou důchodového věku v</w:t>
      </w:r>
      <w:r w:rsidR="004D5CEF">
        <w:rPr>
          <w:szCs w:val="24"/>
        </w:rPr>
        <w:t> </w:t>
      </w:r>
      <w:r w:rsidRPr="00215161">
        <w:rPr>
          <w:szCs w:val="24"/>
        </w:rPr>
        <w:t>prosinci kalendářního roku, se u více než 26 % z těch, co odejdou do starobního důchodu předčasně, nová sankce vůbec neuplatní, zatímco u pojištěnců, kteří dosáhnou důchodového věku</w:t>
      </w:r>
      <w:r w:rsidR="00ED2B6E">
        <w:rPr>
          <w:szCs w:val="24"/>
        </w:rPr>
        <w:t xml:space="preserve"> </w:t>
      </w:r>
      <w:r w:rsidRPr="00215161">
        <w:rPr>
          <w:szCs w:val="24"/>
        </w:rPr>
        <w:t>v</w:t>
      </w:r>
      <w:r w:rsidR="00ED2B6E">
        <w:rPr>
          <w:szCs w:val="24"/>
        </w:rPr>
        <w:t> </w:t>
      </w:r>
      <w:r w:rsidRPr="00215161">
        <w:rPr>
          <w:szCs w:val="24"/>
        </w:rPr>
        <w:t>lednu</w:t>
      </w:r>
      <w:r w:rsidR="00ED2B6E">
        <w:rPr>
          <w:szCs w:val="24"/>
        </w:rPr>
        <w:t>,</w:t>
      </w:r>
      <w:r w:rsidRPr="00215161">
        <w:rPr>
          <w:szCs w:val="24"/>
        </w:rPr>
        <w:t xml:space="preserve"> je to méně než 1 %. V průměru by pojištěnci, kteří odcház</w:t>
      </w:r>
      <w:r w:rsidR="00ED2B6E">
        <w:rPr>
          <w:szCs w:val="24"/>
        </w:rPr>
        <w:t>ejí</w:t>
      </w:r>
      <w:r w:rsidRPr="00215161">
        <w:rPr>
          <w:szCs w:val="24"/>
        </w:rPr>
        <w:t xml:space="preserve"> do starobního důchodu předčasně s důchodovým věkem v lednu, byli dodatečně sankcionováni téměř dvěma neuplatněnými valorizacemi, zatímco ti s důchodovým věkem v prosinci zhruba 1,3 neuplatněnými valorizacemi. </w:t>
      </w:r>
    </w:p>
    <w:p w14:paraId="35C9D10D" w14:textId="77777777" w:rsidR="003304E3" w:rsidRPr="00215161" w:rsidRDefault="003304E3" w:rsidP="00E70FEE">
      <w:pPr>
        <w:keepNext/>
        <w:spacing w:after="200"/>
        <w:ind w:firstLine="426"/>
        <w:rPr>
          <w:i/>
          <w:iCs/>
          <w:color w:val="44546A"/>
          <w:szCs w:val="24"/>
        </w:rPr>
      </w:pPr>
      <w:r w:rsidRPr="00215161">
        <w:rPr>
          <w:i/>
          <w:iCs/>
          <w:color w:val="44546A"/>
          <w:szCs w:val="24"/>
        </w:rPr>
        <w:lastRenderedPageBreak/>
        <w:t xml:space="preserve">Tabulka </w:t>
      </w:r>
      <w:r w:rsidRPr="00215161">
        <w:rPr>
          <w:i/>
          <w:iCs/>
          <w:color w:val="44546A"/>
          <w:szCs w:val="24"/>
        </w:rPr>
        <w:fldChar w:fldCharType="begin"/>
      </w:r>
      <w:r w:rsidRPr="00215161">
        <w:rPr>
          <w:i/>
          <w:iCs/>
          <w:color w:val="44546A"/>
          <w:szCs w:val="24"/>
        </w:rPr>
        <w:instrText xml:space="preserve"> SEQ Tabulka \* ARABIC </w:instrText>
      </w:r>
      <w:r w:rsidRPr="00215161">
        <w:rPr>
          <w:i/>
          <w:iCs/>
          <w:color w:val="44546A"/>
          <w:szCs w:val="24"/>
        </w:rPr>
        <w:fldChar w:fldCharType="separate"/>
      </w:r>
      <w:r w:rsidR="00880F0E">
        <w:rPr>
          <w:i/>
          <w:iCs/>
          <w:noProof/>
          <w:color w:val="44546A"/>
          <w:szCs w:val="24"/>
        </w:rPr>
        <w:t>1</w:t>
      </w:r>
      <w:r w:rsidRPr="00215161">
        <w:rPr>
          <w:i/>
          <w:iCs/>
          <w:noProof/>
          <w:color w:val="44546A"/>
          <w:szCs w:val="24"/>
        </w:rPr>
        <w:fldChar w:fldCharType="end"/>
      </w:r>
      <w:r w:rsidRPr="00215161">
        <w:rPr>
          <w:i/>
          <w:iCs/>
          <w:color w:val="44546A"/>
          <w:szCs w:val="24"/>
        </w:rPr>
        <w:t xml:space="preserve"> - Podíly přiznaných předčasných důchodů podle počtu zvýšení od přiznání do</w:t>
      </w:r>
      <w:r w:rsidR="004D5CEF">
        <w:rPr>
          <w:i/>
          <w:iCs/>
          <w:color w:val="44546A"/>
          <w:szCs w:val="24"/>
        </w:rPr>
        <w:t> </w:t>
      </w:r>
      <w:r w:rsidRPr="00215161">
        <w:rPr>
          <w:i/>
          <w:iCs/>
          <w:color w:val="44546A"/>
          <w:szCs w:val="24"/>
        </w:rPr>
        <w:t>dosažení důchodového věku podle měsíce dosažení důchodového věku</w:t>
      </w:r>
    </w:p>
    <w:p w14:paraId="1A65AF56" w14:textId="7785A15B" w:rsidR="003304E3" w:rsidRPr="00215161" w:rsidRDefault="007B4821" w:rsidP="00E70FEE">
      <w:pPr>
        <w:spacing w:after="160" w:line="259" w:lineRule="auto"/>
        <w:ind w:firstLine="426"/>
        <w:rPr>
          <w:szCs w:val="24"/>
        </w:rPr>
      </w:pPr>
      <w:r w:rsidRPr="00215161">
        <w:rPr>
          <w:noProof/>
          <w:szCs w:val="24"/>
        </w:rPr>
        <w:drawing>
          <wp:inline distT="0" distB="0" distL="0" distR="0" wp14:anchorId="13092044" wp14:editId="1F897621">
            <wp:extent cx="4907280" cy="3009900"/>
            <wp:effectExtent l="0" t="0" r="0" b="0"/>
            <wp:docPr id="6" name="Obrázek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07280" cy="3009900"/>
                    </a:xfrm>
                    <a:prstGeom prst="rect">
                      <a:avLst/>
                    </a:prstGeom>
                    <a:noFill/>
                    <a:ln>
                      <a:noFill/>
                    </a:ln>
                  </pic:spPr>
                </pic:pic>
              </a:graphicData>
            </a:graphic>
          </wp:inline>
        </w:drawing>
      </w:r>
    </w:p>
    <w:p w14:paraId="4A043CAD" w14:textId="77777777" w:rsidR="003304E3" w:rsidRPr="00215161" w:rsidRDefault="003304E3" w:rsidP="00E70FEE">
      <w:pPr>
        <w:spacing w:after="160" w:line="259" w:lineRule="auto"/>
        <w:ind w:firstLine="426"/>
        <w:rPr>
          <w:szCs w:val="24"/>
        </w:rPr>
      </w:pPr>
      <w:r w:rsidRPr="00215161">
        <w:rPr>
          <w:szCs w:val="24"/>
        </w:rPr>
        <w:t>Z těch, kteří odchází do starobního důchodu předčasně, jsou ze zhruba 2/3 ti, kteří byli těsně před odchodem výdělečně činní, více než ¼ byla v evidenci úřadu práce a ze zbytku byla zhruba polovina těch, co pečovali o závislou osobu (aniž by byli výdělečně činní)</w:t>
      </w:r>
      <w:r w:rsidR="00D03391">
        <w:rPr>
          <w:szCs w:val="24"/>
        </w:rPr>
        <w:t xml:space="preserve"> </w:t>
      </w:r>
      <w:r w:rsidRPr="00215161">
        <w:rPr>
          <w:szCs w:val="24"/>
        </w:rPr>
        <w:t>a</w:t>
      </w:r>
      <w:r w:rsidR="004D5CEF">
        <w:rPr>
          <w:szCs w:val="24"/>
        </w:rPr>
        <w:t> </w:t>
      </w:r>
      <w:r w:rsidRPr="00215161">
        <w:rPr>
          <w:szCs w:val="24"/>
        </w:rPr>
        <w:t>druhá polovina byla invalidní (bez výdělečně činnosti), a to především v prvním a druhém stupni invalidity.</w:t>
      </w:r>
    </w:p>
    <w:p w14:paraId="1F9888CC" w14:textId="77777777" w:rsidR="003304E3" w:rsidRPr="00215161" w:rsidRDefault="003304E3" w:rsidP="00E70FEE">
      <w:pPr>
        <w:spacing w:after="160" w:line="259" w:lineRule="auto"/>
        <w:ind w:firstLine="426"/>
        <w:rPr>
          <w:szCs w:val="24"/>
        </w:rPr>
      </w:pPr>
      <w:r w:rsidRPr="00215161">
        <w:rPr>
          <w:szCs w:val="24"/>
        </w:rPr>
        <w:t xml:space="preserve">Podílem osob v evidenci úřadu práce (na úkor výdělečně činných) se skupina osob odcházejících do starobního důchodu předčasně výrazně odlišuje od těch, kteří odchází až při dosažení důchodového věku. Ostatní podíly jsou v zásadě srovnatelné. Zhruba 40 % </w:t>
      </w:r>
      <w:r w:rsidR="00A85E8D">
        <w:rPr>
          <w:szCs w:val="24"/>
        </w:rPr>
        <w:t>osob</w:t>
      </w:r>
      <w:r w:rsidRPr="00215161">
        <w:rPr>
          <w:szCs w:val="24"/>
        </w:rPr>
        <w:t xml:space="preserve">, </w:t>
      </w:r>
      <w:r w:rsidR="00A85E8D">
        <w:rPr>
          <w:szCs w:val="24"/>
        </w:rPr>
        <w:t>které byly</w:t>
      </w:r>
      <w:r w:rsidRPr="00215161">
        <w:rPr>
          <w:szCs w:val="24"/>
        </w:rPr>
        <w:t xml:space="preserve"> před odchodem do předčasného starobního důchod</w:t>
      </w:r>
      <w:r w:rsidR="00A85E8D">
        <w:rPr>
          <w:szCs w:val="24"/>
        </w:rPr>
        <w:t>u</w:t>
      </w:r>
      <w:r w:rsidRPr="00215161">
        <w:rPr>
          <w:szCs w:val="24"/>
        </w:rPr>
        <w:t xml:space="preserve"> v evidenci úřadu práce, již </w:t>
      </w:r>
      <w:r w:rsidR="00A85E8D" w:rsidRPr="00215161">
        <w:rPr>
          <w:szCs w:val="24"/>
        </w:rPr>
        <w:t>nepobíral</w:t>
      </w:r>
      <w:r w:rsidR="00A85E8D">
        <w:rPr>
          <w:szCs w:val="24"/>
        </w:rPr>
        <w:t>o</w:t>
      </w:r>
      <w:r w:rsidR="00A85E8D" w:rsidRPr="00215161">
        <w:rPr>
          <w:szCs w:val="24"/>
        </w:rPr>
        <w:t xml:space="preserve"> </w:t>
      </w:r>
      <w:r w:rsidRPr="00215161">
        <w:rPr>
          <w:szCs w:val="24"/>
        </w:rPr>
        <w:t>podporu v nezaměstnanosti, přičemž další část pravděpodobně spojila odchod do</w:t>
      </w:r>
      <w:r w:rsidR="004D5CEF">
        <w:rPr>
          <w:szCs w:val="24"/>
        </w:rPr>
        <w:t> </w:t>
      </w:r>
      <w:r w:rsidRPr="00215161">
        <w:rPr>
          <w:szCs w:val="24"/>
        </w:rPr>
        <w:t>předčasného starobního důchodu s ukončením pobírání podpory v nezaměstnanosti, neboť můžeme pozorovat mírně zvýšený podíl těch, u kterých činí rozdíl mezi ukončením výdělečné činnosti a odchodem do předčasného starobního důchodu 11 měsíců.</w:t>
      </w:r>
    </w:p>
    <w:p w14:paraId="39C4CCAE" w14:textId="77777777" w:rsidR="003304E3" w:rsidRPr="00215161" w:rsidRDefault="003304E3" w:rsidP="00E70FEE">
      <w:pPr>
        <w:spacing w:after="160" w:line="259" w:lineRule="auto"/>
        <w:ind w:firstLine="426"/>
        <w:rPr>
          <w:szCs w:val="24"/>
        </w:rPr>
      </w:pPr>
      <w:r w:rsidRPr="00215161">
        <w:rPr>
          <w:szCs w:val="24"/>
        </w:rPr>
        <w:t>Z rozložení příjmů</w:t>
      </w:r>
      <w:r w:rsidRPr="00215161">
        <w:rPr>
          <w:szCs w:val="24"/>
          <w:vertAlign w:val="superscript"/>
        </w:rPr>
        <w:footnoteReference w:id="4"/>
      </w:r>
      <w:r w:rsidRPr="00215161">
        <w:rPr>
          <w:szCs w:val="24"/>
        </w:rPr>
        <w:t xml:space="preserve"> před odchodem do starobního důchodu je patrné, že do předčasného starobního důchodu odcház</w:t>
      </w:r>
      <w:r w:rsidR="00ED2B6E">
        <w:rPr>
          <w:szCs w:val="24"/>
        </w:rPr>
        <w:t>ejí</w:t>
      </w:r>
      <w:r w:rsidRPr="00215161">
        <w:rPr>
          <w:szCs w:val="24"/>
        </w:rPr>
        <w:t xml:space="preserve"> osoby se spíše nižšími příjmy s tím rozdílem, že podíl těch, co neměli před odchodem do starobního důchodu žádné příjmy</w:t>
      </w:r>
      <w:r w:rsidR="00A85E8D">
        <w:rPr>
          <w:szCs w:val="24"/>
        </w:rPr>
        <w:t>,</w:t>
      </w:r>
      <w:r w:rsidRPr="00215161">
        <w:rPr>
          <w:szCs w:val="24"/>
        </w:rPr>
        <w:t xml:space="preserve"> je vyšší u těch, co odchází do</w:t>
      </w:r>
      <w:r w:rsidR="004D5CEF">
        <w:rPr>
          <w:szCs w:val="24"/>
        </w:rPr>
        <w:t> </w:t>
      </w:r>
      <w:r w:rsidRPr="00215161">
        <w:rPr>
          <w:szCs w:val="24"/>
        </w:rPr>
        <w:t xml:space="preserve">starobního důchodu až při dosažení důchodového věku. Zvýšený podíl v pásmu 8 000 – 10 000 Kč představují OSVČ platící </w:t>
      </w:r>
      <w:r w:rsidR="00ED2B6E">
        <w:rPr>
          <w:szCs w:val="24"/>
        </w:rPr>
        <w:t xml:space="preserve">pojistné </w:t>
      </w:r>
      <w:r w:rsidRPr="00215161">
        <w:rPr>
          <w:szCs w:val="24"/>
        </w:rPr>
        <w:t>z minimálního vyměřovacího základu, nicméně jejich relativní podíl se u předčasných a řádných důchodů nijak zásadně neodlišuje. Mediánový příjem (bez osob bez příjmu) je u těch, co odchází do předčasného starobního důchodu</w:t>
      </w:r>
      <w:r w:rsidR="00ED2B6E">
        <w:rPr>
          <w:szCs w:val="24"/>
        </w:rPr>
        <w:t>,</w:t>
      </w:r>
      <w:r w:rsidRPr="00215161">
        <w:rPr>
          <w:szCs w:val="24"/>
        </w:rPr>
        <w:t xml:space="preserve"> na úrovni necelých 83 % mediánu odcházejících do řádného důchodu (rozdíl mírně převyšuje 5 000 Kč). </w:t>
      </w:r>
    </w:p>
    <w:p w14:paraId="4DED0F7E" w14:textId="77777777" w:rsidR="003304E3" w:rsidRPr="00215161" w:rsidRDefault="003304E3" w:rsidP="00E70FEE">
      <w:pPr>
        <w:spacing w:after="160" w:line="259" w:lineRule="auto"/>
        <w:ind w:firstLine="426"/>
        <w:rPr>
          <w:szCs w:val="24"/>
        </w:rPr>
        <w:sectPr w:rsidR="003304E3" w:rsidRPr="00215161">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docGrid w:linePitch="360"/>
        </w:sectPr>
      </w:pPr>
    </w:p>
    <w:p w14:paraId="1A783E46" w14:textId="77777777" w:rsidR="003304E3" w:rsidRPr="00215161" w:rsidRDefault="003304E3" w:rsidP="00E70FEE">
      <w:pPr>
        <w:keepNext/>
        <w:spacing w:after="200"/>
        <w:ind w:firstLine="426"/>
        <w:rPr>
          <w:i/>
          <w:iCs/>
          <w:noProof/>
          <w:color w:val="44546A"/>
          <w:szCs w:val="24"/>
        </w:rPr>
      </w:pPr>
      <w:r w:rsidRPr="00215161">
        <w:rPr>
          <w:i/>
          <w:iCs/>
          <w:color w:val="44546A"/>
          <w:szCs w:val="24"/>
        </w:rPr>
        <w:lastRenderedPageBreak/>
        <w:t xml:space="preserve">Graf </w:t>
      </w:r>
      <w:r w:rsidRPr="00215161">
        <w:rPr>
          <w:i/>
          <w:iCs/>
          <w:color w:val="44546A"/>
          <w:szCs w:val="24"/>
        </w:rPr>
        <w:fldChar w:fldCharType="begin"/>
      </w:r>
      <w:r w:rsidRPr="00215161">
        <w:rPr>
          <w:i/>
          <w:iCs/>
          <w:color w:val="44546A"/>
          <w:szCs w:val="24"/>
        </w:rPr>
        <w:instrText xml:space="preserve"> SEQ Graf \* ARABIC </w:instrText>
      </w:r>
      <w:r w:rsidRPr="00215161">
        <w:rPr>
          <w:i/>
          <w:iCs/>
          <w:color w:val="44546A"/>
          <w:szCs w:val="24"/>
        </w:rPr>
        <w:fldChar w:fldCharType="separate"/>
      </w:r>
      <w:r w:rsidR="00880F0E">
        <w:rPr>
          <w:i/>
          <w:iCs/>
          <w:noProof/>
          <w:color w:val="44546A"/>
          <w:szCs w:val="24"/>
        </w:rPr>
        <w:t>5</w:t>
      </w:r>
      <w:r w:rsidRPr="00215161">
        <w:rPr>
          <w:i/>
          <w:iCs/>
          <w:noProof/>
          <w:color w:val="44546A"/>
          <w:szCs w:val="24"/>
        </w:rPr>
        <w:fldChar w:fldCharType="end"/>
      </w:r>
      <w:r w:rsidRPr="00215161">
        <w:rPr>
          <w:i/>
          <w:iCs/>
          <w:color w:val="44546A"/>
          <w:szCs w:val="24"/>
        </w:rPr>
        <w:t xml:space="preserve"> – Rozložení příjmů před odchodem do starobního důchodu – předčasné důchody</w:t>
      </w:r>
    </w:p>
    <w:p w14:paraId="11F9D3AE" w14:textId="6FEAE089" w:rsidR="003304E3" w:rsidRPr="00215161" w:rsidRDefault="007B4821" w:rsidP="00E70FEE">
      <w:pPr>
        <w:keepNext/>
        <w:spacing w:after="200"/>
        <w:ind w:firstLine="426"/>
        <w:rPr>
          <w:i/>
          <w:noProof/>
          <w:color w:val="44546A"/>
          <w:szCs w:val="24"/>
        </w:rPr>
      </w:pPr>
      <w:r w:rsidRPr="00215161">
        <w:rPr>
          <w:i/>
          <w:noProof/>
          <w:color w:val="44546A"/>
          <w:szCs w:val="24"/>
        </w:rPr>
        <w:drawing>
          <wp:inline distT="0" distB="0" distL="0" distR="0" wp14:anchorId="602781DB" wp14:editId="7F0EA55D">
            <wp:extent cx="2887980" cy="1935480"/>
            <wp:effectExtent l="0" t="0" r="0" b="0"/>
            <wp:docPr id="7"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87980" cy="1935480"/>
                    </a:xfrm>
                    <a:prstGeom prst="rect">
                      <a:avLst/>
                    </a:prstGeom>
                    <a:noFill/>
                    <a:ln>
                      <a:noFill/>
                    </a:ln>
                  </pic:spPr>
                </pic:pic>
              </a:graphicData>
            </a:graphic>
          </wp:inline>
        </w:drawing>
      </w:r>
    </w:p>
    <w:p w14:paraId="383A824B" w14:textId="77777777" w:rsidR="003304E3" w:rsidRPr="00215161" w:rsidRDefault="003304E3" w:rsidP="00E70FEE">
      <w:pPr>
        <w:keepNext/>
        <w:spacing w:after="200"/>
        <w:ind w:firstLine="426"/>
        <w:rPr>
          <w:i/>
          <w:iCs/>
          <w:color w:val="44546A"/>
          <w:szCs w:val="24"/>
        </w:rPr>
      </w:pPr>
      <w:r w:rsidRPr="00215161">
        <w:rPr>
          <w:i/>
          <w:iCs/>
          <w:color w:val="44546A"/>
          <w:szCs w:val="24"/>
        </w:rPr>
        <w:t xml:space="preserve">Graf </w:t>
      </w:r>
      <w:r w:rsidRPr="00215161">
        <w:rPr>
          <w:i/>
          <w:iCs/>
          <w:color w:val="44546A"/>
          <w:szCs w:val="24"/>
        </w:rPr>
        <w:fldChar w:fldCharType="begin"/>
      </w:r>
      <w:r w:rsidRPr="00215161">
        <w:rPr>
          <w:i/>
          <w:iCs/>
          <w:color w:val="44546A"/>
          <w:szCs w:val="24"/>
        </w:rPr>
        <w:instrText xml:space="preserve"> SEQ Graf \* ARABIC </w:instrText>
      </w:r>
      <w:r w:rsidRPr="00215161">
        <w:rPr>
          <w:i/>
          <w:iCs/>
          <w:color w:val="44546A"/>
          <w:szCs w:val="24"/>
        </w:rPr>
        <w:fldChar w:fldCharType="separate"/>
      </w:r>
      <w:r w:rsidR="00880F0E">
        <w:rPr>
          <w:i/>
          <w:iCs/>
          <w:noProof/>
          <w:color w:val="44546A"/>
          <w:szCs w:val="24"/>
        </w:rPr>
        <w:t>6</w:t>
      </w:r>
      <w:r w:rsidRPr="00215161">
        <w:rPr>
          <w:i/>
          <w:iCs/>
          <w:noProof/>
          <w:color w:val="44546A"/>
          <w:szCs w:val="24"/>
        </w:rPr>
        <w:fldChar w:fldCharType="end"/>
      </w:r>
      <w:r w:rsidRPr="00215161">
        <w:rPr>
          <w:i/>
          <w:iCs/>
          <w:color w:val="44546A"/>
          <w:szCs w:val="24"/>
        </w:rPr>
        <w:t xml:space="preserve"> – Rozložení příjmů před odchodem do starobního důchodu – řádné důchody</w:t>
      </w:r>
    </w:p>
    <w:p w14:paraId="37A5470C" w14:textId="3983B813" w:rsidR="003304E3" w:rsidRPr="00215161" w:rsidRDefault="007B4821" w:rsidP="00E70FEE">
      <w:pPr>
        <w:spacing w:after="160" w:line="259" w:lineRule="auto"/>
        <w:ind w:firstLine="426"/>
        <w:rPr>
          <w:noProof/>
          <w:szCs w:val="24"/>
        </w:rPr>
        <w:sectPr w:rsidR="003304E3" w:rsidRPr="00215161" w:rsidSect="003304E3">
          <w:footerReference w:type="even" r:id="rId24"/>
          <w:footerReference w:type="default" r:id="rId25"/>
          <w:headerReference w:type="first" r:id="rId26"/>
          <w:pgSz w:w="11906" w:h="16838"/>
          <w:pgMar w:top="1418" w:right="1418" w:bottom="0" w:left="1418" w:header="708" w:footer="708" w:gutter="0"/>
          <w:cols w:num="2" w:space="708"/>
          <w:docGrid w:linePitch="360"/>
        </w:sectPr>
      </w:pPr>
      <w:r w:rsidRPr="00215161">
        <w:rPr>
          <w:noProof/>
          <w:szCs w:val="24"/>
        </w:rPr>
        <w:drawing>
          <wp:inline distT="0" distB="0" distL="0" distR="0" wp14:anchorId="66AD8E64" wp14:editId="5CB57CDB">
            <wp:extent cx="2659380" cy="1943100"/>
            <wp:effectExtent l="0" t="0" r="0" b="0"/>
            <wp:docPr id="8"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659380" cy="1943100"/>
                    </a:xfrm>
                    <a:prstGeom prst="rect">
                      <a:avLst/>
                    </a:prstGeom>
                    <a:noFill/>
                    <a:ln>
                      <a:noFill/>
                    </a:ln>
                  </pic:spPr>
                </pic:pic>
              </a:graphicData>
            </a:graphic>
          </wp:inline>
        </w:drawing>
      </w:r>
    </w:p>
    <w:p w14:paraId="5AA35BFE" w14:textId="77777777" w:rsidR="003304E3" w:rsidRPr="00215161" w:rsidRDefault="003304E3" w:rsidP="00E70FEE">
      <w:pPr>
        <w:spacing w:after="160" w:line="259" w:lineRule="auto"/>
        <w:ind w:firstLine="426"/>
        <w:rPr>
          <w:szCs w:val="24"/>
        </w:rPr>
      </w:pPr>
      <w:r w:rsidRPr="00215161">
        <w:rPr>
          <w:szCs w:val="24"/>
        </w:rPr>
        <w:t>Rozdíly v úrovni výdělků osob odcházejících do předčasného starobního důchodu a těch, kteří odchází řádně</w:t>
      </w:r>
      <w:r w:rsidR="00A85E8D">
        <w:rPr>
          <w:szCs w:val="24"/>
        </w:rPr>
        <w:t>,</w:t>
      </w:r>
      <w:r w:rsidRPr="00215161">
        <w:rPr>
          <w:szCs w:val="24"/>
        </w:rPr>
        <w:t xml:space="preserve"> lze vysvětlit i rozdílnou strukturou vzdělání a vykonávaného povolání. U</w:t>
      </w:r>
      <w:r w:rsidR="004D5CEF">
        <w:rPr>
          <w:szCs w:val="24"/>
        </w:rPr>
        <w:t> </w:t>
      </w:r>
      <w:r w:rsidRPr="00215161">
        <w:rPr>
          <w:szCs w:val="24"/>
        </w:rPr>
        <w:t>předčasných starobních důchodců jde z 50 % o osoby se středním vzděláním s výučním listem (u řádných je to méně než 40 %) zatímco vysokoškoláků v magisterském stupni je mezi nimi necelých 9 % (u řádných je to téměř dvojnásobek). S tím souvisí i vykonávaná povolání, kdy u osob odcházejících do starobního důchodu předčasně je zvýšený podíl těch, jejichž povolání má spíše manuální charakter (tj. zaměstnanci ve službách a prodeji, řemeslníci nebo různá dělnická povolání včetně pomocných a nekvalifikovaných).</w:t>
      </w:r>
    </w:p>
    <w:p w14:paraId="480D07CC" w14:textId="77777777" w:rsidR="003304E3" w:rsidRPr="00215161" w:rsidRDefault="003304E3" w:rsidP="00E70FEE">
      <w:pPr>
        <w:spacing w:after="160" w:line="259" w:lineRule="auto"/>
        <w:ind w:firstLine="426"/>
        <w:rPr>
          <w:szCs w:val="24"/>
        </w:rPr>
      </w:pPr>
      <w:r w:rsidRPr="00215161">
        <w:rPr>
          <w:szCs w:val="24"/>
        </w:rPr>
        <w:t>Nižší předdůchodové výdělky u osob odcházejících do předčasného starobního důchodu jsou částečně dány i tím, že jejich schopnost výdělečné činnosti (relativní úroveň předdůchodového výdělku proti výdělkům dosahovaným v mladší a středním věku) je nižší než u osob, které odchází do řádného starobního důchodu. Rozdíl však není nijak zásadní.</w:t>
      </w:r>
    </w:p>
    <w:p w14:paraId="36F105DC" w14:textId="77777777" w:rsidR="003304E3" w:rsidRPr="00215161" w:rsidRDefault="003304E3" w:rsidP="00E70FEE">
      <w:pPr>
        <w:spacing w:after="160" w:line="259" w:lineRule="auto"/>
        <w:ind w:firstLine="426"/>
        <w:rPr>
          <w:szCs w:val="24"/>
        </w:rPr>
      </w:pPr>
      <w:r w:rsidRPr="00215161">
        <w:rPr>
          <w:szCs w:val="24"/>
        </w:rPr>
        <w:t xml:space="preserve">Oba tyto „příjmové“ vlivy vedou k tomu, že u 50 % osob odcházejících do starobního důchodu předčasně převyšuje výše přiznaného starobního důchodu (i přes jeho krácení) 70 % dosahovaného hrubého výdělku, tj. </w:t>
      </w:r>
      <w:r w:rsidR="002026C2">
        <w:rPr>
          <w:szCs w:val="24"/>
        </w:rPr>
        <w:t xml:space="preserve">buď </w:t>
      </w:r>
      <w:r w:rsidRPr="00215161">
        <w:rPr>
          <w:szCs w:val="24"/>
        </w:rPr>
        <w:t xml:space="preserve">nad </w:t>
      </w:r>
      <w:r w:rsidR="00ED2B6E" w:rsidRPr="00215161">
        <w:rPr>
          <w:szCs w:val="24"/>
        </w:rPr>
        <w:t xml:space="preserve">úrovní jejich čistého příjmu z výdělečné činnosti </w:t>
      </w:r>
      <w:r w:rsidRPr="00215161">
        <w:rPr>
          <w:szCs w:val="24"/>
        </w:rPr>
        <w:t>případně jen těsně pod</w:t>
      </w:r>
      <w:r w:rsidR="00ED2B6E">
        <w:rPr>
          <w:szCs w:val="24"/>
        </w:rPr>
        <w:t xml:space="preserve"> ní</w:t>
      </w:r>
      <w:r w:rsidRPr="00215161">
        <w:rPr>
          <w:szCs w:val="24"/>
        </w:rPr>
        <w:t>. Relativní výše důchodu ve vztahu k příjmům dosahovaným z výdělečné činnosti v kombinaci se zhoršeným zdravotním stavem</w:t>
      </w:r>
      <w:r w:rsidRPr="00215161">
        <w:rPr>
          <w:szCs w:val="24"/>
          <w:vertAlign w:val="superscript"/>
        </w:rPr>
        <w:footnoteReference w:id="5"/>
      </w:r>
      <w:r w:rsidRPr="00215161">
        <w:rPr>
          <w:szCs w:val="24"/>
        </w:rPr>
        <w:t xml:space="preserve"> </w:t>
      </w:r>
      <w:r w:rsidR="002026C2">
        <w:rPr>
          <w:szCs w:val="24"/>
        </w:rPr>
        <w:t>může</w:t>
      </w:r>
      <w:r w:rsidR="002026C2" w:rsidRPr="00215161">
        <w:rPr>
          <w:szCs w:val="24"/>
        </w:rPr>
        <w:t xml:space="preserve"> </w:t>
      </w:r>
      <w:r w:rsidRPr="00215161">
        <w:rPr>
          <w:szCs w:val="24"/>
        </w:rPr>
        <w:t>pravděpodobně u</w:t>
      </w:r>
      <w:r w:rsidR="004D5CEF">
        <w:rPr>
          <w:szCs w:val="24"/>
        </w:rPr>
        <w:t> </w:t>
      </w:r>
      <w:r w:rsidRPr="00215161">
        <w:rPr>
          <w:szCs w:val="24"/>
        </w:rPr>
        <w:t>těch, kteří ukončili výdělečnou činnost (a odešli do starobního důchodu předčasně) z vlastního rozhodnutí oslabovat motivační efekt zvýšené restrikce na ochotu výdělečnou činnost neukončit</w:t>
      </w:r>
      <w:r w:rsidR="00164214">
        <w:rPr>
          <w:szCs w:val="24"/>
        </w:rPr>
        <w:t>,</w:t>
      </w:r>
      <w:r w:rsidRPr="00215161">
        <w:rPr>
          <w:szCs w:val="24"/>
        </w:rPr>
        <w:t xml:space="preserve"> ale setrvat v ní.</w:t>
      </w:r>
    </w:p>
    <w:p w14:paraId="577AA036" w14:textId="77777777" w:rsidR="003304E3" w:rsidRPr="00215161" w:rsidRDefault="003304E3" w:rsidP="00E70FEE">
      <w:pPr>
        <w:spacing w:after="160" w:line="259" w:lineRule="auto"/>
        <w:ind w:firstLine="426"/>
        <w:rPr>
          <w:szCs w:val="24"/>
        </w:rPr>
      </w:pPr>
      <w:r w:rsidRPr="00215161">
        <w:rPr>
          <w:szCs w:val="24"/>
        </w:rPr>
        <w:t>Z pohledu dopadů do rozpočtu by okamžité dodatečné náklady spojené se zvýšeným zájmem o předčasné starobní důchody mohly dosáhnout cca 1 – 1,5 mld. Kč</w:t>
      </w:r>
      <w:r w:rsidR="00494ABC">
        <w:rPr>
          <w:rStyle w:val="Znakapoznpodarou"/>
          <w:szCs w:val="24"/>
        </w:rPr>
        <w:footnoteReference w:id="6"/>
      </w:r>
      <w:r w:rsidRPr="00215161">
        <w:rPr>
          <w:szCs w:val="24"/>
        </w:rPr>
        <w:t>.</w:t>
      </w:r>
    </w:p>
    <w:p w14:paraId="166128E9" w14:textId="77777777" w:rsidR="003304E3" w:rsidRPr="00215161" w:rsidRDefault="003304E3" w:rsidP="00E70FEE">
      <w:pPr>
        <w:spacing w:after="160" w:line="259" w:lineRule="auto"/>
        <w:ind w:firstLine="426"/>
        <w:rPr>
          <w:szCs w:val="24"/>
        </w:rPr>
      </w:pPr>
      <w:r w:rsidRPr="00215161">
        <w:rPr>
          <w:szCs w:val="24"/>
        </w:rPr>
        <w:t>Následně by se začaly postupně projevovat pozitivní rozpočtové dopady v závislosti na</w:t>
      </w:r>
      <w:r w:rsidR="004D5CEF">
        <w:rPr>
          <w:szCs w:val="24"/>
        </w:rPr>
        <w:t> </w:t>
      </w:r>
      <w:r w:rsidRPr="00215161">
        <w:rPr>
          <w:szCs w:val="24"/>
        </w:rPr>
        <w:t>tom, zda by navržená opatření vedla ke změnám chování (omezení odchodů</w:t>
      </w:r>
      <w:r w:rsidR="00D03391">
        <w:rPr>
          <w:szCs w:val="24"/>
        </w:rPr>
        <w:t xml:space="preserve"> </w:t>
      </w:r>
      <w:r w:rsidRPr="00215161">
        <w:rPr>
          <w:szCs w:val="24"/>
        </w:rPr>
        <w:t>do</w:t>
      </w:r>
      <w:r w:rsidR="004D5CEF">
        <w:rPr>
          <w:szCs w:val="24"/>
        </w:rPr>
        <w:t> </w:t>
      </w:r>
      <w:r w:rsidRPr="00215161">
        <w:rPr>
          <w:szCs w:val="24"/>
        </w:rPr>
        <w:t>předčasného starobního důchodu) nebo nikoliv.</w:t>
      </w:r>
    </w:p>
    <w:p w14:paraId="286B3EB3" w14:textId="77777777" w:rsidR="003304E3" w:rsidRPr="00215161" w:rsidRDefault="003304E3" w:rsidP="00E70FEE">
      <w:pPr>
        <w:spacing w:after="160" w:line="259" w:lineRule="auto"/>
        <w:ind w:firstLine="426"/>
        <w:rPr>
          <w:szCs w:val="24"/>
        </w:rPr>
      </w:pPr>
      <w:r w:rsidRPr="00215161">
        <w:rPr>
          <w:szCs w:val="24"/>
        </w:rPr>
        <w:lastRenderedPageBreak/>
        <w:t>V případě, že by nedošlo ke změně chování, potom by se navržená opatření projevila ve</w:t>
      </w:r>
      <w:r w:rsidR="004D5CEF">
        <w:rPr>
          <w:szCs w:val="24"/>
        </w:rPr>
        <w:t> </w:t>
      </w:r>
      <w:r w:rsidRPr="00215161">
        <w:rPr>
          <w:szCs w:val="24"/>
        </w:rPr>
        <w:t>směru snížení úrovně trvale krácených starobních důchodů (větší krácení při přiznání a</w:t>
      </w:r>
      <w:r w:rsidR="004D5CEF">
        <w:rPr>
          <w:szCs w:val="24"/>
        </w:rPr>
        <w:t> </w:t>
      </w:r>
      <w:r w:rsidRPr="00215161">
        <w:rPr>
          <w:szCs w:val="24"/>
        </w:rPr>
        <w:t>nezvyšování vyplácených důchodů valorizací až do dosažení důchodového věku), kdy by tato úspora ve výdajích dosáhla u nově přiznaných důchodů v prvním roce cca 300 mil. Kč (s</w:t>
      </w:r>
      <w:r w:rsidR="004D5CEF">
        <w:rPr>
          <w:szCs w:val="24"/>
        </w:rPr>
        <w:t> </w:t>
      </w:r>
      <w:r w:rsidRPr="00215161">
        <w:rPr>
          <w:szCs w:val="24"/>
        </w:rPr>
        <w:t>následným efektem úspory nevalorizováním těchto důchodů na úrovni dalších cca 250 mil. Kč). Dopad by se v čase postupně (ve vazbě na další přiznané důchody podle nových pravidel) zvyšoval až na cílovou úroveň zhruba 11 – 12 mld. Kč ročně v horizontu 20 - 25 let.</w:t>
      </w:r>
    </w:p>
    <w:p w14:paraId="35511A84" w14:textId="77777777" w:rsidR="003304E3" w:rsidRPr="00215161" w:rsidRDefault="003304E3" w:rsidP="00E70FEE">
      <w:pPr>
        <w:spacing w:after="160" w:line="259" w:lineRule="auto"/>
        <w:ind w:firstLine="426"/>
        <w:rPr>
          <w:szCs w:val="24"/>
        </w:rPr>
      </w:pPr>
      <w:r w:rsidRPr="00215161">
        <w:rPr>
          <w:szCs w:val="24"/>
        </w:rPr>
        <w:t xml:space="preserve">Případnou změnu chování v rozhodnutí o okamžiku odchodu do starobního důchodu lze na základě výše uvedených charakteristik osob odcházejících do předčasného starobního důchodu odhadnout tak, že </w:t>
      </w:r>
      <w:r w:rsidR="00164214">
        <w:rPr>
          <w:szCs w:val="24"/>
        </w:rPr>
        <w:t xml:space="preserve">cca </w:t>
      </w:r>
      <w:r w:rsidRPr="00215161">
        <w:rPr>
          <w:szCs w:val="24"/>
        </w:rPr>
        <w:t xml:space="preserve">25 % by své chování nezměnilo. Šlo by především o ty, kteří jsou před odchodem do důchodu v evidenci úřadu práce a již nepobírají podporu v nezaměstnanosti, </w:t>
      </w:r>
      <w:r w:rsidR="00164214">
        <w:rPr>
          <w:szCs w:val="24"/>
        </w:rPr>
        <w:t xml:space="preserve">o </w:t>
      </w:r>
      <w:r w:rsidRPr="00215161">
        <w:rPr>
          <w:szCs w:val="24"/>
        </w:rPr>
        <w:t xml:space="preserve">osoby neaktivní (pečující nebo invalidní) a potom </w:t>
      </w:r>
      <w:r w:rsidR="00164214">
        <w:rPr>
          <w:szCs w:val="24"/>
        </w:rPr>
        <w:t xml:space="preserve">o </w:t>
      </w:r>
      <w:r w:rsidRPr="00215161">
        <w:rPr>
          <w:szCs w:val="24"/>
        </w:rPr>
        <w:t>část těch</w:t>
      </w:r>
      <w:r w:rsidR="00164214">
        <w:rPr>
          <w:szCs w:val="24"/>
        </w:rPr>
        <w:t>,</w:t>
      </w:r>
      <w:r w:rsidRPr="00215161">
        <w:rPr>
          <w:szCs w:val="24"/>
        </w:rPr>
        <w:t xml:space="preserve"> co ukončují výdělečnou činnost vlastním rozhodnutím (zejména by šlo o ty, jejich výše přiznaného důchodu bude i přes vyšší krácení a vynětí z valorizace relativně vysoko vůči jejich potenciálnímu výdělku z výdělečné činnosti). </w:t>
      </w:r>
      <w:r w:rsidR="00164214">
        <w:rPr>
          <w:szCs w:val="24"/>
        </w:rPr>
        <w:t xml:space="preserve">Cca </w:t>
      </w:r>
      <w:r w:rsidRPr="00215161">
        <w:rPr>
          <w:szCs w:val="24"/>
        </w:rPr>
        <w:t>50 % osob by odchod do</w:t>
      </w:r>
      <w:r w:rsidR="004D5CEF">
        <w:rPr>
          <w:szCs w:val="24"/>
        </w:rPr>
        <w:t> </w:t>
      </w:r>
      <w:r w:rsidRPr="00215161">
        <w:rPr>
          <w:szCs w:val="24"/>
        </w:rPr>
        <w:t>předčasného starobního důchodu nahradilo evidencí na úřadu práce jako uchazeči</w:t>
      </w:r>
      <w:r w:rsidR="00164214">
        <w:rPr>
          <w:szCs w:val="24"/>
        </w:rPr>
        <w:t xml:space="preserve"> </w:t>
      </w:r>
      <w:r w:rsidRPr="00215161">
        <w:rPr>
          <w:szCs w:val="24"/>
        </w:rPr>
        <w:t>o</w:t>
      </w:r>
      <w:r w:rsidR="004D5CEF">
        <w:rPr>
          <w:szCs w:val="24"/>
        </w:rPr>
        <w:t> </w:t>
      </w:r>
      <w:r w:rsidRPr="00215161">
        <w:rPr>
          <w:szCs w:val="24"/>
        </w:rPr>
        <w:t xml:space="preserve">zaměstnání. Šlo by zejména o ty, kteří již byli v evidenci a stále jim náleží podpora v nezaměstnanosti, a potom </w:t>
      </w:r>
      <w:r w:rsidR="00164214">
        <w:rPr>
          <w:szCs w:val="24"/>
        </w:rPr>
        <w:t xml:space="preserve">o </w:t>
      </w:r>
      <w:r w:rsidRPr="00215161">
        <w:rPr>
          <w:szCs w:val="24"/>
        </w:rPr>
        <w:t xml:space="preserve">ty, kteří byli propuštěni </w:t>
      </w:r>
      <w:r w:rsidR="00A85E8D">
        <w:rPr>
          <w:szCs w:val="24"/>
        </w:rPr>
        <w:t xml:space="preserve">ze zaměstnání </w:t>
      </w:r>
      <w:r w:rsidRPr="00215161">
        <w:rPr>
          <w:szCs w:val="24"/>
        </w:rPr>
        <w:t xml:space="preserve">či </w:t>
      </w:r>
      <w:r w:rsidR="00A85E8D">
        <w:rPr>
          <w:szCs w:val="24"/>
        </w:rPr>
        <w:t xml:space="preserve">byli </w:t>
      </w:r>
      <w:r w:rsidRPr="00215161">
        <w:rPr>
          <w:szCs w:val="24"/>
        </w:rPr>
        <w:t>nuceni ukončit samostatnou výdělečnou činnost a nyní odchází přímo do předčasného starobního důchodu (nově by místo toho vstoupili</w:t>
      </w:r>
      <w:r w:rsidR="00164214">
        <w:rPr>
          <w:szCs w:val="24"/>
        </w:rPr>
        <w:t xml:space="preserve"> </w:t>
      </w:r>
      <w:r w:rsidRPr="00215161">
        <w:rPr>
          <w:szCs w:val="24"/>
        </w:rPr>
        <w:t xml:space="preserve">do evidence). Posledních až 25 % </w:t>
      </w:r>
      <w:r w:rsidR="002026C2">
        <w:rPr>
          <w:szCs w:val="24"/>
        </w:rPr>
        <w:t>pravděpodobně</w:t>
      </w:r>
      <w:r w:rsidRPr="00215161">
        <w:rPr>
          <w:szCs w:val="24"/>
        </w:rPr>
        <w:t xml:space="preserve"> setrv</w:t>
      </w:r>
      <w:r w:rsidR="002026C2">
        <w:rPr>
          <w:szCs w:val="24"/>
        </w:rPr>
        <w:t>á</w:t>
      </w:r>
      <w:r w:rsidRPr="00215161">
        <w:rPr>
          <w:szCs w:val="24"/>
        </w:rPr>
        <w:t xml:space="preserve"> ve</w:t>
      </w:r>
      <w:r w:rsidR="00C25EB4">
        <w:rPr>
          <w:szCs w:val="24"/>
        </w:rPr>
        <w:t> </w:t>
      </w:r>
      <w:r w:rsidRPr="00215161">
        <w:rPr>
          <w:szCs w:val="24"/>
        </w:rPr>
        <w:t>výdělečné činnost</w:t>
      </w:r>
      <w:r w:rsidR="00A85E8D">
        <w:rPr>
          <w:szCs w:val="24"/>
        </w:rPr>
        <w:t>i</w:t>
      </w:r>
      <w:r w:rsidRPr="00215161">
        <w:rPr>
          <w:szCs w:val="24"/>
        </w:rPr>
        <w:t xml:space="preserve">. Šlo by především o část těch, kteří nyní ukončují výdělečnou činnost z vlastního rozhodnutí. </w:t>
      </w:r>
      <w:r w:rsidR="00164214">
        <w:rPr>
          <w:szCs w:val="24"/>
        </w:rPr>
        <w:t>N</w:t>
      </w:r>
      <w:r w:rsidRPr="00215161">
        <w:rPr>
          <w:szCs w:val="24"/>
        </w:rPr>
        <w:t>a základě historického vývoje (</w:t>
      </w:r>
      <w:r w:rsidRPr="00215161">
        <w:rPr>
          <w:szCs w:val="24"/>
        </w:rPr>
        <w:fldChar w:fldCharType="begin"/>
      </w:r>
      <w:r w:rsidRPr="00215161">
        <w:rPr>
          <w:szCs w:val="24"/>
        </w:rPr>
        <w:instrText xml:space="preserve"> REF _Ref125963400 \h  \* MERGEFORMAT </w:instrText>
      </w:r>
      <w:r w:rsidRPr="00215161">
        <w:rPr>
          <w:szCs w:val="24"/>
        </w:rPr>
      </w:r>
      <w:r w:rsidRPr="00215161">
        <w:rPr>
          <w:szCs w:val="24"/>
        </w:rPr>
        <w:fldChar w:fldCharType="separate"/>
      </w:r>
      <w:r w:rsidR="00880F0E" w:rsidRPr="00880F0E">
        <w:rPr>
          <w:szCs w:val="24"/>
        </w:rPr>
        <w:t xml:space="preserve">Graf </w:t>
      </w:r>
      <w:r w:rsidR="00880F0E" w:rsidRPr="00880F0E">
        <w:rPr>
          <w:noProof/>
          <w:szCs w:val="24"/>
        </w:rPr>
        <w:t>1</w:t>
      </w:r>
      <w:r w:rsidRPr="00215161">
        <w:rPr>
          <w:szCs w:val="24"/>
        </w:rPr>
        <w:fldChar w:fldCharType="end"/>
      </w:r>
      <w:r w:rsidRPr="00215161">
        <w:rPr>
          <w:szCs w:val="24"/>
        </w:rPr>
        <w:t xml:space="preserve">) </w:t>
      </w:r>
      <w:r w:rsidR="00164214">
        <w:rPr>
          <w:szCs w:val="24"/>
        </w:rPr>
        <w:t xml:space="preserve">je přitom </w:t>
      </w:r>
      <w:r w:rsidRPr="00215161">
        <w:rPr>
          <w:szCs w:val="24"/>
        </w:rPr>
        <w:t>pravděpodobné, že část těch, kteří odchod</w:t>
      </w:r>
      <w:r w:rsidR="00164214">
        <w:rPr>
          <w:szCs w:val="24"/>
        </w:rPr>
        <w:t xml:space="preserve"> </w:t>
      </w:r>
      <w:r w:rsidRPr="00215161">
        <w:rPr>
          <w:szCs w:val="24"/>
        </w:rPr>
        <w:t>do starobního důchodu odloží, odejd</w:t>
      </w:r>
      <w:r w:rsidR="00CD4598">
        <w:rPr>
          <w:szCs w:val="24"/>
        </w:rPr>
        <w:t>e</w:t>
      </w:r>
      <w:r w:rsidRPr="00215161">
        <w:rPr>
          <w:szCs w:val="24"/>
        </w:rPr>
        <w:t xml:space="preserve"> předčasně, </w:t>
      </w:r>
      <w:r w:rsidR="005548A3">
        <w:rPr>
          <w:szCs w:val="24"/>
        </w:rPr>
        <w:t xml:space="preserve">nicméně </w:t>
      </w:r>
      <w:r w:rsidRPr="00215161">
        <w:rPr>
          <w:szCs w:val="24"/>
        </w:rPr>
        <w:t>doba předčasnosti se zkrátí.</w:t>
      </w:r>
    </w:p>
    <w:p w14:paraId="03730A5B" w14:textId="77777777" w:rsidR="003304E3" w:rsidRPr="00215161" w:rsidRDefault="003304E3" w:rsidP="00E70FEE">
      <w:pPr>
        <w:spacing w:after="160" w:line="259" w:lineRule="auto"/>
        <w:ind w:firstLine="426"/>
        <w:rPr>
          <w:szCs w:val="24"/>
        </w:rPr>
      </w:pPr>
      <w:r w:rsidRPr="00215161">
        <w:rPr>
          <w:szCs w:val="24"/>
        </w:rPr>
        <w:t>Výsledný dopad při</w:t>
      </w:r>
      <w:r w:rsidR="005548A3">
        <w:rPr>
          <w:szCs w:val="24"/>
        </w:rPr>
        <w:t xml:space="preserve"> popsané</w:t>
      </w:r>
      <w:r w:rsidRPr="00215161">
        <w:rPr>
          <w:szCs w:val="24"/>
        </w:rPr>
        <w:t xml:space="preserve"> změně chování by byl v prvním roce na úrovni pozitivního rozpočtového přínosu ve výši cca 400 mil. Kč. Tento celkový dopad by se skládal z úspory na</w:t>
      </w:r>
      <w:r w:rsidR="00C25EB4">
        <w:rPr>
          <w:szCs w:val="24"/>
        </w:rPr>
        <w:t> </w:t>
      </w:r>
      <w:r w:rsidRPr="00215161">
        <w:rPr>
          <w:szCs w:val="24"/>
        </w:rPr>
        <w:t>výplatách důchodů (nevyplacené důchody z důvodu odložení odchodu a nižší důchody z důvodu vyššího krácení a nezvyšování předčasných důchodů částečně zmírněný vyššími výdaji na důchody těch</w:t>
      </w:r>
      <w:r w:rsidR="00A05598">
        <w:rPr>
          <w:szCs w:val="24"/>
        </w:rPr>
        <w:t>,</w:t>
      </w:r>
      <w:r w:rsidRPr="00215161">
        <w:rPr>
          <w:szCs w:val="24"/>
        </w:rPr>
        <w:t xml:space="preserve"> co odchod odložili) ve výši 1,8 mld. Kč, vyšších příjmů z pojistného a daní z příjm</w:t>
      </w:r>
      <w:r w:rsidR="00164214">
        <w:rPr>
          <w:szCs w:val="24"/>
        </w:rPr>
        <w:t>ů</w:t>
      </w:r>
      <w:r w:rsidRPr="00215161">
        <w:rPr>
          <w:szCs w:val="24"/>
        </w:rPr>
        <w:t xml:space="preserve"> fyzických osob ve výši cca 450 mil. Kč a na druhé straně vyšších výdajů</w:t>
      </w:r>
      <w:r w:rsidR="00D03391">
        <w:rPr>
          <w:szCs w:val="24"/>
        </w:rPr>
        <w:t xml:space="preserve"> </w:t>
      </w:r>
      <w:r w:rsidRPr="00215161">
        <w:rPr>
          <w:szCs w:val="24"/>
        </w:rPr>
        <w:t>na</w:t>
      </w:r>
      <w:r w:rsidR="00C25EB4">
        <w:rPr>
          <w:szCs w:val="24"/>
        </w:rPr>
        <w:t> </w:t>
      </w:r>
      <w:r w:rsidR="00164214">
        <w:rPr>
          <w:szCs w:val="24"/>
        </w:rPr>
        <w:t xml:space="preserve">dávky </w:t>
      </w:r>
      <w:r w:rsidRPr="00215161">
        <w:rPr>
          <w:szCs w:val="24"/>
        </w:rPr>
        <w:t>nemocenské</w:t>
      </w:r>
      <w:r w:rsidR="00164214">
        <w:rPr>
          <w:szCs w:val="24"/>
        </w:rPr>
        <w:t>ho pojištění</w:t>
      </w:r>
      <w:r w:rsidRPr="00215161">
        <w:rPr>
          <w:szCs w:val="24"/>
        </w:rPr>
        <w:t xml:space="preserve"> cca 15 mil. Kč a vyšších nákladů na nezaměstnané na úrovni cca 1,8 mld. Kč. Efekty plynoucí z nižší (krácení a vynětí z valorizace) resp. vyšší (odložení odchodu do důchodu) úrovně přiznaných důchodů by se v čase (obdobně jako v situaci nezměněného chování) vyvíjely, přičemž v cílovém stavu by se pozitivní rozpočtový dopad pohyboval na úrovni cca 1 mld. Kč ročně v horizontu 20 – 25 let.</w:t>
      </w:r>
    </w:p>
    <w:p w14:paraId="6F60F4B6" w14:textId="77777777" w:rsidR="003304E3" w:rsidRPr="00215161" w:rsidRDefault="003304E3" w:rsidP="00164214">
      <w:pPr>
        <w:spacing w:after="160"/>
        <w:rPr>
          <w:szCs w:val="24"/>
          <w:u w:val="single"/>
        </w:rPr>
      </w:pPr>
      <w:r w:rsidRPr="00215161">
        <w:rPr>
          <w:szCs w:val="24"/>
          <w:u w:val="single"/>
        </w:rPr>
        <w:t>Změny ve způsobu zvyšování důchodů</w:t>
      </w:r>
    </w:p>
    <w:p w14:paraId="7598D809" w14:textId="77777777" w:rsidR="003304E3" w:rsidRPr="00215161" w:rsidRDefault="003304E3" w:rsidP="00E70FEE">
      <w:pPr>
        <w:spacing w:after="160" w:line="259" w:lineRule="auto"/>
        <w:ind w:firstLine="426"/>
        <w:rPr>
          <w:szCs w:val="24"/>
        </w:rPr>
      </w:pPr>
      <w:r w:rsidRPr="00215161">
        <w:rPr>
          <w:szCs w:val="24"/>
        </w:rPr>
        <w:t>Podle dříve provedených odhadů</w:t>
      </w:r>
      <w:r w:rsidRPr="00215161">
        <w:rPr>
          <w:szCs w:val="24"/>
          <w:vertAlign w:val="superscript"/>
        </w:rPr>
        <w:footnoteReference w:id="7"/>
      </w:r>
      <w:r w:rsidRPr="00215161">
        <w:rPr>
          <w:szCs w:val="24"/>
        </w:rPr>
        <w:t xml:space="preserve"> by se efekt výběru cenového indexu (CPI vs. IŽND) s vyšším aktuálním růstem měl dlouhodobě pohybovat v průměrném ročním dodatečném zvýšení důchodů o 0,2 p.b. Použití pouze jednoho z cenových indexů (konkrétně IŽND) má </w:t>
      </w:r>
      <w:r w:rsidRPr="00215161">
        <w:rPr>
          <w:szCs w:val="24"/>
        </w:rPr>
        <w:lastRenderedPageBreak/>
        <w:t>tedy potenciál v dlouhém období snížit roční dynamiku zvyšování důchodů v průměru o</w:t>
      </w:r>
      <w:r w:rsidR="00C25EB4">
        <w:rPr>
          <w:szCs w:val="24"/>
        </w:rPr>
        <w:t> </w:t>
      </w:r>
      <w:r w:rsidRPr="00215161">
        <w:rPr>
          <w:szCs w:val="24"/>
        </w:rPr>
        <w:t>uvedených 0,2 p.b.</w:t>
      </w:r>
    </w:p>
    <w:p w14:paraId="03A4BD18" w14:textId="77777777" w:rsidR="003304E3" w:rsidRPr="00215161" w:rsidRDefault="003304E3" w:rsidP="00E70FEE">
      <w:pPr>
        <w:spacing w:after="160" w:line="259" w:lineRule="auto"/>
        <w:ind w:firstLine="426"/>
        <w:rPr>
          <w:szCs w:val="24"/>
        </w:rPr>
      </w:pPr>
      <w:r w:rsidRPr="00215161">
        <w:rPr>
          <w:szCs w:val="24"/>
        </w:rPr>
        <w:t>Tato nižší dynamika růstu důchodů povede ke snížení výdajů na důchody oproti vývoji podle současného právního stavu o 0,1 – 0,2 % HDP ročně (tj. v hodnotách současného HDP o cca 10 mld. Kč).</w:t>
      </w:r>
    </w:p>
    <w:p w14:paraId="61F703E1" w14:textId="77777777" w:rsidR="003304E3" w:rsidRPr="00215161" w:rsidRDefault="003304E3" w:rsidP="00E70FEE">
      <w:pPr>
        <w:spacing w:after="160" w:line="259" w:lineRule="auto"/>
        <w:ind w:firstLine="426"/>
        <w:rPr>
          <w:szCs w:val="24"/>
        </w:rPr>
      </w:pPr>
      <w:r w:rsidRPr="00215161">
        <w:rPr>
          <w:szCs w:val="24"/>
        </w:rPr>
        <w:t>Snížení zápočtu růstu reálných mezd z jedné poloviny na je</w:t>
      </w:r>
      <w:r w:rsidR="00D75315">
        <w:rPr>
          <w:szCs w:val="24"/>
        </w:rPr>
        <w:t>d</w:t>
      </w:r>
      <w:r w:rsidRPr="00215161">
        <w:rPr>
          <w:szCs w:val="24"/>
        </w:rPr>
        <w:t>nu třetinu se poprvé projeví až při zvýšení důchodů kolem roku 2030 (konkrétně v okamžiku až výše reálné mzdy převýší hodnotu dosaženou v roce 2021). Do té doby se podle platné právní úpravy nebude růst reálných mezd (jako kompenzace předchozího poklesu) do zvýšení důchodů zahrnovat.</w:t>
      </w:r>
    </w:p>
    <w:p w14:paraId="5C5CB77D" w14:textId="77777777" w:rsidR="003304E3" w:rsidRPr="00215161" w:rsidRDefault="003304E3" w:rsidP="00E70FEE">
      <w:pPr>
        <w:keepNext/>
        <w:spacing w:after="200"/>
        <w:ind w:firstLine="426"/>
        <w:rPr>
          <w:i/>
          <w:iCs/>
          <w:color w:val="44546A"/>
          <w:szCs w:val="24"/>
        </w:rPr>
      </w:pPr>
      <w:r w:rsidRPr="00215161">
        <w:rPr>
          <w:i/>
          <w:iCs/>
          <w:color w:val="44546A"/>
          <w:szCs w:val="24"/>
        </w:rPr>
        <w:t xml:space="preserve">Graf </w:t>
      </w:r>
      <w:r w:rsidRPr="00215161">
        <w:rPr>
          <w:i/>
          <w:iCs/>
          <w:color w:val="44546A"/>
          <w:szCs w:val="24"/>
        </w:rPr>
        <w:fldChar w:fldCharType="begin"/>
      </w:r>
      <w:r w:rsidRPr="00215161">
        <w:rPr>
          <w:i/>
          <w:iCs/>
          <w:color w:val="44546A"/>
          <w:szCs w:val="24"/>
        </w:rPr>
        <w:instrText xml:space="preserve"> SEQ Graf \* ARABIC </w:instrText>
      </w:r>
      <w:r w:rsidRPr="00215161">
        <w:rPr>
          <w:i/>
          <w:iCs/>
          <w:color w:val="44546A"/>
          <w:szCs w:val="24"/>
        </w:rPr>
        <w:fldChar w:fldCharType="separate"/>
      </w:r>
      <w:r w:rsidR="00880F0E">
        <w:rPr>
          <w:i/>
          <w:iCs/>
          <w:noProof/>
          <w:color w:val="44546A"/>
          <w:szCs w:val="24"/>
        </w:rPr>
        <w:t>7</w:t>
      </w:r>
      <w:r w:rsidRPr="00215161">
        <w:rPr>
          <w:i/>
          <w:iCs/>
          <w:noProof/>
          <w:color w:val="44546A"/>
          <w:szCs w:val="24"/>
        </w:rPr>
        <w:fldChar w:fldCharType="end"/>
      </w:r>
      <w:r w:rsidRPr="00215161">
        <w:rPr>
          <w:i/>
          <w:iCs/>
          <w:color w:val="44546A"/>
          <w:szCs w:val="24"/>
        </w:rPr>
        <w:t xml:space="preserve"> – Vývoj úspory výdajů na důchody z důvodu snížení zohlednění růstu reálné mzdy</w:t>
      </w:r>
    </w:p>
    <w:p w14:paraId="6BF80DB3" w14:textId="73BADD8D" w:rsidR="003304E3" w:rsidRPr="00215161" w:rsidRDefault="007B4821" w:rsidP="00E70FEE">
      <w:pPr>
        <w:spacing w:after="160" w:line="259" w:lineRule="auto"/>
        <w:ind w:firstLine="426"/>
        <w:rPr>
          <w:szCs w:val="24"/>
        </w:rPr>
      </w:pPr>
      <w:r w:rsidRPr="00215161">
        <w:rPr>
          <w:noProof/>
          <w:szCs w:val="24"/>
        </w:rPr>
        <w:drawing>
          <wp:inline distT="0" distB="0" distL="0" distR="0" wp14:anchorId="2B3C7862" wp14:editId="37D14E70">
            <wp:extent cx="5608320" cy="3108960"/>
            <wp:effectExtent l="0" t="0" r="0" b="0"/>
            <wp:docPr id="9"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608320" cy="3108960"/>
                    </a:xfrm>
                    <a:prstGeom prst="rect">
                      <a:avLst/>
                    </a:prstGeom>
                    <a:noFill/>
                    <a:ln>
                      <a:noFill/>
                    </a:ln>
                  </pic:spPr>
                </pic:pic>
              </a:graphicData>
            </a:graphic>
          </wp:inline>
        </w:drawing>
      </w:r>
    </w:p>
    <w:p w14:paraId="26327D52" w14:textId="77777777" w:rsidR="003304E3" w:rsidRPr="00215161" w:rsidRDefault="003304E3" w:rsidP="00E70FEE">
      <w:pPr>
        <w:spacing w:after="160" w:line="259" w:lineRule="auto"/>
        <w:ind w:firstLine="426"/>
        <w:rPr>
          <w:szCs w:val="24"/>
        </w:rPr>
      </w:pPr>
      <w:r w:rsidRPr="00215161">
        <w:rPr>
          <w:szCs w:val="24"/>
        </w:rPr>
        <w:t>Úspora výdajů na důchody se bude postupně zvyšovat tak, jak budou vyplácené důchody po delší dobu své výplaty „zasaženy“ nižším zohledněním růstu reálné mzdy</w:t>
      </w:r>
      <w:r w:rsidR="00164214">
        <w:rPr>
          <w:szCs w:val="24"/>
        </w:rPr>
        <w:t>,</w:t>
      </w:r>
      <w:r w:rsidRPr="00215161">
        <w:rPr>
          <w:szCs w:val="24"/>
        </w:rPr>
        <w:t xml:space="preserve"> s tím, že v dlouhém období by se dopad této změny měl pohybovat na úrovni kolem 0,3 % HDP ročně (tj. v hodnotách současného HDP cca 20 mld. Kč).</w:t>
      </w:r>
    </w:p>
    <w:p w14:paraId="79FE7ED7" w14:textId="77777777" w:rsidR="003304E3" w:rsidRPr="00215161" w:rsidRDefault="003304E3" w:rsidP="00164214">
      <w:pPr>
        <w:spacing w:after="160"/>
        <w:rPr>
          <w:szCs w:val="24"/>
          <w:u w:val="single"/>
        </w:rPr>
      </w:pPr>
      <w:r w:rsidRPr="00215161">
        <w:rPr>
          <w:szCs w:val="24"/>
          <w:u w:val="single"/>
        </w:rPr>
        <w:t>Nahrazení zvýšení důchodů v mimořádném termínu dočasným plněním</w:t>
      </w:r>
    </w:p>
    <w:p w14:paraId="3354E5F5" w14:textId="77777777" w:rsidR="003304E3" w:rsidRPr="00215161" w:rsidRDefault="003304E3" w:rsidP="00E70FEE">
      <w:pPr>
        <w:spacing w:after="160" w:line="259" w:lineRule="auto"/>
        <w:ind w:firstLine="426"/>
        <w:rPr>
          <w:szCs w:val="24"/>
        </w:rPr>
      </w:pPr>
      <w:r w:rsidRPr="00215161">
        <w:rPr>
          <w:szCs w:val="24"/>
        </w:rPr>
        <w:t>Vzhledem k tomu, že zvýšení důchodů v mimořádném termínu reaguje na vysoký</w:t>
      </w:r>
      <w:r w:rsidR="00CE214F">
        <w:rPr>
          <w:szCs w:val="24"/>
        </w:rPr>
        <w:t xml:space="preserve"> a</w:t>
      </w:r>
      <w:r w:rsidR="00C25EB4">
        <w:rPr>
          <w:szCs w:val="24"/>
        </w:rPr>
        <w:t> </w:t>
      </w:r>
      <w:r w:rsidR="00CE214F">
        <w:rPr>
          <w:szCs w:val="24"/>
        </w:rPr>
        <w:t>především rychlý</w:t>
      </w:r>
      <w:r w:rsidRPr="00215161">
        <w:rPr>
          <w:szCs w:val="24"/>
        </w:rPr>
        <w:t xml:space="preserve"> cenový růst nad 5 %, což je</w:t>
      </w:r>
      <w:r w:rsidR="00CE214F">
        <w:rPr>
          <w:szCs w:val="24"/>
        </w:rPr>
        <w:t xml:space="preserve"> obecně</w:t>
      </w:r>
      <w:r w:rsidRPr="00215161">
        <w:rPr>
          <w:szCs w:val="24"/>
        </w:rPr>
        <w:t xml:space="preserve"> jev</w:t>
      </w:r>
      <w:r w:rsidR="00CE214F">
        <w:rPr>
          <w:szCs w:val="24"/>
        </w:rPr>
        <w:t xml:space="preserve"> v rámci normálního ekonomického vývoje značně</w:t>
      </w:r>
      <w:r w:rsidRPr="00215161">
        <w:rPr>
          <w:szCs w:val="24"/>
        </w:rPr>
        <w:t xml:space="preserve"> výjimečný a nahodilý, nelze rozpočtové dopady přímo odhadnout</w:t>
      </w:r>
      <w:r w:rsidR="00CE214F">
        <w:rPr>
          <w:szCs w:val="24"/>
        </w:rPr>
        <w:t xml:space="preserve"> a vyčíslit</w:t>
      </w:r>
      <w:r w:rsidRPr="00215161">
        <w:rPr>
          <w:szCs w:val="24"/>
        </w:rPr>
        <w:t>, ale pouze ilustrovat, a to konkrétně např. na vývoji v roce 2022.</w:t>
      </w:r>
    </w:p>
    <w:p w14:paraId="5B06B88D" w14:textId="77777777" w:rsidR="00AC5EB7" w:rsidRPr="00215161" w:rsidRDefault="003304E3" w:rsidP="00E70FEE">
      <w:pPr>
        <w:spacing w:after="160" w:line="259" w:lineRule="auto"/>
        <w:ind w:firstLine="426"/>
        <w:rPr>
          <w:szCs w:val="24"/>
        </w:rPr>
      </w:pPr>
      <w:r w:rsidRPr="00215161">
        <w:rPr>
          <w:szCs w:val="24"/>
        </w:rPr>
        <w:t>Podle současného právní</w:t>
      </w:r>
      <w:r w:rsidR="00AC0EA6">
        <w:rPr>
          <w:szCs w:val="24"/>
        </w:rPr>
        <w:t>ho</w:t>
      </w:r>
      <w:r w:rsidRPr="00215161">
        <w:rPr>
          <w:szCs w:val="24"/>
        </w:rPr>
        <w:t xml:space="preserve"> stavu</w:t>
      </w:r>
      <w:r w:rsidRPr="00215161">
        <w:rPr>
          <w:szCs w:val="24"/>
          <w:vertAlign w:val="superscript"/>
        </w:rPr>
        <w:footnoteReference w:id="8"/>
      </w:r>
      <w:r w:rsidRPr="00215161">
        <w:rPr>
          <w:szCs w:val="24"/>
        </w:rPr>
        <w:t xml:space="preserve"> by se náklady na zvýšení důchodů v mimořádném termínu v roce 2023 pohybovaly na úrovni cca 34 mld. Kč. Při aplikaci navrhované úpravy dočasného plnění by byly výdaje o cca 10 mld. Kč nižší. Úspora by plynula ze dvou důvodů, a to jednak tím, že dočasné plnění </w:t>
      </w:r>
      <w:r w:rsidR="00164214">
        <w:rPr>
          <w:szCs w:val="24"/>
        </w:rPr>
        <w:t xml:space="preserve">(tj. dočasný přídavek) </w:t>
      </w:r>
      <w:r w:rsidRPr="00215161">
        <w:rPr>
          <w:szCs w:val="24"/>
        </w:rPr>
        <w:t xml:space="preserve">by bylo vypláceno až od července, </w:t>
      </w:r>
      <w:r w:rsidRPr="00215161">
        <w:rPr>
          <w:szCs w:val="24"/>
        </w:rPr>
        <w:lastRenderedPageBreak/>
        <w:t>zatímco zvýšení v mimořádném termínu by proběhlo již v červnu a také tím, že při dočasném plnění se bude brát do úvahy pouze 60 % růstu cen.</w:t>
      </w:r>
    </w:p>
    <w:p w14:paraId="2BE2DD2E" w14:textId="77777777" w:rsidR="00A718E3" w:rsidRPr="00215161" w:rsidRDefault="00A718E3" w:rsidP="00164214">
      <w:pPr>
        <w:keepNext/>
        <w:spacing w:before="240" w:after="240"/>
        <w:rPr>
          <w:b/>
          <w:bCs/>
          <w:szCs w:val="24"/>
        </w:rPr>
      </w:pPr>
      <w:r w:rsidRPr="00215161">
        <w:rPr>
          <w:b/>
          <w:bCs/>
          <w:szCs w:val="24"/>
        </w:rPr>
        <w:t>Dopad na ostatní veřejné rozpočty</w:t>
      </w:r>
    </w:p>
    <w:p w14:paraId="394BED07" w14:textId="77777777" w:rsidR="00A718E3" w:rsidRPr="00215161" w:rsidRDefault="00A718E3" w:rsidP="00E70FEE">
      <w:pPr>
        <w:spacing w:before="120"/>
        <w:ind w:firstLine="426"/>
        <w:rPr>
          <w:b/>
          <w:bCs/>
          <w:szCs w:val="24"/>
        </w:rPr>
      </w:pPr>
      <w:r w:rsidRPr="00215161">
        <w:rPr>
          <w:szCs w:val="24"/>
        </w:rPr>
        <w:t>Změny nemají dopad na ostatní veřejné rozpočty.</w:t>
      </w:r>
    </w:p>
    <w:p w14:paraId="30D0EBAD" w14:textId="77777777" w:rsidR="00A718E3" w:rsidRPr="00215161" w:rsidRDefault="00A718E3" w:rsidP="00164214">
      <w:pPr>
        <w:spacing w:before="240" w:after="240"/>
        <w:rPr>
          <w:b/>
          <w:bCs/>
          <w:szCs w:val="24"/>
        </w:rPr>
      </w:pPr>
      <w:r w:rsidRPr="00215161">
        <w:rPr>
          <w:b/>
          <w:bCs/>
          <w:szCs w:val="24"/>
        </w:rPr>
        <w:t>Dopad na podnikatelské prostředí</w:t>
      </w:r>
    </w:p>
    <w:p w14:paraId="59EE2649" w14:textId="77777777" w:rsidR="00FA5690" w:rsidRPr="00215161" w:rsidRDefault="009E1DE0" w:rsidP="00E70FEE">
      <w:pPr>
        <w:spacing w:before="120"/>
        <w:ind w:firstLine="426"/>
        <w:rPr>
          <w:szCs w:val="24"/>
        </w:rPr>
      </w:pPr>
      <w:r w:rsidRPr="00215161">
        <w:rPr>
          <w:szCs w:val="24"/>
        </w:rPr>
        <w:t>Změny nemají dopad na podnikatelské prostředí.</w:t>
      </w:r>
    </w:p>
    <w:p w14:paraId="203FA194" w14:textId="77777777" w:rsidR="005A787F" w:rsidRPr="00215161" w:rsidRDefault="00A718E3" w:rsidP="00164214">
      <w:pPr>
        <w:spacing w:before="240" w:after="240"/>
        <w:rPr>
          <w:b/>
          <w:bCs/>
          <w:szCs w:val="24"/>
        </w:rPr>
      </w:pPr>
      <w:r w:rsidRPr="00215161">
        <w:rPr>
          <w:b/>
          <w:bCs/>
          <w:szCs w:val="24"/>
        </w:rPr>
        <w:t>Sociální dopady</w:t>
      </w:r>
    </w:p>
    <w:p w14:paraId="44266330" w14:textId="77777777" w:rsidR="00215161" w:rsidRPr="00215161" w:rsidRDefault="00215161" w:rsidP="00164214">
      <w:pPr>
        <w:spacing w:after="160"/>
        <w:rPr>
          <w:u w:val="single"/>
        </w:rPr>
      </w:pPr>
      <w:r w:rsidRPr="00215161">
        <w:rPr>
          <w:u w:val="single"/>
        </w:rPr>
        <w:t>Úpravy předčasných starobních důchodů</w:t>
      </w:r>
    </w:p>
    <w:p w14:paraId="0FB7F9AA" w14:textId="77777777" w:rsidR="00215161" w:rsidRPr="00215161" w:rsidRDefault="00215161" w:rsidP="00E70FEE">
      <w:pPr>
        <w:spacing w:after="160"/>
        <w:ind w:firstLine="426"/>
        <w:rPr>
          <w:szCs w:val="24"/>
        </w:rPr>
      </w:pPr>
      <w:r w:rsidRPr="00215161">
        <w:rPr>
          <w:szCs w:val="24"/>
        </w:rPr>
        <w:t>Zvýšené krácení předčasných starobních důchodů a jejich vynětí z valorizace do dosažení důchodového věku bude mít negativní vliv na výši těchto důchodů. V případě, že nedojde</w:t>
      </w:r>
      <w:r w:rsidR="00C25EB4">
        <w:rPr>
          <w:szCs w:val="24"/>
        </w:rPr>
        <w:t xml:space="preserve"> </w:t>
      </w:r>
      <w:r w:rsidRPr="00215161">
        <w:rPr>
          <w:szCs w:val="24"/>
        </w:rPr>
        <w:t>ke</w:t>
      </w:r>
      <w:r w:rsidR="00C25EB4">
        <w:rPr>
          <w:szCs w:val="24"/>
        </w:rPr>
        <w:t> </w:t>
      </w:r>
      <w:r w:rsidRPr="00215161">
        <w:rPr>
          <w:szCs w:val="24"/>
        </w:rPr>
        <w:t>změně chování týkající se rozhodnutí o odchodu do starobního důchodu</w:t>
      </w:r>
      <w:r w:rsidR="00164214">
        <w:rPr>
          <w:szCs w:val="24"/>
        </w:rPr>
        <w:t>,</w:t>
      </w:r>
      <w:r w:rsidRPr="00215161">
        <w:rPr>
          <w:szCs w:val="24"/>
        </w:rPr>
        <w:t xml:space="preserve"> by se tyto důchody dodatečně (oproti současnému stavu) snížily o 7 – 12 % (průměrně o 1600</w:t>
      </w:r>
      <w:r w:rsidR="00C25EB4">
        <w:rPr>
          <w:szCs w:val="24"/>
        </w:rPr>
        <w:noBreakHyphen/>
      </w:r>
      <w:r w:rsidRPr="00215161">
        <w:rPr>
          <w:szCs w:val="24"/>
        </w:rPr>
        <w:t>1700</w:t>
      </w:r>
      <w:r w:rsidR="00C25EB4">
        <w:rPr>
          <w:szCs w:val="24"/>
        </w:rPr>
        <w:t> </w:t>
      </w:r>
      <w:r w:rsidRPr="00215161">
        <w:rPr>
          <w:szCs w:val="24"/>
        </w:rPr>
        <w:t>Kč, u 2 % těchto důchodců by bylo dodatečné snížení vyšší než 2</w:t>
      </w:r>
      <w:r w:rsidR="00D03391">
        <w:rPr>
          <w:szCs w:val="24"/>
        </w:rPr>
        <w:t xml:space="preserve"> </w:t>
      </w:r>
      <w:r w:rsidRPr="00215161">
        <w:rPr>
          <w:szCs w:val="24"/>
        </w:rPr>
        <w:t>500 Kč)</w:t>
      </w:r>
      <w:r>
        <w:rPr>
          <w:szCs w:val="24"/>
        </w:rPr>
        <w:t>.</w:t>
      </w:r>
    </w:p>
    <w:p w14:paraId="1FF19E57" w14:textId="77777777" w:rsidR="00215161" w:rsidRPr="00215161" w:rsidRDefault="00215161" w:rsidP="00E70FEE">
      <w:pPr>
        <w:pStyle w:val="Titulek"/>
        <w:keepNext/>
        <w:ind w:firstLine="426"/>
        <w:jc w:val="both"/>
        <w:rPr>
          <w:rFonts w:ascii="Times New Roman" w:hAnsi="Times New Roman"/>
          <w:sz w:val="24"/>
          <w:szCs w:val="24"/>
        </w:rPr>
      </w:pPr>
      <w:r w:rsidRPr="00215161">
        <w:rPr>
          <w:rFonts w:ascii="Times New Roman" w:hAnsi="Times New Roman"/>
          <w:sz w:val="24"/>
          <w:szCs w:val="24"/>
        </w:rPr>
        <w:t xml:space="preserve">Graf </w:t>
      </w:r>
      <w:r w:rsidRPr="00215161">
        <w:rPr>
          <w:rFonts w:ascii="Times New Roman" w:hAnsi="Times New Roman"/>
          <w:sz w:val="24"/>
          <w:szCs w:val="24"/>
        </w:rPr>
        <w:fldChar w:fldCharType="begin"/>
      </w:r>
      <w:r w:rsidRPr="00215161">
        <w:rPr>
          <w:rFonts w:ascii="Times New Roman" w:hAnsi="Times New Roman"/>
          <w:sz w:val="24"/>
          <w:szCs w:val="24"/>
        </w:rPr>
        <w:instrText xml:space="preserve"> SEQ Graf \* ARABIC </w:instrText>
      </w:r>
      <w:r w:rsidRPr="00215161">
        <w:rPr>
          <w:rFonts w:ascii="Times New Roman" w:hAnsi="Times New Roman"/>
          <w:sz w:val="24"/>
          <w:szCs w:val="24"/>
        </w:rPr>
        <w:fldChar w:fldCharType="separate"/>
      </w:r>
      <w:r w:rsidR="00880F0E">
        <w:rPr>
          <w:rFonts w:ascii="Times New Roman" w:hAnsi="Times New Roman"/>
          <w:noProof/>
          <w:sz w:val="24"/>
          <w:szCs w:val="24"/>
        </w:rPr>
        <w:t>8</w:t>
      </w:r>
      <w:r w:rsidRPr="00215161">
        <w:rPr>
          <w:rFonts w:ascii="Times New Roman" w:hAnsi="Times New Roman"/>
          <w:noProof/>
          <w:sz w:val="24"/>
          <w:szCs w:val="24"/>
        </w:rPr>
        <w:fldChar w:fldCharType="end"/>
      </w:r>
      <w:r w:rsidRPr="00215161">
        <w:rPr>
          <w:rFonts w:ascii="Times New Roman" w:hAnsi="Times New Roman"/>
          <w:sz w:val="24"/>
          <w:szCs w:val="24"/>
        </w:rPr>
        <w:t xml:space="preserve"> – Rozdělení dopadu vyššího krácení a vynětí z valorizace předčasných starobních důchodů</w:t>
      </w:r>
    </w:p>
    <w:p w14:paraId="13543032" w14:textId="1C361DED" w:rsidR="00215161" w:rsidRPr="00215161" w:rsidRDefault="007B4821" w:rsidP="00E70FEE">
      <w:pPr>
        <w:ind w:firstLine="426"/>
        <w:rPr>
          <w:szCs w:val="24"/>
        </w:rPr>
      </w:pPr>
      <w:r w:rsidRPr="00215161">
        <w:rPr>
          <w:noProof/>
          <w:szCs w:val="24"/>
        </w:rPr>
        <w:drawing>
          <wp:inline distT="0" distB="0" distL="0" distR="0" wp14:anchorId="49E30A36" wp14:editId="43CCA080">
            <wp:extent cx="4724400" cy="2994660"/>
            <wp:effectExtent l="0" t="0" r="0" b="0"/>
            <wp:docPr id="10"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724400" cy="2994660"/>
                    </a:xfrm>
                    <a:prstGeom prst="rect">
                      <a:avLst/>
                    </a:prstGeom>
                    <a:noFill/>
                    <a:ln>
                      <a:noFill/>
                    </a:ln>
                  </pic:spPr>
                </pic:pic>
              </a:graphicData>
            </a:graphic>
          </wp:inline>
        </w:drawing>
      </w:r>
    </w:p>
    <w:p w14:paraId="1FC9B7AC" w14:textId="77777777" w:rsidR="00215161" w:rsidRPr="00215161" w:rsidRDefault="00215161" w:rsidP="00E70FEE">
      <w:pPr>
        <w:ind w:firstLine="426"/>
        <w:rPr>
          <w:szCs w:val="24"/>
        </w:rPr>
      </w:pPr>
      <w:r w:rsidRPr="00215161">
        <w:rPr>
          <w:szCs w:val="24"/>
        </w:rPr>
        <w:t>Z pohledu dopadů na pojištěnce je možné porovnat finanční toky u konkrétního pojištěnce</w:t>
      </w:r>
      <w:r w:rsidRPr="00215161">
        <w:rPr>
          <w:rStyle w:val="Znakapoznpodarou"/>
          <w:szCs w:val="24"/>
        </w:rPr>
        <w:footnoteReference w:id="9"/>
      </w:r>
      <w:r w:rsidRPr="00215161">
        <w:rPr>
          <w:szCs w:val="24"/>
        </w:rPr>
        <w:t>, který se rozhodne:</w:t>
      </w:r>
    </w:p>
    <w:p w14:paraId="1897FC3B" w14:textId="77777777" w:rsidR="00215161" w:rsidRPr="00215161" w:rsidRDefault="00215161" w:rsidP="00E70FEE">
      <w:pPr>
        <w:ind w:firstLine="426"/>
        <w:rPr>
          <w:szCs w:val="24"/>
        </w:rPr>
      </w:pPr>
      <w:r w:rsidRPr="00215161">
        <w:rPr>
          <w:szCs w:val="24"/>
        </w:rPr>
        <w:t>a)</w:t>
      </w:r>
      <w:r w:rsidRPr="00215161">
        <w:rPr>
          <w:szCs w:val="24"/>
        </w:rPr>
        <w:tab/>
        <w:t xml:space="preserve">odejít do starobního důchodu předčasně o 12 </w:t>
      </w:r>
      <w:r w:rsidR="00CD4598">
        <w:rPr>
          <w:szCs w:val="24"/>
        </w:rPr>
        <w:t xml:space="preserve">devadesátidenních </w:t>
      </w:r>
      <w:r w:rsidRPr="00215161">
        <w:rPr>
          <w:szCs w:val="24"/>
        </w:rPr>
        <w:t>období, tj. cca o 3 roky</w:t>
      </w:r>
      <w:r w:rsidR="00CE214F">
        <w:rPr>
          <w:szCs w:val="24"/>
        </w:rPr>
        <w:t>.</w:t>
      </w:r>
    </w:p>
    <w:p w14:paraId="19B4267F" w14:textId="77777777" w:rsidR="00215161" w:rsidRPr="00215161" w:rsidRDefault="00215161" w:rsidP="00E70FEE">
      <w:pPr>
        <w:spacing w:after="160"/>
        <w:ind w:firstLine="426"/>
        <w:rPr>
          <w:szCs w:val="24"/>
        </w:rPr>
      </w:pPr>
      <w:r w:rsidRPr="00215161">
        <w:rPr>
          <w:szCs w:val="24"/>
        </w:rPr>
        <w:t>b)</w:t>
      </w:r>
      <w:r w:rsidRPr="00215161">
        <w:rPr>
          <w:szCs w:val="24"/>
        </w:rPr>
        <w:tab/>
        <w:t>odejít do starobního důchodu až při dosažení důchodového věku.</w:t>
      </w:r>
    </w:p>
    <w:p w14:paraId="2F359F6B" w14:textId="77777777" w:rsidR="00164214" w:rsidRDefault="00164214" w:rsidP="00E70FEE">
      <w:pPr>
        <w:spacing w:after="160"/>
        <w:ind w:firstLine="426"/>
        <w:rPr>
          <w:szCs w:val="24"/>
        </w:rPr>
      </w:pPr>
    </w:p>
    <w:p w14:paraId="37319813" w14:textId="77777777" w:rsidR="00164214" w:rsidRDefault="00164214" w:rsidP="00E70FEE">
      <w:pPr>
        <w:spacing w:after="160"/>
        <w:ind w:firstLine="426"/>
        <w:rPr>
          <w:szCs w:val="24"/>
        </w:rPr>
      </w:pPr>
    </w:p>
    <w:p w14:paraId="04A3E055" w14:textId="77777777" w:rsidR="00215161" w:rsidRPr="00215161" w:rsidRDefault="00215161" w:rsidP="00E70FEE">
      <w:pPr>
        <w:spacing w:after="160"/>
        <w:ind w:firstLine="426"/>
        <w:rPr>
          <w:szCs w:val="24"/>
        </w:rPr>
      </w:pPr>
      <w:r w:rsidRPr="00215161">
        <w:rPr>
          <w:szCs w:val="24"/>
        </w:rPr>
        <w:t>Při odchodu podle a) bude okamžitě pobírat starobní důchod, který bude krácen. Při</w:t>
      </w:r>
      <w:r w:rsidR="00C25EB4">
        <w:rPr>
          <w:szCs w:val="24"/>
        </w:rPr>
        <w:t> </w:t>
      </w:r>
      <w:r w:rsidRPr="00215161">
        <w:rPr>
          <w:szCs w:val="24"/>
        </w:rPr>
        <w:t>odchodu podle b) bude dále po 3 roky výdělečně činný a získá další dobu pojištění, a</w:t>
      </w:r>
      <w:r w:rsidR="00C25EB4">
        <w:rPr>
          <w:szCs w:val="24"/>
        </w:rPr>
        <w:t> </w:t>
      </w:r>
      <w:r w:rsidRPr="00215161">
        <w:rPr>
          <w:szCs w:val="24"/>
        </w:rPr>
        <w:t>následně bude pobírat starobní důchod, který nebude nijak krácen.</w:t>
      </w:r>
    </w:p>
    <w:p w14:paraId="1DE1BEAD" w14:textId="77777777" w:rsidR="00215161" w:rsidRDefault="00215161" w:rsidP="00E70FEE">
      <w:pPr>
        <w:spacing w:after="160"/>
        <w:ind w:firstLine="426"/>
        <w:rPr>
          <w:szCs w:val="24"/>
        </w:rPr>
      </w:pPr>
      <w:r w:rsidRPr="00215161">
        <w:rPr>
          <w:szCs w:val="24"/>
        </w:rPr>
        <w:t>Při odchodu do předčasného starobního důchodu je okamžitě pobírán důchod, zatímco při</w:t>
      </w:r>
      <w:r w:rsidR="00C25EB4">
        <w:rPr>
          <w:szCs w:val="24"/>
        </w:rPr>
        <w:t> </w:t>
      </w:r>
      <w:r w:rsidRPr="00215161">
        <w:rPr>
          <w:szCs w:val="24"/>
        </w:rPr>
        <w:t>odložení do dosažení důchodového věku pojištěnec důchod nepobírá. Rozdíl se až do</w:t>
      </w:r>
      <w:r w:rsidR="00C25EB4">
        <w:rPr>
          <w:szCs w:val="24"/>
        </w:rPr>
        <w:t> </w:t>
      </w:r>
      <w:r w:rsidRPr="00215161">
        <w:rPr>
          <w:szCs w:val="24"/>
        </w:rPr>
        <w:t>dosažení důchodového věku (tj. odchodu do starobního důchodu při jeho dosažení) postupně zvětšuje a dosáhne až téměř 600 tisíc Kč. Nicméně po přiznání vyššího starobního důchodu při dosažení důchodového věku se začne rozdíl zmenšovat a po necelých 7 letech od</w:t>
      </w:r>
      <w:r w:rsidR="00C25EB4">
        <w:rPr>
          <w:szCs w:val="24"/>
        </w:rPr>
        <w:t> </w:t>
      </w:r>
      <w:r w:rsidRPr="00215161">
        <w:rPr>
          <w:szCs w:val="24"/>
        </w:rPr>
        <w:t>dosažení důchodového věku se rozdíl změní ve prospěch odchodu při dosažení důchodového věku. Platí tedy, že pokud by se tento pojištěnec nedožil věku, který je o 7 let vyšší, než je důchodový věk, potom by pro něj bylo finančně výhodnější odejít</w:t>
      </w:r>
      <w:r w:rsidR="00D03391">
        <w:rPr>
          <w:szCs w:val="24"/>
        </w:rPr>
        <w:t xml:space="preserve"> </w:t>
      </w:r>
      <w:r w:rsidRPr="00215161">
        <w:rPr>
          <w:szCs w:val="24"/>
        </w:rPr>
        <w:t>do</w:t>
      </w:r>
      <w:r w:rsidR="00C25EB4">
        <w:rPr>
          <w:szCs w:val="24"/>
        </w:rPr>
        <w:t> </w:t>
      </w:r>
      <w:r w:rsidRPr="00215161">
        <w:rPr>
          <w:szCs w:val="24"/>
        </w:rPr>
        <w:t>předčasného starobního důchodu. V ostatních případech by byl výhodnější odchod až při</w:t>
      </w:r>
      <w:r w:rsidR="00C25EB4">
        <w:rPr>
          <w:szCs w:val="24"/>
        </w:rPr>
        <w:t> </w:t>
      </w:r>
      <w:r w:rsidRPr="00215161">
        <w:rPr>
          <w:szCs w:val="24"/>
        </w:rPr>
        <w:t>dosažení důchodového věku.</w:t>
      </w:r>
    </w:p>
    <w:p w14:paraId="785CA340" w14:textId="77777777" w:rsidR="00164214" w:rsidRPr="00215161" w:rsidRDefault="00164214" w:rsidP="00E70FEE">
      <w:pPr>
        <w:spacing w:after="160"/>
        <w:ind w:firstLine="426"/>
        <w:rPr>
          <w:szCs w:val="24"/>
        </w:rPr>
      </w:pPr>
    </w:p>
    <w:p w14:paraId="14EFB521" w14:textId="77777777" w:rsidR="00215161" w:rsidRPr="00215161" w:rsidRDefault="00215161" w:rsidP="00E70FEE">
      <w:pPr>
        <w:pStyle w:val="Titulek"/>
        <w:ind w:firstLine="426"/>
        <w:rPr>
          <w:rFonts w:ascii="Times New Roman" w:hAnsi="Times New Roman"/>
          <w:sz w:val="24"/>
          <w:szCs w:val="24"/>
        </w:rPr>
      </w:pPr>
      <w:r w:rsidRPr="00215161">
        <w:rPr>
          <w:rFonts w:ascii="Times New Roman" w:hAnsi="Times New Roman"/>
          <w:sz w:val="24"/>
          <w:szCs w:val="24"/>
        </w:rPr>
        <w:t xml:space="preserve">Tabulka </w:t>
      </w:r>
      <w:r w:rsidRPr="00215161">
        <w:rPr>
          <w:rFonts w:ascii="Times New Roman" w:hAnsi="Times New Roman"/>
          <w:sz w:val="24"/>
          <w:szCs w:val="24"/>
        </w:rPr>
        <w:fldChar w:fldCharType="begin"/>
      </w:r>
      <w:r w:rsidRPr="00215161">
        <w:rPr>
          <w:rFonts w:ascii="Times New Roman" w:hAnsi="Times New Roman"/>
          <w:sz w:val="24"/>
          <w:szCs w:val="24"/>
        </w:rPr>
        <w:instrText xml:space="preserve"> SEQ Tabulka \* ARABIC </w:instrText>
      </w:r>
      <w:r w:rsidRPr="00215161">
        <w:rPr>
          <w:rFonts w:ascii="Times New Roman" w:hAnsi="Times New Roman"/>
          <w:sz w:val="24"/>
          <w:szCs w:val="24"/>
        </w:rPr>
        <w:fldChar w:fldCharType="separate"/>
      </w:r>
      <w:r w:rsidR="00880F0E">
        <w:rPr>
          <w:rFonts w:ascii="Times New Roman" w:hAnsi="Times New Roman"/>
          <w:noProof/>
          <w:sz w:val="24"/>
          <w:szCs w:val="24"/>
        </w:rPr>
        <w:t>2</w:t>
      </w:r>
      <w:r w:rsidRPr="00215161">
        <w:rPr>
          <w:rFonts w:ascii="Times New Roman" w:hAnsi="Times New Roman"/>
          <w:noProof/>
          <w:sz w:val="24"/>
          <w:szCs w:val="24"/>
        </w:rPr>
        <w:fldChar w:fldCharType="end"/>
      </w:r>
      <w:r w:rsidRPr="00215161">
        <w:rPr>
          <w:rFonts w:ascii="Times New Roman" w:hAnsi="Times New Roman"/>
          <w:sz w:val="24"/>
          <w:szCs w:val="24"/>
        </w:rPr>
        <w:t xml:space="preserve"> – Finanční toky při odchodu do předčasného a řádného starobního důchodu – současný stav</w:t>
      </w:r>
    </w:p>
    <w:tbl>
      <w:tblPr>
        <w:tblW w:w="9157" w:type="dxa"/>
        <w:tblCellMar>
          <w:left w:w="70" w:type="dxa"/>
          <w:right w:w="70" w:type="dxa"/>
        </w:tblCellMar>
        <w:tblLook w:val="04A0" w:firstRow="1" w:lastRow="0" w:firstColumn="1" w:lastColumn="0" w:noHBand="0" w:noVBand="1"/>
      </w:tblPr>
      <w:tblGrid>
        <w:gridCol w:w="1600"/>
        <w:gridCol w:w="1589"/>
        <w:gridCol w:w="1417"/>
        <w:gridCol w:w="1560"/>
        <w:gridCol w:w="1559"/>
        <w:gridCol w:w="1418"/>
        <w:gridCol w:w="14"/>
      </w:tblGrid>
      <w:tr w:rsidR="00215161" w:rsidRPr="00215161" w14:paraId="116FC764" w14:textId="77777777" w:rsidTr="00C279AF">
        <w:trPr>
          <w:trHeight w:val="300"/>
        </w:trPr>
        <w:tc>
          <w:tcPr>
            <w:tcW w:w="160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4B047599" w14:textId="77777777" w:rsidR="00215161" w:rsidRPr="00215161" w:rsidRDefault="00215161" w:rsidP="00494ABC">
            <w:pPr>
              <w:jc w:val="center"/>
              <w:rPr>
                <w:rFonts w:eastAsia="Times New Roman"/>
                <w:color w:val="000000"/>
                <w:sz w:val="22"/>
                <w:lang w:eastAsia="cs-CZ"/>
              </w:rPr>
            </w:pPr>
            <w:r w:rsidRPr="00215161">
              <w:rPr>
                <w:rFonts w:eastAsia="Times New Roman"/>
                <w:color w:val="000000"/>
                <w:sz w:val="22"/>
                <w:lang w:eastAsia="cs-CZ"/>
              </w:rPr>
              <w:t>Rok ve vztahu k důchodovému věku</w:t>
            </w:r>
          </w:p>
        </w:tc>
        <w:tc>
          <w:tcPr>
            <w:tcW w:w="1589" w:type="dxa"/>
            <w:tcBorders>
              <w:top w:val="single" w:sz="4" w:space="0" w:color="auto"/>
              <w:left w:val="nil"/>
              <w:bottom w:val="single" w:sz="4" w:space="0" w:color="auto"/>
              <w:right w:val="nil"/>
            </w:tcBorders>
            <w:shd w:val="clear" w:color="auto" w:fill="auto"/>
            <w:noWrap/>
            <w:vAlign w:val="bottom"/>
            <w:hideMark/>
          </w:tcPr>
          <w:p w14:paraId="05205AC8" w14:textId="77777777" w:rsidR="00215161" w:rsidRPr="00215161" w:rsidRDefault="00215161" w:rsidP="00494ABC">
            <w:pPr>
              <w:jc w:val="center"/>
              <w:rPr>
                <w:rFonts w:eastAsia="Times New Roman"/>
                <w:color w:val="000000"/>
                <w:sz w:val="22"/>
                <w:lang w:eastAsia="cs-CZ"/>
              </w:rPr>
            </w:pPr>
            <w:r w:rsidRPr="00215161">
              <w:rPr>
                <w:rFonts w:eastAsia="Times New Roman"/>
                <w:color w:val="000000"/>
                <w:sz w:val="22"/>
                <w:lang w:eastAsia="cs-CZ"/>
              </w:rPr>
              <w:t>Předčasný</w:t>
            </w:r>
          </w:p>
        </w:tc>
        <w:tc>
          <w:tcPr>
            <w:tcW w:w="1417" w:type="dxa"/>
            <w:tcBorders>
              <w:top w:val="single" w:sz="4" w:space="0" w:color="auto"/>
              <w:left w:val="single" w:sz="4" w:space="0" w:color="auto"/>
              <w:bottom w:val="single" w:sz="4" w:space="0" w:color="auto"/>
              <w:right w:val="nil"/>
            </w:tcBorders>
            <w:shd w:val="clear" w:color="auto" w:fill="auto"/>
            <w:noWrap/>
            <w:vAlign w:val="bottom"/>
            <w:hideMark/>
          </w:tcPr>
          <w:p w14:paraId="45476939" w14:textId="77777777" w:rsidR="00215161" w:rsidRPr="00215161" w:rsidRDefault="00215161" w:rsidP="00494ABC">
            <w:pPr>
              <w:jc w:val="center"/>
              <w:rPr>
                <w:rFonts w:eastAsia="Times New Roman"/>
                <w:color w:val="000000"/>
                <w:sz w:val="22"/>
                <w:lang w:eastAsia="cs-CZ"/>
              </w:rPr>
            </w:pPr>
            <w:r w:rsidRPr="00215161">
              <w:rPr>
                <w:rFonts w:eastAsia="Times New Roman"/>
                <w:color w:val="000000"/>
                <w:sz w:val="22"/>
                <w:lang w:eastAsia="cs-CZ"/>
              </w:rPr>
              <w:t>Řádný</w:t>
            </w:r>
          </w:p>
        </w:tc>
        <w:tc>
          <w:tcPr>
            <w:tcW w:w="455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F9C7CE2" w14:textId="77777777" w:rsidR="00215161" w:rsidRPr="00215161" w:rsidRDefault="00215161" w:rsidP="00494ABC">
            <w:pPr>
              <w:jc w:val="center"/>
              <w:rPr>
                <w:rFonts w:eastAsia="Times New Roman"/>
                <w:color w:val="000000"/>
                <w:sz w:val="22"/>
                <w:lang w:eastAsia="cs-CZ"/>
              </w:rPr>
            </w:pPr>
            <w:r w:rsidRPr="00215161">
              <w:rPr>
                <w:rFonts w:eastAsia="Times New Roman"/>
                <w:color w:val="000000"/>
                <w:sz w:val="22"/>
                <w:lang w:eastAsia="cs-CZ"/>
              </w:rPr>
              <w:t>Saldo</w:t>
            </w:r>
          </w:p>
        </w:tc>
      </w:tr>
      <w:tr w:rsidR="00215161" w:rsidRPr="00215161" w14:paraId="53E3B1B6" w14:textId="77777777" w:rsidTr="00BA3C5D">
        <w:trPr>
          <w:gridAfter w:val="1"/>
          <w:wAfter w:w="14" w:type="dxa"/>
          <w:trHeight w:val="600"/>
        </w:trPr>
        <w:tc>
          <w:tcPr>
            <w:tcW w:w="1600" w:type="dxa"/>
            <w:vMerge/>
            <w:tcBorders>
              <w:top w:val="single" w:sz="4" w:space="0" w:color="auto"/>
              <w:left w:val="single" w:sz="4" w:space="0" w:color="auto"/>
              <w:bottom w:val="single" w:sz="4" w:space="0" w:color="000000"/>
              <w:right w:val="single" w:sz="4" w:space="0" w:color="auto"/>
            </w:tcBorders>
            <w:vAlign w:val="center"/>
            <w:hideMark/>
          </w:tcPr>
          <w:p w14:paraId="08410047" w14:textId="77777777" w:rsidR="00215161" w:rsidRPr="00215161" w:rsidRDefault="00215161" w:rsidP="00494ABC">
            <w:pPr>
              <w:jc w:val="center"/>
              <w:rPr>
                <w:rFonts w:eastAsia="Times New Roman"/>
                <w:color w:val="000000"/>
                <w:sz w:val="22"/>
                <w:lang w:eastAsia="cs-CZ"/>
              </w:rPr>
            </w:pPr>
          </w:p>
        </w:tc>
        <w:tc>
          <w:tcPr>
            <w:tcW w:w="1589" w:type="dxa"/>
            <w:tcBorders>
              <w:top w:val="nil"/>
              <w:left w:val="nil"/>
              <w:bottom w:val="single" w:sz="4" w:space="0" w:color="auto"/>
              <w:right w:val="single" w:sz="4" w:space="0" w:color="auto"/>
            </w:tcBorders>
            <w:shd w:val="clear" w:color="auto" w:fill="auto"/>
            <w:noWrap/>
            <w:vAlign w:val="bottom"/>
            <w:hideMark/>
          </w:tcPr>
          <w:p w14:paraId="40B45911" w14:textId="77777777" w:rsidR="00215161" w:rsidRPr="00215161" w:rsidRDefault="00215161" w:rsidP="00494ABC">
            <w:pPr>
              <w:jc w:val="center"/>
              <w:rPr>
                <w:rFonts w:eastAsia="Times New Roman"/>
                <w:color w:val="000000"/>
                <w:sz w:val="22"/>
                <w:lang w:eastAsia="cs-CZ"/>
              </w:rPr>
            </w:pPr>
            <w:r w:rsidRPr="00215161">
              <w:rPr>
                <w:rFonts w:eastAsia="Times New Roman"/>
                <w:color w:val="000000"/>
                <w:sz w:val="22"/>
                <w:lang w:eastAsia="cs-CZ"/>
              </w:rPr>
              <w:t>Důchod</w:t>
            </w:r>
          </w:p>
        </w:tc>
        <w:tc>
          <w:tcPr>
            <w:tcW w:w="1417" w:type="dxa"/>
            <w:tcBorders>
              <w:top w:val="nil"/>
              <w:left w:val="nil"/>
              <w:bottom w:val="single" w:sz="4" w:space="0" w:color="auto"/>
              <w:right w:val="single" w:sz="4" w:space="0" w:color="auto"/>
            </w:tcBorders>
            <w:shd w:val="clear" w:color="auto" w:fill="auto"/>
            <w:noWrap/>
            <w:vAlign w:val="bottom"/>
            <w:hideMark/>
          </w:tcPr>
          <w:p w14:paraId="61C9C0A2" w14:textId="77777777" w:rsidR="00215161" w:rsidRPr="00215161" w:rsidRDefault="00215161" w:rsidP="00494ABC">
            <w:pPr>
              <w:jc w:val="center"/>
              <w:rPr>
                <w:rFonts w:eastAsia="Times New Roman"/>
                <w:color w:val="000000"/>
                <w:sz w:val="22"/>
                <w:lang w:eastAsia="cs-CZ"/>
              </w:rPr>
            </w:pPr>
            <w:r w:rsidRPr="00215161">
              <w:rPr>
                <w:rFonts w:eastAsia="Times New Roman"/>
                <w:color w:val="000000"/>
                <w:sz w:val="22"/>
                <w:lang w:eastAsia="cs-CZ"/>
              </w:rPr>
              <w:t>Důchod</w:t>
            </w:r>
          </w:p>
        </w:tc>
        <w:tc>
          <w:tcPr>
            <w:tcW w:w="1560" w:type="dxa"/>
            <w:tcBorders>
              <w:top w:val="nil"/>
              <w:left w:val="nil"/>
              <w:bottom w:val="single" w:sz="4" w:space="0" w:color="auto"/>
              <w:right w:val="single" w:sz="4" w:space="0" w:color="auto"/>
            </w:tcBorders>
            <w:shd w:val="clear" w:color="auto" w:fill="auto"/>
            <w:noWrap/>
            <w:vAlign w:val="bottom"/>
            <w:hideMark/>
          </w:tcPr>
          <w:p w14:paraId="13EFF06E" w14:textId="77777777" w:rsidR="00215161" w:rsidRPr="00215161" w:rsidRDefault="00215161" w:rsidP="00494ABC">
            <w:pPr>
              <w:jc w:val="center"/>
              <w:rPr>
                <w:rFonts w:eastAsia="Times New Roman"/>
                <w:color w:val="000000"/>
                <w:sz w:val="22"/>
                <w:lang w:eastAsia="cs-CZ"/>
              </w:rPr>
            </w:pPr>
            <w:r w:rsidRPr="00215161">
              <w:rPr>
                <w:rFonts w:eastAsia="Times New Roman"/>
                <w:color w:val="000000"/>
                <w:sz w:val="22"/>
                <w:lang w:eastAsia="cs-CZ"/>
              </w:rPr>
              <w:t>Předčasný</w:t>
            </w:r>
          </w:p>
        </w:tc>
        <w:tc>
          <w:tcPr>
            <w:tcW w:w="1559" w:type="dxa"/>
            <w:tcBorders>
              <w:top w:val="nil"/>
              <w:left w:val="nil"/>
              <w:bottom w:val="single" w:sz="4" w:space="0" w:color="auto"/>
              <w:right w:val="single" w:sz="4" w:space="0" w:color="auto"/>
            </w:tcBorders>
            <w:shd w:val="clear" w:color="auto" w:fill="auto"/>
            <w:noWrap/>
            <w:vAlign w:val="bottom"/>
            <w:hideMark/>
          </w:tcPr>
          <w:p w14:paraId="76E75CD0" w14:textId="77777777" w:rsidR="00215161" w:rsidRPr="00215161" w:rsidRDefault="00215161" w:rsidP="00494ABC">
            <w:pPr>
              <w:jc w:val="center"/>
              <w:rPr>
                <w:rFonts w:eastAsia="Times New Roman"/>
                <w:color w:val="000000"/>
                <w:sz w:val="22"/>
                <w:lang w:eastAsia="cs-CZ"/>
              </w:rPr>
            </w:pPr>
            <w:r w:rsidRPr="00215161">
              <w:rPr>
                <w:rFonts w:eastAsia="Times New Roman"/>
                <w:color w:val="000000"/>
                <w:sz w:val="22"/>
                <w:lang w:eastAsia="cs-CZ"/>
              </w:rPr>
              <w:t>Řádný</w:t>
            </w:r>
          </w:p>
        </w:tc>
        <w:tc>
          <w:tcPr>
            <w:tcW w:w="1418" w:type="dxa"/>
            <w:tcBorders>
              <w:top w:val="nil"/>
              <w:left w:val="nil"/>
              <w:bottom w:val="single" w:sz="4" w:space="0" w:color="auto"/>
              <w:right w:val="single" w:sz="4" w:space="0" w:color="auto"/>
            </w:tcBorders>
            <w:shd w:val="clear" w:color="auto" w:fill="auto"/>
            <w:noWrap/>
            <w:vAlign w:val="bottom"/>
            <w:hideMark/>
          </w:tcPr>
          <w:p w14:paraId="24E081E3" w14:textId="77777777" w:rsidR="00215161" w:rsidRPr="00215161" w:rsidRDefault="00215161" w:rsidP="00494ABC">
            <w:pPr>
              <w:jc w:val="center"/>
              <w:rPr>
                <w:rFonts w:eastAsia="Times New Roman"/>
                <w:color w:val="000000"/>
                <w:sz w:val="22"/>
                <w:lang w:eastAsia="cs-CZ"/>
              </w:rPr>
            </w:pPr>
            <w:r w:rsidRPr="00215161">
              <w:rPr>
                <w:rFonts w:eastAsia="Times New Roman"/>
                <w:color w:val="000000"/>
                <w:sz w:val="22"/>
                <w:lang w:eastAsia="cs-CZ"/>
              </w:rPr>
              <w:t>Rozdíl</w:t>
            </w:r>
          </w:p>
        </w:tc>
      </w:tr>
      <w:tr w:rsidR="00215161" w:rsidRPr="00215161" w14:paraId="1F9526A6" w14:textId="77777777" w:rsidTr="00BA3C5D">
        <w:trPr>
          <w:gridAfter w:val="1"/>
          <w:wAfter w:w="14" w:type="dxa"/>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125818F" w14:textId="77777777" w:rsidR="00215161" w:rsidRPr="00215161" w:rsidRDefault="00215161" w:rsidP="00C279AF">
            <w:pPr>
              <w:ind w:firstLine="426"/>
              <w:jc w:val="center"/>
              <w:rPr>
                <w:rFonts w:eastAsia="Times New Roman"/>
                <w:color w:val="000000"/>
                <w:sz w:val="22"/>
                <w:lang w:eastAsia="cs-CZ"/>
              </w:rPr>
            </w:pPr>
            <w:r w:rsidRPr="00215161">
              <w:rPr>
                <w:rFonts w:eastAsia="Times New Roman"/>
                <w:color w:val="000000"/>
                <w:sz w:val="22"/>
                <w:lang w:eastAsia="cs-CZ"/>
              </w:rPr>
              <w:t>-3</w:t>
            </w:r>
          </w:p>
        </w:tc>
        <w:tc>
          <w:tcPr>
            <w:tcW w:w="1589" w:type="dxa"/>
            <w:tcBorders>
              <w:top w:val="nil"/>
              <w:left w:val="nil"/>
              <w:bottom w:val="single" w:sz="4" w:space="0" w:color="auto"/>
              <w:right w:val="single" w:sz="4" w:space="0" w:color="auto"/>
            </w:tcBorders>
            <w:shd w:val="clear" w:color="auto" w:fill="auto"/>
            <w:noWrap/>
            <w:vAlign w:val="bottom"/>
            <w:hideMark/>
          </w:tcPr>
          <w:p w14:paraId="76E8411C" w14:textId="77777777" w:rsidR="00215161" w:rsidRPr="00215161" w:rsidRDefault="00215161" w:rsidP="00C279AF">
            <w:pPr>
              <w:ind w:firstLine="426"/>
              <w:jc w:val="center"/>
              <w:rPr>
                <w:rFonts w:eastAsia="Times New Roman"/>
                <w:color w:val="000000"/>
                <w:sz w:val="22"/>
                <w:lang w:eastAsia="cs-CZ"/>
              </w:rPr>
            </w:pPr>
            <w:r w:rsidRPr="00215161">
              <w:rPr>
                <w:rFonts w:eastAsia="Times New Roman"/>
                <w:color w:val="000000"/>
                <w:sz w:val="22"/>
                <w:lang w:eastAsia="cs-CZ"/>
              </w:rPr>
              <w:t>172 458</w:t>
            </w:r>
          </w:p>
        </w:tc>
        <w:tc>
          <w:tcPr>
            <w:tcW w:w="1417" w:type="dxa"/>
            <w:tcBorders>
              <w:top w:val="nil"/>
              <w:left w:val="nil"/>
              <w:bottom w:val="single" w:sz="4" w:space="0" w:color="auto"/>
              <w:right w:val="single" w:sz="4" w:space="0" w:color="auto"/>
            </w:tcBorders>
            <w:shd w:val="clear" w:color="auto" w:fill="auto"/>
            <w:noWrap/>
            <w:vAlign w:val="bottom"/>
            <w:hideMark/>
          </w:tcPr>
          <w:p w14:paraId="4716BA2B" w14:textId="77777777" w:rsidR="00215161" w:rsidRPr="00215161" w:rsidRDefault="00215161" w:rsidP="00C279AF">
            <w:pPr>
              <w:ind w:firstLine="426"/>
              <w:jc w:val="center"/>
              <w:rPr>
                <w:rFonts w:eastAsia="Times New Roman"/>
                <w:color w:val="000000"/>
                <w:sz w:val="22"/>
                <w:lang w:eastAsia="cs-CZ"/>
              </w:rPr>
            </w:pPr>
          </w:p>
        </w:tc>
        <w:tc>
          <w:tcPr>
            <w:tcW w:w="1560" w:type="dxa"/>
            <w:tcBorders>
              <w:top w:val="nil"/>
              <w:left w:val="nil"/>
              <w:bottom w:val="single" w:sz="4" w:space="0" w:color="auto"/>
              <w:right w:val="single" w:sz="4" w:space="0" w:color="auto"/>
            </w:tcBorders>
            <w:shd w:val="clear" w:color="auto" w:fill="auto"/>
            <w:noWrap/>
            <w:vAlign w:val="bottom"/>
            <w:hideMark/>
          </w:tcPr>
          <w:p w14:paraId="4DF0EC25" w14:textId="77777777" w:rsidR="00215161" w:rsidRPr="00215161" w:rsidRDefault="00215161" w:rsidP="00C279AF">
            <w:pPr>
              <w:ind w:firstLine="426"/>
              <w:jc w:val="center"/>
              <w:rPr>
                <w:rFonts w:eastAsia="Times New Roman"/>
                <w:color w:val="000000"/>
                <w:sz w:val="22"/>
                <w:lang w:eastAsia="cs-CZ"/>
              </w:rPr>
            </w:pPr>
            <w:r w:rsidRPr="00215161">
              <w:rPr>
                <w:rFonts w:eastAsia="Times New Roman"/>
                <w:color w:val="000000"/>
                <w:sz w:val="22"/>
                <w:lang w:eastAsia="cs-CZ"/>
              </w:rPr>
              <w:t>172 458</w:t>
            </w:r>
          </w:p>
        </w:tc>
        <w:tc>
          <w:tcPr>
            <w:tcW w:w="1559" w:type="dxa"/>
            <w:tcBorders>
              <w:top w:val="nil"/>
              <w:left w:val="nil"/>
              <w:bottom w:val="single" w:sz="4" w:space="0" w:color="auto"/>
              <w:right w:val="single" w:sz="4" w:space="0" w:color="auto"/>
            </w:tcBorders>
            <w:shd w:val="clear" w:color="auto" w:fill="auto"/>
            <w:noWrap/>
            <w:vAlign w:val="bottom"/>
            <w:hideMark/>
          </w:tcPr>
          <w:p w14:paraId="2EA03031" w14:textId="77777777" w:rsidR="00215161" w:rsidRPr="00215161" w:rsidRDefault="00215161" w:rsidP="00C279AF">
            <w:pPr>
              <w:ind w:firstLine="426"/>
              <w:jc w:val="center"/>
              <w:rPr>
                <w:rFonts w:eastAsia="Times New Roman"/>
                <w:color w:val="000000"/>
                <w:sz w:val="22"/>
                <w:lang w:eastAsia="cs-CZ"/>
              </w:rPr>
            </w:pPr>
            <w:r w:rsidRPr="00215161">
              <w:rPr>
                <w:rFonts w:eastAsia="Times New Roman"/>
                <w:color w:val="000000"/>
                <w:sz w:val="22"/>
                <w:lang w:eastAsia="cs-CZ"/>
              </w:rPr>
              <w:t>0</w:t>
            </w:r>
          </w:p>
        </w:tc>
        <w:tc>
          <w:tcPr>
            <w:tcW w:w="1418" w:type="dxa"/>
            <w:tcBorders>
              <w:top w:val="nil"/>
              <w:left w:val="nil"/>
              <w:bottom w:val="single" w:sz="4" w:space="0" w:color="auto"/>
              <w:right w:val="single" w:sz="4" w:space="0" w:color="auto"/>
            </w:tcBorders>
            <w:shd w:val="clear" w:color="auto" w:fill="auto"/>
            <w:noWrap/>
            <w:vAlign w:val="bottom"/>
            <w:hideMark/>
          </w:tcPr>
          <w:p w14:paraId="52659F17" w14:textId="77777777" w:rsidR="00215161" w:rsidRPr="00215161" w:rsidRDefault="00215161" w:rsidP="00C279AF">
            <w:pPr>
              <w:ind w:firstLine="426"/>
              <w:jc w:val="center"/>
              <w:rPr>
                <w:rFonts w:eastAsia="Times New Roman"/>
                <w:color w:val="000000"/>
                <w:sz w:val="22"/>
                <w:lang w:eastAsia="cs-CZ"/>
              </w:rPr>
            </w:pPr>
            <w:r w:rsidRPr="00215161">
              <w:rPr>
                <w:rFonts w:eastAsia="Times New Roman"/>
                <w:color w:val="000000"/>
                <w:sz w:val="22"/>
                <w:lang w:eastAsia="cs-CZ"/>
              </w:rPr>
              <w:t>-172 458</w:t>
            </w:r>
          </w:p>
        </w:tc>
      </w:tr>
      <w:tr w:rsidR="00215161" w:rsidRPr="00215161" w14:paraId="52054770" w14:textId="77777777" w:rsidTr="00BA3C5D">
        <w:trPr>
          <w:gridAfter w:val="1"/>
          <w:wAfter w:w="14" w:type="dxa"/>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7F87A5C" w14:textId="77777777" w:rsidR="00215161" w:rsidRPr="00215161" w:rsidRDefault="00215161" w:rsidP="00C279AF">
            <w:pPr>
              <w:ind w:firstLine="426"/>
              <w:jc w:val="center"/>
              <w:rPr>
                <w:rFonts w:eastAsia="Times New Roman"/>
                <w:color w:val="000000"/>
                <w:sz w:val="22"/>
                <w:lang w:eastAsia="cs-CZ"/>
              </w:rPr>
            </w:pPr>
            <w:r w:rsidRPr="00215161">
              <w:rPr>
                <w:rFonts w:eastAsia="Times New Roman"/>
                <w:color w:val="000000"/>
                <w:sz w:val="22"/>
                <w:lang w:eastAsia="cs-CZ"/>
              </w:rPr>
              <w:t>-2</w:t>
            </w:r>
          </w:p>
        </w:tc>
        <w:tc>
          <w:tcPr>
            <w:tcW w:w="1589" w:type="dxa"/>
            <w:tcBorders>
              <w:top w:val="nil"/>
              <w:left w:val="nil"/>
              <w:bottom w:val="single" w:sz="4" w:space="0" w:color="auto"/>
              <w:right w:val="single" w:sz="4" w:space="0" w:color="auto"/>
            </w:tcBorders>
            <w:shd w:val="clear" w:color="auto" w:fill="auto"/>
            <w:noWrap/>
            <w:vAlign w:val="bottom"/>
            <w:hideMark/>
          </w:tcPr>
          <w:p w14:paraId="527ADCE9" w14:textId="77777777" w:rsidR="00215161" w:rsidRPr="00215161" w:rsidRDefault="00215161" w:rsidP="00C279AF">
            <w:pPr>
              <w:ind w:firstLine="426"/>
              <w:jc w:val="center"/>
              <w:rPr>
                <w:rFonts w:eastAsia="Times New Roman"/>
                <w:color w:val="000000"/>
                <w:sz w:val="22"/>
                <w:lang w:eastAsia="cs-CZ"/>
              </w:rPr>
            </w:pPr>
            <w:r w:rsidRPr="00215161">
              <w:rPr>
                <w:rFonts w:eastAsia="Times New Roman"/>
                <w:color w:val="000000"/>
                <w:sz w:val="22"/>
                <w:lang w:eastAsia="cs-CZ"/>
              </w:rPr>
              <w:t>194 328</w:t>
            </w:r>
          </w:p>
        </w:tc>
        <w:tc>
          <w:tcPr>
            <w:tcW w:w="1417" w:type="dxa"/>
            <w:tcBorders>
              <w:top w:val="nil"/>
              <w:left w:val="nil"/>
              <w:bottom w:val="single" w:sz="4" w:space="0" w:color="auto"/>
              <w:right w:val="single" w:sz="4" w:space="0" w:color="auto"/>
            </w:tcBorders>
            <w:shd w:val="clear" w:color="auto" w:fill="auto"/>
            <w:noWrap/>
            <w:vAlign w:val="bottom"/>
            <w:hideMark/>
          </w:tcPr>
          <w:p w14:paraId="4E79A70B" w14:textId="77777777" w:rsidR="00215161" w:rsidRPr="00215161" w:rsidRDefault="00215161" w:rsidP="00C279AF">
            <w:pPr>
              <w:ind w:firstLine="426"/>
              <w:jc w:val="center"/>
              <w:rPr>
                <w:rFonts w:eastAsia="Times New Roman"/>
                <w:color w:val="000000"/>
                <w:sz w:val="22"/>
                <w:lang w:eastAsia="cs-CZ"/>
              </w:rPr>
            </w:pPr>
          </w:p>
        </w:tc>
        <w:tc>
          <w:tcPr>
            <w:tcW w:w="1560" w:type="dxa"/>
            <w:tcBorders>
              <w:top w:val="nil"/>
              <w:left w:val="nil"/>
              <w:bottom w:val="single" w:sz="4" w:space="0" w:color="auto"/>
              <w:right w:val="single" w:sz="4" w:space="0" w:color="auto"/>
            </w:tcBorders>
            <w:shd w:val="clear" w:color="auto" w:fill="auto"/>
            <w:noWrap/>
            <w:vAlign w:val="bottom"/>
            <w:hideMark/>
          </w:tcPr>
          <w:p w14:paraId="2C0A2704" w14:textId="77777777" w:rsidR="00215161" w:rsidRPr="00215161" w:rsidRDefault="00215161" w:rsidP="00C279AF">
            <w:pPr>
              <w:ind w:firstLine="426"/>
              <w:jc w:val="center"/>
              <w:rPr>
                <w:rFonts w:eastAsia="Times New Roman"/>
                <w:color w:val="000000"/>
                <w:sz w:val="22"/>
                <w:lang w:eastAsia="cs-CZ"/>
              </w:rPr>
            </w:pPr>
            <w:r w:rsidRPr="00215161">
              <w:rPr>
                <w:rFonts w:eastAsia="Times New Roman"/>
                <w:color w:val="000000"/>
                <w:sz w:val="22"/>
                <w:lang w:eastAsia="cs-CZ"/>
              </w:rPr>
              <w:t>366 786</w:t>
            </w:r>
          </w:p>
        </w:tc>
        <w:tc>
          <w:tcPr>
            <w:tcW w:w="1559" w:type="dxa"/>
            <w:tcBorders>
              <w:top w:val="nil"/>
              <w:left w:val="nil"/>
              <w:bottom w:val="single" w:sz="4" w:space="0" w:color="auto"/>
              <w:right w:val="single" w:sz="4" w:space="0" w:color="auto"/>
            </w:tcBorders>
            <w:shd w:val="clear" w:color="auto" w:fill="auto"/>
            <w:noWrap/>
            <w:vAlign w:val="bottom"/>
            <w:hideMark/>
          </w:tcPr>
          <w:p w14:paraId="1C878C03" w14:textId="77777777" w:rsidR="00215161" w:rsidRPr="00215161" w:rsidRDefault="00215161" w:rsidP="00C279AF">
            <w:pPr>
              <w:ind w:firstLine="426"/>
              <w:jc w:val="center"/>
              <w:rPr>
                <w:rFonts w:eastAsia="Times New Roman"/>
                <w:color w:val="000000"/>
                <w:sz w:val="22"/>
                <w:lang w:eastAsia="cs-CZ"/>
              </w:rPr>
            </w:pPr>
            <w:r w:rsidRPr="00215161">
              <w:rPr>
                <w:rFonts w:eastAsia="Times New Roman"/>
                <w:color w:val="000000"/>
                <w:sz w:val="22"/>
                <w:lang w:eastAsia="cs-CZ"/>
              </w:rPr>
              <w:t>0</w:t>
            </w:r>
          </w:p>
        </w:tc>
        <w:tc>
          <w:tcPr>
            <w:tcW w:w="1418" w:type="dxa"/>
            <w:tcBorders>
              <w:top w:val="nil"/>
              <w:left w:val="nil"/>
              <w:bottom w:val="single" w:sz="4" w:space="0" w:color="auto"/>
              <w:right w:val="single" w:sz="4" w:space="0" w:color="auto"/>
            </w:tcBorders>
            <w:shd w:val="clear" w:color="auto" w:fill="auto"/>
            <w:noWrap/>
            <w:vAlign w:val="bottom"/>
            <w:hideMark/>
          </w:tcPr>
          <w:p w14:paraId="1713147A" w14:textId="77777777" w:rsidR="00215161" w:rsidRPr="00215161" w:rsidRDefault="00215161" w:rsidP="00C279AF">
            <w:pPr>
              <w:ind w:firstLine="426"/>
              <w:jc w:val="center"/>
              <w:rPr>
                <w:rFonts w:eastAsia="Times New Roman"/>
                <w:color w:val="000000"/>
                <w:sz w:val="22"/>
                <w:lang w:eastAsia="cs-CZ"/>
              </w:rPr>
            </w:pPr>
            <w:r w:rsidRPr="00215161">
              <w:rPr>
                <w:rFonts w:eastAsia="Times New Roman"/>
                <w:color w:val="000000"/>
                <w:sz w:val="22"/>
                <w:lang w:eastAsia="cs-CZ"/>
              </w:rPr>
              <w:t>-366 786</w:t>
            </w:r>
          </w:p>
        </w:tc>
      </w:tr>
      <w:tr w:rsidR="00215161" w:rsidRPr="00215161" w14:paraId="1B93AD31" w14:textId="77777777" w:rsidTr="00BA3C5D">
        <w:trPr>
          <w:gridAfter w:val="1"/>
          <w:wAfter w:w="14" w:type="dxa"/>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F927997" w14:textId="77777777" w:rsidR="00215161" w:rsidRPr="00215161" w:rsidRDefault="00215161" w:rsidP="00C279AF">
            <w:pPr>
              <w:ind w:firstLine="426"/>
              <w:jc w:val="center"/>
              <w:rPr>
                <w:rFonts w:eastAsia="Times New Roman"/>
                <w:color w:val="000000"/>
                <w:sz w:val="22"/>
                <w:lang w:eastAsia="cs-CZ"/>
              </w:rPr>
            </w:pPr>
            <w:r w:rsidRPr="00215161">
              <w:rPr>
                <w:rFonts w:eastAsia="Times New Roman"/>
                <w:color w:val="000000"/>
                <w:sz w:val="22"/>
                <w:lang w:eastAsia="cs-CZ"/>
              </w:rPr>
              <w:t>-1</w:t>
            </w:r>
          </w:p>
        </w:tc>
        <w:tc>
          <w:tcPr>
            <w:tcW w:w="1589" w:type="dxa"/>
            <w:tcBorders>
              <w:top w:val="nil"/>
              <w:left w:val="nil"/>
              <w:bottom w:val="single" w:sz="4" w:space="0" w:color="auto"/>
              <w:right w:val="single" w:sz="4" w:space="0" w:color="auto"/>
            </w:tcBorders>
            <w:shd w:val="clear" w:color="auto" w:fill="auto"/>
            <w:noWrap/>
            <w:vAlign w:val="bottom"/>
            <w:hideMark/>
          </w:tcPr>
          <w:p w14:paraId="214F70E5" w14:textId="77777777" w:rsidR="00215161" w:rsidRPr="00215161" w:rsidRDefault="00215161" w:rsidP="00C279AF">
            <w:pPr>
              <w:ind w:firstLine="426"/>
              <w:jc w:val="center"/>
              <w:rPr>
                <w:rFonts w:eastAsia="Times New Roman"/>
                <w:color w:val="000000"/>
                <w:sz w:val="22"/>
                <w:lang w:eastAsia="cs-CZ"/>
              </w:rPr>
            </w:pPr>
            <w:r w:rsidRPr="00215161">
              <w:rPr>
                <w:rFonts w:eastAsia="Times New Roman"/>
                <w:color w:val="000000"/>
                <w:sz w:val="22"/>
                <w:lang w:eastAsia="cs-CZ"/>
              </w:rPr>
              <w:t>200 772</w:t>
            </w:r>
          </w:p>
        </w:tc>
        <w:tc>
          <w:tcPr>
            <w:tcW w:w="1417" w:type="dxa"/>
            <w:tcBorders>
              <w:top w:val="nil"/>
              <w:left w:val="nil"/>
              <w:bottom w:val="single" w:sz="4" w:space="0" w:color="auto"/>
              <w:right w:val="single" w:sz="4" w:space="0" w:color="auto"/>
            </w:tcBorders>
            <w:shd w:val="clear" w:color="auto" w:fill="auto"/>
            <w:noWrap/>
            <w:vAlign w:val="bottom"/>
            <w:hideMark/>
          </w:tcPr>
          <w:p w14:paraId="7FAACF43" w14:textId="77777777" w:rsidR="00215161" w:rsidRPr="00215161" w:rsidRDefault="00215161" w:rsidP="00C279AF">
            <w:pPr>
              <w:ind w:firstLine="426"/>
              <w:jc w:val="center"/>
              <w:rPr>
                <w:rFonts w:eastAsia="Times New Roman"/>
                <w:color w:val="000000"/>
                <w:sz w:val="22"/>
                <w:lang w:eastAsia="cs-CZ"/>
              </w:rPr>
            </w:pPr>
          </w:p>
        </w:tc>
        <w:tc>
          <w:tcPr>
            <w:tcW w:w="1560" w:type="dxa"/>
            <w:tcBorders>
              <w:top w:val="nil"/>
              <w:left w:val="nil"/>
              <w:bottom w:val="single" w:sz="4" w:space="0" w:color="auto"/>
              <w:right w:val="single" w:sz="4" w:space="0" w:color="auto"/>
            </w:tcBorders>
            <w:shd w:val="clear" w:color="auto" w:fill="auto"/>
            <w:noWrap/>
            <w:vAlign w:val="bottom"/>
            <w:hideMark/>
          </w:tcPr>
          <w:p w14:paraId="56DE47E2" w14:textId="77777777" w:rsidR="00215161" w:rsidRPr="00215161" w:rsidRDefault="00215161" w:rsidP="00C279AF">
            <w:pPr>
              <w:ind w:firstLine="426"/>
              <w:jc w:val="center"/>
              <w:rPr>
                <w:rFonts w:eastAsia="Times New Roman"/>
                <w:color w:val="000000"/>
                <w:sz w:val="22"/>
                <w:lang w:eastAsia="cs-CZ"/>
              </w:rPr>
            </w:pPr>
            <w:r w:rsidRPr="00215161">
              <w:rPr>
                <w:rFonts w:eastAsia="Times New Roman"/>
                <w:color w:val="000000"/>
                <w:sz w:val="22"/>
                <w:lang w:eastAsia="cs-CZ"/>
              </w:rPr>
              <w:t>567 558</w:t>
            </w:r>
          </w:p>
        </w:tc>
        <w:tc>
          <w:tcPr>
            <w:tcW w:w="1559" w:type="dxa"/>
            <w:tcBorders>
              <w:top w:val="nil"/>
              <w:left w:val="nil"/>
              <w:bottom w:val="single" w:sz="4" w:space="0" w:color="auto"/>
              <w:right w:val="single" w:sz="4" w:space="0" w:color="auto"/>
            </w:tcBorders>
            <w:shd w:val="clear" w:color="auto" w:fill="auto"/>
            <w:noWrap/>
            <w:vAlign w:val="bottom"/>
            <w:hideMark/>
          </w:tcPr>
          <w:p w14:paraId="28787D66" w14:textId="77777777" w:rsidR="00215161" w:rsidRPr="00215161" w:rsidRDefault="00215161" w:rsidP="00C279AF">
            <w:pPr>
              <w:ind w:firstLine="426"/>
              <w:jc w:val="center"/>
              <w:rPr>
                <w:rFonts w:eastAsia="Times New Roman"/>
                <w:color w:val="000000"/>
                <w:sz w:val="22"/>
                <w:lang w:eastAsia="cs-CZ"/>
              </w:rPr>
            </w:pPr>
            <w:r w:rsidRPr="00215161">
              <w:rPr>
                <w:rFonts w:eastAsia="Times New Roman"/>
                <w:color w:val="000000"/>
                <w:sz w:val="22"/>
                <w:lang w:eastAsia="cs-CZ"/>
              </w:rPr>
              <w:t>0</w:t>
            </w:r>
          </w:p>
        </w:tc>
        <w:tc>
          <w:tcPr>
            <w:tcW w:w="1418" w:type="dxa"/>
            <w:tcBorders>
              <w:top w:val="nil"/>
              <w:left w:val="nil"/>
              <w:bottom w:val="single" w:sz="4" w:space="0" w:color="auto"/>
              <w:right w:val="single" w:sz="4" w:space="0" w:color="auto"/>
            </w:tcBorders>
            <w:shd w:val="clear" w:color="auto" w:fill="auto"/>
            <w:noWrap/>
            <w:vAlign w:val="bottom"/>
            <w:hideMark/>
          </w:tcPr>
          <w:p w14:paraId="316F72CB" w14:textId="77777777" w:rsidR="00215161" w:rsidRPr="00215161" w:rsidRDefault="00215161" w:rsidP="00C279AF">
            <w:pPr>
              <w:ind w:firstLine="426"/>
              <w:jc w:val="center"/>
              <w:rPr>
                <w:rFonts w:eastAsia="Times New Roman"/>
                <w:color w:val="000000"/>
                <w:sz w:val="22"/>
                <w:lang w:eastAsia="cs-CZ"/>
              </w:rPr>
            </w:pPr>
            <w:r w:rsidRPr="00215161">
              <w:rPr>
                <w:rFonts w:eastAsia="Times New Roman"/>
                <w:color w:val="000000"/>
                <w:sz w:val="22"/>
                <w:lang w:eastAsia="cs-CZ"/>
              </w:rPr>
              <w:t>-567 558</w:t>
            </w:r>
          </w:p>
        </w:tc>
      </w:tr>
      <w:tr w:rsidR="00215161" w:rsidRPr="00215161" w14:paraId="1F47412C" w14:textId="77777777" w:rsidTr="00BA3C5D">
        <w:trPr>
          <w:gridAfter w:val="1"/>
          <w:wAfter w:w="14" w:type="dxa"/>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B67E34E" w14:textId="77777777" w:rsidR="00215161" w:rsidRPr="00215161" w:rsidRDefault="00215161" w:rsidP="00C279AF">
            <w:pPr>
              <w:ind w:firstLine="426"/>
              <w:jc w:val="center"/>
              <w:rPr>
                <w:rFonts w:eastAsia="Times New Roman"/>
                <w:color w:val="000000"/>
                <w:sz w:val="22"/>
                <w:lang w:eastAsia="cs-CZ"/>
              </w:rPr>
            </w:pPr>
            <w:r w:rsidRPr="00215161">
              <w:rPr>
                <w:rFonts w:eastAsia="Times New Roman"/>
                <w:color w:val="000000"/>
                <w:sz w:val="22"/>
                <w:lang w:eastAsia="cs-CZ"/>
              </w:rPr>
              <w:t>0</w:t>
            </w:r>
          </w:p>
        </w:tc>
        <w:tc>
          <w:tcPr>
            <w:tcW w:w="1589" w:type="dxa"/>
            <w:tcBorders>
              <w:top w:val="nil"/>
              <w:left w:val="nil"/>
              <w:bottom w:val="single" w:sz="4" w:space="0" w:color="auto"/>
              <w:right w:val="single" w:sz="4" w:space="0" w:color="auto"/>
            </w:tcBorders>
            <w:shd w:val="clear" w:color="auto" w:fill="auto"/>
            <w:noWrap/>
            <w:vAlign w:val="bottom"/>
            <w:hideMark/>
          </w:tcPr>
          <w:p w14:paraId="2B87EB26" w14:textId="77777777" w:rsidR="00215161" w:rsidRPr="00215161" w:rsidRDefault="00215161" w:rsidP="00C279AF">
            <w:pPr>
              <w:ind w:firstLine="426"/>
              <w:jc w:val="center"/>
              <w:rPr>
                <w:rFonts w:eastAsia="Times New Roman"/>
                <w:color w:val="000000"/>
                <w:sz w:val="22"/>
                <w:lang w:eastAsia="cs-CZ"/>
              </w:rPr>
            </w:pPr>
            <w:r w:rsidRPr="00215161">
              <w:rPr>
                <w:rFonts w:eastAsia="Times New Roman"/>
                <w:color w:val="000000"/>
                <w:sz w:val="22"/>
                <w:lang w:eastAsia="cs-CZ"/>
              </w:rPr>
              <w:t>207 468</w:t>
            </w:r>
          </w:p>
        </w:tc>
        <w:tc>
          <w:tcPr>
            <w:tcW w:w="1417" w:type="dxa"/>
            <w:tcBorders>
              <w:top w:val="nil"/>
              <w:left w:val="nil"/>
              <w:bottom w:val="single" w:sz="4" w:space="0" w:color="auto"/>
              <w:right w:val="single" w:sz="4" w:space="0" w:color="auto"/>
            </w:tcBorders>
            <w:shd w:val="clear" w:color="auto" w:fill="auto"/>
            <w:noWrap/>
            <w:vAlign w:val="bottom"/>
            <w:hideMark/>
          </w:tcPr>
          <w:p w14:paraId="1854D30B" w14:textId="77777777" w:rsidR="00215161" w:rsidRPr="00215161" w:rsidRDefault="00215161" w:rsidP="00C279AF">
            <w:pPr>
              <w:ind w:firstLine="426"/>
              <w:jc w:val="center"/>
              <w:rPr>
                <w:rFonts w:eastAsia="Times New Roman"/>
                <w:color w:val="000000"/>
                <w:sz w:val="22"/>
                <w:lang w:eastAsia="cs-CZ"/>
              </w:rPr>
            </w:pPr>
            <w:r w:rsidRPr="00215161">
              <w:rPr>
                <w:rFonts w:eastAsia="Times New Roman"/>
                <w:color w:val="000000"/>
                <w:sz w:val="22"/>
                <w:lang w:eastAsia="cs-CZ"/>
              </w:rPr>
              <w:t>278 772</w:t>
            </w:r>
          </w:p>
        </w:tc>
        <w:tc>
          <w:tcPr>
            <w:tcW w:w="1560" w:type="dxa"/>
            <w:tcBorders>
              <w:top w:val="nil"/>
              <w:left w:val="nil"/>
              <w:bottom w:val="single" w:sz="4" w:space="0" w:color="auto"/>
              <w:right w:val="single" w:sz="4" w:space="0" w:color="auto"/>
            </w:tcBorders>
            <w:shd w:val="clear" w:color="auto" w:fill="auto"/>
            <w:noWrap/>
            <w:vAlign w:val="bottom"/>
            <w:hideMark/>
          </w:tcPr>
          <w:p w14:paraId="0931165B" w14:textId="77777777" w:rsidR="00215161" w:rsidRPr="00215161" w:rsidRDefault="00215161" w:rsidP="00C279AF">
            <w:pPr>
              <w:ind w:firstLine="426"/>
              <w:jc w:val="center"/>
              <w:rPr>
                <w:rFonts w:eastAsia="Times New Roman"/>
                <w:color w:val="000000"/>
                <w:sz w:val="22"/>
                <w:lang w:eastAsia="cs-CZ"/>
              </w:rPr>
            </w:pPr>
            <w:r w:rsidRPr="00215161">
              <w:rPr>
                <w:rFonts w:eastAsia="Times New Roman"/>
                <w:color w:val="000000"/>
                <w:sz w:val="22"/>
                <w:lang w:eastAsia="cs-CZ"/>
              </w:rPr>
              <w:t>775 026</w:t>
            </w:r>
          </w:p>
        </w:tc>
        <w:tc>
          <w:tcPr>
            <w:tcW w:w="1559" w:type="dxa"/>
            <w:tcBorders>
              <w:top w:val="nil"/>
              <w:left w:val="nil"/>
              <w:bottom w:val="single" w:sz="4" w:space="0" w:color="auto"/>
              <w:right w:val="single" w:sz="4" w:space="0" w:color="auto"/>
            </w:tcBorders>
            <w:shd w:val="clear" w:color="auto" w:fill="auto"/>
            <w:noWrap/>
            <w:vAlign w:val="bottom"/>
            <w:hideMark/>
          </w:tcPr>
          <w:p w14:paraId="3B334DDE" w14:textId="77777777" w:rsidR="00215161" w:rsidRPr="00215161" w:rsidRDefault="00215161" w:rsidP="00C279AF">
            <w:pPr>
              <w:ind w:firstLine="426"/>
              <w:jc w:val="center"/>
              <w:rPr>
                <w:rFonts w:eastAsia="Times New Roman"/>
                <w:color w:val="000000"/>
                <w:sz w:val="22"/>
                <w:lang w:eastAsia="cs-CZ"/>
              </w:rPr>
            </w:pPr>
            <w:r w:rsidRPr="00215161">
              <w:rPr>
                <w:rFonts w:eastAsia="Times New Roman"/>
                <w:color w:val="000000"/>
                <w:sz w:val="22"/>
                <w:lang w:eastAsia="cs-CZ"/>
              </w:rPr>
              <w:t>278 772</w:t>
            </w:r>
          </w:p>
        </w:tc>
        <w:tc>
          <w:tcPr>
            <w:tcW w:w="1418" w:type="dxa"/>
            <w:tcBorders>
              <w:top w:val="nil"/>
              <w:left w:val="nil"/>
              <w:bottom w:val="single" w:sz="4" w:space="0" w:color="auto"/>
              <w:right w:val="single" w:sz="4" w:space="0" w:color="auto"/>
            </w:tcBorders>
            <w:shd w:val="clear" w:color="auto" w:fill="auto"/>
            <w:noWrap/>
            <w:vAlign w:val="bottom"/>
            <w:hideMark/>
          </w:tcPr>
          <w:p w14:paraId="3A3F08F4" w14:textId="77777777" w:rsidR="00215161" w:rsidRPr="00215161" w:rsidRDefault="00215161" w:rsidP="00C279AF">
            <w:pPr>
              <w:ind w:firstLine="426"/>
              <w:jc w:val="center"/>
              <w:rPr>
                <w:rFonts w:eastAsia="Times New Roman"/>
                <w:color w:val="000000"/>
                <w:sz w:val="22"/>
                <w:lang w:eastAsia="cs-CZ"/>
              </w:rPr>
            </w:pPr>
            <w:r w:rsidRPr="00215161">
              <w:rPr>
                <w:rFonts w:eastAsia="Times New Roman"/>
                <w:color w:val="000000"/>
                <w:sz w:val="22"/>
                <w:lang w:eastAsia="cs-CZ"/>
              </w:rPr>
              <w:t>-496 254</w:t>
            </w:r>
          </w:p>
        </w:tc>
      </w:tr>
      <w:tr w:rsidR="00215161" w:rsidRPr="00215161" w14:paraId="142E773A" w14:textId="77777777" w:rsidTr="00BA3C5D">
        <w:trPr>
          <w:gridAfter w:val="1"/>
          <w:wAfter w:w="14" w:type="dxa"/>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B9C083C" w14:textId="77777777" w:rsidR="00215161" w:rsidRPr="00215161" w:rsidRDefault="00215161" w:rsidP="00C279AF">
            <w:pPr>
              <w:ind w:firstLine="426"/>
              <w:jc w:val="center"/>
              <w:rPr>
                <w:rFonts w:eastAsia="Times New Roman"/>
                <w:color w:val="000000"/>
                <w:sz w:val="22"/>
                <w:lang w:eastAsia="cs-CZ"/>
              </w:rPr>
            </w:pPr>
            <w:r w:rsidRPr="00215161">
              <w:rPr>
                <w:rFonts w:eastAsia="Times New Roman"/>
                <w:color w:val="000000"/>
                <w:sz w:val="22"/>
                <w:lang w:eastAsia="cs-CZ"/>
              </w:rPr>
              <w:t>1</w:t>
            </w:r>
          </w:p>
        </w:tc>
        <w:tc>
          <w:tcPr>
            <w:tcW w:w="1589" w:type="dxa"/>
            <w:tcBorders>
              <w:top w:val="nil"/>
              <w:left w:val="nil"/>
              <w:bottom w:val="single" w:sz="4" w:space="0" w:color="auto"/>
              <w:right w:val="single" w:sz="4" w:space="0" w:color="auto"/>
            </w:tcBorders>
            <w:shd w:val="clear" w:color="auto" w:fill="auto"/>
            <w:noWrap/>
            <w:vAlign w:val="bottom"/>
            <w:hideMark/>
          </w:tcPr>
          <w:p w14:paraId="7BF491B4" w14:textId="77777777" w:rsidR="00215161" w:rsidRPr="00215161" w:rsidRDefault="00215161" w:rsidP="00C279AF">
            <w:pPr>
              <w:ind w:firstLine="426"/>
              <w:jc w:val="center"/>
              <w:rPr>
                <w:rFonts w:eastAsia="Times New Roman"/>
                <w:color w:val="000000"/>
                <w:sz w:val="22"/>
                <w:lang w:eastAsia="cs-CZ"/>
              </w:rPr>
            </w:pPr>
            <w:r w:rsidRPr="00215161">
              <w:rPr>
                <w:rFonts w:eastAsia="Times New Roman"/>
                <w:color w:val="000000"/>
                <w:sz w:val="22"/>
                <w:lang w:eastAsia="cs-CZ"/>
              </w:rPr>
              <w:t>214 440</w:t>
            </w:r>
          </w:p>
        </w:tc>
        <w:tc>
          <w:tcPr>
            <w:tcW w:w="1417" w:type="dxa"/>
            <w:tcBorders>
              <w:top w:val="nil"/>
              <w:left w:val="nil"/>
              <w:bottom w:val="single" w:sz="4" w:space="0" w:color="auto"/>
              <w:right w:val="single" w:sz="4" w:space="0" w:color="auto"/>
            </w:tcBorders>
            <w:shd w:val="clear" w:color="auto" w:fill="auto"/>
            <w:noWrap/>
            <w:vAlign w:val="bottom"/>
            <w:hideMark/>
          </w:tcPr>
          <w:p w14:paraId="70869129" w14:textId="77777777" w:rsidR="00215161" w:rsidRPr="00215161" w:rsidRDefault="00215161" w:rsidP="00C279AF">
            <w:pPr>
              <w:ind w:firstLine="426"/>
              <w:jc w:val="center"/>
              <w:rPr>
                <w:rFonts w:eastAsia="Times New Roman"/>
                <w:color w:val="000000"/>
                <w:sz w:val="22"/>
                <w:lang w:eastAsia="cs-CZ"/>
              </w:rPr>
            </w:pPr>
            <w:r w:rsidRPr="00215161">
              <w:rPr>
                <w:rFonts w:eastAsia="Times New Roman"/>
                <w:color w:val="000000"/>
                <w:sz w:val="22"/>
                <w:lang w:eastAsia="cs-CZ"/>
              </w:rPr>
              <w:t>287 880</w:t>
            </w:r>
          </w:p>
        </w:tc>
        <w:tc>
          <w:tcPr>
            <w:tcW w:w="1560" w:type="dxa"/>
            <w:tcBorders>
              <w:top w:val="nil"/>
              <w:left w:val="nil"/>
              <w:bottom w:val="single" w:sz="4" w:space="0" w:color="auto"/>
              <w:right w:val="single" w:sz="4" w:space="0" w:color="auto"/>
            </w:tcBorders>
            <w:shd w:val="clear" w:color="auto" w:fill="auto"/>
            <w:noWrap/>
            <w:vAlign w:val="bottom"/>
            <w:hideMark/>
          </w:tcPr>
          <w:p w14:paraId="757BCBF3" w14:textId="77777777" w:rsidR="00215161" w:rsidRPr="00215161" w:rsidRDefault="00215161" w:rsidP="00C279AF">
            <w:pPr>
              <w:ind w:firstLine="426"/>
              <w:jc w:val="center"/>
              <w:rPr>
                <w:rFonts w:eastAsia="Times New Roman"/>
                <w:color w:val="000000"/>
                <w:sz w:val="22"/>
                <w:lang w:eastAsia="cs-CZ"/>
              </w:rPr>
            </w:pPr>
            <w:r w:rsidRPr="00215161">
              <w:rPr>
                <w:rFonts w:eastAsia="Times New Roman"/>
                <w:color w:val="000000"/>
                <w:sz w:val="22"/>
                <w:lang w:eastAsia="cs-CZ"/>
              </w:rPr>
              <w:t>989 466</w:t>
            </w:r>
          </w:p>
        </w:tc>
        <w:tc>
          <w:tcPr>
            <w:tcW w:w="1559" w:type="dxa"/>
            <w:tcBorders>
              <w:top w:val="nil"/>
              <w:left w:val="nil"/>
              <w:bottom w:val="single" w:sz="4" w:space="0" w:color="auto"/>
              <w:right w:val="single" w:sz="4" w:space="0" w:color="auto"/>
            </w:tcBorders>
            <w:shd w:val="clear" w:color="auto" w:fill="auto"/>
            <w:noWrap/>
            <w:vAlign w:val="bottom"/>
            <w:hideMark/>
          </w:tcPr>
          <w:p w14:paraId="294C256F" w14:textId="77777777" w:rsidR="00215161" w:rsidRPr="00215161" w:rsidRDefault="00215161" w:rsidP="00C279AF">
            <w:pPr>
              <w:ind w:firstLine="426"/>
              <w:jc w:val="center"/>
              <w:rPr>
                <w:rFonts w:eastAsia="Times New Roman"/>
                <w:color w:val="000000"/>
                <w:sz w:val="22"/>
                <w:lang w:eastAsia="cs-CZ"/>
              </w:rPr>
            </w:pPr>
            <w:r w:rsidRPr="00215161">
              <w:rPr>
                <w:rFonts w:eastAsia="Times New Roman"/>
                <w:color w:val="000000"/>
                <w:sz w:val="22"/>
                <w:lang w:eastAsia="cs-CZ"/>
              </w:rPr>
              <w:t>566 652</w:t>
            </w:r>
          </w:p>
        </w:tc>
        <w:tc>
          <w:tcPr>
            <w:tcW w:w="1418" w:type="dxa"/>
            <w:tcBorders>
              <w:top w:val="nil"/>
              <w:left w:val="nil"/>
              <w:bottom w:val="single" w:sz="4" w:space="0" w:color="auto"/>
              <w:right w:val="single" w:sz="4" w:space="0" w:color="auto"/>
            </w:tcBorders>
            <w:shd w:val="clear" w:color="auto" w:fill="auto"/>
            <w:noWrap/>
            <w:vAlign w:val="bottom"/>
            <w:hideMark/>
          </w:tcPr>
          <w:p w14:paraId="6944EC69" w14:textId="77777777" w:rsidR="00215161" w:rsidRPr="00215161" w:rsidRDefault="00215161" w:rsidP="00C279AF">
            <w:pPr>
              <w:ind w:firstLine="426"/>
              <w:jc w:val="center"/>
              <w:rPr>
                <w:rFonts w:eastAsia="Times New Roman"/>
                <w:color w:val="000000"/>
                <w:sz w:val="22"/>
                <w:lang w:eastAsia="cs-CZ"/>
              </w:rPr>
            </w:pPr>
            <w:r w:rsidRPr="00215161">
              <w:rPr>
                <w:rFonts w:eastAsia="Times New Roman"/>
                <w:color w:val="000000"/>
                <w:sz w:val="22"/>
                <w:lang w:eastAsia="cs-CZ"/>
              </w:rPr>
              <w:t>-422 814</w:t>
            </w:r>
          </w:p>
        </w:tc>
      </w:tr>
      <w:tr w:rsidR="00215161" w:rsidRPr="00215161" w14:paraId="607B41BB" w14:textId="77777777" w:rsidTr="00BA3C5D">
        <w:trPr>
          <w:gridAfter w:val="1"/>
          <w:wAfter w:w="14" w:type="dxa"/>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5A0A1F1" w14:textId="77777777" w:rsidR="00215161" w:rsidRPr="00215161" w:rsidRDefault="00215161" w:rsidP="00C279AF">
            <w:pPr>
              <w:ind w:firstLine="426"/>
              <w:jc w:val="center"/>
              <w:rPr>
                <w:rFonts w:eastAsia="Times New Roman"/>
                <w:color w:val="000000"/>
                <w:sz w:val="22"/>
                <w:lang w:eastAsia="cs-CZ"/>
              </w:rPr>
            </w:pPr>
            <w:r w:rsidRPr="00215161">
              <w:rPr>
                <w:rFonts w:eastAsia="Times New Roman"/>
                <w:color w:val="000000"/>
                <w:sz w:val="22"/>
                <w:lang w:eastAsia="cs-CZ"/>
              </w:rPr>
              <w:t>2</w:t>
            </w:r>
          </w:p>
        </w:tc>
        <w:tc>
          <w:tcPr>
            <w:tcW w:w="1589" w:type="dxa"/>
            <w:tcBorders>
              <w:top w:val="nil"/>
              <w:left w:val="nil"/>
              <w:bottom w:val="single" w:sz="4" w:space="0" w:color="auto"/>
              <w:right w:val="single" w:sz="4" w:space="0" w:color="auto"/>
            </w:tcBorders>
            <w:shd w:val="clear" w:color="auto" w:fill="auto"/>
            <w:noWrap/>
            <w:vAlign w:val="bottom"/>
            <w:hideMark/>
          </w:tcPr>
          <w:p w14:paraId="0E718B65" w14:textId="77777777" w:rsidR="00215161" w:rsidRPr="00215161" w:rsidRDefault="00215161" w:rsidP="00C279AF">
            <w:pPr>
              <w:ind w:firstLine="426"/>
              <w:jc w:val="center"/>
              <w:rPr>
                <w:rFonts w:eastAsia="Times New Roman"/>
                <w:color w:val="000000"/>
                <w:sz w:val="22"/>
                <w:lang w:eastAsia="cs-CZ"/>
              </w:rPr>
            </w:pPr>
            <w:r w:rsidRPr="00215161">
              <w:rPr>
                <w:rFonts w:eastAsia="Times New Roman"/>
                <w:color w:val="000000"/>
                <w:sz w:val="22"/>
                <w:lang w:eastAsia="cs-CZ"/>
              </w:rPr>
              <w:t>221 628</w:t>
            </w:r>
          </w:p>
        </w:tc>
        <w:tc>
          <w:tcPr>
            <w:tcW w:w="1417" w:type="dxa"/>
            <w:tcBorders>
              <w:top w:val="nil"/>
              <w:left w:val="nil"/>
              <w:bottom w:val="single" w:sz="4" w:space="0" w:color="auto"/>
              <w:right w:val="single" w:sz="4" w:space="0" w:color="auto"/>
            </w:tcBorders>
            <w:shd w:val="clear" w:color="auto" w:fill="auto"/>
            <w:noWrap/>
            <w:vAlign w:val="bottom"/>
            <w:hideMark/>
          </w:tcPr>
          <w:p w14:paraId="34FD6A4C" w14:textId="77777777" w:rsidR="00215161" w:rsidRPr="00215161" w:rsidRDefault="00215161" w:rsidP="00C279AF">
            <w:pPr>
              <w:ind w:firstLine="426"/>
              <w:jc w:val="center"/>
              <w:rPr>
                <w:rFonts w:eastAsia="Times New Roman"/>
                <w:color w:val="000000"/>
                <w:sz w:val="22"/>
                <w:lang w:eastAsia="cs-CZ"/>
              </w:rPr>
            </w:pPr>
            <w:r w:rsidRPr="00215161">
              <w:rPr>
                <w:rFonts w:eastAsia="Times New Roman"/>
                <w:color w:val="000000"/>
                <w:sz w:val="22"/>
                <w:lang w:eastAsia="cs-CZ"/>
              </w:rPr>
              <w:t>297 192</w:t>
            </w:r>
          </w:p>
        </w:tc>
        <w:tc>
          <w:tcPr>
            <w:tcW w:w="1560" w:type="dxa"/>
            <w:tcBorders>
              <w:top w:val="nil"/>
              <w:left w:val="nil"/>
              <w:bottom w:val="single" w:sz="4" w:space="0" w:color="auto"/>
              <w:right w:val="single" w:sz="4" w:space="0" w:color="auto"/>
            </w:tcBorders>
            <w:shd w:val="clear" w:color="auto" w:fill="auto"/>
            <w:noWrap/>
            <w:vAlign w:val="bottom"/>
            <w:hideMark/>
          </w:tcPr>
          <w:p w14:paraId="78E3BFD2" w14:textId="77777777" w:rsidR="00215161" w:rsidRPr="00215161" w:rsidRDefault="00215161" w:rsidP="00C279AF">
            <w:pPr>
              <w:ind w:firstLine="426"/>
              <w:jc w:val="center"/>
              <w:rPr>
                <w:rFonts w:eastAsia="Times New Roman"/>
                <w:color w:val="000000"/>
                <w:sz w:val="22"/>
                <w:lang w:eastAsia="cs-CZ"/>
              </w:rPr>
            </w:pPr>
            <w:r w:rsidRPr="00215161">
              <w:rPr>
                <w:rFonts w:eastAsia="Times New Roman"/>
                <w:color w:val="000000"/>
                <w:sz w:val="22"/>
                <w:lang w:eastAsia="cs-CZ"/>
              </w:rPr>
              <w:t>1 211 094</w:t>
            </w:r>
          </w:p>
        </w:tc>
        <w:tc>
          <w:tcPr>
            <w:tcW w:w="1559" w:type="dxa"/>
            <w:tcBorders>
              <w:top w:val="nil"/>
              <w:left w:val="nil"/>
              <w:bottom w:val="single" w:sz="4" w:space="0" w:color="auto"/>
              <w:right w:val="single" w:sz="4" w:space="0" w:color="auto"/>
            </w:tcBorders>
            <w:shd w:val="clear" w:color="auto" w:fill="auto"/>
            <w:noWrap/>
            <w:vAlign w:val="bottom"/>
            <w:hideMark/>
          </w:tcPr>
          <w:p w14:paraId="5442CFCD" w14:textId="77777777" w:rsidR="00215161" w:rsidRPr="00215161" w:rsidRDefault="00215161" w:rsidP="00C279AF">
            <w:pPr>
              <w:ind w:firstLine="426"/>
              <w:jc w:val="center"/>
              <w:rPr>
                <w:rFonts w:eastAsia="Times New Roman"/>
                <w:color w:val="000000"/>
                <w:sz w:val="22"/>
                <w:lang w:eastAsia="cs-CZ"/>
              </w:rPr>
            </w:pPr>
            <w:r w:rsidRPr="00215161">
              <w:rPr>
                <w:rFonts w:eastAsia="Times New Roman"/>
                <w:color w:val="000000"/>
                <w:sz w:val="22"/>
                <w:lang w:eastAsia="cs-CZ"/>
              </w:rPr>
              <w:t>863 844</w:t>
            </w:r>
          </w:p>
        </w:tc>
        <w:tc>
          <w:tcPr>
            <w:tcW w:w="1418" w:type="dxa"/>
            <w:tcBorders>
              <w:top w:val="nil"/>
              <w:left w:val="nil"/>
              <w:bottom w:val="single" w:sz="4" w:space="0" w:color="auto"/>
              <w:right w:val="single" w:sz="4" w:space="0" w:color="auto"/>
            </w:tcBorders>
            <w:shd w:val="clear" w:color="auto" w:fill="auto"/>
            <w:noWrap/>
            <w:vAlign w:val="bottom"/>
            <w:hideMark/>
          </w:tcPr>
          <w:p w14:paraId="222AD6B2" w14:textId="77777777" w:rsidR="00215161" w:rsidRPr="00215161" w:rsidRDefault="00215161" w:rsidP="00C279AF">
            <w:pPr>
              <w:ind w:firstLine="426"/>
              <w:jc w:val="center"/>
              <w:rPr>
                <w:rFonts w:eastAsia="Times New Roman"/>
                <w:color w:val="000000"/>
                <w:sz w:val="22"/>
                <w:lang w:eastAsia="cs-CZ"/>
              </w:rPr>
            </w:pPr>
            <w:r w:rsidRPr="00215161">
              <w:rPr>
                <w:rFonts w:eastAsia="Times New Roman"/>
                <w:color w:val="000000"/>
                <w:sz w:val="22"/>
                <w:lang w:eastAsia="cs-CZ"/>
              </w:rPr>
              <w:t>-347 250</w:t>
            </w:r>
          </w:p>
        </w:tc>
      </w:tr>
      <w:tr w:rsidR="00215161" w:rsidRPr="00215161" w14:paraId="5E6F7CB4" w14:textId="77777777" w:rsidTr="00BA3C5D">
        <w:trPr>
          <w:gridAfter w:val="1"/>
          <w:wAfter w:w="14" w:type="dxa"/>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3957F51" w14:textId="77777777" w:rsidR="00215161" w:rsidRPr="00215161" w:rsidRDefault="00215161" w:rsidP="00C279AF">
            <w:pPr>
              <w:ind w:firstLine="426"/>
              <w:jc w:val="center"/>
              <w:rPr>
                <w:rFonts w:eastAsia="Times New Roman"/>
                <w:color w:val="000000"/>
                <w:sz w:val="22"/>
                <w:lang w:eastAsia="cs-CZ"/>
              </w:rPr>
            </w:pPr>
            <w:r w:rsidRPr="00215161">
              <w:rPr>
                <w:rFonts w:eastAsia="Times New Roman"/>
                <w:color w:val="000000"/>
                <w:sz w:val="22"/>
                <w:lang w:eastAsia="cs-CZ"/>
              </w:rPr>
              <w:t>3</w:t>
            </w:r>
          </w:p>
        </w:tc>
        <w:tc>
          <w:tcPr>
            <w:tcW w:w="1589" w:type="dxa"/>
            <w:tcBorders>
              <w:top w:val="nil"/>
              <w:left w:val="nil"/>
              <w:bottom w:val="single" w:sz="4" w:space="0" w:color="auto"/>
              <w:right w:val="single" w:sz="4" w:space="0" w:color="auto"/>
            </w:tcBorders>
            <w:shd w:val="clear" w:color="auto" w:fill="auto"/>
            <w:noWrap/>
            <w:vAlign w:val="bottom"/>
            <w:hideMark/>
          </w:tcPr>
          <w:p w14:paraId="49424534" w14:textId="77777777" w:rsidR="00215161" w:rsidRPr="00215161" w:rsidRDefault="00215161" w:rsidP="00C279AF">
            <w:pPr>
              <w:ind w:firstLine="426"/>
              <w:jc w:val="center"/>
              <w:rPr>
                <w:rFonts w:eastAsia="Times New Roman"/>
                <w:color w:val="000000"/>
                <w:sz w:val="22"/>
                <w:lang w:eastAsia="cs-CZ"/>
              </w:rPr>
            </w:pPr>
            <w:r w:rsidRPr="00215161">
              <w:rPr>
                <w:rFonts w:eastAsia="Times New Roman"/>
                <w:color w:val="000000"/>
                <w:sz w:val="22"/>
                <w:lang w:eastAsia="cs-CZ"/>
              </w:rPr>
              <w:t>229 068</w:t>
            </w:r>
          </w:p>
        </w:tc>
        <w:tc>
          <w:tcPr>
            <w:tcW w:w="1417" w:type="dxa"/>
            <w:tcBorders>
              <w:top w:val="nil"/>
              <w:left w:val="nil"/>
              <w:bottom w:val="single" w:sz="4" w:space="0" w:color="auto"/>
              <w:right w:val="single" w:sz="4" w:space="0" w:color="auto"/>
            </w:tcBorders>
            <w:shd w:val="clear" w:color="auto" w:fill="auto"/>
            <w:noWrap/>
            <w:vAlign w:val="bottom"/>
            <w:hideMark/>
          </w:tcPr>
          <w:p w14:paraId="0E65C29F" w14:textId="77777777" w:rsidR="00215161" w:rsidRPr="00215161" w:rsidRDefault="00215161" w:rsidP="00C279AF">
            <w:pPr>
              <w:ind w:firstLine="426"/>
              <w:jc w:val="center"/>
              <w:rPr>
                <w:rFonts w:eastAsia="Times New Roman"/>
                <w:color w:val="000000"/>
                <w:sz w:val="22"/>
                <w:lang w:eastAsia="cs-CZ"/>
              </w:rPr>
            </w:pPr>
            <w:r w:rsidRPr="00215161">
              <w:rPr>
                <w:rFonts w:eastAsia="Times New Roman"/>
                <w:color w:val="000000"/>
                <w:sz w:val="22"/>
                <w:lang w:eastAsia="cs-CZ"/>
              </w:rPr>
              <w:t>306 828</w:t>
            </w:r>
          </w:p>
        </w:tc>
        <w:tc>
          <w:tcPr>
            <w:tcW w:w="1560" w:type="dxa"/>
            <w:tcBorders>
              <w:top w:val="nil"/>
              <w:left w:val="nil"/>
              <w:bottom w:val="single" w:sz="4" w:space="0" w:color="auto"/>
              <w:right w:val="single" w:sz="4" w:space="0" w:color="auto"/>
            </w:tcBorders>
            <w:shd w:val="clear" w:color="auto" w:fill="auto"/>
            <w:noWrap/>
            <w:vAlign w:val="bottom"/>
            <w:hideMark/>
          </w:tcPr>
          <w:p w14:paraId="70E8025C" w14:textId="77777777" w:rsidR="00215161" w:rsidRPr="00215161" w:rsidRDefault="00215161" w:rsidP="00C279AF">
            <w:pPr>
              <w:ind w:firstLine="426"/>
              <w:jc w:val="center"/>
              <w:rPr>
                <w:rFonts w:eastAsia="Times New Roman"/>
                <w:color w:val="000000"/>
                <w:sz w:val="22"/>
                <w:lang w:eastAsia="cs-CZ"/>
              </w:rPr>
            </w:pPr>
            <w:r w:rsidRPr="00215161">
              <w:rPr>
                <w:rFonts w:eastAsia="Times New Roman"/>
                <w:color w:val="000000"/>
                <w:sz w:val="22"/>
                <w:lang w:eastAsia="cs-CZ"/>
              </w:rPr>
              <w:t>1 440 162</w:t>
            </w:r>
          </w:p>
        </w:tc>
        <w:tc>
          <w:tcPr>
            <w:tcW w:w="1559" w:type="dxa"/>
            <w:tcBorders>
              <w:top w:val="nil"/>
              <w:left w:val="nil"/>
              <w:bottom w:val="single" w:sz="4" w:space="0" w:color="auto"/>
              <w:right w:val="single" w:sz="4" w:space="0" w:color="auto"/>
            </w:tcBorders>
            <w:shd w:val="clear" w:color="auto" w:fill="auto"/>
            <w:noWrap/>
            <w:vAlign w:val="bottom"/>
            <w:hideMark/>
          </w:tcPr>
          <w:p w14:paraId="0FAF70E5" w14:textId="77777777" w:rsidR="00215161" w:rsidRPr="00215161" w:rsidRDefault="00215161" w:rsidP="00C279AF">
            <w:pPr>
              <w:ind w:firstLine="426"/>
              <w:jc w:val="center"/>
              <w:rPr>
                <w:rFonts w:eastAsia="Times New Roman"/>
                <w:color w:val="000000"/>
                <w:sz w:val="22"/>
                <w:lang w:eastAsia="cs-CZ"/>
              </w:rPr>
            </w:pPr>
            <w:r w:rsidRPr="00215161">
              <w:rPr>
                <w:rFonts w:eastAsia="Times New Roman"/>
                <w:color w:val="000000"/>
                <w:sz w:val="22"/>
                <w:lang w:eastAsia="cs-CZ"/>
              </w:rPr>
              <w:t>1 170 672</w:t>
            </w:r>
          </w:p>
        </w:tc>
        <w:tc>
          <w:tcPr>
            <w:tcW w:w="1418" w:type="dxa"/>
            <w:tcBorders>
              <w:top w:val="nil"/>
              <w:left w:val="nil"/>
              <w:bottom w:val="single" w:sz="4" w:space="0" w:color="auto"/>
              <w:right w:val="single" w:sz="4" w:space="0" w:color="auto"/>
            </w:tcBorders>
            <w:shd w:val="clear" w:color="auto" w:fill="auto"/>
            <w:noWrap/>
            <w:vAlign w:val="bottom"/>
            <w:hideMark/>
          </w:tcPr>
          <w:p w14:paraId="588AC334" w14:textId="77777777" w:rsidR="00215161" w:rsidRPr="00215161" w:rsidRDefault="00215161" w:rsidP="00C279AF">
            <w:pPr>
              <w:ind w:firstLine="426"/>
              <w:jc w:val="center"/>
              <w:rPr>
                <w:rFonts w:eastAsia="Times New Roman"/>
                <w:color w:val="000000"/>
                <w:sz w:val="22"/>
                <w:lang w:eastAsia="cs-CZ"/>
              </w:rPr>
            </w:pPr>
            <w:r w:rsidRPr="00215161">
              <w:rPr>
                <w:rFonts w:eastAsia="Times New Roman"/>
                <w:color w:val="000000"/>
                <w:sz w:val="22"/>
                <w:lang w:eastAsia="cs-CZ"/>
              </w:rPr>
              <w:t>-269 490</w:t>
            </w:r>
          </w:p>
        </w:tc>
      </w:tr>
      <w:tr w:rsidR="00215161" w:rsidRPr="00215161" w14:paraId="2DD17F7C" w14:textId="77777777" w:rsidTr="00BA3C5D">
        <w:trPr>
          <w:gridAfter w:val="1"/>
          <w:wAfter w:w="14" w:type="dxa"/>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60FE4EC" w14:textId="77777777" w:rsidR="00215161" w:rsidRPr="00215161" w:rsidRDefault="00215161" w:rsidP="00C279AF">
            <w:pPr>
              <w:ind w:firstLine="426"/>
              <w:jc w:val="center"/>
              <w:rPr>
                <w:rFonts w:eastAsia="Times New Roman"/>
                <w:color w:val="000000"/>
                <w:sz w:val="22"/>
                <w:lang w:eastAsia="cs-CZ"/>
              </w:rPr>
            </w:pPr>
            <w:r w:rsidRPr="00215161">
              <w:rPr>
                <w:rFonts w:eastAsia="Times New Roman"/>
                <w:color w:val="000000"/>
                <w:sz w:val="22"/>
                <w:lang w:eastAsia="cs-CZ"/>
              </w:rPr>
              <w:t>4</w:t>
            </w:r>
          </w:p>
        </w:tc>
        <w:tc>
          <w:tcPr>
            <w:tcW w:w="1589" w:type="dxa"/>
            <w:tcBorders>
              <w:top w:val="nil"/>
              <w:left w:val="nil"/>
              <w:bottom w:val="single" w:sz="4" w:space="0" w:color="auto"/>
              <w:right w:val="single" w:sz="4" w:space="0" w:color="auto"/>
            </w:tcBorders>
            <w:shd w:val="clear" w:color="auto" w:fill="auto"/>
            <w:noWrap/>
            <w:vAlign w:val="bottom"/>
            <w:hideMark/>
          </w:tcPr>
          <w:p w14:paraId="5ACE2246" w14:textId="77777777" w:rsidR="00215161" w:rsidRPr="00215161" w:rsidRDefault="00215161" w:rsidP="00C279AF">
            <w:pPr>
              <w:ind w:firstLine="426"/>
              <w:jc w:val="center"/>
              <w:rPr>
                <w:rFonts w:eastAsia="Times New Roman"/>
                <w:color w:val="000000"/>
                <w:sz w:val="22"/>
                <w:lang w:eastAsia="cs-CZ"/>
              </w:rPr>
            </w:pPr>
            <w:r w:rsidRPr="00215161">
              <w:rPr>
                <w:rFonts w:eastAsia="Times New Roman"/>
                <w:color w:val="000000"/>
                <w:sz w:val="22"/>
                <w:lang w:eastAsia="cs-CZ"/>
              </w:rPr>
              <w:t>236 640</w:t>
            </w:r>
          </w:p>
        </w:tc>
        <w:tc>
          <w:tcPr>
            <w:tcW w:w="1417" w:type="dxa"/>
            <w:tcBorders>
              <w:top w:val="nil"/>
              <w:left w:val="nil"/>
              <w:bottom w:val="single" w:sz="4" w:space="0" w:color="auto"/>
              <w:right w:val="single" w:sz="4" w:space="0" w:color="auto"/>
            </w:tcBorders>
            <w:shd w:val="clear" w:color="auto" w:fill="auto"/>
            <w:noWrap/>
            <w:vAlign w:val="bottom"/>
            <w:hideMark/>
          </w:tcPr>
          <w:p w14:paraId="3105D10A" w14:textId="77777777" w:rsidR="00215161" w:rsidRPr="00215161" w:rsidRDefault="00215161" w:rsidP="00C279AF">
            <w:pPr>
              <w:ind w:firstLine="426"/>
              <w:jc w:val="center"/>
              <w:rPr>
                <w:rFonts w:eastAsia="Times New Roman"/>
                <w:color w:val="000000"/>
                <w:sz w:val="22"/>
                <w:lang w:eastAsia="cs-CZ"/>
              </w:rPr>
            </w:pPr>
            <w:r w:rsidRPr="00215161">
              <w:rPr>
                <w:rFonts w:eastAsia="Times New Roman"/>
                <w:color w:val="000000"/>
                <w:sz w:val="22"/>
                <w:lang w:eastAsia="cs-CZ"/>
              </w:rPr>
              <w:t>316 656</w:t>
            </w:r>
          </w:p>
        </w:tc>
        <w:tc>
          <w:tcPr>
            <w:tcW w:w="1560" w:type="dxa"/>
            <w:tcBorders>
              <w:top w:val="nil"/>
              <w:left w:val="nil"/>
              <w:bottom w:val="single" w:sz="4" w:space="0" w:color="auto"/>
              <w:right w:val="single" w:sz="4" w:space="0" w:color="auto"/>
            </w:tcBorders>
            <w:shd w:val="clear" w:color="auto" w:fill="auto"/>
            <w:noWrap/>
            <w:vAlign w:val="bottom"/>
            <w:hideMark/>
          </w:tcPr>
          <w:p w14:paraId="47313EE7" w14:textId="77777777" w:rsidR="00215161" w:rsidRPr="00215161" w:rsidRDefault="00215161" w:rsidP="00C279AF">
            <w:pPr>
              <w:ind w:firstLine="426"/>
              <w:jc w:val="center"/>
              <w:rPr>
                <w:rFonts w:eastAsia="Times New Roman"/>
                <w:color w:val="000000"/>
                <w:sz w:val="22"/>
                <w:lang w:eastAsia="cs-CZ"/>
              </w:rPr>
            </w:pPr>
            <w:r w:rsidRPr="00215161">
              <w:rPr>
                <w:rFonts w:eastAsia="Times New Roman"/>
                <w:color w:val="000000"/>
                <w:sz w:val="22"/>
                <w:lang w:eastAsia="cs-CZ"/>
              </w:rPr>
              <w:t>1 676 802</w:t>
            </w:r>
          </w:p>
        </w:tc>
        <w:tc>
          <w:tcPr>
            <w:tcW w:w="1559" w:type="dxa"/>
            <w:tcBorders>
              <w:top w:val="nil"/>
              <w:left w:val="nil"/>
              <w:bottom w:val="single" w:sz="4" w:space="0" w:color="auto"/>
              <w:right w:val="single" w:sz="4" w:space="0" w:color="auto"/>
            </w:tcBorders>
            <w:shd w:val="clear" w:color="auto" w:fill="auto"/>
            <w:noWrap/>
            <w:vAlign w:val="bottom"/>
            <w:hideMark/>
          </w:tcPr>
          <w:p w14:paraId="47470EB1" w14:textId="77777777" w:rsidR="00215161" w:rsidRPr="00215161" w:rsidRDefault="00215161" w:rsidP="00C279AF">
            <w:pPr>
              <w:ind w:firstLine="426"/>
              <w:jc w:val="center"/>
              <w:rPr>
                <w:rFonts w:eastAsia="Times New Roman"/>
                <w:color w:val="000000"/>
                <w:sz w:val="22"/>
                <w:lang w:eastAsia="cs-CZ"/>
              </w:rPr>
            </w:pPr>
            <w:r w:rsidRPr="00215161">
              <w:rPr>
                <w:rFonts w:eastAsia="Times New Roman"/>
                <w:color w:val="000000"/>
                <w:sz w:val="22"/>
                <w:lang w:eastAsia="cs-CZ"/>
              </w:rPr>
              <w:t>1 487 328</w:t>
            </w:r>
          </w:p>
        </w:tc>
        <w:tc>
          <w:tcPr>
            <w:tcW w:w="1418" w:type="dxa"/>
            <w:tcBorders>
              <w:top w:val="nil"/>
              <w:left w:val="nil"/>
              <w:bottom w:val="single" w:sz="4" w:space="0" w:color="auto"/>
              <w:right w:val="single" w:sz="4" w:space="0" w:color="auto"/>
            </w:tcBorders>
            <w:shd w:val="clear" w:color="auto" w:fill="auto"/>
            <w:noWrap/>
            <w:vAlign w:val="bottom"/>
            <w:hideMark/>
          </w:tcPr>
          <w:p w14:paraId="0C0B6FED" w14:textId="77777777" w:rsidR="00215161" w:rsidRPr="00215161" w:rsidRDefault="00215161" w:rsidP="00C279AF">
            <w:pPr>
              <w:ind w:firstLine="426"/>
              <w:jc w:val="center"/>
              <w:rPr>
                <w:rFonts w:eastAsia="Times New Roman"/>
                <w:color w:val="000000"/>
                <w:sz w:val="22"/>
                <w:lang w:eastAsia="cs-CZ"/>
              </w:rPr>
            </w:pPr>
            <w:r w:rsidRPr="00215161">
              <w:rPr>
                <w:rFonts w:eastAsia="Times New Roman"/>
                <w:color w:val="000000"/>
                <w:sz w:val="22"/>
                <w:lang w:eastAsia="cs-CZ"/>
              </w:rPr>
              <w:t>-189 474</w:t>
            </w:r>
          </w:p>
        </w:tc>
      </w:tr>
      <w:tr w:rsidR="00215161" w:rsidRPr="00215161" w14:paraId="3553EFD9" w14:textId="77777777" w:rsidTr="00BA3C5D">
        <w:trPr>
          <w:gridAfter w:val="1"/>
          <w:wAfter w:w="14" w:type="dxa"/>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9148E37" w14:textId="77777777" w:rsidR="00215161" w:rsidRPr="00215161" w:rsidRDefault="00215161" w:rsidP="00C279AF">
            <w:pPr>
              <w:ind w:firstLine="426"/>
              <w:jc w:val="center"/>
              <w:rPr>
                <w:rFonts w:eastAsia="Times New Roman"/>
                <w:color w:val="000000"/>
                <w:sz w:val="22"/>
                <w:lang w:eastAsia="cs-CZ"/>
              </w:rPr>
            </w:pPr>
            <w:r w:rsidRPr="00215161">
              <w:rPr>
                <w:rFonts w:eastAsia="Times New Roman"/>
                <w:color w:val="000000"/>
                <w:sz w:val="22"/>
                <w:lang w:eastAsia="cs-CZ"/>
              </w:rPr>
              <w:t>5</w:t>
            </w:r>
          </w:p>
        </w:tc>
        <w:tc>
          <w:tcPr>
            <w:tcW w:w="1589" w:type="dxa"/>
            <w:tcBorders>
              <w:top w:val="nil"/>
              <w:left w:val="nil"/>
              <w:bottom w:val="single" w:sz="4" w:space="0" w:color="auto"/>
              <w:right w:val="single" w:sz="4" w:space="0" w:color="auto"/>
            </w:tcBorders>
            <w:shd w:val="clear" w:color="auto" w:fill="auto"/>
            <w:noWrap/>
            <w:vAlign w:val="bottom"/>
            <w:hideMark/>
          </w:tcPr>
          <w:p w14:paraId="04A0A97A" w14:textId="77777777" w:rsidR="00215161" w:rsidRPr="00215161" w:rsidRDefault="00215161" w:rsidP="00C279AF">
            <w:pPr>
              <w:ind w:firstLine="426"/>
              <w:jc w:val="center"/>
              <w:rPr>
                <w:rFonts w:eastAsia="Times New Roman"/>
                <w:color w:val="000000"/>
                <w:sz w:val="22"/>
                <w:lang w:eastAsia="cs-CZ"/>
              </w:rPr>
            </w:pPr>
            <w:r w:rsidRPr="00215161">
              <w:rPr>
                <w:rFonts w:eastAsia="Times New Roman"/>
                <w:color w:val="000000"/>
                <w:sz w:val="22"/>
                <w:lang w:eastAsia="cs-CZ"/>
              </w:rPr>
              <w:t>244 596</w:t>
            </w:r>
          </w:p>
        </w:tc>
        <w:tc>
          <w:tcPr>
            <w:tcW w:w="1417" w:type="dxa"/>
            <w:tcBorders>
              <w:top w:val="nil"/>
              <w:left w:val="nil"/>
              <w:bottom w:val="single" w:sz="4" w:space="0" w:color="auto"/>
              <w:right w:val="single" w:sz="4" w:space="0" w:color="auto"/>
            </w:tcBorders>
            <w:shd w:val="clear" w:color="auto" w:fill="auto"/>
            <w:noWrap/>
            <w:vAlign w:val="bottom"/>
            <w:hideMark/>
          </w:tcPr>
          <w:p w14:paraId="22926A77" w14:textId="77777777" w:rsidR="00215161" w:rsidRPr="00215161" w:rsidRDefault="00215161" w:rsidP="00C279AF">
            <w:pPr>
              <w:ind w:firstLine="426"/>
              <w:jc w:val="center"/>
              <w:rPr>
                <w:rFonts w:eastAsia="Times New Roman"/>
                <w:color w:val="000000"/>
                <w:sz w:val="22"/>
                <w:lang w:eastAsia="cs-CZ"/>
              </w:rPr>
            </w:pPr>
            <w:r w:rsidRPr="00215161">
              <w:rPr>
                <w:rFonts w:eastAsia="Times New Roman"/>
                <w:color w:val="000000"/>
                <w:sz w:val="22"/>
                <w:lang w:eastAsia="cs-CZ"/>
              </w:rPr>
              <w:t>326 928</w:t>
            </w:r>
          </w:p>
        </w:tc>
        <w:tc>
          <w:tcPr>
            <w:tcW w:w="1560" w:type="dxa"/>
            <w:tcBorders>
              <w:top w:val="nil"/>
              <w:left w:val="nil"/>
              <w:bottom w:val="single" w:sz="4" w:space="0" w:color="auto"/>
              <w:right w:val="single" w:sz="4" w:space="0" w:color="auto"/>
            </w:tcBorders>
            <w:shd w:val="clear" w:color="auto" w:fill="auto"/>
            <w:noWrap/>
            <w:vAlign w:val="bottom"/>
            <w:hideMark/>
          </w:tcPr>
          <w:p w14:paraId="660B1319" w14:textId="77777777" w:rsidR="00215161" w:rsidRPr="00215161" w:rsidRDefault="00215161" w:rsidP="00C279AF">
            <w:pPr>
              <w:ind w:firstLine="426"/>
              <w:jc w:val="center"/>
              <w:rPr>
                <w:rFonts w:eastAsia="Times New Roman"/>
                <w:color w:val="000000"/>
                <w:sz w:val="22"/>
                <w:lang w:eastAsia="cs-CZ"/>
              </w:rPr>
            </w:pPr>
            <w:r w:rsidRPr="00215161">
              <w:rPr>
                <w:rFonts w:eastAsia="Times New Roman"/>
                <w:color w:val="000000"/>
                <w:sz w:val="22"/>
                <w:lang w:eastAsia="cs-CZ"/>
              </w:rPr>
              <w:t>1 921 398</w:t>
            </w:r>
          </w:p>
        </w:tc>
        <w:tc>
          <w:tcPr>
            <w:tcW w:w="1559" w:type="dxa"/>
            <w:tcBorders>
              <w:top w:val="nil"/>
              <w:left w:val="nil"/>
              <w:bottom w:val="single" w:sz="4" w:space="0" w:color="auto"/>
              <w:right w:val="single" w:sz="4" w:space="0" w:color="auto"/>
            </w:tcBorders>
            <w:shd w:val="clear" w:color="auto" w:fill="auto"/>
            <w:noWrap/>
            <w:vAlign w:val="bottom"/>
            <w:hideMark/>
          </w:tcPr>
          <w:p w14:paraId="51E884F1" w14:textId="77777777" w:rsidR="00215161" w:rsidRPr="00215161" w:rsidRDefault="00215161" w:rsidP="00C279AF">
            <w:pPr>
              <w:ind w:firstLine="426"/>
              <w:jc w:val="center"/>
              <w:rPr>
                <w:rFonts w:eastAsia="Times New Roman"/>
                <w:color w:val="000000"/>
                <w:sz w:val="22"/>
                <w:lang w:eastAsia="cs-CZ"/>
              </w:rPr>
            </w:pPr>
            <w:r w:rsidRPr="00215161">
              <w:rPr>
                <w:rFonts w:eastAsia="Times New Roman"/>
                <w:color w:val="000000"/>
                <w:sz w:val="22"/>
                <w:lang w:eastAsia="cs-CZ"/>
              </w:rPr>
              <w:t>1 814 256</w:t>
            </w:r>
          </w:p>
        </w:tc>
        <w:tc>
          <w:tcPr>
            <w:tcW w:w="1418" w:type="dxa"/>
            <w:tcBorders>
              <w:top w:val="nil"/>
              <w:left w:val="nil"/>
              <w:bottom w:val="single" w:sz="4" w:space="0" w:color="auto"/>
              <w:right w:val="single" w:sz="4" w:space="0" w:color="auto"/>
            </w:tcBorders>
            <w:shd w:val="clear" w:color="auto" w:fill="auto"/>
            <w:noWrap/>
            <w:vAlign w:val="bottom"/>
            <w:hideMark/>
          </w:tcPr>
          <w:p w14:paraId="6040E9BD" w14:textId="77777777" w:rsidR="00215161" w:rsidRPr="00215161" w:rsidRDefault="00215161" w:rsidP="00C279AF">
            <w:pPr>
              <w:ind w:firstLine="426"/>
              <w:jc w:val="center"/>
              <w:rPr>
                <w:rFonts w:eastAsia="Times New Roman"/>
                <w:color w:val="000000"/>
                <w:sz w:val="22"/>
                <w:lang w:eastAsia="cs-CZ"/>
              </w:rPr>
            </w:pPr>
            <w:r w:rsidRPr="00215161">
              <w:rPr>
                <w:rFonts w:eastAsia="Times New Roman"/>
                <w:color w:val="000000"/>
                <w:sz w:val="22"/>
                <w:lang w:eastAsia="cs-CZ"/>
              </w:rPr>
              <w:t>-107 142</w:t>
            </w:r>
          </w:p>
        </w:tc>
      </w:tr>
      <w:tr w:rsidR="00215161" w:rsidRPr="00215161" w14:paraId="24851D81" w14:textId="77777777" w:rsidTr="00BA3C5D">
        <w:trPr>
          <w:gridAfter w:val="1"/>
          <w:wAfter w:w="14" w:type="dxa"/>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02518CB" w14:textId="77777777" w:rsidR="00215161" w:rsidRPr="00215161" w:rsidRDefault="00215161" w:rsidP="00C279AF">
            <w:pPr>
              <w:ind w:firstLine="426"/>
              <w:jc w:val="center"/>
              <w:rPr>
                <w:rFonts w:eastAsia="Times New Roman"/>
                <w:color w:val="000000"/>
                <w:sz w:val="22"/>
                <w:lang w:eastAsia="cs-CZ"/>
              </w:rPr>
            </w:pPr>
            <w:r w:rsidRPr="00215161">
              <w:rPr>
                <w:rFonts w:eastAsia="Times New Roman"/>
                <w:color w:val="000000"/>
                <w:sz w:val="22"/>
                <w:lang w:eastAsia="cs-CZ"/>
              </w:rPr>
              <w:t>6</w:t>
            </w:r>
          </w:p>
        </w:tc>
        <w:tc>
          <w:tcPr>
            <w:tcW w:w="1589" w:type="dxa"/>
            <w:tcBorders>
              <w:top w:val="nil"/>
              <w:left w:val="nil"/>
              <w:bottom w:val="single" w:sz="4" w:space="0" w:color="auto"/>
              <w:right w:val="single" w:sz="4" w:space="0" w:color="auto"/>
            </w:tcBorders>
            <w:shd w:val="clear" w:color="auto" w:fill="auto"/>
            <w:noWrap/>
            <w:vAlign w:val="bottom"/>
            <w:hideMark/>
          </w:tcPr>
          <w:p w14:paraId="5A351017" w14:textId="77777777" w:rsidR="00215161" w:rsidRPr="00215161" w:rsidRDefault="00215161" w:rsidP="00C279AF">
            <w:pPr>
              <w:ind w:firstLine="426"/>
              <w:jc w:val="center"/>
              <w:rPr>
                <w:rFonts w:eastAsia="Times New Roman"/>
                <w:color w:val="000000"/>
                <w:sz w:val="22"/>
                <w:lang w:eastAsia="cs-CZ"/>
              </w:rPr>
            </w:pPr>
            <w:r w:rsidRPr="00215161">
              <w:rPr>
                <w:rFonts w:eastAsia="Times New Roman"/>
                <w:color w:val="000000"/>
                <w:sz w:val="22"/>
                <w:lang w:eastAsia="cs-CZ"/>
              </w:rPr>
              <w:t>252 816</w:t>
            </w:r>
          </w:p>
        </w:tc>
        <w:tc>
          <w:tcPr>
            <w:tcW w:w="1417" w:type="dxa"/>
            <w:tcBorders>
              <w:top w:val="nil"/>
              <w:left w:val="nil"/>
              <w:bottom w:val="single" w:sz="4" w:space="0" w:color="auto"/>
              <w:right w:val="single" w:sz="4" w:space="0" w:color="auto"/>
            </w:tcBorders>
            <w:shd w:val="clear" w:color="auto" w:fill="auto"/>
            <w:noWrap/>
            <w:vAlign w:val="bottom"/>
            <w:hideMark/>
          </w:tcPr>
          <w:p w14:paraId="40B7355F" w14:textId="77777777" w:rsidR="00215161" w:rsidRPr="00215161" w:rsidRDefault="00215161" w:rsidP="00C279AF">
            <w:pPr>
              <w:ind w:firstLine="426"/>
              <w:jc w:val="center"/>
              <w:rPr>
                <w:rFonts w:eastAsia="Times New Roman"/>
                <w:color w:val="000000"/>
                <w:sz w:val="22"/>
                <w:lang w:eastAsia="cs-CZ"/>
              </w:rPr>
            </w:pPr>
            <w:r w:rsidRPr="00215161">
              <w:rPr>
                <w:rFonts w:eastAsia="Times New Roman"/>
                <w:color w:val="000000"/>
                <w:sz w:val="22"/>
                <w:lang w:eastAsia="cs-CZ"/>
              </w:rPr>
              <w:t>337 536</w:t>
            </w:r>
          </w:p>
        </w:tc>
        <w:tc>
          <w:tcPr>
            <w:tcW w:w="1560" w:type="dxa"/>
            <w:tcBorders>
              <w:top w:val="nil"/>
              <w:left w:val="nil"/>
              <w:bottom w:val="single" w:sz="4" w:space="0" w:color="auto"/>
              <w:right w:val="single" w:sz="4" w:space="0" w:color="auto"/>
            </w:tcBorders>
            <w:shd w:val="clear" w:color="auto" w:fill="auto"/>
            <w:noWrap/>
            <w:vAlign w:val="bottom"/>
            <w:hideMark/>
          </w:tcPr>
          <w:p w14:paraId="4F875062" w14:textId="77777777" w:rsidR="00215161" w:rsidRPr="00215161" w:rsidRDefault="00215161" w:rsidP="00C279AF">
            <w:pPr>
              <w:ind w:firstLine="426"/>
              <w:jc w:val="center"/>
              <w:rPr>
                <w:rFonts w:eastAsia="Times New Roman"/>
                <w:color w:val="000000"/>
                <w:sz w:val="22"/>
                <w:lang w:eastAsia="cs-CZ"/>
              </w:rPr>
            </w:pPr>
            <w:r w:rsidRPr="00215161">
              <w:rPr>
                <w:rFonts w:eastAsia="Times New Roman"/>
                <w:color w:val="000000"/>
                <w:sz w:val="22"/>
                <w:lang w:eastAsia="cs-CZ"/>
              </w:rPr>
              <w:t>2 174 214</w:t>
            </w:r>
          </w:p>
        </w:tc>
        <w:tc>
          <w:tcPr>
            <w:tcW w:w="1559" w:type="dxa"/>
            <w:tcBorders>
              <w:top w:val="nil"/>
              <w:left w:val="nil"/>
              <w:bottom w:val="single" w:sz="4" w:space="0" w:color="auto"/>
              <w:right w:val="single" w:sz="4" w:space="0" w:color="auto"/>
            </w:tcBorders>
            <w:shd w:val="clear" w:color="auto" w:fill="auto"/>
            <w:noWrap/>
            <w:vAlign w:val="bottom"/>
            <w:hideMark/>
          </w:tcPr>
          <w:p w14:paraId="15239566" w14:textId="77777777" w:rsidR="00215161" w:rsidRPr="00215161" w:rsidRDefault="00215161" w:rsidP="00C279AF">
            <w:pPr>
              <w:ind w:firstLine="426"/>
              <w:jc w:val="center"/>
              <w:rPr>
                <w:rFonts w:eastAsia="Times New Roman"/>
                <w:color w:val="000000"/>
                <w:sz w:val="22"/>
                <w:lang w:eastAsia="cs-CZ"/>
              </w:rPr>
            </w:pPr>
            <w:r w:rsidRPr="00215161">
              <w:rPr>
                <w:rFonts w:eastAsia="Times New Roman"/>
                <w:color w:val="000000"/>
                <w:sz w:val="22"/>
                <w:lang w:eastAsia="cs-CZ"/>
              </w:rPr>
              <w:t>2 151 792</w:t>
            </w:r>
          </w:p>
        </w:tc>
        <w:tc>
          <w:tcPr>
            <w:tcW w:w="1418" w:type="dxa"/>
            <w:tcBorders>
              <w:top w:val="nil"/>
              <w:left w:val="nil"/>
              <w:bottom w:val="single" w:sz="4" w:space="0" w:color="auto"/>
              <w:right w:val="single" w:sz="4" w:space="0" w:color="auto"/>
            </w:tcBorders>
            <w:shd w:val="clear" w:color="auto" w:fill="auto"/>
            <w:noWrap/>
            <w:vAlign w:val="bottom"/>
            <w:hideMark/>
          </w:tcPr>
          <w:p w14:paraId="11271CB6" w14:textId="77777777" w:rsidR="00215161" w:rsidRPr="00215161" w:rsidRDefault="00215161" w:rsidP="00C279AF">
            <w:pPr>
              <w:ind w:firstLine="426"/>
              <w:jc w:val="center"/>
              <w:rPr>
                <w:rFonts w:eastAsia="Times New Roman"/>
                <w:color w:val="000000"/>
                <w:sz w:val="22"/>
                <w:lang w:eastAsia="cs-CZ"/>
              </w:rPr>
            </w:pPr>
            <w:r w:rsidRPr="00215161">
              <w:rPr>
                <w:rFonts w:eastAsia="Times New Roman"/>
                <w:color w:val="000000"/>
                <w:sz w:val="22"/>
                <w:lang w:eastAsia="cs-CZ"/>
              </w:rPr>
              <w:t>-22 422</w:t>
            </w:r>
          </w:p>
        </w:tc>
      </w:tr>
      <w:tr w:rsidR="00215161" w:rsidRPr="00215161" w14:paraId="68DEF6EB" w14:textId="77777777" w:rsidTr="00BA3C5D">
        <w:trPr>
          <w:gridAfter w:val="1"/>
          <w:wAfter w:w="14" w:type="dxa"/>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1C997DC" w14:textId="77777777" w:rsidR="00215161" w:rsidRPr="00215161" w:rsidRDefault="00215161" w:rsidP="00C279AF">
            <w:pPr>
              <w:ind w:firstLine="426"/>
              <w:jc w:val="center"/>
              <w:rPr>
                <w:rFonts w:eastAsia="Times New Roman"/>
                <w:color w:val="000000"/>
                <w:sz w:val="22"/>
                <w:lang w:eastAsia="cs-CZ"/>
              </w:rPr>
            </w:pPr>
            <w:r w:rsidRPr="00215161">
              <w:rPr>
                <w:rFonts w:eastAsia="Times New Roman"/>
                <w:color w:val="000000"/>
                <w:sz w:val="22"/>
                <w:lang w:eastAsia="cs-CZ"/>
              </w:rPr>
              <w:t>7</w:t>
            </w:r>
          </w:p>
        </w:tc>
        <w:tc>
          <w:tcPr>
            <w:tcW w:w="1589" w:type="dxa"/>
            <w:tcBorders>
              <w:top w:val="nil"/>
              <w:left w:val="nil"/>
              <w:bottom w:val="single" w:sz="4" w:space="0" w:color="auto"/>
              <w:right w:val="single" w:sz="4" w:space="0" w:color="auto"/>
            </w:tcBorders>
            <w:shd w:val="clear" w:color="auto" w:fill="auto"/>
            <w:noWrap/>
            <w:vAlign w:val="bottom"/>
            <w:hideMark/>
          </w:tcPr>
          <w:p w14:paraId="4DD39D07" w14:textId="77777777" w:rsidR="00215161" w:rsidRPr="00215161" w:rsidRDefault="00215161" w:rsidP="00C279AF">
            <w:pPr>
              <w:ind w:firstLine="426"/>
              <w:jc w:val="center"/>
              <w:rPr>
                <w:rFonts w:eastAsia="Times New Roman"/>
                <w:color w:val="000000"/>
                <w:sz w:val="22"/>
                <w:lang w:eastAsia="cs-CZ"/>
              </w:rPr>
            </w:pPr>
            <w:r w:rsidRPr="00215161">
              <w:rPr>
                <w:rFonts w:eastAsia="Times New Roman"/>
                <w:color w:val="000000"/>
                <w:sz w:val="22"/>
                <w:lang w:eastAsia="cs-CZ"/>
              </w:rPr>
              <w:t>261 300</w:t>
            </w:r>
          </w:p>
        </w:tc>
        <w:tc>
          <w:tcPr>
            <w:tcW w:w="1417" w:type="dxa"/>
            <w:tcBorders>
              <w:top w:val="nil"/>
              <w:left w:val="nil"/>
              <w:bottom w:val="single" w:sz="4" w:space="0" w:color="auto"/>
              <w:right w:val="single" w:sz="4" w:space="0" w:color="auto"/>
            </w:tcBorders>
            <w:shd w:val="clear" w:color="auto" w:fill="auto"/>
            <w:noWrap/>
            <w:vAlign w:val="bottom"/>
            <w:hideMark/>
          </w:tcPr>
          <w:p w14:paraId="4A3BE1AB" w14:textId="77777777" w:rsidR="00215161" w:rsidRPr="00215161" w:rsidRDefault="00215161" w:rsidP="00C279AF">
            <w:pPr>
              <w:ind w:firstLine="426"/>
              <w:jc w:val="center"/>
              <w:rPr>
                <w:rFonts w:eastAsia="Times New Roman"/>
                <w:color w:val="000000"/>
                <w:sz w:val="22"/>
                <w:lang w:eastAsia="cs-CZ"/>
              </w:rPr>
            </w:pPr>
            <w:r w:rsidRPr="00215161">
              <w:rPr>
                <w:rFonts w:eastAsia="Times New Roman"/>
                <w:color w:val="000000"/>
                <w:sz w:val="22"/>
                <w:lang w:eastAsia="cs-CZ"/>
              </w:rPr>
              <w:t>348 480</w:t>
            </w:r>
          </w:p>
        </w:tc>
        <w:tc>
          <w:tcPr>
            <w:tcW w:w="1560" w:type="dxa"/>
            <w:tcBorders>
              <w:top w:val="nil"/>
              <w:left w:val="nil"/>
              <w:bottom w:val="single" w:sz="4" w:space="0" w:color="auto"/>
              <w:right w:val="single" w:sz="4" w:space="0" w:color="auto"/>
            </w:tcBorders>
            <w:shd w:val="clear" w:color="auto" w:fill="auto"/>
            <w:noWrap/>
            <w:vAlign w:val="bottom"/>
            <w:hideMark/>
          </w:tcPr>
          <w:p w14:paraId="764D4BF0" w14:textId="77777777" w:rsidR="00215161" w:rsidRPr="00215161" w:rsidRDefault="00215161" w:rsidP="00C279AF">
            <w:pPr>
              <w:ind w:firstLine="426"/>
              <w:jc w:val="center"/>
              <w:rPr>
                <w:rFonts w:eastAsia="Times New Roman"/>
                <w:color w:val="000000"/>
                <w:sz w:val="22"/>
                <w:lang w:eastAsia="cs-CZ"/>
              </w:rPr>
            </w:pPr>
            <w:r w:rsidRPr="00215161">
              <w:rPr>
                <w:rFonts w:eastAsia="Times New Roman"/>
                <w:color w:val="000000"/>
                <w:sz w:val="22"/>
                <w:lang w:eastAsia="cs-CZ"/>
              </w:rPr>
              <w:t>2 435 514</w:t>
            </w:r>
          </w:p>
        </w:tc>
        <w:tc>
          <w:tcPr>
            <w:tcW w:w="1559" w:type="dxa"/>
            <w:tcBorders>
              <w:top w:val="nil"/>
              <w:left w:val="nil"/>
              <w:bottom w:val="single" w:sz="4" w:space="0" w:color="auto"/>
              <w:right w:val="single" w:sz="4" w:space="0" w:color="auto"/>
            </w:tcBorders>
            <w:shd w:val="clear" w:color="auto" w:fill="auto"/>
            <w:noWrap/>
            <w:vAlign w:val="bottom"/>
            <w:hideMark/>
          </w:tcPr>
          <w:p w14:paraId="0E6728D5" w14:textId="77777777" w:rsidR="00215161" w:rsidRPr="00215161" w:rsidRDefault="00215161" w:rsidP="00C279AF">
            <w:pPr>
              <w:ind w:firstLine="426"/>
              <w:jc w:val="center"/>
              <w:rPr>
                <w:rFonts w:eastAsia="Times New Roman"/>
                <w:color w:val="000000"/>
                <w:sz w:val="22"/>
                <w:lang w:eastAsia="cs-CZ"/>
              </w:rPr>
            </w:pPr>
            <w:r w:rsidRPr="00215161">
              <w:rPr>
                <w:rFonts w:eastAsia="Times New Roman"/>
                <w:color w:val="000000"/>
                <w:sz w:val="22"/>
                <w:lang w:eastAsia="cs-CZ"/>
              </w:rPr>
              <w:t>2 500 272</w:t>
            </w:r>
          </w:p>
        </w:tc>
        <w:tc>
          <w:tcPr>
            <w:tcW w:w="1418" w:type="dxa"/>
            <w:tcBorders>
              <w:top w:val="nil"/>
              <w:left w:val="nil"/>
              <w:bottom w:val="single" w:sz="4" w:space="0" w:color="auto"/>
              <w:right w:val="single" w:sz="4" w:space="0" w:color="auto"/>
            </w:tcBorders>
            <w:shd w:val="clear" w:color="auto" w:fill="auto"/>
            <w:noWrap/>
            <w:vAlign w:val="bottom"/>
            <w:hideMark/>
          </w:tcPr>
          <w:p w14:paraId="2696238F" w14:textId="77777777" w:rsidR="00215161" w:rsidRPr="00215161" w:rsidRDefault="00215161" w:rsidP="00C279AF">
            <w:pPr>
              <w:ind w:firstLine="426"/>
              <w:jc w:val="center"/>
              <w:rPr>
                <w:rFonts w:eastAsia="Times New Roman"/>
                <w:color w:val="000000"/>
                <w:sz w:val="22"/>
                <w:lang w:eastAsia="cs-CZ"/>
              </w:rPr>
            </w:pPr>
            <w:r w:rsidRPr="00215161">
              <w:rPr>
                <w:rFonts w:eastAsia="Times New Roman"/>
                <w:color w:val="000000"/>
                <w:sz w:val="22"/>
                <w:lang w:eastAsia="cs-CZ"/>
              </w:rPr>
              <w:t>64 758</w:t>
            </w:r>
          </w:p>
        </w:tc>
      </w:tr>
    </w:tbl>
    <w:p w14:paraId="4CB38AA2" w14:textId="77777777" w:rsidR="00164214" w:rsidRDefault="00164214" w:rsidP="00E70FEE">
      <w:pPr>
        <w:spacing w:before="160" w:after="160"/>
        <w:ind w:firstLine="426"/>
        <w:rPr>
          <w:szCs w:val="24"/>
        </w:rPr>
      </w:pPr>
    </w:p>
    <w:p w14:paraId="1EDA4CF5" w14:textId="77777777" w:rsidR="00215161" w:rsidRDefault="00215161" w:rsidP="00E70FEE">
      <w:pPr>
        <w:spacing w:before="160" w:after="160"/>
        <w:ind w:firstLine="426"/>
        <w:rPr>
          <w:szCs w:val="24"/>
        </w:rPr>
      </w:pPr>
      <w:r w:rsidRPr="00215161">
        <w:rPr>
          <w:szCs w:val="24"/>
        </w:rPr>
        <w:t>Navrhovaná opatření zvyšují krácení předčasného starobního důchodu, takže přiznaný předčasný starobní důchod bude nižší než při současné</w:t>
      </w:r>
      <w:r w:rsidR="00DC3C1E">
        <w:rPr>
          <w:szCs w:val="24"/>
        </w:rPr>
        <w:t>m</w:t>
      </w:r>
      <w:r w:rsidRPr="00215161">
        <w:rPr>
          <w:szCs w:val="24"/>
        </w:rPr>
        <w:t xml:space="preserve"> stavu. Zároveň nebude procentní výměra tohoto důchodu až do dosažení důchodového věku valorizována. Kombinace těchto opatření povede k tomu, že maximální rozdíl finančních toků bude asi o 43 tisíc</w:t>
      </w:r>
      <w:r w:rsidR="00164214">
        <w:rPr>
          <w:szCs w:val="24"/>
        </w:rPr>
        <w:t xml:space="preserve"> Kč </w:t>
      </w:r>
      <w:r w:rsidRPr="00215161">
        <w:rPr>
          <w:szCs w:val="24"/>
        </w:rPr>
        <w:t>menší. Rozdíl se změní ve prospěch odchodu při dosažení důchodového věku po necelých 5 letech od dosažení důchodového věku, tj. cca o 2 roky dříve než při současném stavu.</w:t>
      </w:r>
    </w:p>
    <w:p w14:paraId="37C72041" w14:textId="77777777" w:rsidR="00164214" w:rsidRDefault="00164214" w:rsidP="00E70FEE">
      <w:pPr>
        <w:spacing w:before="160" w:after="160"/>
        <w:ind w:firstLine="426"/>
        <w:rPr>
          <w:szCs w:val="24"/>
        </w:rPr>
      </w:pPr>
    </w:p>
    <w:p w14:paraId="6D2D41DD" w14:textId="77777777" w:rsidR="00164214" w:rsidRDefault="00164214" w:rsidP="00E70FEE">
      <w:pPr>
        <w:spacing w:before="160" w:after="160"/>
        <w:ind w:firstLine="426"/>
        <w:rPr>
          <w:szCs w:val="24"/>
        </w:rPr>
      </w:pPr>
    </w:p>
    <w:p w14:paraId="7C44BCD5" w14:textId="77777777" w:rsidR="00164214" w:rsidRDefault="00164214" w:rsidP="00E70FEE">
      <w:pPr>
        <w:spacing w:before="160" w:after="160"/>
        <w:ind w:firstLine="426"/>
        <w:rPr>
          <w:szCs w:val="24"/>
        </w:rPr>
      </w:pPr>
    </w:p>
    <w:p w14:paraId="740D39D4" w14:textId="77777777" w:rsidR="00164214" w:rsidRDefault="00164214" w:rsidP="00E70FEE">
      <w:pPr>
        <w:spacing w:before="160" w:after="160"/>
        <w:ind w:firstLine="426"/>
        <w:rPr>
          <w:szCs w:val="24"/>
        </w:rPr>
      </w:pPr>
    </w:p>
    <w:p w14:paraId="3A705CFF" w14:textId="77777777" w:rsidR="00164214" w:rsidRPr="00215161" w:rsidRDefault="00164214" w:rsidP="00E70FEE">
      <w:pPr>
        <w:spacing w:before="160" w:after="160"/>
        <w:ind w:firstLine="426"/>
        <w:rPr>
          <w:szCs w:val="24"/>
        </w:rPr>
      </w:pPr>
    </w:p>
    <w:p w14:paraId="03AC7A88" w14:textId="77777777" w:rsidR="00215161" w:rsidRPr="00215161" w:rsidRDefault="00215161" w:rsidP="00E70FEE">
      <w:pPr>
        <w:pStyle w:val="Titulek"/>
        <w:ind w:firstLine="426"/>
        <w:rPr>
          <w:rFonts w:ascii="Times New Roman" w:hAnsi="Times New Roman"/>
          <w:sz w:val="24"/>
          <w:szCs w:val="24"/>
        </w:rPr>
      </w:pPr>
      <w:r w:rsidRPr="00215161">
        <w:rPr>
          <w:rFonts w:ascii="Times New Roman" w:hAnsi="Times New Roman"/>
          <w:sz w:val="24"/>
          <w:szCs w:val="24"/>
        </w:rPr>
        <w:t xml:space="preserve">Tabulka </w:t>
      </w:r>
      <w:r w:rsidRPr="00215161">
        <w:rPr>
          <w:rFonts w:ascii="Times New Roman" w:hAnsi="Times New Roman"/>
          <w:sz w:val="24"/>
          <w:szCs w:val="24"/>
        </w:rPr>
        <w:fldChar w:fldCharType="begin"/>
      </w:r>
      <w:r w:rsidRPr="00215161">
        <w:rPr>
          <w:rFonts w:ascii="Times New Roman" w:hAnsi="Times New Roman"/>
          <w:sz w:val="24"/>
          <w:szCs w:val="24"/>
        </w:rPr>
        <w:instrText xml:space="preserve"> SEQ Tabulka \* ARABIC </w:instrText>
      </w:r>
      <w:r w:rsidRPr="00215161">
        <w:rPr>
          <w:rFonts w:ascii="Times New Roman" w:hAnsi="Times New Roman"/>
          <w:sz w:val="24"/>
          <w:szCs w:val="24"/>
        </w:rPr>
        <w:fldChar w:fldCharType="separate"/>
      </w:r>
      <w:r w:rsidR="00880F0E">
        <w:rPr>
          <w:rFonts w:ascii="Times New Roman" w:hAnsi="Times New Roman"/>
          <w:noProof/>
          <w:sz w:val="24"/>
          <w:szCs w:val="24"/>
        </w:rPr>
        <w:t>3</w:t>
      </w:r>
      <w:r w:rsidRPr="00215161">
        <w:rPr>
          <w:rFonts w:ascii="Times New Roman" w:hAnsi="Times New Roman"/>
          <w:noProof/>
          <w:sz w:val="24"/>
          <w:szCs w:val="24"/>
        </w:rPr>
        <w:fldChar w:fldCharType="end"/>
      </w:r>
      <w:r w:rsidRPr="00215161">
        <w:rPr>
          <w:rFonts w:ascii="Times New Roman" w:hAnsi="Times New Roman"/>
          <w:sz w:val="24"/>
          <w:szCs w:val="24"/>
        </w:rPr>
        <w:t xml:space="preserve"> – Finanční toky při odchodu do předčasného a řádného starobního důchodu – návrh</w:t>
      </w:r>
    </w:p>
    <w:tbl>
      <w:tblPr>
        <w:tblW w:w="9084" w:type="dxa"/>
        <w:tblCellMar>
          <w:left w:w="70" w:type="dxa"/>
          <w:right w:w="70" w:type="dxa"/>
        </w:tblCellMar>
        <w:tblLook w:val="04A0" w:firstRow="1" w:lastRow="0" w:firstColumn="1" w:lastColumn="0" w:noHBand="0" w:noVBand="1"/>
      </w:tblPr>
      <w:tblGrid>
        <w:gridCol w:w="1600"/>
        <w:gridCol w:w="1589"/>
        <w:gridCol w:w="1417"/>
        <w:gridCol w:w="1560"/>
        <w:gridCol w:w="1559"/>
        <w:gridCol w:w="1359"/>
      </w:tblGrid>
      <w:tr w:rsidR="00215161" w:rsidRPr="00586198" w14:paraId="29FDFE62" w14:textId="77777777" w:rsidTr="00C279AF">
        <w:trPr>
          <w:trHeight w:val="375"/>
        </w:trPr>
        <w:tc>
          <w:tcPr>
            <w:tcW w:w="160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0AE5695C" w14:textId="77777777" w:rsidR="00215161" w:rsidRPr="00586198" w:rsidRDefault="00215161" w:rsidP="00494ABC">
            <w:pPr>
              <w:jc w:val="center"/>
              <w:rPr>
                <w:rFonts w:eastAsia="Times New Roman"/>
                <w:color w:val="000000"/>
                <w:sz w:val="22"/>
                <w:lang w:eastAsia="cs-CZ"/>
              </w:rPr>
            </w:pPr>
            <w:r w:rsidRPr="00586198">
              <w:rPr>
                <w:rFonts w:eastAsia="Times New Roman"/>
                <w:color w:val="000000"/>
                <w:sz w:val="22"/>
                <w:lang w:eastAsia="cs-CZ"/>
              </w:rPr>
              <w:t>Rok ve vztahu k důchodovému věku</w:t>
            </w:r>
          </w:p>
        </w:tc>
        <w:tc>
          <w:tcPr>
            <w:tcW w:w="1589" w:type="dxa"/>
            <w:tcBorders>
              <w:top w:val="single" w:sz="4" w:space="0" w:color="auto"/>
              <w:left w:val="nil"/>
              <w:bottom w:val="single" w:sz="4" w:space="0" w:color="auto"/>
              <w:right w:val="single" w:sz="4" w:space="0" w:color="auto"/>
            </w:tcBorders>
            <w:shd w:val="clear" w:color="auto" w:fill="auto"/>
            <w:noWrap/>
            <w:vAlign w:val="bottom"/>
            <w:hideMark/>
          </w:tcPr>
          <w:p w14:paraId="1E079982" w14:textId="77777777" w:rsidR="00215161" w:rsidRPr="00586198" w:rsidRDefault="00215161" w:rsidP="00494ABC">
            <w:pPr>
              <w:jc w:val="center"/>
              <w:rPr>
                <w:rFonts w:eastAsia="Times New Roman"/>
                <w:color w:val="000000"/>
                <w:sz w:val="22"/>
                <w:lang w:eastAsia="cs-CZ"/>
              </w:rPr>
            </w:pPr>
            <w:r w:rsidRPr="00215161">
              <w:rPr>
                <w:rFonts w:eastAsia="Times New Roman"/>
                <w:color w:val="000000"/>
                <w:sz w:val="22"/>
                <w:lang w:eastAsia="cs-CZ"/>
              </w:rPr>
              <w:t>Předčasný</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498D4B7" w14:textId="77777777" w:rsidR="00215161" w:rsidRPr="00586198" w:rsidRDefault="00215161" w:rsidP="00494ABC">
            <w:pPr>
              <w:jc w:val="center"/>
              <w:rPr>
                <w:rFonts w:eastAsia="Times New Roman"/>
                <w:color w:val="000000"/>
                <w:sz w:val="22"/>
                <w:lang w:eastAsia="cs-CZ"/>
              </w:rPr>
            </w:pPr>
            <w:r w:rsidRPr="00215161">
              <w:rPr>
                <w:rFonts w:eastAsia="Times New Roman"/>
                <w:color w:val="000000"/>
                <w:sz w:val="22"/>
                <w:lang w:eastAsia="cs-CZ"/>
              </w:rPr>
              <w:t>Řádný</w:t>
            </w:r>
          </w:p>
        </w:tc>
        <w:tc>
          <w:tcPr>
            <w:tcW w:w="4478"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62524B5" w14:textId="77777777" w:rsidR="00215161" w:rsidRPr="00586198" w:rsidRDefault="00215161" w:rsidP="00494ABC">
            <w:pPr>
              <w:jc w:val="center"/>
              <w:rPr>
                <w:rFonts w:eastAsia="Times New Roman"/>
                <w:color w:val="000000"/>
                <w:sz w:val="22"/>
                <w:lang w:eastAsia="cs-CZ"/>
              </w:rPr>
            </w:pPr>
            <w:r w:rsidRPr="00586198">
              <w:rPr>
                <w:rFonts w:eastAsia="Times New Roman"/>
                <w:color w:val="000000"/>
                <w:sz w:val="22"/>
                <w:lang w:eastAsia="cs-CZ"/>
              </w:rPr>
              <w:t>Saldo</w:t>
            </w:r>
          </w:p>
        </w:tc>
      </w:tr>
      <w:tr w:rsidR="00215161" w:rsidRPr="00586198" w14:paraId="508B137C" w14:textId="77777777" w:rsidTr="00C279AF">
        <w:trPr>
          <w:trHeight w:val="555"/>
        </w:trPr>
        <w:tc>
          <w:tcPr>
            <w:tcW w:w="1600" w:type="dxa"/>
            <w:vMerge/>
            <w:tcBorders>
              <w:top w:val="single" w:sz="4" w:space="0" w:color="auto"/>
              <w:left w:val="single" w:sz="4" w:space="0" w:color="auto"/>
              <w:bottom w:val="single" w:sz="4" w:space="0" w:color="000000"/>
              <w:right w:val="single" w:sz="4" w:space="0" w:color="auto"/>
            </w:tcBorders>
            <w:vAlign w:val="center"/>
            <w:hideMark/>
          </w:tcPr>
          <w:p w14:paraId="1014CC26" w14:textId="77777777" w:rsidR="00215161" w:rsidRPr="00586198" w:rsidRDefault="00215161" w:rsidP="00494ABC">
            <w:pPr>
              <w:jc w:val="center"/>
              <w:rPr>
                <w:rFonts w:eastAsia="Times New Roman"/>
                <w:color w:val="000000"/>
                <w:sz w:val="22"/>
                <w:lang w:eastAsia="cs-CZ"/>
              </w:rPr>
            </w:pPr>
          </w:p>
        </w:tc>
        <w:tc>
          <w:tcPr>
            <w:tcW w:w="1589" w:type="dxa"/>
            <w:tcBorders>
              <w:top w:val="nil"/>
              <w:left w:val="nil"/>
              <w:bottom w:val="single" w:sz="4" w:space="0" w:color="auto"/>
              <w:right w:val="single" w:sz="4" w:space="0" w:color="auto"/>
            </w:tcBorders>
            <w:shd w:val="clear" w:color="auto" w:fill="auto"/>
            <w:noWrap/>
            <w:vAlign w:val="bottom"/>
            <w:hideMark/>
          </w:tcPr>
          <w:p w14:paraId="08E8796B" w14:textId="77777777" w:rsidR="00215161" w:rsidRPr="00586198" w:rsidRDefault="00215161" w:rsidP="00494ABC">
            <w:pPr>
              <w:jc w:val="center"/>
              <w:rPr>
                <w:rFonts w:eastAsia="Times New Roman"/>
                <w:color w:val="000000"/>
                <w:sz w:val="22"/>
                <w:lang w:eastAsia="cs-CZ"/>
              </w:rPr>
            </w:pPr>
            <w:r w:rsidRPr="00586198">
              <w:rPr>
                <w:rFonts w:eastAsia="Times New Roman"/>
                <w:color w:val="000000"/>
                <w:sz w:val="22"/>
                <w:lang w:eastAsia="cs-CZ"/>
              </w:rPr>
              <w:t>Důchod</w:t>
            </w:r>
          </w:p>
        </w:tc>
        <w:tc>
          <w:tcPr>
            <w:tcW w:w="1417" w:type="dxa"/>
            <w:tcBorders>
              <w:top w:val="nil"/>
              <w:left w:val="nil"/>
              <w:bottom w:val="single" w:sz="4" w:space="0" w:color="auto"/>
              <w:right w:val="single" w:sz="4" w:space="0" w:color="auto"/>
            </w:tcBorders>
            <w:shd w:val="clear" w:color="auto" w:fill="auto"/>
            <w:noWrap/>
            <w:vAlign w:val="bottom"/>
            <w:hideMark/>
          </w:tcPr>
          <w:p w14:paraId="5986A668" w14:textId="77777777" w:rsidR="00215161" w:rsidRPr="00586198" w:rsidRDefault="00215161" w:rsidP="00494ABC">
            <w:pPr>
              <w:jc w:val="center"/>
              <w:rPr>
                <w:rFonts w:eastAsia="Times New Roman"/>
                <w:color w:val="000000"/>
                <w:sz w:val="22"/>
                <w:lang w:eastAsia="cs-CZ"/>
              </w:rPr>
            </w:pPr>
            <w:r w:rsidRPr="00586198">
              <w:rPr>
                <w:rFonts w:eastAsia="Times New Roman"/>
                <w:color w:val="000000"/>
                <w:sz w:val="22"/>
                <w:lang w:eastAsia="cs-CZ"/>
              </w:rPr>
              <w:t>Důchod</w:t>
            </w:r>
          </w:p>
        </w:tc>
        <w:tc>
          <w:tcPr>
            <w:tcW w:w="1560" w:type="dxa"/>
            <w:tcBorders>
              <w:top w:val="nil"/>
              <w:left w:val="nil"/>
              <w:bottom w:val="single" w:sz="4" w:space="0" w:color="auto"/>
              <w:right w:val="single" w:sz="4" w:space="0" w:color="auto"/>
            </w:tcBorders>
            <w:shd w:val="clear" w:color="auto" w:fill="auto"/>
            <w:noWrap/>
            <w:vAlign w:val="bottom"/>
            <w:hideMark/>
          </w:tcPr>
          <w:p w14:paraId="1DAAC7E3" w14:textId="77777777" w:rsidR="00215161" w:rsidRPr="00586198" w:rsidRDefault="00215161" w:rsidP="00494ABC">
            <w:pPr>
              <w:jc w:val="center"/>
              <w:rPr>
                <w:rFonts w:eastAsia="Times New Roman"/>
                <w:color w:val="000000"/>
                <w:sz w:val="22"/>
                <w:lang w:eastAsia="cs-CZ"/>
              </w:rPr>
            </w:pPr>
            <w:r w:rsidRPr="00586198">
              <w:rPr>
                <w:rFonts w:eastAsia="Times New Roman"/>
                <w:color w:val="000000"/>
                <w:sz w:val="22"/>
                <w:lang w:eastAsia="cs-CZ"/>
              </w:rPr>
              <w:t>Předčasný</w:t>
            </w:r>
          </w:p>
        </w:tc>
        <w:tc>
          <w:tcPr>
            <w:tcW w:w="1559" w:type="dxa"/>
            <w:tcBorders>
              <w:top w:val="nil"/>
              <w:left w:val="nil"/>
              <w:bottom w:val="single" w:sz="4" w:space="0" w:color="auto"/>
              <w:right w:val="single" w:sz="4" w:space="0" w:color="auto"/>
            </w:tcBorders>
            <w:shd w:val="clear" w:color="auto" w:fill="auto"/>
            <w:noWrap/>
            <w:vAlign w:val="bottom"/>
            <w:hideMark/>
          </w:tcPr>
          <w:p w14:paraId="3BC31CB7" w14:textId="77777777" w:rsidR="00215161" w:rsidRPr="00586198" w:rsidRDefault="00215161" w:rsidP="00494ABC">
            <w:pPr>
              <w:jc w:val="center"/>
              <w:rPr>
                <w:rFonts w:eastAsia="Times New Roman"/>
                <w:color w:val="000000"/>
                <w:sz w:val="22"/>
                <w:lang w:eastAsia="cs-CZ"/>
              </w:rPr>
            </w:pPr>
            <w:r w:rsidRPr="00586198">
              <w:rPr>
                <w:rFonts w:eastAsia="Times New Roman"/>
                <w:color w:val="000000"/>
                <w:sz w:val="22"/>
                <w:lang w:eastAsia="cs-CZ"/>
              </w:rPr>
              <w:t>Řádný</w:t>
            </w:r>
          </w:p>
        </w:tc>
        <w:tc>
          <w:tcPr>
            <w:tcW w:w="1356" w:type="dxa"/>
            <w:tcBorders>
              <w:top w:val="nil"/>
              <w:left w:val="nil"/>
              <w:bottom w:val="single" w:sz="4" w:space="0" w:color="auto"/>
              <w:right w:val="single" w:sz="4" w:space="0" w:color="auto"/>
            </w:tcBorders>
            <w:shd w:val="clear" w:color="auto" w:fill="auto"/>
            <w:noWrap/>
            <w:vAlign w:val="bottom"/>
            <w:hideMark/>
          </w:tcPr>
          <w:p w14:paraId="47317CBC" w14:textId="77777777" w:rsidR="00215161" w:rsidRPr="00586198" w:rsidRDefault="00215161" w:rsidP="00494ABC">
            <w:pPr>
              <w:jc w:val="center"/>
              <w:rPr>
                <w:rFonts w:eastAsia="Times New Roman"/>
                <w:color w:val="000000"/>
                <w:sz w:val="22"/>
                <w:lang w:eastAsia="cs-CZ"/>
              </w:rPr>
            </w:pPr>
            <w:r w:rsidRPr="00586198">
              <w:rPr>
                <w:rFonts w:eastAsia="Times New Roman"/>
                <w:color w:val="000000"/>
                <w:sz w:val="22"/>
                <w:lang w:eastAsia="cs-CZ"/>
              </w:rPr>
              <w:t>Rozdíl</w:t>
            </w:r>
          </w:p>
        </w:tc>
      </w:tr>
      <w:tr w:rsidR="00215161" w:rsidRPr="00586198" w14:paraId="4812AE03" w14:textId="77777777" w:rsidTr="00C279AF">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2775810" w14:textId="77777777" w:rsidR="00215161" w:rsidRPr="00586198" w:rsidRDefault="00215161" w:rsidP="00C279AF">
            <w:pPr>
              <w:ind w:firstLine="426"/>
              <w:jc w:val="center"/>
              <w:rPr>
                <w:rFonts w:eastAsia="Times New Roman"/>
                <w:color w:val="000000"/>
                <w:sz w:val="22"/>
                <w:lang w:eastAsia="cs-CZ"/>
              </w:rPr>
            </w:pPr>
            <w:r w:rsidRPr="00586198">
              <w:rPr>
                <w:rFonts w:eastAsia="Times New Roman"/>
                <w:color w:val="000000"/>
                <w:sz w:val="22"/>
                <w:lang w:eastAsia="cs-CZ"/>
              </w:rPr>
              <w:t>-3</w:t>
            </w:r>
          </w:p>
        </w:tc>
        <w:tc>
          <w:tcPr>
            <w:tcW w:w="1589" w:type="dxa"/>
            <w:tcBorders>
              <w:top w:val="nil"/>
              <w:left w:val="nil"/>
              <w:bottom w:val="single" w:sz="4" w:space="0" w:color="auto"/>
              <w:right w:val="single" w:sz="4" w:space="0" w:color="auto"/>
            </w:tcBorders>
            <w:shd w:val="clear" w:color="auto" w:fill="auto"/>
            <w:noWrap/>
            <w:vAlign w:val="bottom"/>
            <w:hideMark/>
          </w:tcPr>
          <w:p w14:paraId="377A1363" w14:textId="77777777" w:rsidR="00215161" w:rsidRPr="00586198" w:rsidRDefault="00215161" w:rsidP="00C279AF">
            <w:pPr>
              <w:ind w:firstLine="426"/>
              <w:jc w:val="center"/>
              <w:rPr>
                <w:rFonts w:eastAsia="Times New Roman"/>
                <w:color w:val="000000"/>
                <w:sz w:val="22"/>
                <w:lang w:eastAsia="cs-CZ"/>
              </w:rPr>
            </w:pPr>
            <w:r w:rsidRPr="00586198">
              <w:rPr>
                <w:rFonts w:eastAsia="Times New Roman"/>
                <w:color w:val="000000"/>
                <w:sz w:val="22"/>
                <w:lang w:eastAsia="cs-CZ"/>
              </w:rPr>
              <w:t>162 679</w:t>
            </w:r>
          </w:p>
        </w:tc>
        <w:tc>
          <w:tcPr>
            <w:tcW w:w="1417" w:type="dxa"/>
            <w:tcBorders>
              <w:top w:val="nil"/>
              <w:left w:val="nil"/>
              <w:bottom w:val="single" w:sz="4" w:space="0" w:color="auto"/>
              <w:right w:val="single" w:sz="4" w:space="0" w:color="auto"/>
            </w:tcBorders>
            <w:shd w:val="clear" w:color="auto" w:fill="auto"/>
            <w:noWrap/>
            <w:vAlign w:val="bottom"/>
            <w:hideMark/>
          </w:tcPr>
          <w:p w14:paraId="614691EF" w14:textId="77777777" w:rsidR="00215161" w:rsidRPr="00586198" w:rsidRDefault="00215161" w:rsidP="00C279AF">
            <w:pPr>
              <w:ind w:firstLine="426"/>
              <w:jc w:val="center"/>
              <w:rPr>
                <w:rFonts w:eastAsia="Times New Roman"/>
                <w:color w:val="000000"/>
                <w:sz w:val="22"/>
                <w:lang w:eastAsia="cs-CZ"/>
              </w:rPr>
            </w:pPr>
          </w:p>
        </w:tc>
        <w:tc>
          <w:tcPr>
            <w:tcW w:w="1560" w:type="dxa"/>
            <w:tcBorders>
              <w:top w:val="nil"/>
              <w:left w:val="nil"/>
              <w:bottom w:val="single" w:sz="4" w:space="0" w:color="auto"/>
              <w:right w:val="single" w:sz="4" w:space="0" w:color="auto"/>
            </w:tcBorders>
            <w:shd w:val="clear" w:color="auto" w:fill="auto"/>
            <w:noWrap/>
            <w:vAlign w:val="bottom"/>
            <w:hideMark/>
          </w:tcPr>
          <w:p w14:paraId="6B596DEA" w14:textId="77777777" w:rsidR="00215161" w:rsidRPr="00586198" w:rsidRDefault="00215161" w:rsidP="00C279AF">
            <w:pPr>
              <w:ind w:firstLine="426"/>
              <w:jc w:val="center"/>
              <w:rPr>
                <w:rFonts w:eastAsia="Times New Roman"/>
                <w:color w:val="000000"/>
                <w:sz w:val="22"/>
                <w:lang w:eastAsia="cs-CZ"/>
              </w:rPr>
            </w:pPr>
            <w:r w:rsidRPr="00586198">
              <w:rPr>
                <w:rFonts w:eastAsia="Times New Roman"/>
                <w:color w:val="000000"/>
                <w:sz w:val="22"/>
                <w:lang w:eastAsia="cs-CZ"/>
              </w:rPr>
              <w:t>162 679</w:t>
            </w:r>
          </w:p>
        </w:tc>
        <w:tc>
          <w:tcPr>
            <w:tcW w:w="1559" w:type="dxa"/>
            <w:tcBorders>
              <w:top w:val="nil"/>
              <w:left w:val="nil"/>
              <w:bottom w:val="single" w:sz="4" w:space="0" w:color="auto"/>
              <w:right w:val="single" w:sz="4" w:space="0" w:color="auto"/>
            </w:tcBorders>
            <w:shd w:val="clear" w:color="auto" w:fill="auto"/>
            <w:noWrap/>
            <w:vAlign w:val="bottom"/>
            <w:hideMark/>
          </w:tcPr>
          <w:p w14:paraId="60DAA005" w14:textId="77777777" w:rsidR="00215161" w:rsidRPr="00586198" w:rsidRDefault="00215161" w:rsidP="00C279AF">
            <w:pPr>
              <w:ind w:firstLine="426"/>
              <w:jc w:val="center"/>
              <w:rPr>
                <w:rFonts w:eastAsia="Times New Roman"/>
                <w:color w:val="000000"/>
                <w:sz w:val="22"/>
                <w:lang w:eastAsia="cs-CZ"/>
              </w:rPr>
            </w:pPr>
          </w:p>
        </w:tc>
        <w:tc>
          <w:tcPr>
            <w:tcW w:w="1356" w:type="dxa"/>
            <w:tcBorders>
              <w:top w:val="nil"/>
              <w:left w:val="nil"/>
              <w:bottom w:val="single" w:sz="4" w:space="0" w:color="auto"/>
              <w:right w:val="single" w:sz="4" w:space="0" w:color="auto"/>
            </w:tcBorders>
            <w:shd w:val="clear" w:color="auto" w:fill="auto"/>
            <w:noWrap/>
            <w:vAlign w:val="bottom"/>
            <w:hideMark/>
          </w:tcPr>
          <w:p w14:paraId="3E39BCF4" w14:textId="77777777" w:rsidR="00215161" w:rsidRPr="00586198" w:rsidRDefault="00215161" w:rsidP="00C279AF">
            <w:pPr>
              <w:ind w:firstLine="426"/>
              <w:jc w:val="center"/>
              <w:rPr>
                <w:rFonts w:eastAsia="Times New Roman"/>
                <w:color w:val="000000"/>
                <w:sz w:val="22"/>
                <w:lang w:eastAsia="cs-CZ"/>
              </w:rPr>
            </w:pPr>
            <w:r w:rsidRPr="00586198">
              <w:rPr>
                <w:rFonts w:eastAsia="Times New Roman"/>
                <w:color w:val="000000"/>
                <w:sz w:val="22"/>
                <w:lang w:eastAsia="cs-CZ"/>
              </w:rPr>
              <w:t>-162 679</w:t>
            </w:r>
          </w:p>
        </w:tc>
      </w:tr>
      <w:tr w:rsidR="00215161" w:rsidRPr="00586198" w14:paraId="585DC62F" w14:textId="77777777" w:rsidTr="00C279AF">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FAA8CF9" w14:textId="77777777" w:rsidR="00215161" w:rsidRPr="00586198" w:rsidRDefault="00215161" w:rsidP="00C279AF">
            <w:pPr>
              <w:ind w:firstLine="426"/>
              <w:jc w:val="center"/>
              <w:rPr>
                <w:rFonts w:eastAsia="Times New Roman"/>
                <w:color w:val="000000"/>
                <w:sz w:val="22"/>
                <w:lang w:eastAsia="cs-CZ"/>
              </w:rPr>
            </w:pPr>
            <w:r w:rsidRPr="00586198">
              <w:rPr>
                <w:rFonts w:eastAsia="Times New Roman"/>
                <w:color w:val="000000"/>
                <w:sz w:val="22"/>
                <w:lang w:eastAsia="cs-CZ"/>
              </w:rPr>
              <w:t>-2</w:t>
            </w:r>
          </w:p>
        </w:tc>
        <w:tc>
          <w:tcPr>
            <w:tcW w:w="1589" w:type="dxa"/>
            <w:tcBorders>
              <w:top w:val="nil"/>
              <w:left w:val="nil"/>
              <w:bottom w:val="single" w:sz="4" w:space="0" w:color="auto"/>
              <w:right w:val="single" w:sz="4" w:space="0" w:color="auto"/>
            </w:tcBorders>
            <w:shd w:val="clear" w:color="auto" w:fill="auto"/>
            <w:noWrap/>
            <w:vAlign w:val="bottom"/>
            <w:hideMark/>
          </w:tcPr>
          <w:p w14:paraId="1CEEE4CE" w14:textId="77777777" w:rsidR="00215161" w:rsidRPr="00586198" w:rsidRDefault="00215161" w:rsidP="00C279AF">
            <w:pPr>
              <w:ind w:firstLine="426"/>
              <w:jc w:val="center"/>
              <w:rPr>
                <w:rFonts w:eastAsia="Times New Roman"/>
                <w:color w:val="000000"/>
                <w:sz w:val="22"/>
                <w:lang w:eastAsia="cs-CZ"/>
              </w:rPr>
            </w:pPr>
            <w:r w:rsidRPr="00586198">
              <w:rPr>
                <w:rFonts w:eastAsia="Times New Roman"/>
                <w:color w:val="000000"/>
                <w:sz w:val="22"/>
                <w:lang w:eastAsia="cs-CZ"/>
              </w:rPr>
              <w:t>179 748</w:t>
            </w:r>
          </w:p>
        </w:tc>
        <w:tc>
          <w:tcPr>
            <w:tcW w:w="1417" w:type="dxa"/>
            <w:tcBorders>
              <w:top w:val="nil"/>
              <w:left w:val="nil"/>
              <w:bottom w:val="single" w:sz="4" w:space="0" w:color="auto"/>
              <w:right w:val="single" w:sz="4" w:space="0" w:color="auto"/>
            </w:tcBorders>
            <w:shd w:val="clear" w:color="auto" w:fill="auto"/>
            <w:noWrap/>
            <w:vAlign w:val="bottom"/>
            <w:hideMark/>
          </w:tcPr>
          <w:p w14:paraId="13CC7D18" w14:textId="77777777" w:rsidR="00215161" w:rsidRPr="00586198" w:rsidRDefault="00215161" w:rsidP="00C279AF">
            <w:pPr>
              <w:ind w:firstLine="426"/>
              <w:jc w:val="center"/>
              <w:rPr>
                <w:rFonts w:eastAsia="Times New Roman"/>
                <w:color w:val="000000"/>
                <w:sz w:val="22"/>
                <w:lang w:eastAsia="cs-CZ"/>
              </w:rPr>
            </w:pPr>
          </w:p>
        </w:tc>
        <w:tc>
          <w:tcPr>
            <w:tcW w:w="1560" w:type="dxa"/>
            <w:tcBorders>
              <w:top w:val="nil"/>
              <w:left w:val="nil"/>
              <w:bottom w:val="single" w:sz="4" w:space="0" w:color="auto"/>
              <w:right w:val="single" w:sz="4" w:space="0" w:color="auto"/>
            </w:tcBorders>
            <w:shd w:val="clear" w:color="auto" w:fill="auto"/>
            <w:noWrap/>
            <w:vAlign w:val="bottom"/>
            <w:hideMark/>
          </w:tcPr>
          <w:p w14:paraId="26E7B56C" w14:textId="77777777" w:rsidR="00215161" w:rsidRPr="00586198" w:rsidRDefault="00215161" w:rsidP="00C279AF">
            <w:pPr>
              <w:ind w:firstLine="426"/>
              <w:jc w:val="center"/>
              <w:rPr>
                <w:rFonts w:eastAsia="Times New Roman"/>
                <w:color w:val="000000"/>
                <w:sz w:val="22"/>
                <w:lang w:eastAsia="cs-CZ"/>
              </w:rPr>
            </w:pPr>
            <w:r w:rsidRPr="00586198">
              <w:rPr>
                <w:rFonts w:eastAsia="Times New Roman"/>
                <w:color w:val="000000"/>
                <w:sz w:val="22"/>
                <w:lang w:eastAsia="cs-CZ"/>
              </w:rPr>
              <w:t>342 427</w:t>
            </w:r>
          </w:p>
        </w:tc>
        <w:tc>
          <w:tcPr>
            <w:tcW w:w="1559" w:type="dxa"/>
            <w:tcBorders>
              <w:top w:val="nil"/>
              <w:left w:val="nil"/>
              <w:bottom w:val="single" w:sz="4" w:space="0" w:color="auto"/>
              <w:right w:val="single" w:sz="4" w:space="0" w:color="auto"/>
            </w:tcBorders>
            <w:shd w:val="clear" w:color="auto" w:fill="auto"/>
            <w:noWrap/>
            <w:vAlign w:val="bottom"/>
            <w:hideMark/>
          </w:tcPr>
          <w:p w14:paraId="2227B073" w14:textId="77777777" w:rsidR="00215161" w:rsidRPr="00586198" w:rsidRDefault="00215161" w:rsidP="00C279AF">
            <w:pPr>
              <w:ind w:firstLine="426"/>
              <w:jc w:val="center"/>
              <w:rPr>
                <w:rFonts w:eastAsia="Times New Roman"/>
                <w:color w:val="000000"/>
                <w:sz w:val="22"/>
                <w:lang w:eastAsia="cs-CZ"/>
              </w:rPr>
            </w:pPr>
          </w:p>
        </w:tc>
        <w:tc>
          <w:tcPr>
            <w:tcW w:w="1356" w:type="dxa"/>
            <w:tcBorders>
              <w:top w:val="nil"/>
              <w:left w:val="nil"/>
              <w:bottom w:val="single" w:sz="4" w:space="0" w:color="auto"/>
              <w:right w:val="single" w:sz="4" w:space="0" w:color="auto"/>
            </w:tcBorders>
            <w:shd w:val="clear" w:color="auto" w:fill="auto"/>
            <w:noWrap/>
            <w:vAlign w:val="bottom"/>
            <w:hideMark/>
          </w:tcPr>
          <w:p w14:paraId="67A8F8CD" w14:textId="77777777" w:rsidR="00215161" w:rsidRPr="00586198" w:rsidRDefault="00215161" w:rsidP="00C279AF">
            <w:pPr>
              <w:ind w:firstLine="426"/>
              <w:jc w:val="center"/>
              <w:rPr>
                <w:rFonts w:eastAsia="Times New Roman"/>
                <w:color w:val="000000"/>
                <w:sz w:val="22"/>
                <w:lang w:eastAsia="cs-CZ"/>
              </w:rPr>
            </w:pPr>
            <w:r w:rsidRPr="00586198">
              <w:rPr>
                <w:rFonts w:eastAsia="Times New Roman"/>
                <w:color w:val="000000"/>
                <w:sz w:val="22"/>
                <w:lang w:eastAsia="cs-CZ"/>
              </w:rPr>
              <w:t>-342 427</w:t>
            </w:r>
          </w:p>
        </w:tc>
      </w:tr>
      <w:tr w:rsidR="00215161" w:rsidRPr="00586198" w14:paraId="0BF51D5E" w14:textId="77777777" w:rsidTr="00C279AF">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088E0A1" w14:textId="77777777" w:rsidR="00215161" w:rsidRPr="00586198" w:rsidRDefault="00215161" w:rsidP="00C279AF">
            <w:pPr>
              <w:ind w:firstLine="426"/>
              <w:jc w:val="center"/>
              <w:rPr>
                <w:rFonts w:eastAsia="Times New Roman"/>
                <w:color w:val="000000"/>
                <w:sz w:val="22"/>
                <w:lang w:eastAsia="cs-CZ"/>
              </w:rPr>
            </w:pPr>
            <w:r w:rsidRPr="00586198">
              <w:rPr>
                <w:rFonts w:eastAsia="Times New Roman"/>
                <w:color w:val="000000"/>
                <w:sz w:val="22"/>
                <w:lang w:eastAsia="cs-CZ"/>
              </w:rPr>
              <w:t>-1</w:t>
            </w:r>
          </w:p>
        </w:tc>
        <w:tc>
          <w:tcPr>
            <w:tcW w:w="1589" w:type="dxa"/>
            <w:tcBorders>
              <w:top w:val="nil"/>
              <w:left w:val="nil"/>
              <w:bottom w:val="single" w:sz="4" w:space="0" w:color="auto"/>
              <w:right w:val="single" w:sz="4" w:space="0" w:color="auto"/>
            </w:tcBorders>
            <w:shd w:val="clear" w:color="auto" w:fill="auto"/>
            <w:noWrap/>
            <w:vAlign w:val="bottom"/>
            <w:hideMark/>
          </w:tcPr>
          <w:p w14:paraId="3E1E3503" w14:textId="77777777" w:rsidR="00215161" w:rsidRPr="00586198" w:rsidRDefault="00215161" w:rsidP="00C279AF">
            <w:pPr>
              <w:ind w:firstLine="426"/>
              <w:jc w:val="center"/>
              <w:rPr>
                <w:rFonts w:eastAsia="Times New Roman"/>
                <w:color w:val="000000"/>
                <w:sz w:val="22"/>
                <w:lang w:eastAsia="cs-CZ"/>
              </w:rPr>
            </w:pPr>
            <w:r w:rsidRPr="00586198">
              <w:rPr>
                <w:rFonts w:eastAsia="Times New Roman"/>
                <w:color w:val="000000"/>
                <w:sz w:val="22"/>
                <w:lang w:eastAsia="cs-CZ"/>
              </w:rPr>
              <w:t>182 028</w:t>
            </w:r>
          </w:p>
        </w:tc>
        <w:tc>
          <w:tcPr>
            <w:tcW w:w="1417" w:type="dxa"/>
            <w:tcBorders>
              <w:top w:val="nil"/>
              <w:left w:val="nil"/>
              <w:bottom w:val="single" w:sz="4" w:space="0" w:color="auto"/>
              <w:right w:val="single" w:sz="4" w:space="0" w:color="auto"/>
            </w:tcBorders>
            <w:shd w:val="clear" w:color="auto" w:fill="auto"/>
            <w:noWrap/>
            <w:vAlign w:val="bottom"/>
            <w:hideMark/>
          </w:tcPr>
          <w:p w14:paraId="27E49A98" w14:textId="77777777" w:rsidR="00215161" w:rsidRPr="00586198" w:rsidRDefault="00215161" w:rsidP="00C279AF">
            <w:pPr>
              <w:ind w:firstLine="426"/>
              <w:jc w:val="center"/>
              <w:rPr>
                <w:rFonts w:eastAsia="Times New Roman"/>
                <w:color w:val="000000"/>
                <w:sz w:val="22"/>
                <w:lang w:eastAsia="cs-CZ"/>
              </w:rPr>
            </w:pPr>
          </w:p>
        </w:tc>
        <w:tc>
          <w:tcPr>
            <w:tcW w:w="1560" w:type="dxa"/>
            <w:tcBorders>
              <w:top w:val="nil"/>
              <w:left w:val="nil"/>
              <w:bottom w:val="single" w:sz="4" w:space="0" w:color="auto"/>
              <w:right w:val="single" w:sz="4" w:space="0" w:color="auto"/>
            </w:tcBorders>
            <w:shd w:val="clear" w:color="auto" w:fill="auto"/>
            <w:noWrap/>
            <w:vAlign w:val="bottom"/>
            <w:hideMark/>
          </w:tcPr>
          <w:p w14:paraId="080B7F48" w14:textId="77777777" w:rsidR="00215161" w:rsidRPr="00586198" w:rsidRDefault="00215161" w:rsidP="00C279AF">
            <w:pPr>
              <w:ind w:firstLine="426"/>
              <w:jc w:val="center"/>
              <w:rPr>
                <w:rFonts w:eastAsia="Times New Roman"/>
                <w:color w:val="000000"/>
                <w:sz w:val="22"/>
                <w:lang w:eastAsia="cs-CZ"/>
              </w:rPr>
            </w:pPr>
            <w:r w:rsidRPr="00586198">
              <w:rPr>
                <w:rFonts w:eastAsia="Times New Roman"/>
                <w:color w:val="000000"/>
                <w:sz w:val="22"/>
                <w:lang w:eastAsia="cs-CZ"/>
              </w:rPr>
              <w:t>524 455</w:t>
            </w:r>
          </w:p>
        </w:tc>
        <w:tc>
          <w:tcPr>
            <w:tcW w:w="1559" w:type="dxa"/>
            <w:tcBorders>
              <w:top w:val="nil"/>
              <w:left w:val="nil"/>
              <w:bottom w:val="single" w:sz="4" w:space="0" w:color="auto"/>
              <w:right w:val="single" w:sz="4" w:space="0" w:color="auto"/>
            </w:tcBorders>
            <w:shd w:val="clear" w:color="auto" w:fill="auto"/>
            <w:noWrap/>
            <w:vAlign w:val="bottom"/>
            <w:hideMark/>
          </w:tcPr>
          <w:p w14:paraId="3C1E9A43" w14:textId="77777777" w:rsidR="00215161" w:rsidRPr="00586198" w:rsidRDefault="00215161" w:rsidP="00C279AF">
            <w:pPr>
              <w:ind w:firstLine="426"/>
              <w:jc w:val="center"/>
              <w:rPr>
                <w:rFonts w:eastAsia="Times New Roman"/>
                <w:color w:val="000000"/>
                <w:sz w:val="22"/>
                <w:lang w:eastAsia="cs-CZ"/>
              </w:rPr>
            </w:pPr>
          </w:p>
        </w:tc>
        <w:tc>
          <w:tcPr>
            <w:tcW w:w="1356" w:type="dxa"/>
            <w:tcBorders>
              <w:top w:val="nil"/>
              <w:left w:val="nil"/>
              <w:bottom w:val="single" w:sz="4" w:space="0" w:color="auto"/>
              <w:right w:val="single" w:sz="4" w:space="0" w:color="auto"/>
            </w:tcBorders>
            <w:shd w:val="clear" w:color="auto" w:fill="auto"/>
            <w:noWrap/>
            <w:vAlign w:val="bottom"/>
            <w:hideMark/>
          </w:tcPr>
          <w:p w14:paraId="7D10E383" w14:textId="77777777" w:rsidR="00215161" w:rsidRPr="00586198" w:rsidRDefault="00215161" w:rsidP="00C279AF">
            <w:pPr>
              <w:ind w:firstLine="426"/>
              <w:jc w:val="center"/>
              <w:rPr>
                <w:rFonts w:eastAsia="Times New Roman"/>
                <w:color w:val="000000"/>
                <w:sz w:val="22"/>
                <w:lang w:eastAsia="cs-CZ"/>
              </w:rPr>
            </w:pPr>
            <w:r w:rsidRPr="00586198">
              <w:rPr>
                <w:rFonts w:eastAsia="Times New Roman"/>
                <w:color w:val="000000"/>
                <w:sz w:val="22"/>
                <w:lang w:eastAsia="cs-CZ"/>
              </w:rPr>
              <w:t>-524 455</w:t>
            </w:r>
          </w:p>
        </w:tc>
      </w:tr>
      <w:tr w:rsidR="00215161" w:rsidRPr="00586198" w14:paraId="42EE0F5E" w14:textId="77777777" w:rsidTr="00C279AF">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5744D87" w14:textId="77777777" w:rsidR="00215161" w:rsidRPr="00586198" w:rsidRDefault="00215161" w:rsidP="00C279AF">
            <w:pPr>
              <w:ind w:firstLine="426"/>
              <w:jc w:val="center"/>
              <w:rPr>
                <w:rFonts w:eastAsia="Times New Roman"/>
                <w:color w:val="000000"/>
                <w:sz w:val="22"/>
                <w:lang w:eastAsia="cs-CZ"/>
              </w:rPr>
            </w:pPr>
            <w:r w:rsidRPr="00586198">
              <w:rPr>
                <w:rFonts w:eastAsia="Times New Roman"/>
                <w:color w:val="000000"/>
                <w:sz w:val="22"/>
                <w:lang w:eastAsia="cs-CZ"/>
              </w:rPr>
              <w:t>0</w:t>
            </w:r>
          </w:p>
        </w:tc>
        <w:tc>
          <w:tcPr>
            <w:tcW w:w="1589" w:type="dxa"/>
            <w:tcBorders>
              <w:top w:val="nil"/>
              <w:left w:val="nil"/>
              <w:bottom w:val="single" w:sz="4" w:space="0" w:color="auto"/>
              <w:right w:val="single" w:sz="4" w:space="0" w:color="auto"/>
            </w:tcBorders>
            <w:shd w:val="clear" w:color="auto" w:fill="auto"/>
            <w:noWrap/>
            <w:vAlign w:val="bottom"/>
            <w:hideMark/>
          </w:tcPr>
          <w:p w14:paraId="69CF1E97" w14:textId="77777777" w:rsidR="00215161" w:rsidRPr="00586198" w:rsidRDefault="00215161" w:rsidP="00C279AF">
            <w:pPr>
              <w:ind w:firstLine="426"/>
              <w:jc w:val="center"/>
              <w:rPr>
                <w:rFonts w:eastAsia="Times New Roman"/>
                <w:color w:val="000000"/>
                <w:sz w:val="22"/>
                <w:lang w:eastAsia="cs-CZ"/>
              </w:rPr>
            </w:pPr>
            <w:r w:rsidRPr="00586198">
              <w:rPr>
                <w:rFonts w:eastAsia="Times New Roman"/>
                <w:color w:val="000000"/>
                <w:sz w:val="22"/>
                <w:lang w:eastAsia="cs-CZ"/>
              </w:rPr>
              <w:t>184 428</w:t>
            </w:r>
          </w:p>
        </w:tc>
        <w:tc>
          <w:tcPr>
            <w:tcW w:w="1417" w:type="dxa"/>
            <w:tcBorders>
              <w:top w:val="nil"/>
              <w:left w:val="nil"/>
              <w:bottom w:val="single" w:sz="4" w:space="0" w:color="auto"/>
              <w:right w:val="single" w:sz="4" w:space="0" w:color="auto"/>
            </w:tcBorders>
            <w:shd w:val="clear" w:color="auto" w:fill="auto"/>
            <w:noWrap/>
            <w:vAlign w:val="bottom"/>
            <w:hideMark/>
          </w:tcPr>
          <w:p w14:paraId="49D56BEF" w14:textId="77777777" w:rsidR="00215161" w:rsidRPr="00586198" w:rsidRDefault="00215161" w:rsidP="00C279AF">
            <w:pPr>
              <w:ind w:firstLine="426"/>
              <w:jc w:val="center"/>
              <w:rPr>
                <w:rFonts w:eastAsia="Times New Roman"/>
                <w:color w:val="000000"/>
                <w:sz w:val="22"/>
                <w:lang w:eastAsia="cs-CZ"/>
              </w:rPr>
            </w:pPr>
            <w:r w:rsidRPr="00586198">
              <w:rPr>
                <w:rFonts w:eastAsia="Times New Roman"/>
                <w:color w:val="000000"/>
                <w:sz w:val="22"/>
                <w:lang w:eastAsia="cs-CZ"/>
              </w:rPr>
              <w:t>278 772</w:t>
            </w:r>
          </w:p>
        </w:tc>
        <w:tc>
          <w:tcPr>
            <w:tcW w:w="1560" w:type="dxa"/>
            <w:tcBorders>
              <w:top w:val="nil"/>
              <w:left w:val="nil"/>
              <w:bottom w:val="single" w:sz="4" w:space="0" w:color="auto"/>
              <w:right w:val="single" w:sz="4" w:space="0" w:color="auto"/>
            </w:tcBorders>
            <w:shd w:val="clear" w:color="auto" w:fill="auto"/>
            <w:noWrap/>
            <w:vAlign w:val="bottom"/>
            <w:hideMark/>
          </w:tcPr>
          <w:p w14:paraId="1B9A8AF1" w14:textId="77777777" w:rsidR="00215161" w:rsidRPr="00586198" w:rsidRDefault="00215161" w:rsidP="00C279AF">
            <w:pPr>
              <w:ind w:firstLine="426"/>
              <w:jc w:val="center"/>
              <w:rPr>
                <w:rFonts w:eastAsia="Times New Roman"/>
                <w:color w:val="000000"/>
                <w:sz w:val="22"/>
                <w:lang w:eastAsia="cs-CZ"/>
              </w:rPr>
            </w:pPr>
            <w:r w:rsidRPr="00586198">
              <w:rPr>
                <w:rFonts w:eastAsia="Times New Roman"/>
                <w:color w:val="000000"/>
                <w:sz w:val="22"/>
                <w:lang w:eastAsia="cs-CZ"/>
              </w:rPr>
              <w:t>708 883</w:t>
            </w:r>
          </w:p>
        </w:tc>
        <w:tc>
          <w:tcPr>
            <w:tcW w:w="1559" w:type="dxa"/>
            <w:tcBorders>
              <w:top w:val="nil"/>
              <w:left w:val="nil"/>
              <w:bottom w:val="single" w:sz="4" w:space="0" w:color="auto"/>
              <w:right w:val="single" w:sz="4" w:space="0" w:color="auto"/>
            </w:tcBorders>
            <w:shd w:val="clear" w:color="auto" w:fill="auto"/>
            <w:noWrap/>
            <w:vAlign w:val="bottom"/>
            <w:hideMark/>
          </w:tcPr>
          <w:p w14:paraId="12D0EE3C" w14:textId="77777777" w:rsidR="00215161" w:rsidRPr="00586198" w:rsidRDefault="00215161" w:rsidP="00C279AF">
            <w:pPr>
              <w:ind w:firstLine="426"/>
              <w:jc w:val="center"/>
              <w:rPr>
                <w:rFonts w:eastAsia="Times New Roman"/>
                <w:color w:val="000000"/>
                <w:sz w:val="22"/>
                <w:lang w:eastAsia="cs-CZ"/>
              </w:rPr>
            </w:pPr>
            <w:r w:rsidRPr="00586198">
              <w:rPr>
                <w:rFonts w:eastAsia="Times New Roman"/>
                <w:color w:val="000000"/>
                <w:sz w:val="22"/>
                <w:lang w:eastAsia="cs-CZ"/>
              </w:rPr>
              <w:t>278 772</w:t>
            </w:r>
          </w:p>
        </w:tc>
        <w:tc>
          <w:tcPr>
            <w:tcW w:w="1356" w:type="dxa"/>
            <w:tcBorders>
              <w:top w:val="nil"/>
              <w:left w:val="nil"/>
              <w:bottom w:val="single" w:sz="4" w:space="0" w:color="auto"/>
              <w:right w:val="single" w:sz="4" w:space="0" w:color="auto"/>
            </w:tcBorders>
            <w:shd w:val="clear" w:color="auto" w:fill="auto"/>
            <w:noWrap/>
            <w:vAlign w:val="bottom"/>
            <w:hideMark/>
          </w:tcPr>
          <w:p w14:paraId="74502D7D" w14:textId="77777777" w:rsidR="00215161" w:rsidRPr="00586198" w:rsidRDefault="00215161" w:rsidP="00C279AF">
            <w:pPr>
              <w:ind w:firstLine="426"/>
              <w:jc w:val="center"/>
              <w:rPr>
                <w:rFonts w:eastAsia="Times New Roman"/>
                <w:color w:val="000000"/>
                <w:sz w:val="22"/>
                <w:lang w:eastAsia="cs-CZ"/>
              </w:rPr>
            </w:pPr>
            <w:r w:rsidRPr="00586198">
              <w:rPr>
                <w:rFonts w:eastAsia="Times New Roman"/>
                <w:color w:val="000000"/>
                <w:sz w:val="22"/>
                <w:lang w:eastAsia="cs-CZ"/>
              </w:rPr>
              <w:t>-430 111</w:t>
            </w:r>
          </w:p>
        </w:tc>
      </w:tr>
      <w:tr w:rsidR="00215161" w:rsidRPr="00586198" w14:paraId="3B6C1906" w14:textId="77777777" w:rsidTr="00C279AF">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1D065D6" w14:textId="77777777" w:rsidR="00215161" w:rsidRPr="00586198" w:rsidRDefault="00215161" w:rsidP="00C279AF">
            <w:pPr>
              <w:ind w:firstLine="426"/>
              <w:jc w:val="center"/>
              <w:rPr>
                <w:rFonts w:eastAsia="Times New Roman"/>
                <w:color w:val="000000"/>
                <w:sz w:val="22"/>
                <w:lang w:eastAsia="cs-CZ"/>
              </w:rPr>
            </w:pPr>
            <w:r w:rsidRPr="00586198">
              <w:rPr>
                <w:rFonts w:eastAsia="Times New Roman"/>
                <w:color w:val="000000"/>
                <w:sz w:val="22"/>
                <w:lang w:eastAsia="cs-CZ"/>
              </w:rPr>
              <w:t>1</w:t>
            </w:r>
          </w:p>
        </w:tc>
        <w:tc>
          <w:tcPr>
            <w:tcW w:w="1589" w:type="dxa"/>
            <w:tcBorders>
              <w:top w:val="nil"/>
              <w:left w:val="nil"/>
              <w:bottom w:val="single" w:sz="4" w:space="0" w:color="auto"/>
              <w:right w:val="single" w:sz="4" w:space="0" w:color="auto"/>
            </w:tcBorders>
            <w:shd w:val="clear" w:color="auto" w:fill="auto"/>
            <w:noWrap/>
            <w:vAlign w:val="bottom"/>
            <w:hideMark/>
          </w:tcPr>
          <w:p w14:paraId="72DF90AA" w14:textId="77777777" w:rsidR="00215161" w:rsidRPr="00586198" w:rsidRDefault="00215161" w:rsidP="00C279AF">
            <w:pPr>
              <w:ind w:firstLine="426"/>
              <w:jc w:val="center"/>
              <w:rPr>
                <w:rFonts w:eastAsia="Times New Roman"/>
                <w:color w:val="000000"/>
                <w:sz w:val="22"/>
                <w:lang w:eastAsia="cs-CZ"/>
              </w:rPr>
            </w:pPr>
            <w:r w:rsidRPr="00586198">
              <w:rPr>
                <w:rFonts w:eastAsia="Times New Roman"/>
                <w:color w:val="000000"/>
                <w:sz w:val="22"/>
                <w:lang w:eastAsia="cs-CZ"/>
              </w:rPr>
              <w:t>190 704</w:t>
            </w:r>
          </w:p>
        </w:tc>
        <w:tc>
          <w:tcPr>
            <w:tcW w:w="1417" w:type="dxa"/>
            <w:tcBorders>
              <w:top w:val="nil"/>
              <w:left w:val="nil"/>
              <w:bottom w:val="single" w:sz="4" w:space="0" w:color="auto"/>
              <w:right w:val="single" w:sz="4" w:space="0" w:color="auto"/>
            </w:tcBorders>
            <w:shd w:val="clear" w:color="auto" w:fill="auto"/>
            <w:noWrap/>
            <w:vAlign w:val="bottom"/>
            <w:hideMark/>
          </w:tcPr>
          <w:p w14:paraId="05BDC65E" w14:textId="77777777" w:rsidR="00215161" w:rsidRPr="00586198" w:rsidRDefault="00215161" w:rsidP="00C279AF">
            <w:pPr>
              <w:ind w:firstLine="426"/>
              <w:jc w:val="center"/>
              <w:rPr>
                <w:rFonts w:eastAsia="Times New Roman"/>
                <w:color w:val="000000"/>
                <w:sz w:val="22"/>
                <w:lang w:eastAsia="cs-CZ"/>
              </w:rPr>
            </w:pPr>
            <w:r w:rsidRPr="00586198">
              <w:rPr>
                <w:rFonts w:eastAsia="Times New Roman"/>
                <w:color w:val="000000"/>
                <w:sz w:val="22"/>
                <w:lang w:eastAsia="cs-CZ"/>
              </w:rPr>
              <w:t>287 880</w:t>
            </w:r>
          </w:p>
        </w:tc>
        <w:tc>
          <w:tcPr>
            <w:tcW w:w="1560" w:type="dxa"/>
            <w:tcBorders>
              <w:top w:val="nil"/>
              <w:left w:val="nil"/>
              <w:bottom w:val="single" w:sz="4" w:space="0" w:color="auto"/>
              <w:right w:val="single" w:sz="4" w:space="0" w:color="auto"/>
            </w:tcBorders>
            <w:shd w:val="clear" w:color="auto" w:fill="auto"/>
            <w:noWrap/>
            <w:vAlign w:val="bottom"/>
            <w:hideMark/>
          </w:tcPr>
          <w:p w14:paraId="5C6FBA52" w14:textId="77777777" w:rsidR="00215161" w:rsidRPr="00586198" w:rsidRDefault="00215161" w:rsidP="00C279AF">
            <w:pPr>
              <w:ind w:firstLine="426"/>
              <w:jc w:val="center"/>
              <w:rPr>
                <w:rFonts w:eastAsia="Times New Roman"/>
                <w:color w:val="000000"/>
                <w:sz w:val="22"/>
                <w:lang w:eastAsia="cs-CZ"/>
              </w:rPr>
            </w:pPr>
            <w:r w:rsidRPr="00586198">
              <w:rPr>
                <w:rFonts w:eastAsia="Times New Roman"/>
                <w:color w:val="000000"/>
                <w:sz w:val="22"/>
                <w:lang w:eastAsia="cs-CZ"/>
              </w:rPr>
              <w:t>899 587</w:t>
            </w:r>
          </w:p>
        </w:tc>
        <w:tc>
          <w:tcPr>
            <w:tcW w:w="1559" w:type="dxa"/>
            <w:tcBorders>
              <w:top w:val="nil"/>
              <w:left w:val="nil"/>
              <w:bottom w:val="single" w:sz="4" w:space="0" w:color="auto"/>
              <w:right w:val="single" w:sz="4" w:space="0" w:color="auto"/>
            </w:tcBorders>
            <w:shd w:val="clear" w:color="auto" w:fill="auto"/>
            <w:noWrap/>
            <w:vAlign w:val="bottom"/>
            <w:hideMark/>
          </w:tcPr>
          <w:p w14:paraId="454BC224" w14:textId="77777777" w:rsidR="00215161" w:rsidRPr="00586198" w:rsidRDefault="00215161" w:rsidP="00C279AF">
            <w:pPr>
              <w:ind w:firstLine="426"/>
              <w:jc w:val="center"/>
              <w:rPr>
                <w:rFonts w:eastAsia="Times New Roman"/>
                <w:color w:val="000000"/>
                <w:sz w:val="22"/>
                <w:lang w:eastAsia="cs-CZ"/>
              </w:rPr>
            </w:pPr>
            <w:r w:rsidRPr="00586198">
              <w:rPr>
                <w:rFonts w:eastAsia="Times New Roman"/>
                <w:color w:val="000000"/>
                <w:sz w:val="22"/>
                <w:lang w:eastAsia="cs-CZ"/>
              </w:rPr>
              <w:t>566 652</w:t>
            </w:r>
          </w:p>
        </w:tc>
        <w:tc>
          <w:tcPr>
            <w:tcW w:w="1356" w:type="dxa"/>
            <w:tcBorders>
              <w:top w:val="nil"/>
              <w:left w:val="nil"/>
              <w:bottom w:val="single" w:sz="4" w:space="0" w:color="auto"/>
              <w:right w:val="single" w:sz="4" w:space="0" w:color="auto"/>
            </w:tcBorders>
            <w:shd w:val="clear" w:color="auto" w:fill="auto"/>
            <w:noWrap/>
            <w:vAlign w:val="bottom"/>
            <w:hideMark/>
          </w:tcPr>
          <w:p w14:paraId="0663BD91" w14:textId="77777777" w:rsidR="00215161" w:rsidRPr="00586198" w:rsidRDefault="00215161" w:rsidP="00C279AF">
            <w:pPr>
              <w:ind w:firstLine="426"/>
              <w:jc w:val="center"/>
              <w:rPr>
                <w:rFonts w:eastAsia="Times New Roman"/>
                <w:color w:val="000000"/>
                <w:sz w:val="22"/>
                <w:lang w:eastAsia="cs-CZ"/>
              </w:rPr>
            </w:pPr>
            <w:r w:rsidRPr="00586198">
              <w:rPr>
                <w:rFonts w:eastAsia="Times New Roman"/>
                <w:color w:val="000000"/>
                <w:sz w:val="22"/>
                <w:lang w:eastAsia="cs-CZ"/>
              </w:rPr>
              <w:t>-332 935</w:t>
            </w:r>
          </w:p>
        </w:tc>
      </w:tr>
      <w:tr w:rsidR="00215161" w:rsidRPr="00586198" w14:paraId="3BFAFFD5" w14:textId="77777777" w:rsidTr="00C279AF">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D08E19B" w14:textId="77777777" w:rsidR="00215161" w:rsidRPr="00586198" w:rsidRDefault="00215161" w:rsidP="00C279AF">
            <w:pPr>
              <w:ind w:firstLine="426"/>
              <w:jc w:val="center"/>
              <w:rPr>
                <w:rFonts w:eastAsia="Times New Roman"/>
                <w:color w:val="000000"/>
                <w:sz w:val="22"/>
                <w:lang w:eastAsia="cs-CZ"/>
              </w:rPr>
            </w:pPr>
            <w:r w:rsidRPr="00586198">
              <w:rPr>
                <w:rFonts w:eastAsia="Times New Roman"/>
                <w:color w:val="000000"/>
                <w:sz w:val="22"/>
                <w:lang w:eastAsia="cs-CZ"/>
              </w:rPr>
              <w:t>2</w:t>
            </w:r>
          </w:p>
        </w:tc>
        <w:tc>
          <w:tcPr>
            <w:tcW w:w="1589" w:type="dxa"/>
            <w:tcBorders>
              <w:top w:val="nil"/>
              <w:left w:val="nil"/>
              <w:bottom w:val="single" w:sz="4" w:space="0" w:color="auto"/>
              <w:right w:val="single" w:sz="4" w:space="0" w:color="auto"/>
            </w:tcBorders>
            <w:shd w:val="clear" w:color="auto" w:fill="auto"/>
            <w:noWrap/>
            <w:vAlign w:val="bottom"/>
            <w:hideMark/>
          </w:tcPr>
          <w:p w14:paraId="18C3DCC4" w14:textId="77777777" w:rsidR="00215161" w:rsidRPr="00586198" w:rsidRDefault="00215161" w:rsidP="00C279AF">
            <w:pPr>
              <w:ind w:firstLine="426"/>
              <w:jc w:val="center"/>
              <w:rPr>
                <w:rFonts w:eastAsia="Times New Roman"/>
                <w:color w:val="000000"/>
                <w:sz w:val="22"/>
                <w:lang w:eastAsia="cs-CZ"/>
              </w:rPr>
            </w:pPr>
            <w:r w:rsidRPr="00586198">
              <w:rPr>
                <w:rFonts w:eastAsia="Times New Roman"/>
                <w:color w:val="000000"/>
                <w:sz w:val="22"/>
                <w:lang w:eastAsia="cs-CZ"/>
              </w:rPr>
              <w:t>197 208</w:t>
            </w:r>
          </w:p>
        </w:tc>
        <w:tc>
          <w:tcPr>
            <w:tcW w:w="1417" w:type="dxa"/>
            <w:tcBorders>
              <w:top w:val="nil"/>
              <w:left w:val="nil"/>
              <w:bottom w:val="single" w:sz="4" w:space="0" w:color="auto"/>
              <w:right w:val="single" w:sz="4" w:space="0" w:color="auto"/>
            </w:tcBorders>
            <w:shd w:val="clear" w:color="auto" w:fill="auto"/>
            <w:noWrap/>
            <w:vAlign w:val="bottom"/>
            <w:hideMark/>
          </w:tcPr>
          <w:p w14:paraId="2CF8FC6F" w14:textId="77777777" w:rsidR="00215161" w:rsidRPr="00586198" w:rsidRDefault="00215161" w:rsidP="00C279AF">
            <w:pPr>
              <w:ind w:firstLine="426"/>
              <w:jc w:val="center"/>
              <w:rPr>
                <w:rFonts w:eastAsia="Times New Roman"/>
                <w:color w:val="000000"/>
                <w:sz w:val="22"/>
                <w:lang w:eastAsia="cs-CZ"/>
              </w:rPr>
            </w:pPr>
            <w:r w:rsidRPr="00586198">
              <w:rPr>
                <w:rFonts w:eastAsia="Times New Roman"/>
                <w:color w:val="000000"/>
                <w:sz w:val="22"/>
                <w:lang w:eastAsia="cs-CZ"/>
              </w:rPr>
              <w:t>297 192</w:t>
            </w:r>
          </w:p>
        </w:tc>
        <w:tc>
          <w:tcPr>
            <w:tcW w:w="1560" w:type="dxa"/>
            <w:tcBorders>
              <w:top w:val="nil"/>
              <w:left w:val="nil"/>
              <w:bottom w:val="single" w:sz="4" w:space="0" w:color="auto"/>
              <w:right w:val="single" w:sz="4" w:space="0" w:color="auto"/>
            </w:tcBorders>
            <w:shd w:val="clear" w:color="auto" w:fill="auto"/>
            <w:noWrap/>
            <w:vAlign w:val="bottom"/>
            <w:hideMark/>
          </w:tcPr>
          <w:p w14:paraId="66F8EEC3" w14:textId="77777777" w:rsidR="00215161" w:rsidRPr="00586198" w:rsidRDefault="00215161" w:rsidP="00C279AF">
            <w:pPr>
              <w:ind w:firstLine="426"/>
              <w:jc w:val="center"/>
              <w:rPr>
                <w:rFonts w:eastAsia="Times New Roman"/>
                <w:color w:val="000000"/>
                <w:sz w:val="22"/>
                <w:lang w:eastAsia="cs-CZ"/>
              </w:rPr>
            </w:pPr>
            <w:r w:rsidRPr="00586198">
              <w:rPr>
                <w:rFonts w:eastAsia="Times New Roman"/>
                <w:color w:val="000000"/>
                <w:sz w:val="22"/>
                <w:lang w:eastAsia="cs-CZ"/>
              </w:rPr>
              <w:t>1 096 795</w:t>
            </w:r>
          </w:p>
        </w:tc>
        <w:tc>
          <w:tcPr>
            <w:tcW w:w="1559" w:type="dxa"/>
            <w:tcBorders>
              <w:top w:val="nil"/>
              <w:left w:val="nil"/>
              <w:bottom w:val="single" w:sz="4" w:space="0" w:color="auto"/>
              <w:right w:val="single" w:sz="4" w:space="0" w:color="auto"/>
            </w:tcBorders>
            <w:shd w:val="clear" w:color="auto" w:fill="auto"/>
            <w:noWrap/>
            <w:vAlign w:val="bottom"/>
            <w:hideMark/>
          </w:tcPr>
          <w:p w14:paraId="76EC90C5" w14:textId="77777777" w:rsidR="00215161" w:rsidRPr="00586198" w:rsidRDefault="00215161" w:rsidP="00C279AF">
            <w:pPr>
              <w:ind w:firstLine="426"/>
              <w:jc w:val="center"/>
              <w:rPr>
                <w:rFonts w:eastAsia="Times New Roman"/>
                <w:color w:val="000000"/>
                <w:sz w:val="22"/>
                <w:lang w:eastAsia="cs-CZ"/>
              </w:rPr>
            </w:pPr>
            <w:r w:rsidRPr="00586198">
              <w:rPr>
                <w:rFonts w:eastAsia="Times New Roman"/>
                <w:color w:val="000000"/>
                <w:sz w:val="22"/>
                <w:lang w:eastAsia="cs-CZ"/>
              </w:rPr>
              <w:t>863 844</w:t>
            </w:r>
          </w:p>
        </w:tc>
        <w:tc>
          <w:tcPr>
            <w:tcW w:w="1356" w:type="dxa"/>
            <w:tcBorders>
              <w:top w:val="nil"/>
              <w:left w:val="nil"/>
              <w:bottom w:val="single" w:sz="4" w:space="0" w:color="auto"/>
              <w:right w:val="single" w:sz="4" w:space="0" w:color="auto"/>
            </w:tcBorders>
            <w:shd w:val="clear" w:color="auto" w:fill="auto"/>
            <w:noWrap/>
            <w:vAlign w:val="bottom"/>
            <w:hideMark/>
          </w:tcPr>
          <w:p w14:paraId="6C7ABEEA" w14:textId="77777777" w:rsidR="00215161" w:rsidRPr="00586198" w:rsidRDefault="00215161" w:rsidP="00C279AF">
            <w:pPr>
              <w:ind w:firstLine="426"/>
              <w:jc w:val="center"/>
              <w:rPr>
                <w:rFonts w:eastAsia="Times New Roman"/>
                <w:color w:val="000000"/>
                <w:sz w:val="22"/>
                <w:lang w:eastAsia="cs-CZ"/>
              </w:rPr>
            </w:pPr>
            <w:r w:rsidRPr="00586198">
              <w:rPr>
                <w:rFonts w:eastAsia="Times New Roman"/>
                <w:color w:val="000000"/>
                <w:sz w:val="22"/>
                <w:lang w:eastAsia="cs-CZ"/>
              </w:rPr>
              <w:t>-232 951</w:t>
            </w:r>
          </w:p>
        </w:tc>
      </w:tr>
      <w:tr w:rsidR="00215161" w:rsidRPr="00586198" w14:paraId="02ACBEFC" w14:textId="77777777" w:rsidTr="00C279AF">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7356CB7" w14:textId="77777777" w:rsidR="00215161" w:rsidRPr="00586198" w:rsidRDefault="00215161" w:rsidP="00C279AF">
            <w:pPr>
              <w:ind w:firstLine="426"/>
              <w:jc w:val="center"/>
              <w:rPr>
                <w:rFonts w:eastAsia="Times New Roman"/>
                <w:color w:val="000000"/>
                <w:sz w:val="22"/>
                <w:lang w:eastAsia="cs-CZ"/>
              </w:rPr>
            </w:pPr>
            <w:r w:rsidRPr="00586198">
              <w:rPr>
                <w:rFonts w:eastAsia="Times New Roman"/>
                <w:color w:val="000000"/>
                <w:sz w:val="22"/>
                <w:lang w:eastAsia="cs-CZ"/>
              </w:rPr>
              <w:t>3</w:t>
            </w:r>
          </w:p>
        </w:tc>
        <w:tc>
          <w:tcPr>
            <w:tcW w:w="1589" w:type="dxa"/>
            <w:tcBorders>
              <w:top w:val="nil"/>
              <w:left w:val="nil"/>
              <w:bottom w:val="single" w:sz="4" w:space="0" w:color="auto"/>
              <w:right w:val="single" w:sz="4" w:space="0" w:color="auto"/>
            </w:tcBorders>
            <w:shd w:val="clear" w:color="auto" w:fill="auto"/>
            <w:noWrap/>
            <w:vAlign w:val="bottom"/>
            <w:hideMark/>
          </w:tcPr>
          <w:p w14:paraId="47987642" w14:textId="77777777" w:rsidR="00215161" w:rsidRPr="00586198" w:rsidRDefault="00215161" w:rsidP="00C279AF">
            <w:pPr>
              <w:ind w:firstLine="426"/>
              <w:jc w:val="center"/>
              <w:rPr>
                <w:rFonts w:eastAsia="Times New Roman"/>
                <w:color w:val="000000"/>
                <w:sz w:val="22"/>
                <w:lang w:eastAsia="cs-CZ"/>
              </w:rPr>
            </w:pPr>
            <w:r w:rsidRPr="00586198">
              <w:rPr>
                <w:rFonts w:eastAsia="Times New Roman"/>
                <w:color w:val="000000"/>
                <w:sz w:val="22"/>
                <w:lang w:eastAsia="cs-CZ"/>
              </w:rPr>
              <w:t>203 940</w:t>
            </w:r>
          </w:p>
        </w:tc>
        <w:tc>
          <w:tcPr>
            <w:tcW w:w="1417" w:type="dxa"/>
            <w:tcBorders>
              <w:top w:val="nil"/>
              <w:left w:val="nil"/>
              <w:bottom w:val="single" w:sz="4" w:space="0" w:color="auto"/>
              <w:right w:val="single" w:sz="4" w:space="0" w:color="auto"/>
            </w:tcBorders>
            <w:shd w:val="clear" w:color="auto" w:fill="auto"/>
            <w:noWrap/>
            <w:vAlign w:val="bottom"/>
            <w:hideMark/>
          </w:tcPr>
          <w:p w14:paraId="3EFD8A48" w14:textId="77777777" w:rsidR="00215161" w:rsidRPr="00586198" w:rsidRDefault="00215161" w:rsidP="00C279AF">
            <w:pPr>
              <w:ind w:firstLine="426"/>
              <w:jc w:val="center"/>
              <w:rPr>
                <w:rFonts w:eastAsia="Times New Roman"/>
                <w:color w:val="000000"/>
                <w:sz w:val="22"/>
                <w:lang w:eastAsia="cs-CZ"/>
              </w:rPr>
            </w:pPr>
            <w:r w:rsidRPr="00586198">
              <w:rPr>
                <w:rFonts w:eastAsia="Times New Roman"/>
                <w:color w:val="000000"/>
                <w:sz w:val="22"/>
                <w:lang w:eastAsia="cs-CZ"/>
              </w:rPr>
              <w:t>306 828</w:t>
            </w:r>
          </w:p>
        </w:tc>
        <w:tc>
          <w:tcPr>
            <w:tcW w:w="1560" w:type="dxa"/>
            <w:tcBorders>
              <w:top w:val="nil"/>
              <w:left w:val="nil"/>
              <w:bottom w:val="single" w:sz="4" w:space="0" w:color="auto"/>
              <w:right w:val="single" w:sz="4" w:space="0" w:color="auto"/>
            </w:tcBorders>
            <w:shd w:val="clear" w:color="auto" w:fill="auto"/>
            <w:noWrap/>
            <w:vAlign w:val="bottom"/>
            <w:hideMark/>
          </w:tcPr>
          <w:p w14:paraId="1FAED0DD" w14:textId="77777777" w:rsidR="00215161" w:rsidRPr="00586198" w:rsidRDefault="00215161" w:rsidP="00C279AF">
            <w:pPr>
              <w:ind w:firstLine="426"/>
              <w:jc w:val="center"/>
              <w:rPr>
                <w:rFonts w:eastAsia="Times New Roman"/>
                <w:color w:val="000000"/>
                <w:sz w:val="22"/>
                <w:lang w:eastAsia="cs-CZ"/>
              </w:rPr>
            </w:pPr>
            <w:r w:rsidRPr="00586198">
              <w:rPr>
                <w:rFonts w:eastAsia="Times New Roman"/>
                <w:color w:val="000000"/>
                <w:sz w:val="22"/>
                <w:lang w:eastAsia="cs-CZ"/>
              </w:rPr>
              <w:t>1 300 735</w:t>
            </w:r>
          </w:p>
        </w:tc>
        <w:tc>
          <w:tcPr>
            <w:tcW w:w="1559" w:type="dxa"/>
            <w:tcBorders>
              <w:top w:val="nil"/>
              <w:left w:val="nil"/>
              <w:bottom w:val="single" w:sz="4" w:space="0" w:color="auto"/>
              <w:right w:val="single" w:sz="4" w:space="0" w:color="auto"/>
            </w:tcBorders>
            <w:shd w:val="clear" w:color="auto" w:fill="auto"/>
            <w:noWrap/>
            <w:vAlign w:val="bottom"/>
            <w:hideMark/>
          </w:tcPr>
          <w:p w14:paraId="108F668F" w14:textId="77777777" w:rsidR="00215161" w:rsidRPr="00586198" w:rsidRDefault="00215161" w:rsidP="00C279AF">
            <w:pPr>
              <w:ind w:firstLine="426"/>
              <w:jc w:val="center"/>
              <w:rPr>
                <w:rFonts w:eastAsia="Times New Roman"/>
                <w:color w:val="000000"/>
                <w:sz w:val="22"/>
                <w:lang w:eastAsia="cs-CZ"/>
              </w:rPr>
            </w:pPr>
            <w:r w:rsidRPr="00586198">
              <w:rPr>
                <w:rFonts w:eastAsia="Times New Roman"/>
                <w:color w:val="000000"/>
                <w:sz w:val="22"/>
                <w:lang w:eastAsia="cs-CZ"/>
              </w:rPr>
              <w:t>1 170 672</w:t>
            </w:r>
          </w:p>
        </w:tc>
        <w:tc>
          <w:tcPr>
            <w:tcW w:w="1356" w:type="dxa"/>
            <w:tcBorders>
              <w:top w:val="nil"/>
              <w:left w:val="nil"/>
              <w:bottom w:val="single" w:sz="4" w:space="0" w:color="auto"/>
              <w:right w:val="single" w:sz="4" w:space="0" w:color="auto"/>
            </w:tcBorders>
            <w:shd w:val="clear" w:color="auto" w:fill="auto"/>
            <w:noWrap/>
            <w:vAlign w:val="bottom"/>
            <w:hideMark/>
          </w:tcPr>
          <w:p w14:paraId="685E3F3C" w14:textId="77777777" w:rsidR="00215161" w:rsidRPr="00586198" w:rsidRDefault="00215161" w:rsidP="00C279AF">
            <w:pPr>
              <w:ind w:firstLine="426"/>
              <w:jc w:val="center"/>
              <w:rPr>
                <w:rFonts w:eastAsia="Times New Roman"/>
                <w:color w:val="000000"/>
                <w:sz w:val="22"/>
                <w:lang w:eastAsia="cs-CZ"/>
              </w:rPr>
            </w:pPr>
            <w:r w:rsidRPr="00586198">
              <w:rPr>
                <w:rFonts w:eastAsia="Times New Roman"/>
                <w:color w:val="000000"/>
                <w:sz w:val="22"/>
                <w:lang w:eastAsia="cs-CZ"/>
              </w:rPr>
              <w:t>-130 063</w:t>
            </w:r>
          </w:p>
        </w:tc>
      </w:tr>
      <w:tr w:rsidR="00215161" w:rsidRPr="00586198" w14:paraId="40A33D99" w14:textId="77777777" w:rsidTr="00C279AF">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8278963" w14:textId="77777777" w:rsidR="00215161" w:rsidRPr="00586198" w:rsidRDefault="00215161" w:rsidP="00C279AF">
            <w:pPr>
              <w:ind w:firstLine="426"/>
              <w:jc w:val="center"/>
              <w:rPr>
                <w:rFonts w:eastAsia="Times New Roman"/>
                <w:color w:val="000000"/>
                <w:sz w:val="22"/>
                <w:lang w:eastAsia="cs-CZ"/>
              </w:rPr>
            </w:pPr>
            <w:r w:rsidRPr="00586198">
              <w:rPr>
                <w:rFonts w:eastAsia="Times New Roman"/>
                <w:color w:val="000000"/>
                <w:sz w:val="22"/>
                <w:lang w:eastAsia="cs-CZ"/>
              </w:rPr>
              <w:t>4</w:t>
            </w:r>
          </w:p>
        </w:tc>
        <w:tc>
          <w:tcPr>
            <w:tcW w:w="1589" w:type="dxa"/>
            <w:tcBorders>
              <w:top w:val="nil"/>
              <w:left w:val="nil"/>
              <w:bottom w:val="single" w:sz="4" w:space="0" w:color="auto"/>
              <w:right w:val="single" w:sz="4" w:space="0" w:color="auto"/>
            </w:tcBorders>
            <w:shd w:val="clear" w:color="auto" w:fill="auto"/>
            <w:noWrap/>
            <w:vAlign w:val="bottom"/>
            <w:hideMark/>
          </w:tcPr>
          <w:p w14:paraId="5FCE6B83" w14:textId="77777777" w:rsidR="00215161" w:rsidRPr="00586198" w:rsidRDefault="00215161" w:rsidP="00C279AF">
            <w:pPr>
              <w:ind w:firstLine="426"/>
              <w:jc w:val="center"/>
              <w:rPr>
                <w:rFonts w:eastAsia="Times New Roman"/>
                <w:color w:val="000000"/>
                <w:sz w:val="22"/>
                <w:lang w:eastAsia="cs-CZ"/>
              </w:rPr>
            </w:pPr>
            <w:r w:rsidRPr="00586198">
              <w:rPr>
                <w:rFonts w:eastAsia="Times New Roman"/>
                <w:color w:val="000000"/>
                <w:sz w:val="22"/>
                <w:lang w:eastAsia="cs-CZ"/>
              </w:rPr>
              <w:t>210 792</w:t>
            </w:r>
          </w:p>
        </w:tc>
        <w:tc>
          <w:tcPr>
            <w:tcW w:w="1417" w:type="dxa"/>
            <w:tcBorders>
              <w:top w:val="nil"/>
              <w:left w:val="nil"/>
              <w:bottom w:val="single" w:sz="4" w:space="0" w:color="auto"/>
              <w:right w:val="single" w:sz="4" w:space="0" w:color="auto"/>
            </w:tcBorders>
            <w:shd w:val="clear" w:color="auto" w:fill="auto"/>
            <w:noWrap/>
            <w:vAlign w:val="bottom"/>
            <w:hideMark/>
          </w:tcPr>
          <w:p w14:paraId="0CFF7B8D" w14:textId="77777777" w:rsidR="00215161" w:rsidRPr="00586198" w:rsidRDefault="00215161" w:rsidP="00C279AF">
            <w:pPr>
              <w:ind w:firstLine="426"/>
              <w:jc w:val="center"/>
              <w:rPr>
                <w:rFonts w:eastAsia="Times New Roman"/>
                <w:color w:val="000000"/>
                <w:sz w:val="22"/>
                <w:lang w:eastAsia="cs-CZ"/>
              </w:rPr>
            </w:pPr>
            <w:r w:rsidRPr="00586198">
              <w:rPr>
                <w:rFonts w:eastAsia="Times New Roman"/>
                <w:color w:val="000000"/>
                <w:sz w:val="22"/>
                <w:lang w:eastAsia="cs-CZ"/>
              </w:rPr>
              <w:t>316 656</w:t>
            </w:r>
          </w:p>
        </w:tc>
        <w:tc>
          <w:tcPr>
            <w:tcW w:w="1560" w:type="dxa"/>
            <w:tcBorders>
              <w:top w:val="nil"/>
              <w:left w:val="nil"/>
              <w:bottom w:val="single" w:sz="4" w:space="0" w:color="auto"/>
              <w:right w:val="single" w:sz="4" w:space="0" w:color="auto"/>
            </w:tcBorders>
            <w:shd w:val="clear" w:color="auto" w:fill="auto"/>
            <w:noWrap/>
            <w:vAlign w:val="bottom"/>
            <w:hideMark/>
          </w:tcPr>
          <w:p w14:paraId="40338679" w14:textId="77777777" w:rsidR="00215161" w:rsidRPr="00586198" w:rsidRDefault="00215161" w:rsidP="00C279AF">
            <w:pPr>
              <w:ind w:firstLine="426"/>
              <w:jc w:val="center"/>
              <w:rPr>
                <w:rFonts w:eastAsia="Times New Roman"/>
                <w:color w:val="000000"/>
                <w:sz w:val="22"/>
                <w:lang w:eastAsia="cs-CZ"/>
              </w:rPr>
            </w:pPr>
            <w:r w:rsidRPr="00586198">
              <w:rPr>
                <w:rFonts w:eastAsia="Times New Roman"/>
                <w:color w:val="000000"/>
                <w:sz w:val="22"/>
                <w:lang w:eastAsia="cs-CZ"/>
              </w:rPr>
              <w:t>1 511 527</w:t>
            </w:r>
          </w:p>
        </w:tc>
        <w:tc>
          <w:tcPr>
            <w:tcW w:w="1559" w:type="dxa"/>
            <w:tcBorders>
              <w:top w:val="nil"/>
              <w:left w:val="nil"/>
              <w:bottom w:val="single" w:sz="4" w:space="0" w:color="auto"/>
              <w:right w:val="single" w:sz="4" w:space="0" w:color="auto"/>
            </w:tcBorders>
            <w:shd w:val="clear" w:color="auto" w:fill="auto"/>
            <w:noWrap/>
            <w:vAlign w:val="bottom"/>
            <w:hideMark/>
          </w:tcPr>
          <w:p w14:paraId="13BA96EB" w14:textId="77777777" w:rsidR="00215161" w:rsidRPr="00586198" w:rsidRDefault="00215161" w:rsidP="00C279AF">
            <w:pPr>
              <w:ind w:firstLine="426"/>
              <w:jc w:val="center"/>
              <w:rPr>
                <w:rFonts w:eastAsia="Times New Roman"/>
                <w:color w:val="000000"/>
                <w:sz w:val="22"/>
                <w:lang w:eastAsia="cs-CZ"/>
              </w:rPr>
            </w:pPr>
            <w:r w:rsidRPr="00586198">
              <w:rPr>
                <w:rFonts w:eastAsia="Times New Roman"/>
                <w:color w:val="000000"/>
                <w:sz w:val="22"/>
                <w:lang w:eastAsia="cs-CZ"/>
              </w:rPr>
              <w:t>1 487 328</w:t>
            </w:r>
          </w:p>
        </w:tc>
        <w:tc>
          <w:tcPr>
            <w:tcW w:w="1356" w:type="dxa"/>
            <w:tcBorders>
              <w:top w:val="nil"/>
              <w:left w:val="nil"/>
              <w:bottom w:val="single" w:sz="4" w:space="0" w:color="auto"/>
              <w:right w:val="single" w:sz="4" w:space="0" w:color="auto"/>
            </w:tcBorders>
            <w:shd w:val="clear" w:color="auto" w:fill="auto"/>
            <w:noWrap/>
            <w:vAlign w:val="bottom"/>
            <w:hideMark/>
          </w:tcPr>
          <w:p w14:paraId="783C695E" w14:textId="77777777" w:rsidR="00215161" w:rsidRPr="00586198" w:rsidRDefault="00215161" w:rsidP="00C279AF">
            <w:pPr>
              <w:ind w:firstLine="426"/>
              <w:jc w:val="center"/>
              <w:rPr>
                <w:rFonts w:eastAsia="Times New Roman"/>
                <w:color w:val="000000"/>
                <w:sz w:val="22"/>
                <w:lang w:eastAsia="cs-CZ"/>
              </w:rPr>
            </w:pPr>
            <w:r w:rsidRPr="00586198">
              <w:rPr>
                <w:rFonts w:eastAsia="Times New Roman"/>
                <w:color w:val="000000"/>
                <w:sz w:val="22"/>
                <w:lang w:eastAsia="cs-CZ"/>
              </w:rPr>
              <w:t>-24 199</w:t>
            </w:r>
          </w:p>
        </w:tc>
      </w:tr>
      <w:tr w:rsidR="00215161" w:rsidRPr="00586198" w14:paraId="648FD5A2" w14:textId="77777777" w:rsidTr="00C279AF">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17EF990" w14:textId="77777777" w:rsidR="00215161" w:rsidRPr="00586198" w:rsidRDefault="00215161" w:rsidP="00C279AF">
            <w:pPr>
              <w:ind w:firstLine="426"/>
              <w:jc w:val="center"/>
              <w:rPr>
                <w:rFonts w:eastAsia="Times New Roman"/>
                <w:color w:val="000000"/>
                <w:sz w:val="22"/>
                <w:lang w:eastAsia="cs-CZ"/>
              </w:rPr>
            </w:pPr>
            <w:r w:rsidRPr="00586198">
              <w:rPr>
                <w:rFonts w:eastAsia="Times New Roman"/>
                <w:color w:val="000000"/>
                <w:sz w:val="22"/>
                <w:lang w:eastAsia="cs-CZ"/>
              </w:rPr>
              <w:t>5</w:t>
            </w:r>
          </w:p>
        </w:tc>
        <w:tc>
          <w:tcPr>
            <w:tcW w:w="1589" w:type="dxa"/>
            <w:tcBorders>
              <w:top w:val="nil"/>
              <w:left w:val="nil"/>
              <w:bottom w:val="single" w:sz="4" w:space="0" w:color="auto"/>
              <w:right w:val="single" w:sz="4" w:space="0" w:color="auto"/>
            </w:tcBorders>
            <w:shd w:val="clear" w:color="auto" w:fill="auto"/>
            <w:noWrap/>
            <w:vAlign w:val="bottom"/>
            <w:hideMark/>
          </w:tcPr>
          <w:p w14:paraId="0F38E122" w14:textId="77777777" w:rsidR="00215161" w:rsidRPr="00586198" w:rsidRDefault="00215161" w:rsidP="00C279AF">
            <w:pPr>
              <w:ind w:firstLine="426"/>
              <w:jc w:val="center"/>
              <w:rPr>
                <w:rFonts w:eastAsia="Times New Roman"/>
                <w:color w:val="000000"/>
                <w:sz w:val="22"/>
                <w:lang w:eastAsia="cs-CZ"/>
              </w:rPr>
            </w:pPr>
            <w:r w:rsidRPr="00586198">
              <w:rPr>
                <w:rFonts w:eastAsia="Times New Roman"/>
                <w:color w:val="000000"/>
                <w:sz w:val="22"/>
                <w:lang w:eastAsia="cs-CZ"/>
              </w:rPr>
              <w:t>217 992</w:t>
            </w:r>
          </w:p>
        </w:tc>
        <w:tc>
          <w:tcPr>
            <w:tcW w:w="1417" w:type="dxa"/>
            <w:tcBorders>
              <w:top w:val="nil"/>
              <w:left w:val="nil"/>
              <w:bottom w:val="single" w:sz="4" w:space="0" w:color="auto"/>
              <w:right w:val="single" w:sz="4" w:space="0" w:color="auto"/>
            </w:tcBorders>
            <w:shd w:val="clear" w:color="auto" w:fill="auto"/>
            <w:noWrap/>
            <w:vAlign w:val="bottom"/>
            <w:hideMark/>
          </w:tcPr>
          <w:p w14:paraId="14218456" w14:textId="77777777" w:rsidR="00215161" w:rsidRPr="00586198" w:rsidRDefault="00215161" w:rsidP="00C279AF">
            <w:pPr>
              <w:ind w:firstLine="426"/>
              <w:jc w:val="center"/>
              <w:rPr>
                <w:rFonts w:eastAsia="Times New Roman"/>
                <w:color w:val="000000"/>
                <w:sz w:val="22"/>
                <w:lang w:eastAsia="cs-CZ"/>
              </w:rPr>
            </w:pPr>
            <w:r w:rsidRPr="00586198">
              <w:rPr>
                <w:rFonts w:eastAsia="Times New Roman"/>
                <w:color w:val="000000"/>
                <w:sz w:val="22"/>
                <w:lang w:eastAsia="cs-CZ"/>
              </w:rPr>
              <w:t>326 928</w:t>
            </w:r>
          </w:p>
        </w:tc>
        <w:tc>
          <w:tcPr>
            <w:tcW w:w="1560" w:type="dxa"/>
            <w:tcBorders>
              <w:top w:val="nil"/>
              <w:left w:val="nil"/>
              <w:bottom w:val="single" w:sz="4" w:space="0" w:color="auto"/>
              <w:right w:val="single" w:sz="4" w:space="0" w:color="auto"/>
            </w:tcBorders>
            <w:shd w:val="clear" w:color="auto" w:fill="auto"/>
            <w:noWrap/>
            <w:vAlign w:val="bottom"/>
            <w:hideMark/>
          </w:tcPr>
          <w:p w14:paraId="64DE8672" w14:textId="77777777" w:rsidR="00215161" w:rsidRPr="00586198" w:rsidRDefault="00215161" w:rsidP="00C279AF">
            <w:pPr>
              <w:ind w:firstLine="426"/>
              <w:jc w:val="center"/>
              <w:rPr>
                <w:rFonts w:eastAsia="Times New Roman"/>
                <w:color w:val="000000"/>
                <w:sz w:val="22"/>
                <w:lang w:eastAsia="cs-CZ"/>
              </w:rPr>
            </w:pPr>
            <w:r w:rsidRPr="00586198">
              <w:rPr>
                <w:rFonts w:eastAsia="Times New Roman"/>
                <w:color w:val="000000"/>
                <w:sz w:val="22"/>
                <w:lang w:eastAsia="cs-CZ"/>
              </w:rPr>
              <w:t>1 729 519</w:t>
            </w:r>
          </w:p>
        </w:tc>
        <w:tc>
          <w:tcPr>
            <w:tcW w:w="1559" w:type="dxa"/>
            <w:tcBorders>
              <w:top w:val="nil"/>
              <w:left w:val="nil"/>
              <w:bottom w:val="single" w:sz="4" w:space="0" w:color="auto"/>
              <w:right w:val="single" w:sz="4" w:space="0" w:color="auto"/>
            </w:tcBorders>
            <w:shd w:val="clear" w:color="auto" w:fill="auto"/>
            <w:noWrap/>
            <w:vAlign w:val="bottom"/>
            <w:hideMark/>
          </w:tcPr>
          <w:p w14:paraId="47D8ADE3" w14:textId="77777777" w:rsidR="00215161" w:rsidRPr="00586198" w:rsidRDefault="00215161" w:rsidP="00C279AF">
            <w:pPr>
              <w:ind w:firstLine="426"/>
              <w:jc w:val="center"/>
              <w:rPr>
                <w:rFonts w:eastAsia="Times New Roman"/>
                <w:color w:val="000000"/>
                <w:sz w:val="22"/>
                <w:lang w:eastAsia="cs-CZ"/>
              </w:rPr>
            </w:pPr>
            <w:r w:rsidRPr="00586198">
              <w:rPr>
                <w:rFonts w:eastAsia="Times New Roman"/>
                <w:color w:val="000000"/>
                <w:sz w:val="22"/>
                <w:lang w:eastAsia="cs-CZ"/>
              </w:rPr>
              <w:t>1 814 256</w:t>
            </w:r>
          </w:p>
        </w:tc>
        <w:tc>
          <w:tcPr>
            <w:tcW w:w="1356" w:type="dxa"/>
            <w:tcBorders>
              <w:top w:val="nil"/>
              <w:left w:val="nil"/>
              <w:bottom w:val="single" w:sz="4" w:space="0" w:color="auto"/>
              <w:right w:val="single" w:sz="4" w:space="0" w:color="auto"/>
            </w:tcBorders>
            <w:shd w:val="clear" w:color="auto" w:fill="auto"/>
            <w:noWrap/>
            <w:vAlign w:val="bottom"/>
            <w:hideMark/>
          </w:tcPr>
          <w:p w14:paraId="5E93BB93" w14:textId="77777777" w:rsidR="00215161" w:rsidRPr="00586198" w:rsidRDefault="00215161" w:rsidP="00C279AF">
            <w:pPr>
              <w:ind w:firstLine="426"/>
              <w:jc w:val="center"/>
              <w:rPr>
                <w:rFonts w:eastAsia="Times New Roman"/>
                <w:color w:val="000000"/>
                <w:sz w:val="22"/>
                <w:lang w:eastAsia="cs-CZ"/>
              </w:rPr>
            </w:pPr>
            <w:r w:rsidRPr="00586198">
              <w:rPr>
                <w:rFonts w:eastAsia="Times New Roman"/>
                <w:color w:val="000000"/>
                <w:sz w:val="22"/>
                <w:lang w:eastAsia="cs-CZ"/>
              </w:rPr>
              <w:t>84 737</w:t>
            </w:r>
          </w:p>
        </w:tc>
      </w:tr>
    </w:tbl>
    <w:p w14:paraId="7D03A2E1" w14:textId="77777777" w:rsidR="00215161" w:rsidRPr="00215161" w:rsidRDefault="00215161" w:rsidP="00E70FEE">
      <w:pPr>
        <w:spacing w:before="160" w:after="160"/>
        <w:ind w:firstLine="426"/>
        <w:rPr>
          <w:szCs w:val="24"/>
        </w:rPr>
      </w:pPr>
      <w:r w:rsidRPr="00215161">
        <w:rPr>
          <w:szCs w:val="24"/>
        </w:rPr>
        <w:t xml:space="preserve">Dodatečné snížení výše předčasných starobních důchodů by se (bez změny chování týkající se rozhodnutí o odchodu do starobního důchodu) negativně projevilo v míře ohrožení chudobou u důchodců, kdy by oproti odhadovanému vývoji podle současného právního stavu byla míra ohrožení chudobou postupně </w:t>
      </w:r>
      <w:r w:rsidR="005548A3">
        <w:rPr>
          <w:szCs w:val="24"/>
        </w:rPr>
        <w:t xml:space="preserve">v horizontu </w:t>
      </w:r>
      <w:r w:rsidR="00294E0D">
        <w:rPr>
          <w:szCs w:val="24"/>
        </w:rPr>
        <w:t xml:space="preserve">20 - 25 </w:t>
      </w:r>
      <w:r w:rsidR="005548A3">
        <w:rPr>
          <w:szCs w:val="24"/>
        </w:rPr>
        <w:t xml:space="preserve">let </w:t>
      </w:r>
      <w:r w:rsidRPr="00215161">
        <w:rPr>
          <w:szCs w:val="24"/>
        </w:rPr>
        <w:t>až o zhruba 10 p.b. vyšší a</w:t>
      </w:r>
      <w:r w:rsidR="00C25EB4">
        <w:rPr>
          <w:szCs w:val="24"/>
        </w:rPr>
        <w:t> </w:t>
      </w:r>
      <w:r w:rsidRPr="00215161">
        <w:rPr>
          <w:szCs w:val="24"/>
        </w:rPr>
        <w:t>dostala se k úrovni kolem 30 %, přičemž u žen by přesáhla 40 %.</w:t>
      </w:r>
    </w:p>
    <w:p w14:paraId="0F8C9BAF" w14:textId="77777777" w:rsidR="00215161" w:rsidRPr="00BA5111" w:rsidRDefault="00215161" w:rsidP="00F5445A">
      <w:pPr>
        <w:spacing w:after="160"/>
        <w:rPr>
          <w:u w:val="single"/>
        </w:rPr>
      </w:pPr>
      <w:r w:rsidRPr="00BA5111">
        <w:rPr>
          <w:u w:val="single"/>
        </w:rPr>
        <w:t>Změny ve způsobu zvyšování důchodů</w:t>
      </w:r>
    </w:p>
    <w:p w14:paraId="203D4B7D" w14:textId="77777777" w:rsidR="00215161" w:rsidRPr="00215161" w:rsidRDefault="00215161" w:rsidP="00E70FEE">
      <w:pPr>
        <w:ind w:firstLine="426"/>
        <w:rPr>
          <w:szCs w:val="24"/>
        </w:rPr>
      </w:pPr>
      <w:r w:rsidRPr="00215161">
        <w:rPr>
          <w:szCs w:val="24"/>
        </w:rPr>
        <w:t>Snížení zápočtu růstu reálných mezd v kombinaci cenového růstu „pouze“ prostřednictvím IŽND se v dlouhém období negativně projeví ve výších vyplácených důchodů. Relace průměrného starobního důchodu vůči průměrné mzdě by se oproti vývoji podle současného stavu snížila o cca 2–3 p.b. Relativně nižší důchody by vedly k dodatečnému růstu míry ohrožení chudobou o 4 – 5 p.b.</w:t>
      </w:r>
    </w:p>
    <w:p w14:paraId="6A85B5C0" w14:textId="77777777" w:rsidR="00215161" w:rsidRPr="00BA5111" w:rsidRDefault="00215161" w:rsidP="00F5445A">
      <w:pPr>
        <w:spacing w:before="160" w:after="160"/>
        <w:rPr>
          <w:u w:val="single"/>
        </w:rPr>
      </w:pPr>
      <w:r w:rsidRPr="00BA5111">
        <w:rPr>
          <w:u w:val="single"/>
        </w:rPr>
        <w:t>Nahrazení zvýšení důchodů v mimořádném termínu dočasným plněním</w:t>
      </w:r>
    </w:p>
    <w:p w14:paraId="269A818F" w14:textId="77777777" w:rsidR="00215161" w:rsidRPr="00215161" w:rsidRDefault="00215161" w:rsidP="00E70FEE">
      <w:pPr>
        <w:spacing w:after="160"/>
        <w:ind w:firstLine="426"/>
        <w:rPr>
          <w:szCs w:val="24"/>
        </w:rPr>
      </w:pPr>
      <w:r w:rsidRPr="00215161">
        <w:rPr>
          <w:szCs w:val="24"/>
        </w:rPr>
        <w:t>Dopady nahrazení zvýšení důchodů v mimořádném termínu lze pouze ilustrovat na</w:t>
      </w:r>
      <w:r w:rsidR="00C25EB4">
        <w:rPr>
          <w:szCs w:val="24"/>
        </w:rPr>
        <w:t> </w:t>
      </w:r>
      <w:r w:rsidRPr="00215161">
        <w:rPr>
          <w:szCs w:val="24"/>
        </w:rPr>
        <w:t>příkladu aplikace navrhovaného řešení na situaci roku 2023.</w:t>
      </w:r>
    </w:p>
    <w:p w14:paraId="106919A1" w14:textId="77777777" w:rsidR="00215161" w:rsidRPr="00215161" w:rsidRDefault="00215161" w:rsidP="00E70FEE">
      <w:pPr>
        <w:pStyle w:val="Titulek"/>
        <w:ind w:firstLine="426"/>
        <w:rPr>
          <w:rFonts w:ascii="Times New Roman" w:hAnsi="Times New Roman"/>
          <w:sz w:val="24"/>
          <w:szCs w:val="24"/>
        </w:rPr>
      </w:pPr>
      <w:r w:rsidRPr="00215161">
        <w:rPr>
          <w:rFonts w:ascii="Times New Roman" w:hAnsi="Times New Roman"/>
          <w:sz w:val="24"/>
          <w:szCs w:val="24"/>
        </w:rPr>
        <w:t xml:space="preserve">Tabulka </w:t>
      </w:r>
      <w:r w:rsidRPr="00215161">
        <w:rPr>
          <w:rFonts w:ascii="Times New Roman" w:hAnsi="Times New Roman"/>
          <w:sz w:val="24"/>
          <w:szCs w:val="24"/>
        </w:rPr>
        <w:fldChar w:fldCharType="begin"/>
      </w:r>
      <w:r w:rsidRPr="00215161">
        <w:rPr>
          <w:rFonts w:ascii="Times New Roman" w:hAnsi="Times New Roman"/>
          <w:sz w:val="24"/>
          <w:szCs w:val="24"/>
        </w:rPr>
        <w:instrText xml:space="preserve"> SEQ Tabulka \* ARABIC </w:instrText>
      </w:r>
      <w:r w:rsidRPr="00215161">
        <w:rPr>
          <w:rFonts w:ascii="Times New Roman" w:hAnsi="Times New Roman"/>
          <w:sz w:val="24"/>
          <w:szCs w:val="24"/>
        </w:rPr>
        <w:fldChar w:fldCharType="separate"/>
      </w:r>
      <w:r w:rsidR="00880F0E">
        <w:rPr>
          <w:rFonts w:ascii="Times New Roman" w:hAnsi="Times New Roman"/>
          <w:noProof/>
          <w:sz w:val="24"/>
          <w:szCs w:val="24"/>
        </w:rPr>
        <w:t>4</w:t>
      </w:r>
      <w:r w:rsidRPr="00215161">
        <w:rPr>
          <w:rFonts w:ascii="Times New Roman" w:hAnsi="Times New Roman"/>
          <w:noProof/>
          <w:sz w:val="24"/>
          <w:szCs w:val="24"/>
        </w:rPr>
        <w:fldChar w:fldCharType="end"/>
      </w:r>
      <w:r w:rsidRPr="00215161">
        <w:rPr>
          <w:rFonts w:ascii="Times New Roman" w:hAnsi="Times New Roman"/>
          <w:sz w:val="24"/>
          <w:szCs w:val="24"/>
        </w:rPr>
        <w:t xml:space="preserve"> – Srovnání dopadů návrh</w:t>
      </w:r>
      <w:r w:rsidR="004C37E5">
        <w:rPr>
          <w:rFonts w:ascii="Times New Roman" w:hAnsi="Times New Roman"/>
          <w:sz w:val="24"/>
          <w:szCs w:val="24"/>
        </w:rPr>
        <w:t>u</w:t>
      </w:r>
      <w:r w:rsidRPr="00215161">
        <w:rPr>
          <w:rFonts w:ascii="Times New Roman" w:hAnsi="Times New Roman"/>
          <w:sz w:val="24"/>
          <w:szCs w:val="24"/>
        </w:rPr>
        <w:t xml:space="preserve"> na nahrazení zvýšení důchodů v mimořádném termínu</w:t>
      </w:r>
      <w:r w:rsidRPr="00215161">
        <w:rPr>
          <w:rStyle w:val="Znakapoznpodarou"/>
          <w:rFonts w:ascii="Times New Roman" w:hAnsi="Times New Roman"/>
          <w:sz w:val="24"/>
          <w:szCs w:val="24"/>
        </w:rPr>
        <w:footnoteReference w:id="10"/>
      </w: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3"/>
        <w:gridCol w:w="2126"/>
        <w:gridCol w:w="2268"/>
        <w:gridCol w:w="2126"/>
      </w:tblGrid>
      <w:tr w:rsidR="00215161" w:rsidRPr="00215161" w14:paraId="6D7E6AF3" w14:textId="77777777" w:rsidTr="00BA5111">
        <w:tc>
          <w:tcPr>
            <w:tcW w:w="1413" w:type="dxa"/>
            <w:shd w:val="clear" w:color="auto" w:fill="auto"/>
            <w:noWrap/>
            <w:vAlign w:val="bottom"/>
            <w:hideMark/>
          </w:tcPr>
          <w:p w14:paraId="2B08DE53" w14:textId="77777777" w:rsidR="00215161" w:rsidRPr="007457B7" w:rsidRDefault="00215161" w:rsidP="00494ABC">
            <w:pPr>
              <w:jc w:val="right"/>
              <w:rPr>
                <w:rFonts w:eastAsia="Times New Roman"/>
                <w:color w:val="000000"/>
                <w:sz w:val="22"/>
                <w:lang w:eastAsia="cs-CZ"/>
              </w:rPr>
            </w:pPr>
            <w:r w:rsidRPr="007457B7">
              <w:rPr>
                <w:rFonts w:eastAsia="Times New Roman"/>
                <w:color w:val="000000"/>
                <w:sz w:val="22"/>
                <w:lang w:eastAsia="cs-CZ"/>
              </w:rPr>
              <w:t>1/2023</w:t>
            </w:r>
          </w:p>
        </w:tc>
        <w:tc>
          <w:tcPr>
            <w:tcW w:w="2126" w:type="dxa"/>
            <w:shd w:val="clear" w:color="auto" w:fill="auto"/>
            <w:noWrap/>
            <w:vAlign w:val="bottom"/>
            <w:hideMark/>
          </w:tcPr>
          <w:p w14:paraId="0E45EFC5" w14:textId="77777777" w:rsidR="00215161" w:rsidRPr="007457B7" w:rsidRDefault="005548A3" w:rsidP="00494ABC">
            <w:pPr>
              <w:jc w:val="center"/>
              <w:rPr>
                <w:rFonts w:eastAsia="Times New Roman"/>
                <w:color w:val="000000"/>
                <w:sz w:val="22"/>
                <w:lang w:eastAsia="cs-CZ"/>
              </w:rPr>
            </w:pPr>
            <w:r>
              <w:rPr>
                <w:rFonts w:eastAsia="Times New Roman"/>
                <w:color w:val="000000"/>
                <w:sz w:val="22"/>
                <w:lang w:eastAsia="cs-CZ"/>
              </w:rPr>
              <w:t>P</w:t>
            </w:r>
            <w:r w:rsidR="00215161" w:rsidRPr="007457B7">
              <w:rPr>
                <w:rFonts w:eastAsia="Times New Roman"/>
                <w:color w:val="000000"/>
                <w:sz w:val="22"/>
                <w:lang w:eastAsia="cs-CZ"/>
              </w:rPr>
              <w:t>rávní stav</w:t>
            </w:r>
            <w:r>
              <w:rPr>
                <w:rFonts w:eastAsia="Times New Roman"/>
                <w:color w:val="000000"/>
                <w:sz w:val="22"/>
                <w:lang w:eastAsia="cs-CZ"/>
              </w:rPr>
              <w:t xml:space="preserve"> před zákonem 71/2023</w:t>
            </w:r>
          </w:p>
        </w:tc>
        <w:tc>
          <w:tcPr>
            <w:tcW w:w="2268" w:type="dxa"/>
            <w:shd w:val="clear" w:color="auto" w:fill="auto"/>
            <w:noWrap/>
            <w:vAlign w:val="bottom"/>
            <w:hideMark/>
          </w:tcPr>
          <w:p w14:paraId="2C0C1556" w14:textId="77777777" w:rsidR="00215161" w:rsidRPr="007457B7" w:rsidRDefault="005548A3" w:rsidP="00494ABC">
            <w:pPr>
              <w:jc w:val="center"/>
              <w:rPr>
                <w:rFonts w:eastAsia="Times New Roman"/>
                <w:color w:val="000000"/>
                <w:sz w:val="22"/>
                <w:lang w:eastAsia="cs-CZ"/>
              </w:rPr>
            </w:pPr>
            <w:r>
              <w:rPr>
                <w:rFonts w:eastAsia="Times New Roman"/>
                <w:color w:val="000000"/>
                <w:sz w:val="22"/>
                <w:lang w:eastAsia="cs-CZ"/>
              </w:rPr>
              <w:t xml:space="preserve">Snížená </w:t>
            </w:r>
            <w:r w:rsidR="00215161" w:rsidRPr="007457B7">
              <w:rPr>
                <w:rFonts w:eastAsia="Times New Roman"/>
                <w:color w:val="000000"/>
                <w:sz w:val="22"/>
                <w:lang w:eastAsia="cs-CZ"/>
              </w:rPr>
              <w:t>valori</w:t>
            </w:r>
            <w:r w:rsidR="00215161" w:rsidRPr="00215161">
              <w:rPr>
                <w:rFonts w:eastAsia="Times New Roman"/>
                <w:color w:val="000000"/>
                <w:sz w:val="22"/>
                <w:lang w:eastAsia="cs-CZ"/>
              </w:rPr>
              <w:t>z</w:t>
            </w:r>
            <w:r w:rsidR="00215161" w:rsidRPr="007457B7">
              <w:rPr>
                <w:rFonts w:eastAsia="Times New Roman"/>
                <w:color w:val="000000"/>
                <w:sz w:val="22"/>
                <w:lang w:eastAsia="cs-CZ"/>
              </w:rPr>
              <w:t>ace 6/23</w:t>
            </w:r>
          </w:p>
        </w:tc>
        <w:tc>
          <w:tcPr>
            <w:tcW w:w="2126" w:type="dxa"/>
            <w:shd w:val="clear" w:color="auto" w:fill="auto"/>
            <w:noWrap/>
            <w:vAlign w:val="bottom"/>
            <w:hideMark/>
          </w:tcPr>
          <w:p w14:paraId="669B43A1" w14:textId="77777777" w:rsidR="00215161" w:rsidRPr="007457B7" w:rsidRDefault="00215161" w:rsidP="00494ABC">
            <w:pPr>
              <w:jc w:val="center"/>
              <w:rPr>
                <w:rFonts w:eastAsia="Times New Roman"/>
                <w:color w:val="000000"/>
                <w:sz w:val="22"/>
                <w:lang w:eastAsia="cs-CZ"/>
              </w:rPr>
            </w:pPr>
            <w:r w:rsidRPr="007457B7">
              <w:rPr>
                <w:rFonts w:eastAsia="Times New Roman"/>
                <w:color w:val="000000"/>
                <w:sz w:val="22"/>
                <w:lang w:eastAsia="cs-CZ"/>
              </w:rPr>
              <w:t>Návrh</w:t>
            </w:r>
          </w:p>
        </w:tc>
      </w:tr>
      <w:tr w:rsidR="00215161" w:rsidRPr="00215161" w14:paraId="52BC51C6" w14:textId="77777777" w:rsidTr="00BA5111">
        <w:tc>
          <w:tcPr>
            <w:tcW w:w="1413" w:type="dxa"/>
            <w:shd w:val="clear" w:color="auto" w:fill="auto"/>
            <w:noWrap/>
            <w:vAlign w:val="bottom"/>
            <w:hideMark/>
          </w:tcPr>
          <w:p w14:paraId="25D9E8F6" w14:textId="77777777" w:rsidR="00215161" w:rsidRPr="007457B7" w:rsidRDefault="00215161" w:rsidP="00494ABC">
            <w:pPr>
              <w:rPr>
                <w:rFonts w:eastAsia="Times New Roman"/>
                <w:color w:val="000000"/>
                <w:sz w:val="22"/>
                <w:lang w:eastAsia="cs-CZ"/>
              </w:rPr>
            </w:pPr>
            <w:r w:rsidRPr="007457B7">
              <w:rPr>
                <w:rFonts w:eastAsia="Times New Roman"/>
                <w:color w:val="000000"/>
                <w:sz w:val="22"/>
                <w:lang w:eastAsia="cs-CZ"/>
              </w:rPr>
              <w:t>Výše důchodu</w:t>
            </w:r>
          </w:p>
        </w:tc>
        <w:tc>
          <w:tcPr>
            <w:tcW w:w="2126" w:type="dxa"/>
            <w:shd w:val="clear" w:color="auto" w:fill="auto"/>
            <w:noWrap/>
            <w:vAlign w:val="bottom"/>
            <w:hideMark/>
          </w:tcPr>
          <w:p w14:paraId="33CAE26F" w14:textId="77777777" w:rsidR="00215161" w:rsidRPr="007457B7" w:rsidRDefault="00215161" w:rsidP="00494ABC">
            <w:pPr>
              <w:rPr>
                <w:rFonts w:eastAsia="Times New Roman"/>
                <w:color w:val="000000"/>
                <w:sz w:val="22"/>
                <w:lang w:eastAsia="cs-CZ"/>
              </w:rPr>
            </w:pPr>
            <w:r w:rsidRPr="007457B7">
              <w:rPr>
                <w:rFonts w:eastAsia="Times New Roman"/>
                <w:color w:val="000000"/>
                <w:sz w:val="22"/>
                <w:lang w:eastAsia="cs-CZ"/>
              </w:rPr>
              <w:t>Val</w:t>
            </w:r>
            <w:r w:rsidRPr="00215161">
              <w:rPr>
                <w:rFonts w:eastAsia="Times New Roman"/>
                <w:color w:val="000000"/>
                <w:sz w:val="22"/>
                <w:lang w:eastAsia="cs-CZ"/>
              </w:rPr>
              <w:t>orizace</w:t>
            </w:r>
            <w:r w:rsidRPr="007457B7">
              <w:rPr>
                <w:rFonts w:eastAsia="Times New Roman"/>
                <w:color w:val="000000"/>
                <w:sz w:val="22"/>
                <w:lang w:eastAsia="cs-CZ"/>
              </w:rPr>
              <w:t xml:space="preserve"> 6/2023</w:t>
            </w:r>
          </w:p>
        </w:tc>
        <w:tc>
          <w:tcPr>
            <w:tcW w:w="2268" w:type="dxa"/>
            <w:shd w:val="clear" w:color="auto" w:fill="auto"/>
            <w:noWrap/>
            <w:vAlign w:val="bottom"/>
            <w:hideMark/>
          </w:tcPr>
          <w:p w14:paraId="095D9797" w14:textId="77777777" w:rsidR="00215161" w:rsidRPr="007457B7" w:rsidRDefault="00215161" w:rsidP="00494ABC">
            <w:pPr>
              <w:rPr>
                <w:rFonts w:eastAsia="Times New Roman"/>
                <w:color w:val="000000"/>
                <w:sz w:val="22"/>
                <w:lang w:eastAsia="cs-CZ"/>
              </w:rPr>
            </w:pPr>
            <w:r w:rsidRPr="007457B7">
              <w:rPr>
                <w:rFonts w:eastAsia="Times New Roman"/>
                <w:color w:val="000000"/>
                <w:sz w:val="22"/>
                <w:lang w:eastAsia="cs-CZ"/>
              </w:rPr>
              <w:t>Val</w:t>
            </w:r>
            <w:r w:rsidRPr="00215161">
              <w:rPr>
                <w:rFonts w:eastAsia="Times New Roman"/>
                <w:color w:val="000000"/>
                <w:sz w:val="22"/>
                <w:lang w:eastAsia="cs-CZ"/>
              </w:rPr>
              <w:t xml:space="preserve">orizace </w:t>
            </w:r>
            <w:r w:rsidRPr="007457B7">
              <w:rPr>
                <w:rFonts w:eastAsia="Times New Roman"/>
                <w:color w:val="000000"/>
                <w:sz w:val="22"/>
                <w:lang w:eastAsia="cs-CZ"/>
              </w:rPr>
              <w:t>6/2023</w:t>
            </w:r>
          </w:p>
        </w:tc>
        <w:tc>
          <w:tcPr>
            <w:tcW w:w="2126" w:type="dxa"/>
            <w:shd w:val="clear" w:color="auto" w:fill="auto"/>
            <w:noWrap/>
            <w:vAlign w:val="bottom"/>
            <w:hideMark/>
          </w:tcPr>
          <w:p w14:paraId="668D3878" w14:textId="77777777" w:rsidR="00215161" w:rsidRPr="007457B7" w:rsidRDefault="00494ABC" w:rsidP="00494ABC">
            <w:pPr>
              <w:rPr>
                <w:rFonts w:eastAsia="Times New Roman"/>
                <w:color w:val="000000"/>
                <w:sz w:val="22"/>
                <w:lang w:eastAsia="cs-CZ"/>
              </w:rPr>
            </w:pPr>
            <w:r>
              <w:rPr>
                <w:rFonts w:eastAsia="Times New Roman"/>
                <w:color w:val="000000"/>
                <w:sz w:val="22"/>
                <w:lang w:eastAsia="cs-CZ"/>
              </w:rPr>
              <w:t>7/2023</w:t>
            </w:r>
          </w:p>
        </w:tc>
      </w:tr>
      <w:tr w:rsidR="00215161" w:rsidRPr="00215161" w14:paraId="611E4A63" w14:textId="77777777" w:rsidTr="00BA5111">
        <w:tc>
          <w:tcPr>
            <w:tcW w:w="1413" w:type="dxa"/>
            <w:shd w:val="clear" w:color="auto" w:fill="auto"/>
            <w:noWrap/>
            <w:vAlign w:val="bottom"/>
            <w:hideMark/>
          </w:tcPr>
          <w:p w14:paraId="1D99EE47" w14:textId="77777777" w:rsidR="00215161" w:rsidRPr="007457B7" w:rsidRDefault="00215161" w:rsidP="00E70FEE">
            <w:pPr>
              <w:ind w:firstLine="426"/>
              <w:jc w:val="right"/>
              <w:rPr>
                <w:rFonts w:eastAsia="Times New Roman"/>
                <w:color w:val="000000"/>
                <w:sz w:val="22"/>
                <w:lang w:eastAsia="cs-CZ"/>
              </w:rPr>
            </w:pPr>
            <w:r w:rsidRPr="007457B7">
              <w:rPr>
                <w:rFonts w:eastAsia="Times New Roman"/>
                <w:color w:val="000000"/>
                <w:sz w:val="22"/>
                <w:lang w:eastAsia="cs-CZ"/>
              </w:rPr>
              <w:t>12000</w:t>
            </w:r>
          </w:p>
        </w:tc>
        <w:tc>
          <w:tcPr>
            <w:tcW w:w="2126" w:type="dxa"/>
            <w:shd w:val="clear" w:color="auto" w:fill="auto"/>
            <w:noWrap/>
            <w:vAlign w:val="bottom"/>
            <w:hideMark/>
          </w:tcPr>
          <w:p w14:paraId="3556C900" w14:textId="77777777" w:rsidR="00215161" w:rsidRPr="007457B7" w:rsidRDefault="00215161" w:rsidP="00E70FEE">
            <w:pPr>
              <w:ind w:firstLine="426"/>
              <w:jc w:val="right"/>
              <w:rPr>
                <w:rFonts w:eastAsia="Times New Roman"/>
                <w:color w:val="000000"/>
                <w:sz w:val="22"/>
                <w:lang w:eastAsia="cs-CZ"/>
              </w:rPr>
            </w:pPr>
            <w:r w:rsidRPr="007457B7">
              <w:rPr>
                <w:rFonts w:eastAsia="Times New Roman"/>
                <w:color w:val="000000"/>
                <w:sz w:val="22"/>
                <w:lang w:eastAsia="cs-CZ"/>
              </w:rPr>
              <w:t>916</w:t>
            </w:r>
          </w:p>
        </w:tc>
        <w:tc>
          <w:tcPr>
            <w:tcW w:w="2268" w:type="dxa"/>
            <w:shd w:val="clear" w:color="auto" w:fill="auto"/>
            <w:noWrap/>
            <w:vAlign w:val="bottom"/>
            <w:hideMark/>
          </w:tcPr>
          <w:p w14:paraId="5D69C91C" w14:textId="77777777" w:rsidR="00215161" w:rsidRPr="007457B7" w:rsidRDefault="00215161" w:rsidP="00E70FEE">
            <w:pPr>
              <w:ind w:firstLine="426"/>
              <w:jc w:val="right"/>
              <w:rPr>
                <w:rFonts w:eastAsia="Times New Roman"/>
                <w:color w:val="000000"/>
                <w:sz w:val="22"/>
                <w:lang w:eastAsia="cs-CZ"/>
              </w:rPr>
            </w:pPr>
            <w:r w:rsidRPr="007457B7">
              <w:rPr>
                <w:rFonts w:eastAsia="Times New Roman"/>
                <w:color w:val="000000"/>
                <w:sz w:val="22"/>
                <w:lang w:eastAsia="cs-CZ"/>
              </w:rPr>
              <w:t>584</w:t>
            </w:r>
          </w:p>
        </w:tc>
        <w:tc>
          <w:tcPr>
            <w:tcW w:w="2126" w:type="dxa"/>
            <w:shd w:val="clear" w:color="auto" w:fill="auto"/>
            <w:noWrap/>
            <w:vAlign w:val="bottom"/>
            <w:hideMark/>
          </w:tcPr>
          <w:p w14:paraId="3E551548" w14:textId="77777777" w:rsidR="00215161" w:rsidRPr="007457B7" w:rsidRDefault="00215161" w:rsidP="00E70FEE">
            <w:pPr>
              <w:ind w:firstLine="426"/>
              <w:jc w:val="right"/>
              <w:rPr>
                <w:rFonts w:eastAsia="Times New Roman"/>
                <w:color w:val="000000"/>
                <w:sz w:val="22"/>
                <w:lang w:eastAsia="cs-CZ"/>
              </w:rPr>
            </w:pPr>
            <w:r w:rsidRPr="007457B7">
              <w:rPr>
                <w:rFonts w:eastAsia="Times New Roman"/>
                <w:color w:val="000000"/>
                <w:sz w:val="22"/>
                <w:lang w:eastAsia="cs-CZ"/>
              </w:rPr>
              <w:t>1023</w:t>
            </w:r>
          </w:p>
        </w:tc>
      </w:tr>
      <w:tr w:rsidR="00215161" w:rsidRPr="00215161" w14:paraId="0221EA59" w14:textId="77777777" w:rsidTr="00BA5111">
        <w:tc>
          <w:tcPr>
            <w:tcW w:w="1413" w:type="dxa"/>
            <w:shd w:val="clear" w:color="auto" w:fill="auto"/>
            <w:noWrap/>
            <w:vAlign w:val="bottom"/>
            <w:hideMark/>
          </w:tcPr>
          <w:p w14:paraId="6218B2FF" w14:textId="77777777" w:rsidR="00215161" w:rsidRPr="007457B7" w:rsidRDefault="00215161" w:rsidP="00E70FEE">
            <w:pPr>
              <w:ind w:firstLine="426"/>
              <w:jc w:val="right"/>
              <w:rPr>
                <w:rFonts w:eastAsia="Times New Roman"/>
                <w:color w:val="000000"/>
                <w:sz w:val="22"/>
                <w:lang w:eastAsia="cs-CZ"/>
              </w:rPr>
            </w:pPr>
            <w:r w:rsidRPr="007457B7">
              <w:rPr>
                <w:rFonts w:eastAsia="Times New Roman"/>
                <w:color w:val="000000"/>
                <w:sz w:val="22"/>
                <w:lang w:eastAsia="cs-CZ"/>
              </w:rPr>
              <w:t>14000</w:t>
            </w:r>
          </w:p>
        </w:tc>
        <w:tc>
          <w:tcPr>
            <w:tcW w:w="2126" w:type="dxa"/>
            <w:shd w:val="clear" w:color="auto" w:fill="auto"/>
            <w:noWrap/>
            <w:vAlign w:val="bottom"/>
            <w:hideMark/>
          </w:tcPr>
          <w:p w14:paraId="6897C437" w14:textId="77777777" w:rsidR="00215161" w:rsidRPr="007457B7" w:rsidRDefault="00215161" w:rsidP="00E70FEE">
            <w:pPr>
              <w:ind w:firstLine="426"/>
              <w:jc w:val="right"/>
              <w:rPr>
                <w:rFonts w:eastAsia="Times New Roman"/>
                <w:color w:val="000000"/>
                <w:sz w:val="22"/>
                <w:lang w:eastAsia="cs-CZ"/>
              </w:rPr>
            </w:pPr>
            <w:r w:rsidRPr="007457B7">
              <w:rPr>
                <w:rFonts w:eastAsia="Times New Roman"/>
                <w:color w:val="000000"/>
                <w:sz w:val="22"/>
                <w:lang w:eastAsia="cs-CZ"/>
              </w:rPr>
              <w:t>1146</w:t>
            </w:r>
          </w:p>
        </w:tc>
        <w:tc>
          <w:tcPr>
            <w:tcW w:w="2268" w:type="dxa"/>
            <w:shd w:val="clear" w:color="auto" w:fill="auto"/>
            <w:noWrap/>
            <w:vAlign w:val="bottom"/>
            <w:hideMark/>
          </w:tcPr>
          <w:p w14:paraId="214F5B2F" w14:textId="77777777" w:rsidR="00215161" w:rsidRPr="007457B7" w:rsidRDefault="00215161" w:rsidP="00E70FEE">
            <w:pPr>
              <w:ind w:firstLine="426"/>
              <w:jc w:val="right"/>
              <w:rPr>
                <w:rFonts w:eastAsia="Times New Roman"/>
                <w:color w:val="000000"/>
                <w:sz w:val="22"/>
                <w:lang w:eastAsia="cs-CZ"/>
              </w:rPr>
            </w:pPr>
            <w:r w:rsidRPr="007457B7">
              <w:rPr>
                <w:rFonts w:eastAsia="Times New Roman"/>
                <w:color w:val="000000"/>
                <w:sz w:val="22"/>
                <w:lang w:eastAsia="cs-CZ"/>
              </w:rPr>
              <w:t>630</w:t>
            </w:r>
          </w:p>
        </w:tc>
        <w:tc>
          <w:tcPr>
            <w:tcW w:w="2126" w:type="dxa"/>
            <w:shd w:val="clear" w:color="auto" w:fill="auto"/>
            <w:noWrap/>
            <w:vAlign w:val="bottom"/>
            <w:hideMark/>
          </w:tcPr>
          <w:p w14:paraId="7C69CE72" w14:textId="77777777" w:rsidR="00215161" w:rsidRPr="007457B7" w:rsidRDefault="00215161" w:rsidP="00E70FEE">
            <w:pPr>
              <w:ind w:firstLine="426"/>
              <w:jc w:val="right"/>
              <w:rPr>
                <w:rFonts w:eastAsia="Times New Roman"/>
                <w:color w:val="000000"/>
                <w:sz w:val="22"/>
                <w:lang w:eastAsia="cs-CZ"/>
              </w:rPr>
            </w:pPr>
            <w:r w:rsidRPr="007457B7">
              <w:rPr>
                <w:rFonts w:eastAsia="Times New Roman"/>
                <w:color w:val="000000"/>
                <w:sz w:val="22"/>
                <w:lang w:eastAsia="cs-CZ"/>
              </w:rPr>
              <w:t>1111</w:t>
            </w:r>
          </w:p>
        </w:tc>
      </w:tr>
      <w:tr w:rsidR="00215161" w:rsidRPr="00215161" w14:paraId="0017580B" w14:textId="77777777" w:rsidTr="00BA5111">
        <w:tc>
          <w:tcPr>
            <w:tcW w:w="1413" w:type="dxa"/>
            <w:shd w:val="clear" w:color="auto" w:fill="auto"/>
            <w:noWrap/>
            <w:vAlign w:val="bottom"/>
            <w:hideMark/>
          </w:tcPr>
          <w:p w14:paraId="6A28006B" w14:textId="77777777" w:rsidR="00215161" w:rsidRPr="007457B7" w:rsidRDefault="00215161" w:rsidP="00E70FEE">
            <w:pPr>
              <w:ind w:firstLine="426"/>
              <w:jc w:val="right"/>
              <w:rPr>
                <w:rFonts w:eastAsia="Times New Roman"/>
                <w:color w:val="000000"/>
                <w:sz w:val="22"/>
                <w:lang w:eastAsia="cs-CZ"/>
              </w:rPr>
            </w:pPr>
            <w:r w:rsidRPr="007457B7">
              <w:rPr>
                <w:rFonts w:eastAsia="Times New Roman"/>
                <w:color w:val="000000"/>
                <w:sz w:val="22"/>
                <w:lang w:eastAsia="cs-CZ"/>
              </w:rPr>
              <w:t>16000</w:t>
            </w:r>
          </w:p>
        </w:tc>
        <w:tc>
          <w:tcPr>
            <w:tcW w:w="2126" w:type="dxa"/>
            <w:shd w:val="clear" w:color="auto" w:fill="auto"/>
            <w:noWrap/>
            <w:vAlign w:val="bottom"/>
            <w:hideMark/>
          </w:tcPr>
          <w:p w14:paraId="1BA4E989" w14:textId="77777777" w:rsidR="00215161" w:rsidRPr="007457B7" w:rsidRDefault="00215161" w:rsidP="00E70FEE">
            <w:pPr>
              <w:ind w:firstLine="426"/>
              <w:jc w:val="right"/>
              <w:rPr>
                <w:rFonts w:eastAsia="Times New Roman"/>
                <w:color w:val="000000"/>
                <w:sz w:val="22"/>
                <w:lang w:eastAsia="cs-CZ"/>
              </w:rPr>
            </w:pPr>
            <w:r w:rsidRPr="007457B7">
              <w:rPr>
                <w:rFonts w:eastAsia="Times New Roman"/>
                <w:color w:val="000000"/>
                <w:sz w:val="22"/>
                <w:lang w:eastAsia="cs-CZ"/>
              </w:rPr>
              <w:t>1376</w:t>
            </w:r>
          </w:p>
        </w:tc>
        <w:tc>
          <w:tcPr>
            <w:tcW w:w="2268" w:type="dxa"/>
            <w:shd w:val="clear" w:color="auto" w:fill="auto"/>
            <w:noWrap/>
            <w:vAlign w:val="bottom"/>
            <w:hideMark/>
          </w:tcPr>
          <w:p w14:paraId="209FDD07" w14:textId="77777777" w:rsidR="00215161" w:rsidRPr="007457B7" w:rsidRDefault="00215161" w:rsidP="00E70FEE">
            <w:pPr>
              <w:ind w:firstLine="426"/>
              <w:jc w:val="right"/>
              <w:rPr>
                <w:rFonts w:eastAsia="Times New Roman"/>
                <w:color w:val="000000"/>
                <w:sz w:val="22"/>
                <w:lang w:eastAsia="cs-CZ"/>
              </w:rPr>
            </w:pPr>
            <w:r w:rsidRPr="007457B7">
              <w:rPr>
                <w:rFonts w:eastAsia="Times New Roman"/>
                <w:color w:val="000000"/>
                <w:sz w:val="22"/>
                <w:lang w:eastAsia="cs-CZ"/>
              </w:rPr>
              <w:t>676</w:t>
            </w:r>
          </w:p>
        </w:tc>
        <w:tc>
          <w:tcPr>
            <w:tcW w:w="2126" w:type="dxa"/>
            <w:shd w:val="clear" w:color="auto" w:fill="auto"/>
            <w:noWrap/>
            <w:vAlign w:val="bottom"/>
            <w:hideMark/>
          </w:tcPr>
          <w:p w14:paraId="2FEF081F" w14:textId="77777777" w:rsidR="00215161" w:rsidRPr="007457B7" w:rsidRDefault="00215161" w:rsidP="00E70FEE">
            <w:pPr>
              <w:ind w:firstLine="426"/>
              <w:jc w:val="right"/>
              <w:rPr>
                <w:rFonts w:eastAsia="Times New Roman"/>
                <w:color w:val="000000"/>
                <w:sz w:val="22"/>
                <w:lang w:eastAsia="cs-CZ"/>
              </w:rPr>
            </w:pPr>
            <w:r w:rsidRPr="007457B7">
              <w:rPr>
                <w:rFonts w:eastAsia="Times New Roman"/>
                <w:color w:val="000000"/>
                <w:sz w:val="22"/>
                <w:lang w:eastAsia="cs-CZ"/>
              </w:rPr>
              <w:t>1199</w:t>
            </w:r>
          </w:p>
        </w:tc>
      </w:tr>
      <w:tr w:rsidR="00215161" w:rsidRPr="00215161" w14:paraId="79BFDA6F" w14:textId="77777777" w:rsidTr="00BA5111">
        <w:tc>
          <w:tcPr>
            <w:tcW w:w="1413" w:type="dxa"/>
            <w:shd w:val="clear" w:color="auto" w:fill="auto"/>
            <w:noWrap/>
            <w:vAlign w:val="bottom"/>
            <w:hideMark/>
          </w:tcPr>
          <w:p w14:paraId="1A995C1D" w14:textId="77777777" w:rsidR="00215161" w:rsidRPr="007457B7" w:rsidRDefault="00215161" w:rsidP="00E70FEE">
            <w:pPr>
              <w:ind w:firstLine="426"/>
              <w:jc w:val="right"/>
              <w:rPr>
                <w:rFonts w:eastAsia="Times New Roman"/>
                <w:color w:val="000000"/>
                <w:sz w:val="22"/>
                <w:lang w:eastAsia="cs-CZ"/>
              </w:rPr>
            </w:pPr>
            <w:r w:rsidRPr="007457B7">
              <w:rPr>
                <w:rFonts w:eastAsia="Times New Roman"/>
                <w:color w:val="000000"/>
                <w:sz w:val="22"/>
                <w:lang w:eastAsia="cs-CZ"/>
              </w:rPr>
              <w:t>18000</w:t>
            </w:r>
          </w:p>
        </w:tc>
        <w:tc>
          <w:tcPr>
            <w:tcW w:w="2126" w:type="dxa"/>
            <w:shd w:val="clear" w:color="auto" w:fill="auto"/>
            <w:noWrap/>
            <w:vAlign w:val="bottom"/>
            <w:hideMark/>
          </w:tcPr>
          <w:p w14:paraId="086F8E45" w14:textId="77777777" w:rsidR="00215161" w:rsidRPr="007457B7" w:rsidRDefault="00215161" w:rsidP="00E70FEE">
            <w:pPr>
              <w:ind w:firstLine="426"/>
              <w:jc w:val="right"/>
              <w:rPr>
                <w:rFonts w:eastAsia="Times New Roman"/>
                <w:color w:val="000000"/>
                <w:sz w:val="22"/>
                <w:lang w:eastAsia="cs-CZ"/>
              </w:rPr>
            </w:pPr>
            <w:r w:rsidRPr="007457B7">
              <w:rPr>
                <w:rFonts w:eastAsia="Times New Roman"/>
                <w:color w:val="000000"/>
                <w:sz w:val="22"/>
                <w:lang w:eastAsia="cs-CZ"/>
              </w:rPr>
              <w:t>1606</w:t>
            </w:r>
          </w:p>
        </w:tc>
        <w:tc>
          <w:tcPr>
            <w:tcW w:w="2268" w:type="dxa"/>
            <w:shd w:val="clear" w:color="auto" w:fill="auto"/>
            <w:noWrap/>
            <w:vAlign w:val="bottom"/>
            <w:hideMark/>
          </w:tcPr>
          <w:p w14:paraId="3AB1A402" w14:textId="77777777" w:rsidR="00215161" w:rsidRPr="007457B7" w:rsidRDefault="00215161" w:rsidP="00E70FEE">
            <w:pPr>
              <w:ind w:firstLine="426"/>
              <w:jc w:val="right"/>
              <w:rPr>
                <w:rFonts w:eastAsia="Times New Roman"/>
                <w:color w:val="000000"/>
                <w:sz w:val="22"/>
                <w:lang w:eastAsia="cs-CZ"/>
              </w:rPr>
            </w:pPr>
            <w:r w:rsidRPr="007457B7">
              <w:rPr>
                <w:rFonts w:eastAsia="Times New Roman"/>
                <w:color w:val="000000"/>
                <w:sz w:val="22"/>
                <w:lang w:eastAsia="cs-CZ"/>
              </w:rPr>
              <w:t>722</w:t>
            </w:r>
          </w:p>
        </w:tc>
        <w:tc>
          <w:tcPr>
            <w:tcW w:w="2126" w:type="dxa"/>
            <w:shd w:val="clear" w:color="auto" w:fill="auto"/>
            <w:noWrap/>
            <w:vAlign w:val="bottom"/>
            <w:hideMark/>
          </w:tcPr>
          <w:p w14:paraId="4BEDB830" w14:textId="77777777" w:rsidR="00215161" w:rsidRPr="007457B7" w:rsidRDefault="00215161" w:rsidP="00E70FEE">
            <w:pPr>
              <w:ind w:firstLine="426"/>
              <w:jc w:val="right"/>
              <w:rPr>
                <w:rFonts w:eastAsia="Times New Roman"/>
                <w:color w:val="000000"/>
                <w:sz w:val="22"/>
                <w:lang w:eastAsia="cs-CZ"/>
              </w:rPr>
            </w:pPr>
            <w:r w:rsidRPr="007457B7">
              <w:rPr>
                <w:rFonts w:eastAsia="Times New Roman"/>
                <w:color w:val="000000"/>
                <w:sz w:val="22"/>
                <w:lang w:eastAsia="cs-CZ"/>
              </w:rPr>
              <w:t>1287</w:t>
            </w:r>
          </w:p>
        </w:tc>
      </w:tr>
      <w:tr w:rsidR="00215161" w:rsidRPr="00215161" w14:paraId="2108AAC7" w14:textId="77777777" w:rsidTr="00BA5111">
        <w:tc>
          <w:tcPr>
            <w:tcW w:w="1413" w:type="dxa"/>
            <w:shd w:val="clear" w:color="auto" w:fill="auto"/>
            <w:noWrap/>
            <w:vAlign w:val="bottom"/>
            <w:hideMark/>
          </w:tcPr>
          <w:p w14:paraId="502BBBB9" w14:textId="77777777" w:rsidR="00215161" w:rsidRPr="007457B7" w:rsidRDefault="00215161" w:rsidP="00E70FEE">
            <w:pPr>
              <w:ind w:firstLine="426"/>
              <w:jc w:val="right"/>
              <w:rPr>
                <w:rFonts w:eastAsia="Times New Roman"/>
                <w:color w:val="000000"/>
                <w:sz w:val="22"/>
                <w:lang w:eastAsia="cs-CZ"/>
              </w:rPr>
            </w:pPr>
            <w:r w:rsidRPr="007457B7">
              <w:rPr>
                <w:rFonts w:eastAsia="Times New Roman"/>
                <w:color w:val="000000"/>
                <w:sz w:val="22"/>
                <w:lang w:eastAsia="cs-CZ"/>
              </w:rPr>
              <w:t>20000</w:t>
            </w:r>
          </w:p>
        </w:tc>
        <w:tc>
          <w:tcPr>
            <w:tcW w:w="2126" w:type="dxa"/>
            <w:shd w:val="clear" w:color="auto" w:fill="auto"/>
            <w:noWrap/>
            <w:vAlign w:val="bottom"/>
            <w:hideMark/>
          </w:tcPr>
          <w:p w14:paraId="38CD9B86" w14:textId="77777777" w:rsidR="00215161" w:rsidRPr="007457B7" w:rsidRDefault="00215161" w:rsidP="00E70FEE">
            <w:pPr>
              <w:ind w:firstLine="426"/>
              <w:jc w:val="right"/>
              <w:rPr>
                <w:rFonts w:eastAsia="Times New Roman"/>
                <w:color w:val="000000"/>
                <w:sz w:val="22"/>
                <w:lang w:eastAsia="cs-CZ"/>
              </w:rPr>
            </w:pPr>
            <w:r w:rsidRPr="007457B7">
              <w:rPr>
                <w:rFonts w:eastAsia="Times New Roman"/>
                <w:color w:val="000000"/>
                <w:sz w:val="22"/>
                <w:lang w:eastAsia="cs-CZ"/>
              </w:rPr>
              <w:t>1836</w:t>
            </w:r>
          </w:p>
        </w:tc>
        <w:tc>
          <w:tcPr>
            <w:tcW w:w="2268" w:type="dxa"/>
            <w:shd w:val="clear" w:color="auto" w:fill="auto"/>
            <w:noWrap/>
            <w:vAlign w:val="bottom"/>
            <w:hideMark/>
          </w:tcPr>
          <w:p w14:paraId="42D42C10" w14:textId="77777777" w:rsidR="00215161" w:rsidRPr="007457B7" w:rsidRDefault="00215161" w:rsidP="00E70FEE">
            <w:pPr>
              <w:ind w:firstLine="426"/>
              <w:jc w:val="right"/>
              <w:rPr>
                <w:rFonts w:eastAsia="Times New Roman"/>
                <w:color w:val="000000"/>
                <w:sz w:val="22"/>
                <w:lang w:eastAsia="cs-CZ"/>
              </w:rPr>
            </w:pPr>
            <w:r w:rsidRPr="007457B7">
              <w:rPr>
                <w:rFonts w:eastAsia="Times New Roman"/>
                <w:color w:val="000000"/>
                <w:sz w:val="22"/>
                <w:lang w:eastAsia="cs-CZ"/>
              </w:rPr>
              <w:t>768</w:t>
            </w:r>
          </w:p>
        </w:tc>
        <w:tc>
          <w:tcPr>
            <w:tcW w:w="2126" w:type="dxa"/>
            <w:shd w:val="clear" w:color="auto" w:fill="auto"/>
            <w:noWrap/>
            <w:vAlign w:val="bottom"/>
            <w:hideMark/>
          </w:tcPr>
          <w:p w14:paraId="60AB271F" w14:textId="77777777" w:rsidR="00215161" w:rsidRPr="007457B7" w:rsidRDefault="00215161" w:rsidP="00E70FEE">
            <w:pPr>
              <w:ind w:firstLine="426"/>
              <w:jc w:val="right"/>
              <w:rPr>
                <w:rFonts w:eastAsia="Times New Roman"/>
                <w:color w:val="000000"/>
                <w:sz w:val="22"/>
                <w:lang w:eastAsia="cs-CZ"/>
              </w:rPr>
            </w:pPr>
            <w:r w:rsidRPr="007457B7">
              <w:rPr>
                <w:rFonts w:eastAsia="Times New Roman"/>
                <w:color w:val="000000"/>
                <w:sz w:val="22"/>
                <w:lang w:eastAsia="cs-CZ"/>
              </w:rPr>
              <w:t>1375</w:t>
            </w:r>
          </w:p>
        </w:tc>
      </w:tr>
      <w:tr w:rsidR="00215161" w:rsidRPr="00215161" w14:paraId="1293C11B" w14:textId="77777777" w:rsidTr="00BA5111">
        <w:tc>
          <w:tcPr>
            <w:tcW w:w="1413" w:type="dxa"/>
            <w:shd w:val="clear" w:color="auto" w:fill="auto"/>
            <w:noWrap/>
            <w:vAlign w:val="bottom"/>
            <w:hideMark/>
          </w:tcPr>
          <w:p w14:paraId="648C57F4" w14:textId="77777777" w:rsidR="00215161" w:rsidRPr="007457B7" w:rsidRDefault="00215161" w:rsidP="00E70FEE">
            <w:pPr>
              <w:ind w:firstLine="426"/>
              <w:jc w:val="right"/>
              <w:rPr>
                <w:rFonts w:eastAsia="Times New Roman"/>
                <w:color w:val="000000"/>
                <w:sz w:val="22"/>
                <w:lang w:eastAsia="cs-CZ"/>
              </w:rPr>
            </w:pPr>
            <w:r w:rsidRPr="007457B7">
              <w:rPr>
                <w:rFonts w:eastAsia="Times New Roman"/>
                <w:color w:val="000000"/>
                <w:sz w:val="22"/>
                <w:lang w:eastAsia="cs-CZ"/>
              </w:rPr>
              <w:t>22000</w:t>
            </w:r>
          </w:p>
        </w:tc>
        <w:tc>
          <w:tcPr>
            <w:tcW w:w="2126" w:type="dxa"/>
            <w:shd w:val="clear" w:color="auto" w:fill="auto"/>
            <w:noWrap/>
            <w:vAlign w:val="bottom"/>
            <w:hideMark/>
          </w:tcPr>
          <w:p w14:paraId="7717064D" w14:textId="77777777" w:rsidR="00215161" w:rsidRPr="007457B7" w:rsidRDefault="00215161" w:rsidP="00E70FEE">
            <w:pPr>
              <w:ind w:firstLine="426"/>
              <w:jc w:val="right"/>
              <w:rPr>
                <w:rFonts w:eastAsia="Times New Roman"/>
                <w:color w:val="000000"/>
                <w:sz w:val="22"/>
                <w:lang w:eastAsia="cs-CZ"/>
              </w:rPr>
            </w:pPr>
            <w:r w:rsidRPr="007457B7">
              <w:rPr>
                <w:rFonts w:eastAsia="Times New Roman"/>
                <w:color w:val="000000"/>
                <w:sz w:val="22"/>
                <w:lang w:eastAsia="cs-CZ"/>
              </w:rPr>
              <w:t>2066</w:t>
            </w:r>
          </w:p>
        </w:tc>
        <w:tc>
          <w:tcPr>
            <w:tcW w:w="2268" w:type="dxa"/>
            <w:shd w:val="clear" w:color="auto" w:fill="auto"/>
            <w:noWrap/>
            <w:vAlign w:val="bottom"/>
            <w:hideMark/>
          </w:tcPr>
          <w:p w14:paraId="4959AFEF" w14:textId="77777777" w:rsidR="00215161" w:rsidRPr="007457B7" w:rsidRDefault="00215161" w:rsidP="00E70FEE">
            <w:pPr>
              <w:ind w:firstLine="426"/>
              <w:jc w:val="right"/>
              <w:rPr>
                <w:rFonts w:eastAsia="Times New Roman"/>
                <w:color w:val="000000"/>
                <w:sz w:val="22"/>
                <w:lang w:eastAsia="cs-CZ"/>
              </w:rPr>
            </w:pPr>
            <w:r w:rsidRPr="007457B7">
              <w:rPr>
                <w:rFonts w:eastAsia="Times New Roman"/>
                <w:color w:val="000000"/>
                <w:sz w:val="22"/>
                <w:lang w:eastAsia="cs-CZ"/>
              </w:rPr>
              <w:t>814</w:t>
            </w:r>
          </w:p>
        </w:tc>
        <w:tc>
          <w:tcPr>
            <w:tcW w:w="2126" w:type="dxa"/>
            <w:shd w:val="clear" w:color="auto" w:fill="auto"/>
            <w:noWrap/>
            <w:vAlign w:val="bottom"/>
            <w:hideMark/>
          </w:tcPr>
          <w:p w14:paraId="10BF3653" w14:textId="77777777" w:rsidR="00215161" w:rsidRPr="007457B7" w:rsidRDefault="00215161" w:rsidP="00E70FEE">
            <w:pPr>
              <w:ind w:firstLine="426"/>
              <w:jc w:val="right"/>
              <w:rPr>
                <w:rFonts w:eastAsia="Times New Roman"/>
                <w:color w:val="000000"/>
                <w:sz w:val="22"/>
                <w:lang w:eastAsia="cs-CZ"/>
              </w:rPr>
            </w:pPr>
            <w:r w:rsidRPr="007457B7">
              <w:rPr>
                <w:rFonts w:eastAsia="Times New Roman"/>
                <w:color w:val="000000"/>
                <w:sz w:val="22"/>
                <w:lang w:eastAsia="cs-CZ"/>
              </w:rPr>
              <w:t>1463</w:t>
            </w:r>
          </w:p>
        </w:tc>
      </w:tr>
      <w:tr w:rsidR="00215161" w:rsidRPr="00215161" w14:paraId="13FA9EB7" w14:textId="77777777" w:rsidTr="00BA5111">
        <w:tc>
          <w:tcPr>
            <w:tcW w:w="1413" w:type="dxa"/>
            <w:shd w:val="clear" w:color="auto" w:fill="auto"/>
            <w:noWrap/>
            <w:vAlign w:val="bottom"/>
            <w:hideMark/>
          </w:tcPr>
          <w:p w14:paraId="4963F011" w14:textId="77777777" w:rsidR="00215161" w:rsidRPr="007457B7" w:rsidRDefault="00215161" w:rsidP="00E70FEE">
            <w:pPr>
              <w:ind w:firstLine="426"/>
              <w:jc w:val="right"/>
              <w:rPr>
                <w:rFonts w:eastAsia="Times New Roman"/>
                <w:color w:val="000000"/>
                <w:sz w:val="22"/>
                <w:lang w:eastAsia="cs-CZ"/>
              </w:rPr>
            </w:pPr>
            <w:r w:rsidRPr="007457B7">
              <w:rPr>
                <w:rFonts w:eastAsia="Times New Roman"/>
                <w:color w:val="000000"/>
                <w:sz w:val="22"/>
                <w:lang w:eastAsia="cs-CZ"/>
              </w:rPr>
              <w:t>24000</w:t>
            </w:r>
          </w:p>
        </w:tc>
        <w:tc>
          <w:tcPr>
            <w:tcW w:w="2126" w:type="dxa"/>
            <w:shd w:val="clear" w:color="auto" w:fill="auto"/>
            <w:noWrap/>
            <w:vAlign w:val="bottom"/>
            <w:hideMark/>
          </w:tcPr>
          <w:p w14:paraId="19FD8C0D" w14:textId="77777777" w:rsidR="00215161" w:rsidRPr="007457B7" w:rsidRDefault="00215161" w:rsidP="00E70FEE">
            <w:pPr>
              <w:ind w:firstLine="426"/>
              <w:jc w:val="right"/>
              <w:rPr>
                <w:rFonts w:eastAsia="Times New Roman"/>
                <w:color w:val="000000"/>
                <w:sz w:val="22"/>
                <w:lang w:eastAsia="cs-CZ"/>
              </w:rPr>
            </w:pPr>
            <w:r w:rsidRPr="007457B7">
              <w:rPr>
                <w:rFonts w:eastAsia="Times New Roman"/>
                <w:color w:val="000000"/>
                <w:sz w:val="22"/>
                <w:lang w:eastAsia="cs-CZ"/>
              </w:rPr>
              <w:t>2296</w:t>
            </w:r>
          </w:p>
        </w:tc>
        <w:tc>
          <w:tcPr>
            <w:tcW w:w="2268" w:type="dxa"/>
            <w:shd w:val="clear" w:color="auto" w:fill="auto"/>
            <w:noWrap/>
            <w:vAlign w:val="bottom"/>
            <w:hideMark/>
          </w:tcPr>
          <w:p w14:paraId="2EF29A54" w14:textId="77777777" w:rsidR="00215161" w:rsidRPr="007457B7" w:rsidRDefault="00215161" w:rsidP="00E70FEE">
            <w:pPr>
              <w:ind w:firstLine="426"/>
              <w:jc w:val="right"/>
              <w:rPr>
                <w:rFonts w:eastAsia="Times New Roman"/>
                <w:color w:val="000000"/>
                <w:sz w:val="22"/>
                <w:lang w:eastAsia="cs-CZ"/>
              </w:rPr>
            </w:pPr>
            <w:r w:rsidRPr="007457B7">
              <w:rPr>
                <w:rFonts w:eastAsia="Times New Roman"/>
                <w:color w:val="000000"/>
                <w:sz w:val="22"/>
                <w:lang w:eastAsia="cs-CZ"/>
              </w:rPr>
              <w:t>860</w:t>
            </w:r>
          </w:p>
        </w:tc>
        <w:tc>
          <w:tcPr>
            <w:tcW w:w="2126" w:type="dxa"/>
            <w:shd w:val="clear" w:color="auto" w:fill="auto"/>
            <w:noWrap/>
            <w:vAlign w:val="bottom"/>
            <w:hideMark/>
          </w:tcPr>
          <w:p w14:paraId="2C17468F" w14:textId="77777777" w:rsidR="00215161" w:rsidRPr="007457B7" w:rsidRDefault="00215161" w:rsidP="00E70FEE">
            <w:pPr>
              <w:ind w:firstLine="426"/>
              <w:jc w:val="right"/>
              <w:rPr>
                <w:rFonts w:eastAsia="Times New Roman"/>
                <w:color w:val="000000"/>
                <w:sz w:val="22"/>
                <w:lang w:eastAsia="cs-CZ"/>
              </w:rPr>
            </w:pPr>
            <w:r w:rsidRPr="007457B7">
              <w:rPr>
                <w:rFonts w:eastAsia="Times New Roman"/>
                <w:color w:val="000000"/>
                <w:sz w:val="22"/>
                <w:lang w:eastAsia="cs-CZ"/>
              </w:rPr>
              <w:t>1551</w:t>
            </w:r>
          </w:p>
        </w:tc>
      </w:tr>
      <w:tr w:rsidR="00215161" w:rsidRPr="00215161" w14:paraId="383A19E8" w14:textId="77777777" w:rsidTr="00BA5111">
        <w:tc>
          <w:tcPr>
            <w:tcW w:w="1413" w:type="dxa"/>
            <w:shd w:val="clear" w:color="auto" w:fill="auto"/>
            <w:noWrap/>
            <w:vAlign w:val="bottom"/>
            <w:hideMark/>
          </w:tcPr>
          <w:p w14:paraId="10A77FE4" w14:textId="77777777" w:rsidR="00215161" w:rsidRPr="007457B7" w:rsidRDefault="00215161" w:rsidP="00E70FEE">
            <w:pPr>
              <w:ind w:firstLine="426"/>
              <w:jc w:val="right"/>
              <w:rPr>
                <w:rFonts w:eastAsia="Times New Roman"/>
                <w:color w:val="000000"/>
                <w:sz w:val="22"/>
                <w:lang w:eastAsia="cs-CZ"/>
              </w:rPr>
            </w:pPr>
            <w:r w:rsidRPr="007457B7">
              <w:rPr>
                <w:rFonts w:eastAsia="Times New Roman"/>
                <w:color w:val="000000"/>
                <w:sz w:val="22"/>
                <w:lang w:eastAsia="cs-CZ"/>
              </w:rPr>
              <w:lastRenderedPageBreak/>
              <w:t>26000</w:t>
            </w:r>
          </w:p>
        </w:tc>
        <w:tc>
          <w:tcPr>
            <w:tcW w:w="2126" w:type="dxa"/>
            <w:shd w:val="clear" w:color="auto" w:fill="auto"/>
            <w:noWrap/>
            <w:vAlign w:val="bottom"/>
            <w:hideMark/>
          </w:tcPr>
          <w:p w14:paraId="04E20428" w14:textId="77777777" w:rsidR="00215161" w:rsidRPr="007457B7" w:rsidRDefault="00215161" w:rsidP="00E70FEE">
            <w:pPr>
              <w:ind w:firstLine="426"/>
              <w:jc w:val="right"/>
              <w:rPr>
                <w:rFonts w:eastAsia="Times New Roman"/>
                <w:color w:val="000000"/>
                <w:sz w:val="22"/>
                <w:lang w:eastAsia="cs-CZ"/>
              </w:rPr>
            </w:pPr>
            <w:r w:rsidRPr="007457B7">
              <w:rPr>
                <w:rFonts w:eastAsia="Times New Roman"/>
                <w:color w:val="000000"/>
                <w:sz w:val="22"/>
                <w:lang w:eastAsia="cs-CZ"/>
              </w:rPr>
              <w:t>2526</w:t>
            </w:r>
          </w:p>
        </w:tc>
        <w:tc>
          <w:tcPr>
            <w:tcW w:w="2268" w:type="dxa"/>
            <w:shd w:val="clear" w:color="auto" w:fill="auto"/>
            <w:noWrap/>
            <w:vAlign w:val="bottom"/>
            <w:hideMark/>
          </w:tcPr>
          <w:p w14:paraId="6DC61A17" w14:textId="77777777" w:rsidR="00215161" w:rsidRPr="007457B7" w:rsidRDefault="00215161" w:rsidP="00E70FEE">
            <w:pPr>
              <w:ind w:firstLine="426"/>
              <w:jc w:val="right"/>
              <w:rPr>
                <w:rFonts w:eastAsia="Times New Roman"/>
                <w:color w:val="000000"/>
                <w:sz w:val="22"/>
                <w:lang w:eastAsia="cs-CZ"/>
              </w:rPr>
            </w:pPr>
            <w:r w:rsidRPr="007457B7">
              <w:rPr>
                <w:rFonts w:eastAsia="Times New Roman"/>
                <w:color w:val="000000"/>
                <w:sz w:val="22"/>
                <w:lang w:eastAsia="cs-CZ"/>
              </w:rPr>
              <w:t>906</w:t>
            </w:r>
          </w:p>
        </w:tc>
        <w:tc>
          <w:tcPr>
            <w:tcW w:w="2126" w:type="dxa"/>
            <w:shd w:val="clear" w:color="auto" w:fill="auto"/>
            <w:noWrap/>
            <w:vAlign w:val="bottom"/>
            <w:hideMark/>
          </w:tcPr>
          <w:p w14:paraId="63E3E0F6" w14:textId="77777777" w:rsidR="00215161" w:rsidRPr="007457B7" w:rsidRDefault="00215161" w:rsidP="00E70FEE">
            <w:pPr>
              <w:ind w:firstLine="426"/>
              <w:jc w:val="right"/>
              <w:rPr>
                <w:rFonts w:eastAsia="Times New Roman"/>
                <w:color w:val="000000"/>
                <w:sz w:val="22"/>
                <w:lang w:eastAsia="cs-CZ"/>
              </w:rPr>
            </w:pPr>
            <w:r w:rsidRPr="007457B7">
              <w:rPr>
                <w:rFonts w:eastAsia="Times New Roman"/>
                <w:color w:val="000000"/>
                <w:sz w:val="22"/>
                <w:lang w:eastAsia="cs-CZ"/>
              </w:rPr>
              <w:t>1639</w:t>
            </w:r>
          </w:p>
        </w:tc>
      </w:tr>
      <w:tr w:rsidR="00215161" w:rsidRPr="00215161" w14:paraId="7D95C5B3" w14:textId="77777777" w:rsidTr="00BA5111">
        <w:tc>
          <w:tcPr>
            <w:tcW w:w="1413" w:type="dxa"/>
            <w:shd w:val="clear" w:color="auto" w:fill="auto"/>
            <w:noWrap/>
            <w:vAlign w:val="bottom"/>
            <w:hideMark/>
          </w:tcPr>
          <w:p w14:paraId="28009946" w14:textId="77777777" w:rsidR="00215161" w:rsidRPr="007457B7" w:rsidRDefault="00215161" w:rsidP="00E70FEE">
            <w:pPr>
              <w:ind w:firstLine="426"/>
              <w:jc w:val="right"/>
              <w:rPr>
                <w:rFonts w:eastAsia="Times New Roman"/>
                <w:color w:val="000000"/>
                <w:sz w:val="22"/>
                <w:lang w:eastAsia="cs-CZ"/>
              </w:rPr>
            </w:pPr>
            <w:r w:rsidRPr="007457B7">
              <w:rPr>
                <w:rFonts w:eastAsia="Times New Roman"/>
                <w:color w:val="000000"/>
                <w:sz w:val="22"/>
                <w:lang w:eastAsia="cs-CZ"/>
              </w:rPr>
              <w:t>28000</w:t>
            </w:r>
          </w:p>
        </w:tc>
        <w:tc>
          <w:tcPr>
            <w:tcW w:w="2126" w:type="dxa"/>
            <w:shd w:val="clear" w:color="auto" w:fill="auto"/>
            <w:noWrap/>
            <w:vAlign w:val="bottom"/>
            <w:hideMark/>
          </w:tcPr>
          <w:p w14:paraId="3A04CA8D" w14:textId="77777777" w:rsidR="00215161" w:rsidRPr="007457B7" w:rsidRDefault="00215161" w:rsidP="00E70FEE">
            <w:pPr>
              <w:ind w:firstLine="426"/>
              <w:jc w:val="right"/>
              <w:rPr>
                <w:rFonts w:eastAsia="Times New Roman"/>
                <w:color w:val="000000"/>
                <w:sz w:val="22"/>
                <w:lang w:eastAsia="cs-CZ"/>
              </w:rPr>
            </w:pPr>
            <w:r w:rsidRPr="007457B7">
              <w:rPr>
                <w:rFonts w:eastAsia="Times New Roman"/>
                <w:color w:val="000000"/>
                <w:sz w:val="22"/>
                <w:lang w:eastAsia="cs-CZ"/>
              </w:rPr>
              <w:t>2756</w:t>
            </w:r>
          </w:p>
        </w:tc>
        <w:tc>
          <w:tcPr>
            <w:tcW w:w="2268" w:type="dxa"/>
            <w:shd w:val="clear" w:color="auto" w:fill="auto"/>
            <w:noWrap/>
            <w:vAlign w:val="bottom"/>
            <w:hideMark/>
          </w:tcPr>
          <w:p w14:paraId="64DB5EEF" w14:textId="77777777" w:rsidR="00215161" w:rsidRPr="007457B7" w:rsidRDefault="00215161" w:rsidP="00E70FEE">
            <w:pPr>
              <w:ind w:firstLine="426"/>
              <w:jc w:val="right"/>
              <w:rPr>
                <w:rFonts w:eastAsia="Times New Roman"/>
                <w:color w:val="000000"/>
                <w:sz w:val="22"/>
                <w:lang w:eastAsia="cs-CZ"/>
              </w:rPr>
            </w:pPr>
            <w:r w:rsidRPr="007457B7">
              <w:rPr>
                <w:rFonts w:eastAsia="Times New Roman"/>
                <w:color w:val="000000"/>
                <w:sz w:val="22"/>
                <w:lang w:eastAsia="cs-CZ"/>
              </w:rPr>
              <w:t>952</w:t>
            </w:r>
          </w:p>
        </w:tc>
        <w:tc>
          <w:tcPr>
            <w:tcW w:w="2126" w:type="dxa"/>
            <w:shd w:val="clear" w:color="auto" w:fill="auto"/>
            <w:noWrap/>
            <w:vAlign w:val="bottom"/>
            <w:hideMark/>
          </w:tcPr>
          <w:p w14:paraId="4ED5DD40" w14:textId="77777777" w:rsidR="00215161" w:rsidRPr="007457B7" w:rsidRDefault="00215161" w:rsidP="00E70FEE">
            <w:pPr>
              <w:ind w:firstLine="426"/>
              <w:jc w:val="right"/>
              <w:rPr>
                <w:rFonts w:eastAsia="Times New Roman"/>
                <w:color w:val="000000"/>
                <w:sz w:val="22"/>
                <w:lang w:eastAsia="cs-CZ"/>
              </w:rPr>
            </w:pPr>
            <w:r w:rsidRPr="007457B7">
              <w:rPr>
                <w:rFonts w:eastAsia="Times New Roman"/>
                <w:color w:val="000000"/>
                <w:sz w:val="22"/>
                <w:lang w:eastAsia="cs-CZ"/>
              </w:rPr>
              <w:t>1727</w:t>
            </w:r>
          </w:p>
        </w:tc>
      </w:tr>
      <w:tr w:rsidR="00215161" w:rsidRPr="00215161" w14:paraId="2FC15CE4" w14:textId="77777777" w:rsidTr="00BA5111">
        <w:tc>
          <w:tcPr>
            <w:tcW w:w="1413" w:type="dxa"/>
            <w:shd w:val="clear" w:color="auto" w:fill="auto"/>
            <w:noWrap/>
            <w:vAlign w:val="bottom"/>
            <w:hideMark/>
          </w:tcPr>
          <w:p w14:paraId="75CE61FB" w14:textId="77777777" w:rsidR="00215161" w:rsidRPr="007457B7" w:rsidRDefault="00215161" w:rsidP="00E70FEE">
            <w:pPr>
              <w:ind w:firstLine="426"/>
              <w:jc w:val="right"/>
              <w:rPr>
                <w:rFonts w:eastAsia="Times New Roman"/>
                <w:color w:val="000000"/>
                <w:sz w:val="22"/>
                <w:lang w:eastAsia="cs-CZ"/>
              </w:rPr>
            </w:pPr>
            <w:r w:rsidRPr="007457B7">
              <w:rPr>
                <w:rFonts w:eastAsia="Times New Roman"/>
                <w:color w:val="000000"/>
                <w:sz w:val="22"/>
                <w:lang w:eastAsia="cs-CZ"/>
              </w:rPr>
              <w:t>30000</w:t>
            </w:r>
          </w:p>
        </w:tc>
        <w:tc>
          <w:tcPr>
            <w:tcW w:w="2126" w:type="dxa"/>
            <w:shd w:val="clear" w:color="auto" w:fill="auto"/>
            <w:noWrap/>
            <w:vAlign w:val="bottom"/>
            <w:hideMark/>
          </w:tcPr>
          <w:p w14:paraId="0991C110" w14:textId="77777777" w:rsidR="00215161" w:rsidRPr="007457B7" w:rsidRDefault="00215161" w:rsidP="00E70FEE">
            <w:pPr>
              <w:ind w:firstLine="426"/>
              <w:jc w:val="right"/>
              <w:rPr>
                <w:rFonts w:eastAsia="Times New Roman"/>
                <w:color w:val="000000"/>
                <w:sz w:val="22"/>
                <w:lang w:eastAsia="cs-CZ"/>
              </w:rPr>
            </w:pPr>
            <w:r w:rsidRPr="007457B7">
              <w:rPr>
                <w:rFonts w:eastAsia="Times New Roman"/>
                <w:color w:val="000000"/>
                <w:sz w:val="22"/>
                <w:lang w:eastAsia="cs-CZ"/>
              </w:rPr>
              <w:t>2986</w:t>
            </w:r>
          </w:p>
        </w:tc>
        <w:tc>
          <w:tcPr>
            <w:tcW w:w="2268" w:type="dxa"/>
            <w:shd w:val="clear" w:color="auto" w:fill="auto"/>
            <w:noWrap/>
            <w:vAlign w:val="bottom"/>
            <w:hideMark/>
          </w:tcPr>
          <w:p w14:paraId="37A8456D" w14:textId="77777777" w:rsidR="00215161" w:rsidRPr="007457B7" w:rsidRDefault="00215161" w:rsidP="00E70FEE">
            <w:pPr>
              <w:ind w:firstLine="426"/>
              <w:jc w:val="right"/>
              <w:rPr>
                <w:rFonts w:eastAsia="Times New Roman"/>
                <w:color w:val="000000"/>
                <w:sz w:val="22"/>
                <w:lang w:eastAsia="cs-CZ"/>
              </w:rPr>
            </w:pPr>
            <w:r w:rsidRPr="007457B7">
              <w:rPr>
                <w:rFonts w:eastAsia="Times New Roman"/>
                <w:color w:val="000000"/>
                <w:sz w:val="22"/>
                <w:lang w:eastAsia="cs-CZ"/>
              </w:rPr>
              <w:t>998</w:t>
            </w:r>
          </w:p>
        </w:tc>
        <w:tc>
          <w:tcPr>
            <w:tcW w:w="2126" w:type="dxa"/>
            <w:shd w:val="clear" w:color="auto" w:fill="auto"/>
            <w:noWrap/>
            <w:vAlign w:val="bottom"/>
            <w:hideMark/>
          </w:tcPr>
          <w:p w14:paraId="4D7C2C6E" w14:textId="77777777" w:rsidR="00215161" w:rsidRPr="007457B7" w:rsidRDefault="00215161" w:rsidP="00E70FEE">
            <w:pPr>
              <w:ind w:firstLine="426"/>
              <w:jc w:val="right"/>
              <w:rPr>
                <w:rFonts w:eastAsia="Times New Roman"/>
                <w:color w:val="000000"/>
                <w:sz w:val="22"/>
                <w:lang w:eastAsia="cs-CZ"/>
              </w:rPr>
            </w:pPr>
            <w:r w:rsidRPr="007457B7">
              <w:rPr>
                <w:rFonts w:eastAsia="Times New Roman"/>
                <w:color w:val="000000"/>
                <w:sz w:val="22"/>
                <w:lang w:eastAsia="cs-CZ"/>
              </w:rPr>
              <w:t>1815</w:t>
            </w:r>
          </w:p>
        </w:tc>
      </w:tr>
    </w:tbl>
    <w:p w14:paraId="28156402" w14:textId="77777777" w:rsidR="00F5445A" w:rsidRDefault="00F5445A" w:rsidP="00E70FEE">
      <w:pPr>
        <w:spacing w:before="160"/>
        <w:ind w:firstLine="426"/>
        <w:rPr>
          <w:szCs w:val="24"/>
        </w:rPr>
      </w:pPr>
    </w:p>
    <w:p w14:paraId="57AA57A6" w14:textId="77777777" w:rsidR="00215161" w:rsidRDefault="00215161" w:rsidP="00E70FEE">
      <w:pPr>
        <w:spacing w:before="160"/>
        <w:ind w:firstLine="426"/>
        <w:rPr>
          <w:szCs w:val="24"/>
        </w:rPr>
      </w:pPr>
      <w:r w:rsidRPr="00215161">
        <w:rPr>
          <w:szCs w:val="24"/>
        </w:rPr>
        <w:t>Navrhovaná podoba dočasného plnění je oproti podobě zvýšení důchodů v mimořádném termínu méně diferencovaná, a to zejména s ohledem na skutečnost, že významná část by byla vyplácena všem důchodcům v jednotné částce. Zároveň je toto plnění nižší s ohledem na</w:t>
      </w:r>
      <w:r w:rsidR="00C25EB4">
        <w:rPr>
          <w:szCs w:val="24"/>
        </w:rPr>
        <w:t> </w:t>
      </w:r>
      <w:r w:rsidRPr="00215161">
        <w:rPr>
          <w:szCs w:val="24"/>
        </w:rPr>
        <w:t>zohlednění pouze 60 % cenového růstu.</w:t>
      </w:r>
    </w:p>
    <w:p w14:paraId="3CF15A9D" w14:textId="77777777" w:rsidR="00F5445A" w:rsidRPr="00215161" w:rsidRDefault="00F5445A" w:rsidP="00E70FEE">
      <w:pPr>
        <w:spacing w:before="160"/>
        <w:ind w:firstLine="426"/>
        <w:rPr>
          <w:szCs w:val="24"/>
        </w:rPr>
      </w:pPr>
    </w:p>
    <w:p w14:paraId="122E14AD" w14:textId="77777777" w:rsidR="00215161" w:rsidRPr="00215161" w:rsidRDefault="00215161" w:rsidP="00E70FEE">
      <w:pPr>
        <w:pStyle w:val="Titulek"/>
        <w:keepNext/>
        <w:ind w:firstLine="426"/>
        <w:rPr>
          <w:rFonts w:ascii="Times New Roman" w:hAnsi="Times New Roman"/>
          <w:sz w:val="24"/>
          <w:szCs w:val="24"/>
        </w:rPr>
      </w:pPr>
      <w:r w:rsidRPr="00215161">
        <w:rPr>
          <w:rFonts w:ascii="Times New Roman" w:hAnsi="Times New Roman"/>
          <w:sz w:val="24"/>
          <w:szCs w:val="24"/>
        </w:rPr>
        <w:t xml:space="preserve">Tabulka </w:t>
      </w:r>
      <w:r w:rsidRPr="00215161">
        <w:rPr>
          <w:rFonts w:ascii="Times New Roman" w:hAnsi="Times New Roman"/>
          <w:sz w:val="24"/>
          <w:szCs w:val="24"/>
        </w:rPr>
        <w:fldChar w:fldCharType="begin"/>
      </w:r>
      <w:r w:rsidRPr="00215161">
        <w:rPr>
          <w:rFonts w:ascii="Times New Roman" w:hAnsi="Times New Roman"/>
          <w:sz w:val="24"/>
          <w:szCs w:val="24"/>
        </w:rPr>
        <w:instrText xml:space="preserve"> SEQ Tabulka \* ARABIC </w:instrText>
      </w:r>
      <w:r w:rsidRPr="00215161">
        <w:rPr>
          <w:rFonts w:ascii="Times New Roman" w:hAnsi="Times New Roman"/>
          <w:sz w:val="24"/>
          <w:szCs w:val="24"/>
        </w:rPr>
        <w:fldChar w:fldCharType="separate"/>
      </w:r>
      <w:r w:rsidR="00880F0E">
        <w:rPr>
          <w:rFonts w:ascii="Times New Roman" w:hAnsi="Times New Roman"/>
          <w:noProof/>
          <w:sz w:val="24"/>
          <w:szCs w:val="24"/>
        </w:rPr>
        <w:t>5</w:t>
      </w:r>
      <w:r w:rsidRPr="00215161">
        <w:rPr>
          <w:rFonts w:ascii="Times New Roman" w:hAnsi="Times New Roman"/>
          <w:noProof/>
          <w:sz w:val="24"/>
          <w:szCs w:val="24"/>
        </w:rPr>
        <w:fldChar w:fldCharType="end"/>
      </w:r>
      <w:r w:rsidRPr="00215161">
        <w:rPr>
          <w:rFonts w:ascii="Times New Roman" w:hAnsi="Times New Roman"/>
          <w:sz w:val="24"/>
          <w:szCs w:val="24"/>
        </w:rPr>
        <w:t xml:space="preserve"> – Výše důchodu v lednu 2024</w:t>
      </w:r>
      <w:r w:rsidRPr="00215161">
        <w:rPr>
          <w:rStyle w:val="Znakapoznpodarou"/>
          <w:rFonts w:ascii="Times New Roman" w:hAnsi="Times New Roman"/>
          <w:sz w:val="24"/>
          <w:szCs w:val="24"/>
        </w:rPr>
        <w:footnoteReference w:id="11"/>
      </w:r>
    </w:p>
    <w:tbl>
      <w:tblPr>
        <w:tblW w:w="7158" w:type="dxa"/>
        <w:tblCellMar>
          <w:left w:w="70" w:type="dxa"/>
          <w:right w:w="70" w:type="dxa"/>
        </w:tblCellMar>
        <w:tblLook w:val="04A0" w:firstRow="1" w:lastRow="0" w:firstColumn="1" w:lastColumn="0" w:noHBand="0" w:noVBand="1"/>
      </w:tblPr>
      <w:tblGrid>
        <w:gridCol w:w="1360"/>
        <w:gridCol w:w="1860"/>
        <w:gridCol w:w="1860"/>
        <w:gridCol w:w="2078"/>
      </w:tblGrid>
      <w:tr w:rsidR="00215161" w:rsidRPr="00A63964" w14:paraId="05B63423" w14:textId="77777777" w:rsidTr="00734732">
        <w:trPr>
          <w:trHeight w:val="30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DBE9F2" w14:textId="77777777" w:rsidR="00215161" w:rsidRPr="00A63964" w:rsidRDefault="00215161" w:rsidP="00494ABC">
            <w:pPr>
              <w:keepNext/>
              <w:rPr>
                <w:rFonts w:eastAsia="Times New Roman"/>
                <w:color w:val="000000"/>
                <w:sz w:val="22"/>
                <w:lang w:eastAsia="cs-CZ"/>
              </w:rPr>
            </w:pPr>
            <w:r w:rsidRPr="00A63964">
              <w:rPr>
                <w:rFonts w:eastAsia="Times New Roman"/>
                <w:color w:val="000000"/>
                <w:sz w:val="22"/>
                <w:lang w:eastAsia="cs-CZ"/>
              </w:rPr>
              <w:t>Výše důchodu</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14:paraId="6BAAAC1F" w14:textId="77777777" w:rsidR="00215161" w:rsidRPr="00A63964" w:rsidRDefault="005548A3" w:rsidP="00494ABC">
            <w:pPr>
              <w:keepNext/>
              <w:rPr>
                <w:rFonts w:eastAsia="Times New Roman"/>
                <w:color w:val="000000"/>
                <w:sz w:val="22"/>
                <w:lang w:eastAsia="cs-CZ"/>
              </w:rPr>
            </w:pPr>
            <w:r>
              <w:rPr>
                <w:rFonts w:eastAsia="Times New Roman"/>
                <w:color w:val="000000"/>
                <w:sz w:val="22"/>
                <w:lang w:eastAsia="cs-CZ"/>
              </w:rPr>
              <w:t>S</w:t>
            </w:r>
            <w:r w:rsidR="00215161" w:rsidRPr="00A63964">
              <w:rPr>
                <w:rFonts w:eastAsia="Times New Roman"/>
                <w:color w:val="000000"/>
                <w:sz w:val="22"/>
                <w:lang w:eastAsia="cs-CZ"/>
              </w:rPr>
              <w:t>tav</w:t>
            </w:r>
            <w:r>
              <w:rPr>
                <w:rFonts w:eastAsia="Times New Roman"/>
                <w:color w:val="000000"/>
                <w:sz w:val="22"/>
                <w:lang w:eastAsia="cs-CZ"/>
              </w:rPr>
              <w:t xml:space="preserve"> bez zákona 71/2023 Sb.</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14:paraId="0D9A1ED8" w14:textId="77777777" w:rsidR="00215161" w:rsidRPr="00A63964" w:rsidRDefault="005548A3" w:rsidP="00494ABC">
            <w:pPr>
              <w:keepNext/>
              <w:rPr>
                <w:rFonts w:eastAsia="Times New Roman"/>
                <w:color w:val="000000"/>
                <w:sz w:val="22"/>
                <w:lang w:eastAsia="cs-CZ"/>
              </w:rPr>
            </w:pPr>
            <w:r>
              <w:rPr>
                <w:rFonts w:eastAsia="Times New Roman"/>
                <w:color w:val="000000"/>
                <w:sz w:val="22"/>
                <w:lang w:eastAsia="cs-CZ"/>
              </w:rPr>
              <w:t xml:space="preserve">Po snížené </w:t>
            </w:r>
            <w:r w:rsidR="00215161" w:rsidRPr="00A63964">
              <w:rPr>
                <w:rFonts w:eastAsia="Times New Roman"/>
                <w:color w:val="000000"/>
                <w:sz w:val="22"/>
                <w:lang w:eastAsia="cs-CZ"/>
              </w:rPr>
              <w:t>valorizac</w:t>
            </w:r>
            <w:r>
              <w:rPr>
                <w:rFonts w:eastAsia="Times New Roman"/>
                <w:color w:val="000000"/>
                <w:sz w:val="22"/>
                <w:lang w:eastAsia="cs-CZ"/>
              </w:rPr>
              <w:t>i</w:t>
            </w:r>
          </w:p>
        </w:tc>
        <w:tc>
          <w:tcPr>
            <w:tcW w:w="2078" w:type="dxa"/>
            <w:tcBorders>
              <w:top w:val="single" w:sz="4" w:space="0" w:color="auto"/>
              <w:left w:val="nil"/>
              <w:bottom w:val="single" w:sz="4" w:space="0" w:color="auto"/>
              <w:right w:val="single" w:sz="4" w:space="0" w:color="auto"/>
            </w:tcBorders>
            <w:shd w:val="clear" w:color="auto" w:fill="auto"/>
            <w:noWrap/>
            <w:vAlign w:val="bottom"/>
            <w:hideMark/>
          </w:tcPr>
          <w:p w14:paraId="6C9E086D" w14:textId="77777777" w:rsidR="00215161" w:rsidRPr="00A63964" w:rsidRDefault="00215161" w:rsidP="00494ABC">
            <w:pPr>
              <w:keepNext/>
              <w:rPr>
                <w:rFonts w:eastAsia="Times New Roman"/>
                <w:color w:val="000000"/>
                <w:sz w:val="22"/>
                <w:lang w:eastAsia="cs-CZ"/>
              </w:rPr>
            </w:pPr>
            <w:r w:rsidRPr="00A63964">
              <w:rPr>
                <w:rFonts w:eastAsia="Times New Roman"/>
                <w:color w:val="000000"/>
                <w:sz w:val="22"/>
                <w:lang w:eastAsia="cs-CZ"/>
              </w:rPr>
              <w:t>Návrh</w:t>
            </w:r>
            <w:r w:rsidR="005548A3">
              <w:rPr>
                <w:rFonts w:eastAsia="Times New Roman"/>
                <w:color w:val="000000"/>
                <w:sz w:val="22"/>
                <w:lang w:eastAsia="cs-CZ"/>
              </w:rPr>
              <w:t xml:space="preserve"> s hypotetickou platností od 1.1.2023</w:t>
            </w:r>
          </w:p>
        </w:tc>
      </w:tr>
      <w:tr w:rsidR="00215161" w:rsidRPr="00A63964" w14:paraId="1C85AF99" w14:textId="77777777" w:rsidTr="0073473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9FAE3FA" w14:textId="77777777" w:rsidR="00215161" w:rsidRPr="00A63964" w:rsidRDefault="00215161" w:rsidP="00E70FEE">
            <w:pPr>
              <w:keepNext/>
              <w:ind w:firstLine="426"/>
              <w:jc w:val="right"/>
              <w:rPr>
                <w:rFonts w:eastAsia="Times New Roman"/>
                <w:color w:val="000000"/>
                <w:sz w:val="22"/>
                <w:lang w:eastAsia="cs-CZ"/>
              </w:rPr>
            </w:pPr>
            <w:r w:rsidRPr="00A63964">
              <w:rPr>
                <w:rFonts w:eastAsia="Times New Roman"/>
                <w:color w:val="000000"/>
                <w:sz w:val="22"/>
                <w:lang w:eastAsia="cs-CZ"/>
              </w:rPr>
              <w:t>12000</w:t>
            </w:r>
          </w:p>
        </w:tc>
        <w:tc>
          <w:tcPr>
            <w:tcW w:w="1860" w:type="dxa"/>
            <w:tcBorders>
              <w:top w:val="nil"/>
              <w:left w:val="nil"/>
              <w:bottom w:val="single" w:sz="4" w:space="0" w:color="auto"/>
              <w:right w:val="single" w:sz="4" w:space="0" w:color="auto"/>
            </w:tcBorders>
            <w:shd w:val="clear" w:color="auto" w:fill="auto"/>
            <w:noWrap/>
            <w:vAlign w:val="bottom"/>
            <w:hideMark/>
          </w:tcPr>
          <w:p w14:paraId="6908CFAD" w14:textId="77777777" w:rsidR="00215161" w:rsidRPr="00A63964" w:rsidRDefault="00215161" w:rsidP="00E70FEE">
            <w:pPr>
              <w:keepNext/>
              <w:ind w:firstLine="426"/>
              <w:jc w:val="right"/>
              <w:rPr>
                <w:rFonts w:eastAsia="Times New Roman"/>
                <w:color w:val="000000"/>
                <w:sz w:val="22"/>
                <w:lang w:eastAsia="cs-CZ"/>
              </w:rPr>
            </w:pPr>
            <w:r w:rsidRPr="00A63964">
              <w:rPr>
                <w:rFonts w:eastAsia="Times New Roman"/>
                <w:color w:val="000000"/>
                <w:sz w:val="22"/>
                <w:lang w:eastAsia="cs-CZ"/>
              </w:rPr>
              <w:t>13281</w:t>
            </w:r>
          </w:p>
        </w:tc>
        <w:tc>
          <w:tcPr>
            <w:tcW w:w="1860" w:type="dxa"/>
            <w:tcBorders>
              <w:top w:val="nil"/>
              <w:left w:val="nil"/>
              <w:bottom w:val="single" w:sz="4" w:space="0" w:color="auto"/>
              <w:right w:val="single" w:sz="4" w:space="0" w:color="auto"/>
            </w:tcBorders>
            <w:shd w:val="clear" w:color="auto" w:fill="auto"/>
            <w:noWrap/>
            <w:vAlign w:val="bottom"/>
            <w:hideMark/>
          </w:tcPr>
          <w:p w14:paraId="1214023B" w14:textId="77777777" w:rsidR="00215161" w:rsidRPr="00A63964" w:rsidRDefault="00215161" w:rsidP="00E70FEE">
            <w:pPr>
              <w:keepNext/>
              <w:ind w:firstLine="426"/>
              <w:jc w:val="right"/>
              <w:rPr>
                <w:rFonts w:eastAsia="Times New Roman"/>
                <w:color w:val="000000"/>
                <w:sz w:val="22"/>
                <w:lang w:eastAsia="cs-CZ"/>
              </w:rPr>
            </w:pPr>
            <w:r w:rsidRPr="00A63964">
              <w:rPr>
                <w:rFonts w:eastAsia="Times New Roman"/>
                <w:color w:val="000000"/>
                <w:sz w:val="22"/>
                <w:lang w:eastAsia="cs-CZ"/>
              </w:rPr>
              <w:t>12956</w:t>
            </w:r>
          </w:p>
        </w:tc>
        <w:tc>
          <w:tcPr>
            <w:tcW w:w="2078" w:type="dxa"/>
            <w:tcBorders>
              <w:top w:val="nil"/>
              <w:left w:val="nil"/>
              <w:bottom w:val="single" w:sz="4" w:space="0" w:color="auto"/>
              <w:right w:val="single" w:sz="4" w:space="0" w:color="auto"/>
            </w:tcBorders>
            <w:shd w:val="clear" w:color="auto" w:fill="auto"/>
            <w:noWrap/>
            <w:vAlign w:val="bottom"/>
            <w:hideMark/>
          </w:tcPr>
          <w:p w14:paraId="24A657DE" w14:textId="77777777" w:rsidR="00215161" w:rsidRPr="00A63964" w:rsidRDefault="00215161" w:rsidP="00E70FEE">
            <w:pPr>
              <w:keepNext/>
              <w:ind w:firstLine="426"/>
              <w:jc w:val="right"/>
              <w:rPr>
                <w:rFonts w:eastAsia="Times New Roman"/>
                <w:color w:val="000000"/>
                <w:sz w:val="22"/>
                <w:lang w:eastAsia="cs-CZ"/>
              </w:rPr>
            </w:pPr>
            <w:r w:rsidRPr="00A63964">
              <w:rPr>
                <w:rFonts w:eastAsia="Times New Roman"/>
                <w:color w:val="000000"/>
                <w:sz w:val="22"/>
                <w:lang w:eastAsia="cs-CZ"/>
              </w:rPr>
              <w:t>13538</w:t>
            </w:r>
          </w:p>
        </w:tc>
      </w:tr>
      <w:tr w:rsidR="00215161" w:rsidRPr="00A63964" w14:paraId="749BFA13" w14:textId="77777777" w:rsidTr="0073473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FAE5327" w14:textId="77777777" w:rsidR="00215161" w:rsidRPr="00A63964" w:rsidRDefault="00215161" w:rsidP="00E70FEE">
            <w:pPr>
              <w:keepNext/>
              <w:ind w:firstLine="426"/>
              <w:jc w:val="right"/>
              <w:rPr>
                <w:rFonts w:eastAsia="Times New Roman"/>
                <w:color w:val="000000"/>
                <w:sz w:val="22"/>
                <w:lang w:eastAsia="cs-CZ"/>
              </w:rPr>
            </w:pPr>
            <w:r w:rsidRPr="00A63964">
              <w:rPr>
                <w:rFonts w:eastAsia="Times New Roman"/>
                <w:color w:val="000000"/>
                <w:sz w:val="22"/>
                <w:lang w:eastAsia="cs-CZ"/>
              </w:rPr>
              <w:t>14000</w:t>
            </w:r>
          </w:p>
        </w:tc>
        <w:tc>
          <w:tcPr>
            <w:tcW w:w="1860" w:type="dxa"/>
            <w:tcBorders>
              <w:top w:val="nil"/>
              <w:left w:val="nil"/>
              <w:bottom w:val="single" w:sz="4" w:space="0" w:color="auto"/>
              <w:right w:val="single" w:sz="4" w:space="0" w:color="auto"/>
            </w:tcBorders>
            <w:shd w:val="clear" w:color="auto" w:fill="auto"/>
            <w:noWrap/>
            <w:vAlign w:val="bottom"/>
            <w:hideMark/>
          </w:tcPr>
          <w:p w14:paraId="6DB8DF73" w14:textId="77777777" w:rsidR="00215161" w:rsidRPr="00A63964" w:rsidRDefault="00215161" w:rsidP="00E70FEE">
            <w:pPr>
              <w:keepNext/>
              <w:ind w:firstLine="426"/>
              <w:jc w:val="right"/>
              <w:rPr>
                <w:rFonts w:eastAsia="Times New Roman"/>
                <w:color w:val="000000"/>
                <w:sz w:val="22"/>
                <w:lang w:eastAsia="cs-CZ"/>
              </w:rPr>
            </w:pPr>
            <w:r w:rsidRPr="00A63964">
              <w:rPr>
                <w:rFonts w:eastAsia="Times New Roman"/>
                <w:color w:val="000000"/>
                <w:sz w:val="22"/>
                <w:lang w:eastAsia="cs-CZ"/>
              </w:rPr>
              <w:t>15522</w:t>
            </w:r>
          </w:p>
        </w:tc>
        <w:tc>
          <w:tcPr>
            <w:tcW w:w="1860" w:type="dxa"/>
            <w:tcBorders>
              <w:top w:val="nil"/>
              <w:left w:val="nil"/>
              <w:bottom w:val="single" w:sz="4" w:space="0" w:color="auto"/>
              <w:right w:val="single" w:sz="4" w:space="0" w:color="auto"/>
            </w:tcBorders>
            <w:shd w:val="clear" w:color="auto" w:fill="auto"/>
            <w:noWrap/>
            <w:vAlign w:val="bottom"/>
            <w:hideMark/>
          </w:tcPr>
          <w:p w14:paraId="68612846" w14:textId="77777777" w:rsidR="00215161" w:rsidRPr="00A63964" w:rsidRDefault="00215161" w:rsidP="00E70FEE">
            <w:pPr>
              <w:keepNext/>
              <w:ind w:firstLine="426"/>
              <w:jc w:val="right"/>
              <w:rPr>
                <w:rFonts w:eastAsia="Times New Roman"/>
                <w:color w:val="000000"/>
                <w:sz w:val="22"/>
                <w:lang w:eastAsia="cs-CZ"/>
              </w:rPr>
            </w:pPr>
            <w:r w:rsidRPr="00A63964">
              <w:rPr>
                <w:rFonts w:eastAsia="Times New Roman"/>
                <w:color w:val="000000"/>
                <w:sz w:val="22"/>
                <w:lang w:eastAsia="cs-CZ"/>
              </w:rPr>
              <w:t>15014</w:t>
            </w:r>
          </w:p>
        </w:tc>
        <w:tc>
          <w:tcPr>
            <w:tcW w:w="2078" w:type="dxa"/>
            <w:tcBorders>
              <w:top w:val="nil"/>
              <w:left w:val="nil"/>
              <w:bottom w:val="single" w:sz="4" w:space="0" w:color="auto"/>
              <w:right w:val="single" w:sz="4" w:space="0" w:color="auto"/>
            </w:tcBorders>
            <w:shd w:val="clear" w:color="auto" w:fill="auto"/>
            <w:noWrap/>
            <w:vAlign w:val="bottom"/>
            <w:hideMark/>
          </w:tcPr>
          <w:p w14:paraId="7252FC0A" w14:textId="77777777" w:rsidR="00215161" w:rsidRPr="00A63964" w:rsidRDefault="00215161" w:rsidP="00E70FEE">
            <w:pPr>
              <w:keepNext/>
              <w:ind w:firstLine="426"/>
              <w:jc w:val="right"/>
              <w:rPr>
                <w:rFonts w:eastAsia="Times New Roman"/>
                <w:color w:val="000000"/>
                <w:sz w:val="22"/>
                <w:lang w:eastAsia="cs-CZ"/>
              </w:rPr>
            </w:pPr>
            <w:r w:rsidRPr="00A63964">
              <w:rPr>
                <w:rFonts w:eastAsia="Times New Roman"/>
                <w:color w:val="000000"/>
                <w:sz w:val="22"/>
                <w:lang w:eastAsia="cs-CZ"/>
              </w:rPr>
              <w:t>15844</w:t>
            </w:r>
          </w:p>
        </w:tc>
      </w:tr>
      <w:tr w:rsidR="00215161" w:rsidRPr="00A63964" w14:paraId="55DA203C" w14:textId="77777777" w:rsidTr="0073473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ED5A137" w14:textId="77777777" w:rsidR="00215161" w:rsidRPr="00A63964" w:rsidRDefault="00215161" w:rsidP="00E70FEE">
            <w:pPr>
              <w:keepNext/>
              <w:ind w:firstLine="426"/>
              <w:jc w:val="right"/>
              <w:rPr>
                <w:rFonts w:eastAsia="Times New Roman"/>
                <w:color w:val="000000"/>
                <w:sz w:val="22"/>
                <w:lang w:eastAsia="cs-CZ"/>
              </w:rPr>
            </w:pPr>
            <w:r w:rsidRPr="00A63964">
              <w:rPr>
                <w:rFonts w:eastAsia="Times New Roman"/>
                <w:color w:val="000000"/>
                <w:sz w:val="22"/>
                <w:lang w:eastAsia="cs-CZ"/>
              </w:rPr>
              <w:t>16000</w:t>
            </w:r>
          </w:p>
        </w:tc>
        <w:tc>
          <w:tcPr>
            <w:tcW w:w="1860" w:type="dxa"/>
            <w:tcBorders>
              <w:top w:val="nil"/>
              <w:left w:val="nil"/>
              <w:bottom w:val="single" w:sz="4" w:space="0" w:color="auto"/>
              <w:right w:val="single" w:sz="4" w:space="0" w:color="auto"/>
            </w:tcBorders>
            <w:shd w:val="clear" w:color="auto" w:fill="auto"/>
            <w:noWrap/>
            <w:vAlign w:val="bottom"/>
            <w:hideMark/>
          </w:tcPr>
          <w:p w14:paraId="04968DA1" w14:textId="77777777" w:rsidR="00215161" w:rsidRPr="00A63964" w:rsidRDefault="00215161" w:rsidP="00E70FEE">
            <w:pPr>
              <w:keepNext/>
              <w:ind w:firstLine="426"/>
              <w:jc w:val="right"/>
              <w:rPr>
                <w:rFonts w:eastAsia="Times New Roman"/>
                <w:color w:val="000000"/>
                <w:sz w:val="22"/>
                <w:lang w:eastAsia="cs-CZ"/>
              </w:rPr>
            </w:pPr>
            <w:r w:rsidRPr="00A63964">
              <w:rPr>
                <w:rFonts w:eastAsia="Times New Roman"/>
                <w:color w:val="000000"/>
                <w:sz w:val="22"/>
                <w:lang w:eastAsia="cs-CZ"/>
              </w:rPr>
              <w:t>17763</w:t>
            </w:r>
          </w:p>
        </w:tc>
        <w:tc>
          <w:tcPr>
            <w:tcW w:w="1860" w:type="dxa"/>
            <w:tcBorders>
              <w:top w:val="nil"/>
              <w:left w:val="nil"/>
              <w:bottom w:val="single" w:sz="4" w:space="0" w:color="auto"/>
              <w:right w:val="single" w:sz="4" w:space="0" w:color="auto"/>
            </w:tcBorders>
            <w:shd w:val="clear" w:color="auto" w:fill="auto"/>
            <w:noWrap/>
            <w:vAlign w:val="bottom"/>
            <w:hideMark/>
          </w:tcPr>
          <w:p w14:paraId="1EC41A61" w14:textId="77777777" w:rsidR="00215161" w:rsidRPr="00A63964" w:rsidRDefault="00215161" w:rsidP="00E70FEE">
            <w:pPr>
              <w:keepNext/>
              <w:ind w:firstLine="426"/>
              <w:jc w:val="right"/>
              <w:rPr>
                <w:rFonts w:eastAsia="Times New Roman"/>
                <w:color w:val="000000"/>
                <w:sz w:val="22"/>
                <w:lang w:eastAsia="cs-CZ"/>
              </w:rPr>
            </w:pPr>
            <w:r w:rsidRPr="00A63964">
              <w:rPr>
                <w:rFonts w:eastAsia="Times New Roman"/>
                <w:color w:val="000000"/>
                <w:sz w:val="22"/>
                <w:lang w:eastAsia="cs-CZ"/>
              </w:rPr>
              <w:t>17072</w:t>
            </w:r>
          </w:p>
        </w:tc>
        <w:tc>
          <w:tcPr>
            <w:tcW w:w="2078" w:type="dxa"/>
            <w:tcBorders>
              <w:top w:val="nil"/>
              <w:left w:val="nil"/>
              <w:bottom w:val="single" w:sz="4" w:space="0" w:color="auto"/>
              <w:right w:val="single" w:sz="4" w:space="0" w:color="auto"/>
            </w:tcBorders>
            <w:shd w:val="clear" w:color="auto" w:fill="auto"/>
            <w:noWrap/>
            <w:vAlign w:val="bottom"/>
            <w:hideMark/>
          </w:tcPr>
          <w:p w14:paraId="6434BA40" w14:textId="77777777" w:rsidR="00215161" w:rsidRPr="00A63964" w:rsidRDefault="00215161" w:rsidP="00E70FEE">
            <w:pPr>
              <w:keepNext/>
              <w:ind w:firstLine="426"/>
              <w:jc w:val="right"/>
              <w:rPr>
                <w:rFonts w:eastAsia="Times New Roman"/>
                <w:color w:val="000000"/>
                <w:sz w:val="22"/>
                <w:lang w:eastAsia="cs-CZ"/>
              </w:rPr>
            </w:pPr>
            <w:r w:rsidRPr="00A63964">
              <w:rPr>
                <w:rFonts w:eastAsia="Times New Roman"/>
                <w:color w:val="000000"/>
                <w:sz w:val="22"/>
                <w:lang w:eastAsia="cs-CZ"/>
              </w:rPr>
              <w:t>18150</w:t>
            </w:r>
          </w:p>
        </w:tc>
      </w:tr>
      <w:tr w:rsidR="00215161" w:rsidRPr="00A63964" w14:paraId="667B5FE7" w14:textId="77777777" w:rsidTr="0073473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C1388B9" w14:textId="77777777" w:rsidR="00215161" w:rsidRPr="00A63964" w:rsidRDefault="00215161" w:rsidP="00E70FEE">
            <w:pPr>
              <w:keepNext/>
              <w:ind w:firstLine="426"/>
              <w:jc w:val="right"/>
              <w:rPr>
                <w:rFonts w:eastAsia="Times New Roman"/>
                <w:color w:val="000000"/>
                <w:sz w:val="22"/>
                <w:lang w:eastAsia="cs-CZ"/>
              </w:rPr>
            </w:pPr>
            <w:r w:rsidRPr="00A63964">
              <w:rPr>
                <w:rFonts w:eastAsia="Times New Roman"/>
                <w:color w:val="000000"/>
                <w:sz w:val="22"/>
                <w:lang w:eastAsia="cs-CZ"/>
              </w:rPr>
              <w:t>18000</w:t>
            </w:r>
          </w:p>
        </w:tc>
        <w:tc>
          <w:tcPr>
            <w:tcW w:w="1860" w:type="dxa"/>
            <w:tcBorders>
              <w:top w:val="nil"/>
              <w:left w:val="nil"/>
              <w:bottom w:val="single" w:sz="4" w:space="0" w:color="auto"/>
              <w:right w:val="single" w:sz="4" w:space="0" w:color="auto"/>
            </w:tcBorders>
            <w:shd w:val="clear" w:color="auto" w:fill="auto"/>
            <w:noWrap/>
            <w:vAlign w:val="bottom"/>
            <w:hideMark/>
          </w:tcPr>
          <w:p w14:paraId="0470DC68" w14:textId="77777777" w:rsidR="00215161" w:rsidRPr="00A63964" w:rsidRDefault="00215161" w:rsidP="00E70FEE">
            <w:pPr>
              <w:keepNext/>
              <w:ind w:firstLine="426"/>
              <w:jc w:val="right"/>
              <w:rPr>
                <w:rFonts w:eastAsia="Times New Roman"/>
                <w:color w:val="000000"/>
                <w:sz w:val="22"/>
                <w:lang w:eastAsia="cs-CZ"/>
              </w:rPr>
            </w:pPr>
            <w:r w:rsidRPr="00A63964">
              <w:rPr>
                <w:rFonts w:eastAsia="Times New Roman"/>
                <w:color w:val="000000"/>
                <w:sz w:val="22"/>
                <w:lang w:eastAsia="cs-CZ"/>
              </w:rPr>
              <w:t>20004</w:t>
            </w:r>
          </w:p>
        </w:tc>
        <w:tc>
          <w:tcPr>
            <w:tcW w:w="1860" w:type="dxa"/>
            <w:tcBorders>
              <w:top w:val="nil"/>
              <w:left w:val="nil"/>
              <w:bottom w:val="single" w:sz="4" w:space="0" w:color="auto"/>
              <w:right w:val="single" w:sz="4" w:space="0" w:color="auto"/>
            </w:tcBorders>
            <w:shd w:val="clear" w:color="auto" w:fill="auto"/>
            <w:noWrap/>
            <w:vAlign w:val="bottom"/>
            <w:hideMark/>
          </w:tcPr>
          <w:p w14:paraId="78C421EC" w14:textId="77777777" w:rsidR="00215161" w:rsidRPr="00A63964" w:rsidRDefault="00215161" w:rsidP="00E70FEE">
            <w:pPr>
              <w:keepNext/>
              <w:ind w:firstLine="426"/>
              <w:jc w:val="right"/>
              <w:rPr>
                <w:rFonts w:eastAsia="Times New Roman"/>
                <w:color w:val="000000"/>
                <w:sz w:val="22"/>
                <w:lang w:eastAsia="cs-CZ"/>
              </w:rPr>
            </w:pPr>
            <w:r w:rsidRPr="00A63964">
              <w:rPr>
                <w:rFonts w:eastAsia="Times New Roman"/>
                <w:color w:val="000000"/>
                <w:sz w:val="22"/>
                <w:lang w:eastAsia="cs-CZ"/>
              </w:rPr>
              <w:t>19131</w:t>
            </w:r>
          </w:p>
        </w:tc>
        <w:tc>
          <w:tcPr>
            <w:tcW w:w="2078" w:type="dxa"/>
            <w:tcBorders>
              <w:top w:val="nil"/>
              <w:left w:val="nil"/>
              <w:bottom w:val="single" w:sz="4" w:space="0" w:color="auto"/>
              <w:right w:val="single" w:sz="4" w:space="0" w:color="auto"/>
            </w:tcBorders>
            <w:shd w:val="clear" w:color="auto" w:fill="auto"/>
            <w:noWrap/>
            <w:vAlign w:val="bottom"/>
            <w:hideMark/>
          </w:tcPr>
          <w:p w14:paraId="17565804" w14:textId="77777777" w:rsidR="00215161" w:rsidRPr="00A63964" w:rsidRDefault="00215161" w:rsidP="00E70FEE">
            <w:pPr>
              <w:keepNext/>
              <w:ind w:firstLine="426"/>
              <w:jc w:val="right"/>
              <w:rPr>
                <w:rFonts w:eastAsia="Times New Roman"/>
                <w:color w:val="000000"/>
                <w:sz w:val="22"/>
                <w:lang w:eastAsia="cs-CZ"/>
              </w:rPr>
            </w:pPr>
            <w:r w:rsidRPr="00A63964">
              <w:rPr>
                <w:rFonts w:eastAsia="Times New Roman"/>
                <w:color w:val="000000"/>
                <w:sz w:val="22"/>
                <w:lang w:eastAsia="cs-CZ"/>
              </w:rPr>
              <w:t>20456</w:t>
            </w:r>
          </w:p>
        </w:tc>
      </w:tr>
      <w:tr w:rsidR="00215161" w:rsidRPr="00A63964" w14:paraId="5BABA3A8" w14:textId="77777777" w:rsidTr="0073473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61B0194" w14:textId="77777777" w:rsidR="00215161" w:rsidRPr="00A63964" w:rsidRDefault="00215161" w:rsidP="00E70FEE">
            <w:pPr>
              <w:keepNext/>
              <w:ind w:firstLine="426"/>
              <w:jc w:val="right"/>
              <w:rPr>
                <w:rFonts w:eastAsia="Times New Roman"/>
                <w:color w:val="000000"/>
                <w:sz w:val="22"/>
                <w:lang w:eastAsia="cs-CZ"/>
              </w:rPr>
            </w:pPr>
            <w:r w:rsidRPr="00A63964">
              <w:rPr>
                <w:rFonts w:eastAsia="Times New Roman"/>
                <w:color w:val="000000"/>
                <w:sz w:val="22"/>
                <w:lang w:eastAsia="cs-CZ"/>
              </w:rPr>
              <w:t>20000</w:t>
            </w:r>
          </w:p>
        </w:tc>
        <w:tc>
          <w:tcPr>
            <w:tcW w:w="1860" w:type="dxa"/>
            <w:tcBorders>
              <w:top w:val="nil"/>
              <w:left w:val="nil"/>
              <w:bottom w:val="single" w:sz="4" w:space="0" w:color="auto"/>
              <w:right w:val="single" w:sz="4" w:space="0" w:color="auto"/>
            </w:tcBorders>
            <w:shd w:val="clear" w:color="auto" w:fill="auto"/>
            <w:noWrap/>
            <w:vAlign w:val="bottom"/>
            <w:hideMark/>
          </w:tcPr>
          <w:p w14:paraId="75184A60" w14:textId="77777777" w:rsidR="00215161" w:rsidRPr="00A63964" w:rsidRDefault="00215161" w:rsidP="00E70FEE">
            <w:pPr>
              <w:keepNext/>
              <w:ind w:firstLine="426"/>
              <w:jc w:val="right"/>
              <w:rPr>
                <w:rFonts w:eastAsia="Times New Roman"/>
                <w:color w:val="000000"/>
                <w:sz w:val="22"/>
                <w:lang w:eastAsia="cs-CZ"/>
              </w:rPr>
            </w:pPr>
            <w:r w:rsidRPr="00A63964">
              <w:rPr>
                <w:rFonts w:eastAsia="Times New Roman"/>
                <w:color w:val="000000"/>
                <w:sz w:val="22"/>
                <w:lang w:eastAsia="cs-CZ"/>
              </w:rPr>
              <w:t>22245</w:t>
            </w:r>
          </w:p>
        </w:tc>
        <w:tc>
          <w:tcPr>
            <w:tcW w:w="1860" w:type="dxa"/>
            <w:tcBorders>
              <w:top w:val="nil"/>
              <w:left w:val="nil"/>
              <w:bottom w:val="single" w:sz="4" w:space="0" w:color="auto"/>
              <w:right w:val="single" w:sz="4" w:space="0" w:color="auto"/>
            </w:tcBorders>
            <w:shd w:val="clear" w:color="auto" w:fill="auto"/>
            <w:noWrap/>
            <w:vAlign w:val="bottom"/>
            <w:hideMark/>
          </w:tcPr>
          <w:p w14:paraId="3FEA4D3F" w14:textId="77777777" w:rsidR="00215161" w:rsidRPr="00A63964" w:rsidRDefault="00215161" w:rsidP="00E70FEE">
            <w:pPr>
              <w:keepNext/>
              <w:ind w:firstLine="426"/>
              <w:jc w:val="right"/>
              <w:rPr>
                <w:rFonts w:eastAsia="Times New Roman"/>
                <w:color w:val="000000"/>
                <w:sz w:val="22"/>
                <w:lang w:eastAsia="cs-CZ"/>
              </w:rPr>
            </w:pPr>
            <w:r w:rsidRPr="00A63964">
              <w:rPr>
                <w:rFonts w:eastAsia="Times New Roman"/>
                <w:color w:val="000000"/>
                <w:sz w:val="22"/>
                <w:lang w:eastAsia="cs-CZ"/>
              </w:rPr>
              <w:t>21189</w:t>
            </w:r>
          </w:p>
        </w:tc>
        <w:tc>
          <w:tcPr>
            <w:tcW w:w="2078" w:type="dxa"/>
            <w:tcBorders>
              <w:top w:val="nil"/>
              <w:left w:val="nil"/>
              <w:bottom w:val="single" w:sz="4" w:space="0" w:color="auto"/>
              <w:right w:val="single" w:sz="4" w:space="0" w:color="auto"/>
            </w:tcBorders>
            <w:shd w:val="clear" w:color="auto" w:fill="auto"/>
            <w:noWrap/>
            <w:vAlign w:val="bottom"/>
            <w:hideMark/>
          </w:tcPr>
          <w:p w14:paraId="1AA233D8" w14:textId="77777777" w:rsidR="00215161" w:rsidRPr="00A63964" w:rsidRDefault="00215161" w:rsidP="00E70FEE">
            <w:pPr>
              <w:keepNext/>
              <w:ind w:firstLine="426"/>
              <w:jc w:val="right"/>
              <w:rPr>
                <w:rFonts w:eastAsia="Times New Roman"/>
                <w:color w:val="000000"/>
                <w:sz w:val="22"/>
                <w:lang w:eastAsia="cs-CZ"/>
              </w:rPr>
            </w:pPr>
            <w:r w:rsidRPr="00A63964">
              <w:rPr>
                <w:rFonts w:eastAsia="Times New Roman"/>
                <w:color w:val="000000"/>
                <w:sz w:val="22"/>
                <w:lang w:eastAsia="cs-CZ"/>
              </w:rPr>
              <w:t>22762</w:t>
            </w:r>
          </w:p>
        </w:tc>
      </w:tr>
      <w:tr w:rsidR="00215161" w:rsidRPr="00A63964" w14:paraId="1728849D" w14:textId="77777777" w:rsidTr="0073473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2B25B17" w14:textId="77777777" w:rsidR="00215161" w:rsidRPr="00A63964" w:rsidRDefault="00215161" w:rsidP="00E70FEE">
            <w:pPr>
              <w:keepNext/>
              <w:ind w:firstLine="426"/>
              <w:jc w:val="right"/>
              <w:rPr>
                <w:rFonts w:eastAsia="Times New Roman"/>
                <w:color w:val="000000"/>
                <w:sz w:val="22"/>
                <w:lang w:eastAsia="cs-CZ"/>
              </w:rPr>
            </w:pPr>
            <w:r w:rsidRPr="00A63964">
              <w:rPr>
                <w:rFonts w:eastAsia="Times New Roman"/>
                <w:color w:val="000000"/>
                <w:sz w:val="22"/>
                <w:lang w:eastAsia="cs-CZ"/>
              </w:rPr>
              <w:t>22000</w:t>
            </w:r>
          </w:p>
        </w:tc>
        <w:tc>
          <w:tcPr>
            <w:tcW w:w="1860" w:type="dxa"/>
            <w:tcBorders>
              <w:top w:val="nil"/>
              <w:left w:val="nil"/>
              <w:bottom w:val="single" w:sz="4" w:space="0" w:color="auto"/>
              <w:right w:val="single" w:sz="4" w:space="0" w:color="auto"/>
            </w:tcBorders>
            <w:shd w:val="clear" w:color="auto" w:fill="auto"/>
            <w:noWrap/>
            <w:vAlign w:val="bottom"/>
            <w:hideMark/>
          </w:tcPr>
          <w:p w14:paraId="6F5D733E" w14:textId="77777777" w:rsidR="00215161" w:rsidRPr="00A63964" w:rsidRDefault="00215161" w:rsidP="00E70FEE">
            <w:pPr>
              <w:keepNext/>
              <w:ind w:firstLine="426"/>
              <w:jc w:val="right"/>
              <w:rPr>
                <w:rFonts w:eastAsia="Times New Roman"/>
                <w:color w:val="000000"/>
                <w:sz w:val="22"/>
                <w:lang w:eastAsia="cs-CZ"/>
              </w:rPr>
            </w:pPr>
            <w:r w:rsidRPr="00A63964">
              <w:rPr>
                <w:rFonts w:eastAsia="Times New Roman"/>
                <w:color w:val="000000"/>
                <w:sz w:val="22"/>
                <w:lang w:eastAsia="cs-CZ"/>
              </w:rPr>
              <w:t>24487</w:t>
            </w:r>
          </w:p>
        </w:tc>
        <w:tc>
          <w:tcPr>
            <w:tcW w:w="1860" w:type="dxa"/>
            <w:tcBorders>
              <w:top w:val="nil"/>
              <w:left w:val="nil"/>
              <w:bottom w:val="single" w:sz="4" w:space="0" w:color="auto"/>
              <w:right w:val="single" w:sz="4" w:space="0" w:color="auto"/>
            </w:tcBorders>
            <w:shd w:val="clear" w:color="auto" w:fill="auto"/>
            <w:noWrap/>
            <w:vAlign w:val="bottom"/>
            <w:hideMark/>
          </w:tcPr>
          <w:p w14:paraId="6F1B1552" w14:textId="77777777" w:rsidR="00215161" w:rsidRPr="00A63964" w:rsidRDefault="00215161" w:rsidP="00E70FEE">
            <w:pPr>
              <w:keepNext/>
              <w:ind w:firstLine="426"/>
              <w:jc w:val="right"/>
              <w:rPr>
                <w:rFonts w:eastAsia="Times New Roman"/>
                <w:color w:val="000000"/>
                <w:sz w:val="22"/>
                <w:lang w:eastAsia="cs-CZ"/>
              </w:rPr>
            </w:pPr>
            <w:r w:rsidRPr="00A63964">
              <w:rPr>
                <w:rFonts w:eastAsia="Times New Roman"/>
                <w:color w:val="000000"/>
                <w:sz w:val="22"/>
                <w:lang w:eastAsia="cs-CZ"/>
              </w:rPr>
              <w:t>23247</w:t>
            </w:r>
          </w:p>
        </w:tc>
        <w:tc>
          <w:tcPr>
            <w:tcW w:w="2078" w:type="dxa"/>
            <w:tcBorders>
              <w:top w:val="nil"/>
              <w:left w:val="nil"/>
              <w:bottom w:val="single" w:sz="4" w:space="0" w:color="auto"/>
              <w:right w:val="single" w:sz="4" w:space="0" w:color="auto"/>
            </w:tcBorders>
            <w:shd w:val="clear" w:color="auto" w:fill="auto"/>
            <w:noWrap/>
            <w:vAlign w:val="bottom"/>
            <w:hideMark/>
          </w:tcPr>
          <w:p w14:paraId="7D0DD81B" w14:textId="77777777" w:rsidR="00215161" w:rsidRPr="00A63964" w:rsidRDefault="00215161" w:rsidP="00E70FEE">
            <w:pPr>
              <w:keepNext/>
              <w:ind w:firstLine="426"/>
              <w:jc w:val="right"/>
              <w:rPr>
                <w:rFonts w:eastAsia="Times New Roman"/>
                <w:color w:val="000000"/>
                <w:sz w:val="22"/>
                <w:lang w:eastAsia="cs-CZ"/>
              </w:rPr>
            </w:pPr>
            <w:r w:rsidRPr="00A63964">
              <w:rPr>
                <w:rFonts w:eastAsia="Times New Roman"/>
                <w:color w:val="000000"/>
                <w:sz w:val="22"/>
                <w:lang w:eastAsia="cs-CZ"/>
              </w:rPr>
              <w:t>25068</w:t>
            </w:r>
          </w:p>
        </w:tc>
      </w:tr>
      <w:tr w:rsidR="00215161" w:rsidRPr="00A63964" w14:paraId="55B02E59" w14:textId="77777777" w:rsidTr="0073473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87437CE" w14:textId="77777777" w:rsidR="00215161" w:rsidRPr="00A63964" w:rsidRDefault="00215161" w:rsidP="00E70FEE">
            <w:pPr>
              <w:keepNext/>
              <w:ind w:firstLine="426"/>
              <w:jc w:val="right"/>
              <w:rPr>
                <w:rFonts w:eastAsia="Times New Roman"/>
                <w:color w:val="000000"/>
                <w:sz w:val="22"/>
                <w:lang w:eastAsia="cs-CZ"/>
              </w:rPr>
            </w:pPr>
            <w:r w:rsidRPr="00A63964">
              <w:rPr>
                <w:rFonts w:eastAsia="Times New Roman"/>
                <w:color w:val="000000"/>
                <w:sz w:val="22"/>
                <w:lang w:eastAsia="cs-CZ"/>
              </w:rPr>
              <w:t>24000</w:t>
            </w:r>
          </w:p>
        </w:tc>
        <w:tc>
          <w:tcPr>
            <w:tcW w:w="1860" w:type="dxa"/>
            <w:tcBorders>
              <w:top w:val="nil"/>
              <w:left w:val="nil"/>
              <w:bottom w:val="single" w:sz="4" w:space="0" w:color="auto"/>
              <w:right w:val="single" w:sz="4" w:space="0" w:color="auto"/>
            </w:tcBorders>
            <w:shd w:val="clear" w:color="auto" w:fill="auto"/>
            <w:noWrap/>
            <w:vAlign w:val="bottom"/>
            <w:hideMark/>
          </w:tcPr>
          <w:p w14:paraId="6D8D9939" w14:textId="77777777" w:rsidR="00215161" w:rsidRPr="00A63964" w:rsidRDefault="00215161" w:rsidP="00E70FEE">
            <w:pPr>
              <w:keepNext/>
              <w:ind w:firstLine="426"/>
              <w:jc w:val="right"/>
              <w:rPr>
                <w:rFonts w:eastAsia="Times New Roman"/>
                <w:color w:val="000000"/>
                <w:sz w:val="22"/>
                <w:lang w:eastAsia="cs-CZ"/>
              </w:rPr>
            </w:pPr>
            <w:r w:rsidRPr="00A63964">
              <w:rPr>
                <w:rFonts w:eastAsia="Times New Roman"/>
                <w:color w:val="000000"/>
                <w:sz w:val="22"/>
                <w:lang w:eastAsia="cs-CZ"/>
              </w:rPr>
              <w:t>26728</w:t>
            </w:r>
          </w:p>
        </w:tc>
        <w:tc>
          <w:tcPr>
            <w:tcW w:w="1860" w:type="dxa"/>
            <w:tcBorders>
              <w:top w:val="nil"/>
              <w:left w:val="nil"/>
              <w:bottom w:val="single" w:sz="4" w:space="0" w:color="auto"/>
              <w:right w:val="single" w:sz="4" w:space="0" w:color="auto"/>
            </w:tcBorders>
            <w:shd w:val="clear" w:color="auto" w:fill="auto"/>
            <w:noWrap/>
            <w:vAlign w:val="bottom"/>
            <w:hideMark/>
          </w:tcPr>
          <w:p w14:paraId="6C3C132B" w14:textId="77777777" w:rsidR="00215161" w:rsidRPr="00A63964" w:rsidRDefault="00215161" w:rsidP="00E70FEE">
            <w:pPr>
              <w:keepNext/>
              <w:ind w:firstLine="426"/>
              <w:jc w:val="right"/>
              <w:rPr>
                <w:rFonts w:eastAsia="Times New Roman"/>
                <w:color w:val="000000"/>
                <w:sz w:val="22"/>
                <w:lang w:eastAsia="cs-CZ"/>
              </w:rPr>
            </w:pPr>
            <w:r w:rsidRPr="00A63964">
              <w:rPr>
                <w:rFonts w:eastAsia="Times New Roman"/>
                <w:color w:val="000000"/>
                <w:sz w:val="22"/>
                <w:lang w:eastAsia="cs-CZ"/>
              </w:rPr>
              <w:t>25305</w:t>
            </w:r>
          </w:p>
        </w:tc>
        <w:tc>
          <w:tcPr>
            <w:tcW w:w="2078" w:type="dxa"/>
            <w:tcBorders>
              <w:top w:val="nil"/>
              <w:left w:val="nil"/>
              <w:bottom w:val="single" w:sz="4" w:space="0" w:color="auto"/>
              <w:right w:val="single" w:sz="4" w:space="0" w:color="auto"/>
            </w:tcBorders>
            <w:shd w:val="clear" w:color="auto" w:fill="auto"/>
            <w:noWrap/>
            <w:vAlign w:val="bottom"/>
            <w:hideMark/>
          </w:tcPr>
          <w:p w14:paraId="57B85560" w14:textId="77777777" w:rsidR="00215161" w:rsidRPr="00A63964" w:rsidRDefault="00215161" w:rsidP="00E70FEE">
            <w:pPr>
              <w:keepNext/>
              <w:ind w:firstLine="426"/>
              <w:jc w:val="right"/>
              <w:rPr>
                <w:rFonts w:eastAsia="Times New Roman"/>
                <w:color w:val="000000"/>
                <w:sz w:val="22"/>
                <w:lang w:eastAsia="cs-CZ"/>
              </w:rPr>
            </w:pPr>
            <w:r w:rsidRPr="00A63964">
              <w:rPr>
                <w:rFonts w:eastAsia="Times New Roman"/>
                <w:color w:val="000000"/>
                <w:sz w:val="22"/>
                <w:lang w:eastAsia="cs-CZ"/>
              </w:rPr>
              <w:t>27374</w:t>
            </w:r>
          </w:p>
        </w:tc>
      </w:tr>
      <w:tr w:rsidR="00215161" w:rsidRPr="00A63964" w14:paraId="7949F7A5" w14:textId="77777777" w:rsidTr="0073473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2EEEA71" w14:textId="77777777" w:rsidR="00215161" w:rsidRPr="00A63964" w:rsidRDefault="00215161" w:rsidP="00E70FEE">
            <w:pPr>
              <w:keepNext/>
              <w:ind w:firstLine="426"/>
              <w:jc w:val="right"/>
              <w:rPr>
                <w:rFonts w:eastAsia="Times New Roman"/>
                <w:color w:val="000000"/>
                <w:sz w:val="22"/>
                <w:lang w:eastAsia="cs-CZ"/>
              </w:rPr>
            </w:pPr>
            <w:r w:rsidRPr="00A63964">
              <w:rPr>
                <w:rFonts w:eastAsia="Times New Roman"/>
                <w:color w:val="000000"/>
                <w:sz w:val="22"/>
                <w:lang w:eastAsia="cs-CZ"/>
              </w:rPr>
              <w:t>26000</w:t>
            </w:r>
          </w:p>
        </w:tc>
        <w:tc>
          <w:tcPr>
            <w:tcW w:w="1860" w:type="dxa"/>
            <w:tcBorders>
              <w:top w:val="nil"/>
              <w:left w:val="nil"/>
              <w:bottom w:val="single" w:sz="4" w:space="0" w:color="auto"/>
              <w:right w:val="single" w:sz="4" w:space="0" w:color="auto"/>
            </w:tcBorders>
            <w:shd w:val="clear" w:color="auto" w:fill="auto"/>
            <w:noWrap/>
            <w:vAlign w:val="bottom"/>
            <w:hideMark/>
          </w:tcPr>
          <w:p w14:paraId="02A4D04A" w14:textId="77777777" w:rsidR="00215161" w:rsidRPr="00A63964" w:rsidRDefault="00215161" w:rsidP="00E70FEE">
            <w:pPr>
              <w:keepNext/>
              <w:ind w:firstLine="426"/>
              <w:jc w:val="right"/>
              <w:rPr>
                <w:rFonts w:eastAsia="Times New Roman"/>
                <w:color w:val="000000"/>
                <w:sz w:val="22"/>
                <w:lang w:eastAsia="cs-CZ"/>
              </w:rPr>
            </w:pPr>
            <w:r w:rsidRPr="00A63964">
              <w:rPr>
                <w:rFonts w:eastAsia="Times New Roman"/>
                <w:color w:val="000000"/>
                <w:sz w:val="22"/>
                <w:lang w:eastAsia="cs-CZ"/>
              </w:rPr>
              <w:t>28969</w:t>
            </w:r>
          </w:p>
        </w:tc>
        <w:tc>
          <w:tcPr>
            <w:tcW w:w="1860" w:type="dxa"/>
            <w:tcBorders>
              <w:top w:val="nil"/>
              <w:left w:val="nil"/>
              <w:bottom w:val="single" w:sz="4" w:space="0" w:color="auto"/>
              <w:right w:val="single" w:sz="4" w:space="0" w:color="auto"/>
            </w:tcBorders>
            <w:shd w:val="clear" w:color="auto" w:fill="auto"/>
            <w:noWrap/>
            <w:vAlign w:val="bottom"/>
            <w:hideMark/>
          </w:tcPr>
          <w:p w14:paraId="07D75531" w14:textId="77777777" w:rsidR="00215161" w:rsidRPr="00A63964" w:rsidRDefault="00215161" w:rsidP="00E70FEE">
            <w:pPr>
              <w:keepNext/>
              <w:ind w:firstLine="426"/>
              <w:jc w:val="right"/>
              <w:rPr>
                <w:rFonts w:eastAsia="Times New Roman"/>
                <w:color w:val="000000"/>
                <w:sz w:val="22"/>
                <w:lang w:eastAsia="cs-CZ"/>
              </w:rPr>
            </w:pPr>
            <w:r w:rsidRPr="00A63964">
              <w:rPr>
                <w:rFonts w:eastAsia="Times New Roman"/>
                <w:color w:val="000000"/>
                <w:sz w:val="22"/>
                <w:lang w:eastAsia="cs-CZ"/>
              </w:rPr>
              <w:t>27364</w:t>
            </w:r>
          </w:p>
        </w:tc>
        <w:tc>
          <w:tcPr>
            <w:tcW w:w="2078" w:type="dxa"/>
            <w:tcBorders>
              <w:top w:val="nil"/>
              <w:left w:val="nil"/>
              <w:bottom w:val="single" w:sz="4" w:space="0" w:color="auto"/>
              <w:right w:val="single" w:sz="4" w:space="0" w:color="auto"/>
            </w:tcBorders>
            <w:shd w:val="clear" w:color="auto" w:fill="auto"/>
            <w:noWrap/>
            <w:vAlign w:val="bottom"/>
            <w:hideMark/>
          </w:tcPr>
          <w:p w14:paraId="6AEBF604" w14:textId="77777777" w:rsidR="00215161" w:rsidRPr="00A63964" w:rsidRDefault="00215161" w:rsidP="00E70FEE">
            <w:pPr>
              <w:keepNext/>
              <w:ind w:firstLine="426"/>
              <w:jc w:val="right"/>
              <w:rPr>
                <w:rFonts w:eastAsia="Times New Roman"/>
                <w:color w:val="000000"/>
                <w:sz w:val="22"/>
                <w:lang w:eastAsia="cs-CZ"/>
              </w:rPr>
            </w:pPr>
            <w:r w:rsidRPr="00A63964">
              <w:rPr>
                <w:rFonts w:eastAsia="Times New Roman"/>
                <w:color w:val="000000"/>
                <w:sz w:val="22"/>
                <w:lang w:eastAsia="cs-CZ"/>
              </w:rPr>
              <w:t>29680</w:t>
            </w:r>
          </w:p>
        </w:tc>
      </w:tr>
      <w:tr w:rsidR="00215161" w:rsidRPr="00A63964" w14:paraId="3349AA0F" w14:textId="77777777" w:rsidTr="0073473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5AE5DC5" w14:textId="77777777" w:rsidR="00215161" w:rsidRPr="00A63964" w:rsidRDefault="00215161" w:rsidP="00E70FEE">
            <w:pPr>
              <w:keepNext/>
              <w:ind w:firstLine="426"/>
              <w:jc w:val="right"/>
              <w:rPr>
                <w:rFonts w:eastAsia="Times New Roman"/>
                <w:color w:val="000000"/>
                <w:sz w:val="22"/>
                <w:lang w:eastAsia="cs-CZ"/>
              </w:rPr>
            </w:pPr>
            <w:r w:rsidRPr="00A63964">
              <w:rPr>
                <w:rFonts w:eastAsia="Times New Roman"/>
                <w:color w:val="000000"/>
                <w:sz w:val="22"/>
                <w:lang w:eastAsia="cs-CZ"/>
              </w:rPr>
              <w:t>28000</w:t>
            </w:r>
          </w:p>
        </w:tc>
        <w:tc>
          <w:tcPr>
            <w:tcW w:w="1860" w:type="dxa"/>
            <w:tcBorders>
              <w:top w:val="nil"/>
              <w:left w:val="nil"/>
              <w:bottom w:val="single" w:sz="4" w:space="0" w:color="auto"/>
              <w:right w:val="single" w:sz="4" w:space="0" w:color="auto"/>
            </w:tcBorders>
            <w:shd w:val="clear" w:color="auto" w:fill="auto"/>
            <w:noWrap/>
            <w:vAlign w:val="bottom"/>
            <w:hideMark/>
          </w:tcPr>
          <w:p w14:paraId="2D50068A" w14:textId="77777777" w:rsidR="00215161" w:rsidRPr="00A63964" w:rsidRDefault="00215161" w:rsidP="00E70FEE">
            <w:pPr>
              <w:keepNext/>
              <w:ind w:firstLine="426"/>
              <w:jc w:val="right"/>
              <w:rPr>
                <w:rFonts w:eastAsia="Times New Roman"/>
                <w:color w:val="000000"/>
                <w:sz w:val="22"/>
                <w:lang w:eastAsia="cs-CZ"/>
              </w:rPr>
            </w:pPr>
            <w:r w:rsidRPr="00A63964">
              <w:rPr>
                <w:rFonts w:eastAsia="Times New Roman"/>
                <w:color w:val="000000"/>
                <w:sz w:val="22"/>
                <w:lang w:eastAsia="cs-CZ"/>
              </w:rPr>
              <w:t>31210</w:t>
            </w:r>
          </w:p>
        </w:tc>
        <w:tc>
          <w:tcPr>
            <w:tcW w:w="1860" w:type="dxa"/>
            <w:tcBorders>
              <w:top w:val="nil"/>
              <w:left w:val="nil"/>
              <w:bottom w:val="single" w:sz="4" w:space="0" w:color="auto"/>
              <w:right w:val="single" w:sz="4" w:space="0" w:color="auto"/>
            </w:tcBorders>
            <w:shd w:val="clear" w:color="auto" w:fill="auto"/>
            <w:noWrap/>
            <w:vAlign w:val="bottom"/>
            <w:hideMark/>
          </w:tcPr>
          <w:p w14:paraId="7217A9E8" w14:textId="77777777" w:rsidR="00215161" w:rsidRPr="00A63964" w:rsidRDefault="00215161" w:rsidP="00E70FEE">
            <w:pPr>
              <w:keepNext/>
              <w:ind w:firstLine="426"/>
              <w:jc w:val="right"/>
              <w:rPr>
                <w:rFonts w:eastAsia="Times New Roman"/>
                <w:color w:val="000000"/>
                <w:sz w:val="22"/>
                <w:lang w:eastAsia="cs-CZ"/>
              </w:rPr>
            </w:pPr>
            <w:r w:rsidRPr="00A63964">
              <w:rPr>
                <w:rFonts w:eastAsia="Times New Roman"/>
                <w:color w:val="000000"/>
                <w:sz w:val="22"/>
                <w:lang w:eastAsia="cs-CZ"/>
              </w:rPr>
              <w:t>29422</w:t>
            </w:r>
          </w:p>
        </w:tc>
        <w:tc>
          <w:tcPr>
            <w:tcW w:w="2078" w:type="dxa"/>
            <w:tcBorders>
              <w:top w:val="nil"/>
              <w:left w:val="nil"/>
              <w:bottom w:val="single" w:sz="4" w:space="0" w:color="auto"/>
              <w:right w:val="single" w:sz="4" w:space="0" w:color="auto"/>
            </w:tcBorders>
            <w:shd w:val="clear" w:color="auto" w:fill="auto"/>
            <w:noWrap/>
            <w:vAlign w:val="bottom"/>
            <w:hideMark/>
          </w:tcPr>
          <w:p w14:paraId="10DE17F4" w14:textId="77777777" w:rsidR="00215161" w:rsidRPr="00A63964" w:rsidRDefault="00215161" w:rsidP="00E70FEE">
            <w:pPr>
              <w:keepNext/>
              <w:ind w:firstLine="426"/>
              <w:jc w:val="right"/>
              <w:rPr>
                <w:rFonts w:eastAsia="Times New Roman"/>
                <w:color w:val="000000"/>
                <w:sz w:val="22"/>
                <w:lang w:eastAsia="cs-CZ"/>
              </w:rPr>
            </w:pPr>
            <w:r w:rsidRPr="00A63964">
              <w:rPr>
                <w:rFonts w:eastAsia="Times New Roman"/>
                <w:color w:val="000000"/>
                <w:sz w:val="22"/>
                <w:lang w:eastAsia="cs-CZ"/>
              </w:rPr>
              <w:t>31986</w:t>
            </w:r>
          </w:p>
        </w:tc>
      </w:tr>
      <w:tr w:rsidR="00215161" w:rsidRPr="00A63964" w14:paraId="7814741E" w14:textId="77777777" w:rsidTr="0073473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C0DC0B1" w14:textId="77777777" w:rsidR="00215161" w:rsidRPr="00A63964" w:rsidRDefault="00215161" w:rsidP="00E70FEE">
            <w:pPr>
              <w:keepNext/>
              <w:ind w:firstLine="426"/>
              <w:jc w:val="right"/>
              <w:rPr>
                <w:rFonts w:eastAsia="Times New Roman"/>
                <w:color w:val="000000"/>
                <w:sz w:val="22"/>
                <w:lang w:eastAsia="cs-CZ"/>
              </w:rPr>
            </w:pPr>
            <w:r w:rsidRPr="00A63964">
              <w:rPr>
                <w:rFonts w:eastAsia="Times New Roman"/>
                <w:color w:val="000000"/>
                <w:sz w:val="22"/>
                <w:lang w:eastAsia="cs-CZ"/>
              </w:rPr>
              <w:t>30000</w:t>
            </w:r>
          </w:p>
        </w:tc>
        <w:tc>
          <w:tcPr>
            <w:tcW w:w="1860" w:type="dxa"/>
            <w:tcBorders>
              <w:top w:val="nil"/>
              <w:left w:val="nil"/>
              <w:bottom w:val="single" w:sz="4" w:space="0" w:color="auto"/>
              <w:right w:val="single" w:sz="4" w:space="0" w:color="auto"/>
            </w:tcBorders>
            <w:shd w:val="clear" w:color="auto" w:fill="auto"/>
            <w:noWrap/>
            <w:vAlign w:val="bottom"/>
            <w:hideMark/>
          </w:tcPr>
          <w:p w14:paraId="26A60578" w14:textId="77777777" w:rsidR="00215161" w:rsidRPr="00A63964" w:rsidRDefault="00215161" w:rsidP="00E70FEE">
            <w:pPr>
              <w:keepNext/>
              <w:ind w:firstLine="426"/>
              <w:jc w:val="right"/>
              <w:rPr>
                <w:rFonts w:eastAsia="Times New Roman"/>
                <w:color w:val="000000"/>
                <w:sz w:val="22"/>
                <w:lang w:eastAsia="cs-CZ"/>
              </w:rPr>
            </w:pPr>
            <w:r w:rsidRPr="00A63964">
              <w:rPr>
                <w:rFonts w:eastAsia="Times New Roman"/>
                <w:color w:val="000000"/>
                <w:sz w:val="22"/>
                <w:lang w:eastAsia="cs-CZ"/>
              </w:rPr>
              <w:t>33451</w:t>
            </w:r>
          </w:p>
        </w:tc>
        <w:tc>
          <w:tcPr>
            <w:tcW w:w="1860" w:type="dxa"/>
            <w:tcBorders>
              <w:top w:val="nil"/>
              <w:left w:val="nil"/>
              <w:bottom w:val="single" w:sz="4" w:space="0" w:color="auto"/>
              <w:right w:val="single" w:sz="4" w:space="0" w:color="auto"/>
            </w:tcBorders>
            <w:shd w:val="clear" w:color="auto" w:fill="auto"/>
            <w:noWrap/>
            <w:vAlign w:val="bottom"/>
            <w:hideMark/>
          </w:tcPr>
          <w:p w14:paraId="4A2C84CA" w14:textId="77777777" w:rsidR="00215161" w:rsidRPr="00A63964" w:rsidRDefault="00215161" w:rsidP="00E70FEE">
            <w:pPr>
              <w:keepNext/>
              <w:ind w:firstLine="426"/>
              <w:jc w:val="right"/>
              <w:rPr>
                <w:rFonts w:eastAsia="Times New Roman"/>
                <w:color w:val="000000"/>
                <w:sz w:val="22"/>
                <w:lang w:eastAsia="cs-CZ"/>
              </w:rPr>
            </w:pPr>
            <w:r w:rsidRPr="00A63964">
              <w:rPr>
                <w:rFonts w:eastAsia="Times New Roman"/>
                <w:color w:val="000000"/>
                <w:sz w:val="22"/>
                <w:lang w:eastAsia="cs-CZ"/>
              </w:rPr>
              <w:t>31480</w:t>
            </w:r>
          </w:p>
        </w:tc>
        <w:tc>
          <w:tcPr>
            <w:tcW w:w="2078" w:type="dxa"/>
            <w:tcBorders>
              <w:top w:val="nil"/>
              <w:left w:val="nil"/>
              <w:bottom w:val="single" w:sz="4" w:space="0" w:color="auto"/>
              <w:right w:val="single" w:sz="4" w:space="0" w:color="auto"/>
            </w:tcBorders>
            <w:shd w:val="clear" w:color="auto" w:fill="auto"/>
            <w:noWrap/>
            <w:vAlign w:val="bottom"/>
            <w:hideMark/>
          </w:tcPr>
          <w:p w14:paraId="28EF1C11" w14:textId="77777777" w:rsidR="00215161" w:rsidRPr="00A63964" w:rsidRDefault="00215161" w:rsidP="00E70FEE">
            <w:pPr>
              <w:keepNext/>
              <w:ind w:firstLine="426"/>
              <w:jc w:val="right"/>
              <w:rPr>
                <w:rFonts w:eastAsia="Times New Roman"/>
                <w:color w:val="000000"/>
                <w:sz w:val="22"/>
                <w:lang w:eastAsia="cs-CZ"/>
              </w:rPr>
            </w:pPr>
            <w:r w:rsidRPr="00A63964">
              <w:rPr>
                <w:rFonts w:eastAsia="Times New Roman"/>
                <w:color w:val="000000"/>
                <w:sz w:val="22"/>
                <w:lang w:eastAsia="cs-CZ"/>
              </w:rPr>
              <w:t>34292</w:t>
            </w:r>
          </w:p>
        </w:tc>
      </w:tr>
    </w:tbl>
    <w:p w14:paraId="43B788BA" w14:textId="77777777" w:rsidR="00215161" w:rsidRPr="00215161" w:rsidRDefault="00215161" w:rsidP="00E70FEE">
      <w:pPr>
        <w:spacing w:before="160"/>
        <w:ind w:firstLine="426"/>
        <w:rPr>
          <w:szCs w:val="24"/>
        </w:rPr>
      </w:pPr>
      <w:r w:rsidRPr="00215161">
        <w:rPr>
          <w:szCs w:val="24"/>
        </w:rPr>
        <w:t>Odlišný dopad by měla navrhovaná úprava i do zvýšení důchodů v lednu 2024 a tedy výši vypláceného důchodu od ledna 2024. Vyplácená výše důchodu od ledna 2024 by byla vyšší než podle současných pravidel</w:t>
      </w:r>
      <w:r w:rsidR="005548A3">
        <w:rPr>
          <w:szCs w:val="24"/>
        </w:rPr>
        <w:t>. Úspora dočasným pří</w:t>
      </w:r>
      <w:r w:rsidR="004B693F">
        <w:rPr>
          <w:szCs w:val="24"/>
        </w:rPr>
        <w:t>davkem</w:t>
      </w:r>
      <w:r w:rsidR="00294E0D">
        <w:rPr>
          <w:szCs w:val="24"/>
        </w:rPr>
        <w:t xml:space="preserve"> </w:t>
      </w:r>
      <w:r w:rsidR="005548A3">
        <w:rPr>
          <w:szCs w:val="24"/>
        </w:rPr>
        <w:t>je realizována jen v roce, ve kterém se pří</w:t>
      </w:r>
      <w:r w:rsidR="004B693F">
        <w:rPr>
          <w:szCs w:val="24"/>
        </w:rPr>
        <w:t>davek</w:t>
      </w:r>
      <w:r w:rsidR="005548A3">
        <w:rPr>
          <w:szCs w:val="24"/>
        </w:rPr>
        <w:t xml:space="preserve"> vyplácí, nikoli trvale</w:t>
      </w:r>
      <w:r w:rsidRPr="00215161">
        <w:rPr>
          <w:szCs w:val="24"/>
        </w:rPr>
        <w:t>.</w:t>
      </w:r>
    </w:p>
    <w:p w14:paraId="73051BB6" w14:textId="77777777" w:rsidR="00A718E3" w:rsidRPr="00215161" w:rsidRDefault="00F5445A" w:rsidP="00F5445A">
      <w:pPr>
        <w:spacing w:before="240" w:after="240"/>
        <w:rPr>
          <w:b/>
          <w:bCs/>
          <w:szCs w:val="24"/>
        </w:rPr>
      </w:pPr>
      <w:r>
        <w:rPr>
          <w:b/>
          <w:bCs/>
          <w:szCs w:val="24"/>
        </w:rPr>
        <w:t xml:space="preserve">6. </w:t>
      </w:r>
      <w:r w:rsidR="00A718E3" w:rsidRPr="00215161">
        <w:rPr>
          <w:b/>
          <w:bCs/>
          <w:szCs w:val="24"/>
        </w:rPr>
        <w:t>Dopad na životní prostředí</w:t>
      </w:r>
    </w:p>
    <w:p w14:paraId="260514A6" w14:textId="77777777" w:rsidR="00A718E3" w:rsidRPr="00215161" w:rsidRDefault="00A718E3" w:rsidP="00E70FEE">
      <w:pPr>
        <w:spacing w:before="120"/>
        <w:ind w:firstLine="426"/>
        <w:rPr>
          <w:szCs w:val="24"/>
        </w:rPr>
      </w:pPr>
      <w:r w:rsidRPr="00215161">
        <w:rPr>
          <w:szCs w:val="24"/>
        </w:rPr>
        <w:t>Změny nemají dopad na životní prostředí.</w:t>
      </w:r>
    </w:p>
    <w:p w14:paraId="2BF5DDC7" w14:textId="77777777" w:rsidR="00651C19" w:rsidRDefault="00F5445A" w:rsidP="00F5445A">
      <w:pPr>
        <w:pStyle w:val="Nadpis1"/>
        <w:numPr>
          <w:ilvl w:val="0"/>
          <w:numId w:val="0"/>
        </w:numPr>
        <w:spacing w:after="0"/>
        <w:ind w:left="340" w:hanging="340"/>
        <w:rPr>
          <w:szCs w:val="24"/>
          <w:lang w:eastAsia="cs-CZ"/>
        </w:rPr>
      </w:pPr>
      <w:r>
        <w:rPr>
          <w:szCs w:val="24"/>
        </w:rPr>
        <w:t xml:space="preserve">7. </w:t>
      </w:r>
      <w:r w:rsidR="00651C19" w:rsidRPr="00215161">
        <w:rPr>
          <w:szCs w:val="24"/>
        </w:rPr>
        <w:t>Zhodnocení</w:t>
      </w:r>
      <w:r w:rsidR="00651C19" w:rsidRPr="00215161">
        <w:rPr>
          <w:szCs w:val="24"/>
          <w:lang w:eastAsia="cs-CZ"/>
        </w:rPr>
        <w:t xml:space="preserve"> dopadů navrhovaného řešení ve vztahu k ochraně soukromí a osobních údajů</w:t>
      </w:r>
    </w:p>
    <w:p w14:paraId="1249DAFC" w14:textId="77777777" w:rsidR="00E23E9D" w:rsidRPr="00E23E9D" w:rsidRDefault="00E23E9D" w:rsidP="00E23E9D">
      <w:pPr>
        <w:rPr>
          <w:lang w:eastAsia="cs-CZ"/>
        </w:rPr>
      </w:pPr>
    </w:p>
    <w:p w14:paraId="3662B829" w14:textId="77777777" w:rsidR="00E83010" w:rsidRPr="00215161" w:rsidRDefault="009E1DE0" w:rsidP="00E70FEE">
      <w:pPr>
        <w:autoSpaceDE w:val="0"/>
        <w:autoSpaceDN w:val="0"/>
        <w:adjustRightInd w:val="0"/>
        <w:spacing w:before="120"/>
        <w:ind w:firstLine="426"/>
        <w:rPr>
          <w:bCs/>
          <w:szCs w:val="24"/>
        </w:rPr>
      </w:pPr>
      <w:r w:rsidRPr="00215161">
        <w:rPr>
          <w:bCs/>
          <w:szCs w:val="24"/>
        </w:rPr>
        <w:t xml:space="preserve">Návrh nepřináší žádné změny z hlediska </w:t>
      </w:r>
      <w:r w:rsidRPr="00215161">
        <w:rPr>
          <w:szCs w:val="24"/>
          <w:lang w:eastAsia="cs-CZ"/>
        </w:rPr>
        <w:t>ochran</w:t>
      </w:r>
      <w:r w:rsidR="00FA5690" w:rsidRPr="00215161">
        <w:rPr>
          <w:szCs w:val="24"/>
          <w:lang w:eastAsia="cs-CZ"/>
        </w:rPr>
        <w:t>y</w:t>
      </w:r>
      <w:r w:rsidRPr="00215161">
        <w:rPr>
          <w:szCs w:val="24"/>
          <w:lang w:eastAsia="cs-CZ"/>
        </w:rPr>
        <w:t xml:space="preserve"> soukromí a osobních údajů ve srovnání s dosavadní právní úpravou.</w:t>
      </w:r>
    </w:p>
    <w:p w14:paraId="043FC2BB" w14:textId="77777777" w:rsidR="00B94CE9" w:rsidRDefault="00F5445A" w:rsidP="00F5445A">
      <w:pPr>
        <w:pStyle w:val="Nadpis1"/>
        <w:numPr>
          <w:ilvl w:val="0"/>
          <w:numId w:val="0"/>
        </w:numPr>
        <w:spacing w:after="0"/>
        <w:ind w:left="700" w:hanging="700"/>
        <w:rPr>
          <w:color w:val="000000"/>
          <w:szCs w:val="24"/>
        </w:rPr>
      </w:pPr>
      <w:r>
        <w:rPr>
          <w:color w:val="000000"/>
          <w:szCs w:val="24"/>
        </w:rPr>
        <w:t xml:space="preserve">8. </w:t>
      </w:r>
      <w:r w:rsidR="00651C19" w:rsidRPr="00215161">
        <w:rPr>
          <w:color w:val="000000"/>
          <w:szCs w:val="24"/>
        </w:rPr>
        <w:t xml:space="preserve">Zhodnocení </w:t>
      </w:r>
      <w:r w:rsidR="00651C19" w:rsidRPr="00215161">
        <w:rPr>
          <w:szCs w:val="24"/>
        </w:rPr>
        <w:t>korupčních</w:t>
      </w:r>
      <w:r w:rsidR="00651C19" w:rsidRPr="00215161">
        <w:rPr>
          <w:color w:val="000000"/>
          <w:szCs w:val="24"/>
        </w:rPr>
        <w:t xml:space="preserve"> rizik</w:t>
      </w:r>
      <w:r w:rsidR="0075317F" w:rsidRPr="00215161">
        <w:rPr>
          <w:color w:val="000000"/>
          <w:szCs w:val="24"/>
        </w:rPr>
        <w:t xml:space="preserve"> </w:t>
      </w:r>
    </w:p>
    <w:p w14:paraId="1D1E3E80" w14:textId="77777777" w:rsidR="00E23E9D" w:rsidRPr="00E23E9D" w:rsidRDefault="00E23E9D" w:rsidP="00E23E9D"/>
    <w:p w14:paraId="2C5081AD" w14:textId="77777777" w:rsidR="00EF4921" w:rsidRPr="00215161" w:rsidRDefault="00EF4921" w:rsidP="00E70FEE">
      <w:pPr>
        <w:autoSpaceDE w:val="0"/>
        <w:autoSpaceDN w:val="0"/>
        <w:adjustRightInd w:val="0"/>
        <w:spacing w:before="120"/>
        <w:ind w:firstLine="426"/>
        <w:rPr>
          <w:szCs w:val="24"/>
        </w:rPr>
      </w:pPr>
      <w:r w:rsidRPr="00215161">
        <w:rPr>
          <w:szCs w:val="24"/>
        </w:rPr>
        <w:t>Návrh zákona nepřináší žádná korupční rizika.</w:t>
      </w:r>
    </w:p>
    <w:p w14:paraId="278BA723" w14:textId="77777777" w:rsidR="00651C19" w:rsidRDefault="00F5445A" w:rsidP="00F5445A">
      <w:pPr>
        <w:pStyle w:val="Nadpis1"/>
        <w:numPr>
          <w:ilvl w:val="0"/>
          <w:numId w:val="0"/>
        </w:numPr>
        <w:spacing w:after="0"/>
        <w:rPr>
          <w:color w:val="000000"/>
          <w:szCs w:val="24"/>
          <w:lang w:eastAsia="cs-CZ"/>
        </w:rPr>
      </w:pPr>
      <w:r>
        <w:rPr>
          <w:color w:val="000000"/>
          <w:szCs w:val="24"/>
        </w:rPr>
        <w:lastRenderedPageBreak/>
        <w:t xml:space="preserve">9. </w:t>
      </w:r>
      <w:r w:rsidR="00651C19" w:rsidRPr="00215161">
        <w:rPr>
          <w:color w:val="000000"/>
          <w:szCs w:val="24"/>
        </w:rPr>
        <w:t>Zhodnocení</w:t>
      </w:r>
      <w:r w:rsidR="00651C19" w:rsidRPr="00215161">
        <w:rPr>
          <w:color w:val="000000"/>
          <w:szCs w:val="24"/>
          <w:lang w:eastAsia="cs-CZ"/>
        </w:rPr>
        <w:t xml:space="preserve"> </w:t>
      </w:r>
      <w:r w:rsidR="00651C19" w:rsidRPr="00215161">
        <w:rPr>
          <w:szCs w:val="24"/>
        </w:rPr>
        <w:t>dopadů</w:t>
      </w:r>
      <w:r w:rsidR="00651C19" w:rsidRPr="00215161">
        <w:rPr>
          <w:color w:val="000000"/>
          <w:szCs w:val="24"/>
          <w:lang w:eastAsia="cs-CZ"/>
        </w:rPr>
        <w:t xml:space="preserve"> na bezpečnost nebo obranu státu</w:t>
      </w:r>
    </w:p>
    <w:p w14:paraId="3397A2A9" w14:textId="77777777" w:rsidR="00E23E9D" w:rsidRPr="00E23E9D" w:rsidRDefault="00E23E9D" w:rsidP="00E23E9D">
      <w:pPr>
        <w:rPr>
          <w:lang w:eastAsia="cs-CZ"/>
        </w:rPr>
      </w:pPr>
    </w:p>
    <w:p w14:paraId="5B480908" w14:textId="77777777" w:rsidR="00EF4921" w:rsidRPr="00215161" w:rsidRDefault="00EF4921" w:rsidP="00E70FEE">
      <w:pPr>
        <w:autoSpaceDE w:val="0"/>
        <w:autoSpaceDN w:val="0"/>
        <w:adjustRightInd w:val="0"/>
        <w:spacing w:before="120"/>
        <w:ind w:firstLine="426"/>
        <w:rPr>
          <w:szCs w:val="24"/>
        </w:rPr>
      </w:pPr>
      <w:r w:rsidRPr="00215161">
        <w:rPr>
          <w:szCs w:val="24"/>
        </w:rPr>
        <w:t>Návrh zákona nemá vliv na bezpečnost nebo obranu státu.</w:t>
      </w:r>
    </w:p>
    <w:p w14:paraId="758F575D" w14:textId="77777777" w:rsidR="00CD6A36" w:rsidRDefault="00F5445A" w:rsidP="00F5445A">
      <w:pPr>
        <w:pStyle w:val="Nadpis1"/>
        <w:numPr>
          <w:ilvl w:val="0"/>
          <w:numId w:val="0"/>
        </w:numPr>
        <w:spacing w:after="0"/>
        <w:ind w:left="426" w:hanging="426"/>
        <w:rPr>
          <w:color w:val="000000"/>
          <w:szCs w:val="24"/>
        </w:rPr>
      </w:pPr>
      <w:r>
        <w:rPr>
          <w:color w:val="000000"/>
          <w:szCs w:val="24"/>
        </w:rPr>
        <w:t xml:space="preserve">10. </w:t>
      </w:r>
      <w:r w:rsidR="00CD6A36" w:rsidRPr="00215161">
        <w:rPr>
          <w:color w:val="000000"/>
          <w:szCs w:val="24"/>
        </w:rPr>
        <w:t xml:space="preserve">Zhodnocení </w:t>
      </w:r>
      <w:r w:rsidR="00CD6A36" w:rsidRPr="00215161">
        <w:rPr>
          <w:szCs w:val="24"/>
        </w:rPr>
        <w:t>souladu</w:t>
      </w:r>
      <w:r w:rsidR="00CD6A36" w:rsidRPr="00215161">
        <w:rPr>
          <w:color w:val="000000"/>
          <w:szCs w:val="24"/>
        </w:rPr>
        <w:t xml:space="preserve"> navrhované právní úpravy se Zásadami pro tvorbu digitálně přívětivé legislativy</w:t>
      </w:r>
    </w:p>
    <w:p w14:paraId="1717745D" w14:textId="77777777" w:rsidR="00E23E9D" w:rsidRPr="00E23E9D" w:rsidRDefault="00E23E9D" w:rsidP="00E23E9D"/>
    <w:p w14:paraId="79D7C4B6" w14:textId="77777777" w:rsidR="005B1845" w:rsidRPr="00215161" w:rsidRDefault="009E1DE0" w:rsidP="00E70FEE">
      <w:pPr>
        <w:suppressAutoHyphens/>
        <w:spacing w:before="120"/>
        <w:ind w:firstLine="426"/>
        <w:rPr>
          <w:szCs w:val="24"/>
        </w:rPr>
      </w:pPr>
      <w:r w:rsidRPr="00215161">
        <w:rPr>
          <w:szCs w:val="24"/>
        </w:rPr>
        <w:t>Návrh je v souladu se všemi zásadami pro tvorbu digitálně přívětivé legislativy</w:t>
      </w:r>
      <w:r w:rsidR="00F50188" w:rsidRPr="00215161">
        <w:rPr>
          <w:szCs w:val="24"/>
        </w:rPr>
        <w:t>, která není návrhem zákona nijak dotčena</w:t>
      </w:r>
      <w:r w:rsidRPr="00215161">
        <w:rPr>
          <w:szCs w:val="24"/>
        </w:rPr>
        <w:t xml:space="preserve">. </w:t>
      </w:r>
    </w:p>
    <w:p w14:paraId="65A26B68" w14:textId="77777777" w:rsidR="009E1DE0" w:rsidRDefault="009E1DE0" w:rsidP="00E70FEE">
      <w:pPr>
        <w:suppressAutoHyphens/>
        <w:spacing w:before="120"/>
        <w:ind w:firstLine="426"/>
        <w:rPr>
          <w:szCs w:val="24"/>
        </w:rPr>
      </w:pPr>
      <w:r w:rsidRPr="00215161">
        <w:rPr>
          <w:szCs w:val="24"/>
        </w:rPr>
        <w:t xml:space="preserve">Ve srovnání s dosavadním stavem </w:t>
      </w:r>
      <w:r w:rsidR="005B1845" w:rsidRPr="00215161">
        <w:rPr>
          <w:szCs w:val="24"/>
        </w:rPr>
        <w:t>ne</w:t>
      </w:r>
      <w:r w:rsidRPr="00215161">
        <w:rPr>
          <w:szCs w:val="24"/>
        </w:rPr>
        <w:t xml:space="preserve">přináší </w:t>
      </w:r>
      <w:r w:rsidR="005B1845" w:rsidRPr="00215161">
        <w:rPr>
          <w:szCs w:val="24"/>
        </w:rPr>
        <w:t xml:space="preserve">žádnou změnu </w:t>
      </w:r>
      <w:r w:rsidRPr="00215161">
        <w:rPr>
          <w:szCs w:val="24"/>
        </w:rPr>
        <w:t>z hlediska eGovernmentu. Při</w:t>
      </w:r>
      <w:r w:rsidR="00C25EB4">
        <w:rPr>
          <w:szCs w:val="24"/>
        </w:rPr>
        <w:t> </w:t>
      </w:r>
      <w:r w:rsidR="005B1845" w:rsidRPr="00215161">
        <w:rPr>
          <w:szCs w:val="24"/>
        </w:rPr>
        <w:t xml:space="preserve">postupu plátců důchodu </w:t>
      </w:r>
      <w:r w:rsidRPr="00215161">
        <w:rPr>
          <w:szCs w:val="24"/>
        </w:rPr>
        <w:t xml:space="preserve">budou využívány údaje, které již </w:t>
      </w:r>
      <w:r w:rsidR="005B1845" w:rsidRPr="00215161">
        <w:rPr>
          <w:szCs w:val="24"/>
        </w:rPr>
        <w:t xml:space="preserve">tito plátci </w:t>
      </w:r>
      <w:r w:rsidRPr="00215161">
        <w:rPr>
          <w:szCs w:val="24"/>
        </w:rPr>
        <w:t>mají k dispozici v rámci základních registrů veřejné správy nebo agendových informačních systémů, které sam</w:t>
      </w:r>
      <w:r w:rsidR="00E23E9D">
        <w:rPr>
          <w:szCs w:val="24"/>
        </w:rPr>
        <w:t>i</w:t>
      </w:r>
      <w:r w:rsidRPr="00215161">
        <w:rPr>
          <w:szCs w:val="24"/>
        </w:rPr>
        <w:t xml:space="preserve"> vedou. </w:t>
      </w:r>
    </w:p>
    <w:p w14:paraId="22FF6733" w14:textId="77777777" w:rsidR="00E23E9D" w:rsidRDefault="00E23E9D" w:rsidP="00E70FEE">
      <w:pPr>
        <w:suppressAutoHyphens/>
        <w:spacing w:before="120"/>
        <w:ind w:firstLine="426"/>
        <w:rPr>
          <w:szCs w:val="24"/>
        </w:rPr>
      </w:pPr>
    </w:p>
    <w:p w14:paraId="3B26D104" w14:textId="77777777" w:rsidR="00E23E9D" w:rsidRDefault="00E23E9D" w:rsidP="00E23E9D">
      <w:pPr>
        <w:suppressAutoHyphens/>
        <w:spacing w:before="120"/>
        <w:rPr>
          <w:b/>
          <w:bCs/>
          <w:szCs w:val="24"/>
        </w:rPr>
      </w:pPr>
      <w:r w:rsidRPr="00E23E9D">
        <w:rPr>
          <w:b/>
          <w:bCs/>
          <w:szCs w:val="24"/>
        </w:rPr>
        <w:t xml:space="preserve">11. </w:t>
      </w:r>
      <w:r>
        <w:rPr>
          <w:b/>
          <w:bCs/>
          <w:szCs w:val="24"/>
        </w:rPr>
        <w:t>Zhodnocení dopadů ve vztahu k ochraně soukromí a osobních údajů</w:t>
      </w:r>
    </w:p>
    <w:p w14:paraId="5B2D56DA" w14:textId="77777777" w:rsidR="00E23E9D" w:rsidRDefault="00E23E9D" w:rsidP="00E23E9D">
      <w:pPr>
        <w:suppressAutoHyphens/>
        <w:spacing w:before="120"/>
        <w:rPr>
          <w:b/>
          <w:bCs/>
          <w:szCs w:val="24"/>
        </w:rPr>
      </w:pPr>
    </w:p>
    <w:p w14:paraId="7569BF36" w14:textId="77777777" w:rsidR="00E23E9D" w:rsidRDefault="00E23E9D" w:rsidP="00E23E9D">
      <w:pPr>
        <w:suppressAutoHyphens/>
        <w:spacing w:before="120"/>
        <w:rPr>
          <w:szCs w:val="24"/>
        </w:rPr>
      </w:pPr>
      <w:r>
        <w:rPr>
          <w:b/>
          <w:bCs/>
          <w:szCs w:val="24"/>
        </w:rPr>
        <w:t xml:space="preserve">       </w:t>
      </w:r>
      <w:r>
        <w:rPr>
          <w:szCs w:val="24"/>
        </w:rPr>
        <w:t>Návrh vzhledem ke svému obsahu nemá vztah k ochraně soukromí a osobních údajů.</w:t>
      </w:r>
    </w:p>
    <w:p w14:paraId="74D96889" w14:textId="77777777" w:rsidR="00E23E9D" w:rsidRDefault="00E23E9D" w:rsidP="00E23E9D">
      <w:pPr>
        <w:suppressAutoHyphens/>
        <w:spacing w:before="120"/>
        <w:rPr>
          <w:szCs w:val="24"/>
        </w:rPr>
      </w:pPr>
    </w:p>
    <w:p w14:paraId="538C3B97" w14:textId="77777777" w:rsidR="00E23E9D" w:rsidRDefault="00E23E9D" w:rsidP="00E23E9D">
      <w:pPr>
        <w:suppressAutoHyphens/>
        <w:spacing w:before="120"/>
        <w:rPr>
          <w:b/>
          <w:bCs/>
          <w:szCs w:val="24"/>
        </w:rPr>
      </w:pPr>
      <w:r w:rsidRPr="00E23E9D">
        <w:rPr>
          <w:b/>
          <w:bCs/>
          <w:szCs w:val="24"/>
        </w:rPr>
        <w:t xml:space="preserve">12. Zhodnocení územních dopadů </w:t>
      </w:r>
    </w:p>
    <w:p w14:paraId="45D6F861" w14:textId="77777777" w:rsidR="00E23E9D" w:rsidRDefault="00E23E9D" w:rsidP="00E23E9D">
      <w:pPr>
        <w:suppressAutoHyphens/>
        <w:spacing w:before="120"/>
        <w:rPr>
          <w:b/>
          <w:bCs/>
          <w:szCs w:val="24"/>
        </w:rPr>
      </w:pPr>
    </w:p>
    <w:p w14:paraId="630389FC" w14:textId="77777777" w:rsidR="00E23E9D" w:rsidRDefault="00E23E9D" w:rsidP="00E23E9D">
      <w:pPr>
        <w:suppressAutoHyphens/>
        <w:spacing w:before="120"/>
        <w:rPr>
          <w:szCs w:val="24"/>
        </w:rPr>
      </w:pPr>
      <w:r>
        <w:rPr>
          <w:b/>
          <w:bCs/>
          <w:szCs w:val="24"/>
        </w:rPr>
        <w:t xml:space="preserve">       </w:t>
      </w:r>
      <w:r>
        <w:rPr>
          <w:szCs w:val="24"/>
        </w:rPr>
        <w:t>Návrh vzhledem ke svému obsahu nemá žádné územní dopady, včetně dopadů na územní samosprávné celky.</w:t>
      </w:r>
    </w:p>
    <w:p w14:paraId="19D18634" w14:textId="77777777" w:rsidR="00E23E9D" w:rsidRDefault="00E23E9D" w:rsidP="00E23E9D">
      <w:pPr>
        <w:suppressAutoHyphens/>
        <w:spacing w:before="120"/>
        <w:rPr>
          <w:szCs w:val="24"/>
        </w:rPr>
      </w:pPr>
    </w:p>
    <w:p w14:paraId="161643D2" w14:textId="77777777" w:rsidR="00E23E9D" w:rsidRDefault="00E23E9D" w:rsidP="00E23E9D">
      <w:pPr>
        <w:suppressAutoHyphens/>
        <w:spacing w:before="120"/>
        <w:rPr>
          <w:b/>
          <w:bCs/>
          <w:szCs w:val="24"/>
        </w:rPr>
      </w:pPr>
      <w:r w:rsidRPr="00E23E9D">
        <w:rPr>
          <w:b/>
          <w:bCs/>
          <w:szCs w:val="24"/>
        </w:rPr>
        <w:t>13. Dopady na rodiny</w:t>
      </w:r>
    </w:p>
    <w:p w14:paraId="6F349B57" w14:textId="77777777" w:rsidR="00E23E9D" w:rsidRDefault="00E23E9D" w:rsidP="00E23E9D">
      <w:pPr>
        <w:suppressAutoHyphens/>
        <w:spacing w:before="120"/>
        <w:rPr>
          <w:b/>
          <w:bCs/>
          <w:szCs w:val="24"/>
        </w:rPr>
      </w:pPr>
    </w:p>
    <w:p w14:paraId="50384075" w14:textId="77777777" w:rsidR="00E23E9D" w:rsidRPr="00E23E9D" w:rsidRDefault="00E23E9D" w:rsidP="00E23E9D">
      <w:pPr>
        <w:suppressAutoHyphens/>
        <w:spacing w:before="120"/>
        <w:rPr>
          <w:szCs w:val="24"/>
        </w:rPr>
      </w:pPr>
      <w:r>
        <w:rPr>
          <w:b/>
          <w:bCs/>
          <w:szCs w:val="24"/>
        </w:rPr>
        <w:t xml:space="preserve">        </w:t>
      </w:r>
      <w:r>
        <w:rPr>
          <w:szCs w:val="24"/>
        </w:rPr>
        <w:t>Návrh nemá přímý dopad na rodiny. Na rodiny a vyživované osoby má vztah nepřímý, neboť návrh ovlivňuje výši důchodů</w:t>
      </w:r>
      <w:r w:rsidR="003920CC">
        <w:rPr>
          <w:szCs w:val="24"/>
        </w:rPr>
        <w:t xml:space="preserve"> a tím i výši příjmů</w:t>
      </w:r>
      <w:r>
        <w:rPr>
          <w:szCs w:val="24"/>
        </w:rPr>
        <w:t>.</w:t>
      </w:r>
    </w:p>
    <w:p w14:paraId="190D990E" w14:textId="77777777" w:rsidR="00CD6A36" w:rsidRDefault="00F5445A" w:rsidP="00F5445A">
      <w:pPr>
        <w:pStyle w:val="Nadpis1"/>
        <w:numPr>
          <w:ilvl w:val="0"/>
          <w:numId w:val="0"/>
        </w:numPr>
        <w:spacing w:after="0"/>
        <w:rPr>
          <w:color w:val="000000"/>
          <w:szCs w:val="24"/>
        </w:rPr>
      </w:pPr>
      <w:r>
        <w:rPr>
          <w:color w:val="000000"/>
          <w:szCs w:val="24"/>
        </w:rPr>
        <w:t>1</w:t>
      </w:r>
      <w:r w:rsidR="00E23E9D">
        <w:rPr>
          <w:color w:val="000000"/>
          <w:szCs w:val="24"/>
        </w:rPr>
        <w:t>4</w:t>
      </w:r>
      <w:r>
        <w:rPr>
          <w:color w:val="000000"/>
          <w:szCs w:val="24"/>
        </w:rPr>
        <w:t xml:space="preserve">. </w:t>
      </w:r>
      <w:r w:rsidR="00CD6A36" w:rsidRPr="00215161">
        <w:rPr>
          <w:color w:val="000000"/>
          <w:szCs w:val="24"/>
        </w:rPr>
        <w:t>Hodnocení dopadů regulace podle Obecných zásad</w:t>
      </w:r>
    </w:p>
    <w:p w14:paraId="39B56BAD" w14:textId="77777777" w:rsidR="00E23E9D" w:rsidRPr="00E23E9D" w:rsidRDefault="00E23E9D" w:rsidP="00E23E9D"/>
    <w:bookmarkEnd w:id="0"/>
    <w:p w14:paraId="7FF0B186" w14:textId="77777777" w:rsidR="004E7105" w:rsidRDefault="009E1DE0" w:rsidP="00E70FEE">
      <w:pPr>
        <w:suppressAutoHyphens/>
        <w:spacing w:before="120"/>
        <w:ind w:firstLine="426"/>
        <w:rPr>
          <w:color w:val="000000"/>
          <w:szCs w:val="24"/>
          <w:lang w:eastAsia="cs-CZ"/>
        </w:rPr>
      </w:pPr>
      <w:r w:rsidRPr="00215161">
        <w:rPr>
          <w:rFonts w:eastAsia="Times New Roman"/>
          <w:color w:val="000000"/>
          <w:szCs w:val="24"/>
          <w:lang w:eastAsia="cs-CZ"/>
        </w:rPr>
        <w:t xml:space="preserve">Vzhledem k urgentní povaze návrhu nebylo provedeno </w:t>
      </w:r>
      <w:r w:rsidRPr="00215161">
        <w:rPr>
          <w:color w:val="000000"/>
          <w:szCs w:val="24"/>
          <w:lang w:eastAsia="cs-CZ"/>
        </w:rPr>
        <w:t>hodnocení dopadů regulace podle Obecných zásad pro hodnocení dopadů regulace (RIA). Dopady jsou rozebrány v předchozích oddílech obecné části důvodové zprávy.</w:t>
      </w:r>
    </w:p>
    <w:p w14:paraId="4FD74E2D" w14:textId="77777777" w:rsidR="0032138D" w:rsidRDefault="0032138D" w:rsidP="00E70FEE">
      <w:pPr>
        <w:suppressAutoHyphens/>
        <w:spacing w:before="120"/>
        <w:ind w:firstLine="426"/>
        <w:rPr>
          <w:color w:val="000000"/>
          <w:szCs w:val="24"/>
          <w:lang w:eastAsia="cs-CZ"/>
        </w:rPr>
      </w:pPr>
    </w:p>
    <w:p w14:paraId="11DEEECA" w14:textId="77777777" w:rsidR="0032138D" w:rsidRDefault="0032138D" w:rsidP="00E70FEE">
      <w:pPr>
        <w:suppressAutoHyphens/>
        <w:spacing w:before="120"/>
        <w:ind w:firstLine="426"/>
        <w:rPr>
          <w:color w:val="000000"/>
          <w:szCs w:val="24"/>
          <w:lang w:eastAsia="cs-CZ"/>
        </w:rPr>
      </w:pPr>
    </w:p>
    <w:p w14:paraId="307B7813" w14:textId="77777777" w:rsidR="0032138D" w:rsidRDefault="0032138D" w:rsidP="00E70FEE">
      <w:pPr>
        <w:suppressAutoHyphens/>
        <w:spacing w:before="120"/>
        <w:ind w:firstLine="426"/>
        <w:rPr>
          <w:color w:val="000000"/>
          <w:szCs w:val="24"/>
          <w:lang w:eastAsia="cs-CZ"/>
        </w:rPr>
      </w:pPr>
    </w:p>
    <w:p w14:paraId="0BBA4FB1" w14:textId="77777777" w:rsidR="0032138D" w:rsidRDefault="0032138D" w:rsidP="00E70FEE">
      <w:pPr>
        <w:suppressAutoHyphens/>
        <w:spacing w:before="120"/>
        <w:ind w:firstLine="426"/>
        <w:rPr>
          <w:color w:val="000000"/>
          <w:szCs w:val="24"/>
          <w:lang w:eastAsia="cs-CZ"/>
        </w:rPr>
      </w:pPr>
    </w:p>
    <w:p w14:paraId="058FE42A" w14:textId="77777777" w:rsidR="0032138D" w:rsidRDefault="0032138D" w:rsidP="00E70FEE">
      <w:pPr>
        <w:suppressAutoHyphens/>
        <w:spacing w:before="120"/>
        <w:ind w:firstLine="426"/>
        <w:rPr>
          <w:color w:val="000000"/>
          <w:szCs w:val="24"/>
          <w:lang w:eastAsia="cs-CZ"/>
        </w:rPr>
      </w:pPr>
    </w:p>
    <w:p w14:paraId="7C30CED5" w14:textId="77777777" w:rsidR="0032138D" w:rsidRPr="00215161" w:rsidRDefault="0032138D" w:rsidP="00E70FEE">
      <w:pPr>
        <w:suppressAutoHyphens/>
        <w:spacing w:before="120"/>
        <w:ind w:firstLine="426"/>
        <w:rPr>
          <w:color w:val="000000"/>
          <w:szCs w:val="24"/>
          <w:lang w:eastAsia="cs-CZ"/>
        </w:rPr>
      </w:pPr>
    </w:p>
    <w:p w14:paraId="777BCEB1" w14:textId="77777777" w:rsidR="004E7105" w:rsidRPr="00215161" w:rsidRDefault="004E7105" w:rsidP="00E70FEE">
      <w:pPr>
        <w:widowControl w:val="0"/>
        <w:spacing w:before="120"/>
        <w:ind w:firstLine="426"/>
        <w:rPr>
          <w:bCs/>
          <w:szCs w:val="24"/>
        </w:rPr>
      </w:pPr>
    </w:p>
    <w:p w14:paraId="63B54C51" w14:textId="77777777" w:rsidR="00FA5690" w:rsidRPr="00215161" w:rsidRDefault="00FA5690" w:rsidP="00E70FEE">
      <w:pPr>
        <w:suppressAutoHyphens/>
        <w:spacing w:before="120"/>
        <w:ind w:left="426" w:firstLine="426"/>
        <w:rPr>
          <w:szCs w:val="24"/>
        </w:rPr>
      </w:pPr>
    </w:p>
    <w:p w14:paraId="3D3DAE8C" w14:textId="77777777" w:rsidR="006555A3" w:rsidRDefault="006555A3" w:rsidP="00F5445A">
      <w:pPr>
        <w:pStyle w:val="Bezmezer"/>
        <w:spacing w:line="240" w:lineRule="auto"/>
        <w:rPr>
          <w:b/>
          <w:bCs/>
          <w:sz w:val="24"/>
          <w:szCs w:val="24"/>
          <w:u w:val="single"/>
        </w:rPr>
      </w:pPr>
      <w:r w:rsidRPr="00215161">
        <w:rPr>
          <w:b/>
          <w:bCs/>
          <w:sz w:val="24"/>
          <w:szCs w:val="24"/>
          <w:u w:val="single"/>
        </w:rPr>
        <w:t xml:space="preserve">Zvláštní část </w:t>
      </w:r>
    </w:p>
    <w:p w14:paraId="025DF2A7" w14:textId="77777777" w:rsidR="00F5445A" w:rsidRDefault="00F5445A" w:rsidP="00F5445A">
      <w:pPr>
        <w:pStyle w:val="Bezmezer"/>
        <w:spacing w:line="240" w:lineRule="auto"/>
        <w:rPr>
          <w:b/>
          <w:bCs/>
          <w:sz w:val="24"/>
          <w:szCs w:val="24"/>
          <w:u w:val="single"/>
        </w:rPr>
      </w:pPr>
    </w:p>
    <w:p w14:paraId="69329036" w14:textId="77777777" w:rsidR="00F5445A" w:rsidRDefault="00F5445A" w:rsidP="00F5445A">
      <w:pPr>
        <w:pStyle w:val="Bezmezer"/>
        <w:spacing w:line="240" w:lineRule="auto"/>
        <w:rPr>
          <w:b/>
          <w:bCs/>
          <w:sz w:val="24"/>
          <w:szCs w:val="24"/>
          <w:u w:val="single"/>
        </w:rPr>
      </w:pPr>
      <w:r>
        <w:rPr>
          <w:b/>
          <w:bCs/>
          <w:sz w:val="24"/>
          <w:szCs w:val="24"/>
          <w:u w:val="single"/>
        </w:rPr>
        <w:t>K čl. I</w:t>
      </w:r>
    </w:p>
    <w:p w14:paraId="53D35384" w14:textId="77777777" w:rsidR="00F5445A" w:rsidRDefault="00F5445A" w:rsidP="00F5445A">
      <w:pPr>
        <w:pStyle w:val="Bezmezer"/>
        <w:spacing w:line="240" w:lineRule="auto"/>
        <w:rPr>
          <w:b/>
          <w:bCs/>
          <w:sz w:val="24"/>
          <w:szCs w:val="24"/>
          <w:u w:val="single"/>
        </w:rPr>
      </w:pPr>
    </w:p>
    <w:p w14:paraId="6D37CF02" w14:textId="77777777" w:rsidR="00F5445A" w:rsidRDefault="00F5445A" w:rsidP="00F5445A">
      <w:pPr>
        <w:pStyle w:val="Bezmezer"/>
        <w:spacing w:line="240" w:lineRule="auto"/>
        <w:rPr>
          <w:sz w:val="24"/>
          <w:szCs w:val="24"/>
          <w:u w:val="single"/>
        </w:rPr>
      </w:pPr>
      <w:r w:rsidRPr="00F5445A">
        <w:rPr>
          <w:sz w:val="24"/>
          <w:szCs w:val="24"/>
          <w:u w:val="single"/>
        </w:rPr>
        <w:t>K bodu 1</w:t>
      </w:r>
    </w:p>
    <w:p w14:paraId="110D7AB0" w14:textId="77777777" w:rsidR="00E23E9D" w:rsidRDefault="00E23E9D" w:rsidP="00F5445A">
      <w:pPr>
        <w:pStyle w:val="Bezmezer"/>
        <w:spacing w:line="240" w:lineRule="auto"/>
        <w:rPr>
          <w:sz w:val="24"/>
          <w:szCs w:val="24"/>
          <w:u w:val="single"/>
        </w:rPr>
      </w:pPr>
    </w:p>
    <w:p w14:paraId="4D286843" w14:textId="77777777" w:rsidR="00E23E9D" w:rsidRDefault="00E23E9D" w:rsidP="00F5445A">
      <w:pPr>
        <w:pStyle w:val="Bezmezer"/>
        <w:spacing w:line="240" w:lineRule="auto"/>
        <w:rPr>
          <w:sz w:val="24"/>
          <w:szCs w:val="24"/>
        </w:rPr>
      </w:pPr>
      <w:r w:rsidRPr="00E23E9D">
        <w:rPr>
          <w:sz w:val="24"/>
          <w:szCs w:val="24"/>
        </w:rPr>
        <w:t xml:space="preserve">      Upravuje se </w:t>
      </w:r>
      <w:r w:rsidR="0032138D">
        <w:rPr>
          <w:sz w:val="24"/>
          <w:szCs w:val="24"/>
        </w:rPr>
        <w:t>časová podmínka, kdy může pojištěnec odejít do předčasného starobního důchodu. Podle návrhu se sjednocuje doba, kdy může pojištěnec odejít do předčasného starobního důchodu, na 3 roky před dosažením důchodového věku, a to bez ohledu na to, zda důchodový věk pojištěnce přesahuje či nepřesahuje věk 63 let. Doba 3 roků se vztahuje jak k obecnému důchodovému věku podle § 32 ZDP, tak ke sníženému důchodovému věku podle § 37b až § 37e ZDP. Ostatní podmínky nároku na předčasný odchod od starobního důchodu</w:t>
      </w:r>
      <w:r w:rsidR="00735E50">
        <w:rPr>
          <w:sz w:val="24"/>
          <w:szCs w:val="24"/>
        </w:rPr>
        <w:t xml:space="preserve">, zejména potřebná doba pojištění, </w:t>
      </w:r>
      <w:r w:rsidR="0032138D">
        <w:rPr>
          <w:sz w:val="24"/>
          <w:szCs w:val="24"/>
        </w:rPr>
        <w:t>se nemění.</w:t>
      </w:r>
    </w:p>
    <w:p w14:paraId="2234A044" w14:textId="77777777" w:rsidR="0032138D" w:rsidRDefault="0032138D" w:rsidP="00F5445A">
      <w:pPr>
        <w:pStyle w:val="Bezmezer"/>
        <w:spacing w:line="240" w:lineRule="auto"/>
        <w:rPr>
          <w:sz w:val="24"/>
          <w:szCs w:val="24"/>
        </w:rPr>
      </w:pPr>
    </w:p>
    <w:p w14:paraId="57F526F2" w14:textId="77777777" w:rsidR="0032138D" w:rsidRDefault="0032138D" w:rsidP="00F5445A">
      <w:pPr>
        <w:pStyle w:val="Bezmezer"/>
        <w:spacing w:line="240" w:lineRule="auto"/>
        <w:rPr>
          <w:sz w:val="24"/>
          <w:szCs w:val="24"/>
          <w:u w:val="single"/>
        </w:rPr>
      </w:pPr>
      <w:r w:rsidRPr="0032138D">
        <w:rPr>
          <w:sz w:val="24"/>
          <w:szCs w:val="24"/>
          <w:u w:val="single"/>
        </w:rPr>
        <w:t>K bodům 2 a 3</w:t>
      </w:r>
    </w:p>
    <w:p w14:paraId="72E3EE5F" w14:textId="77777777" w:rsidR="0032138D" w:rsidRDefault="0032138D" w:rsidP="00F5445A">
      <w:pPr>
        <w:pStyle w:val="Bezmezer"/>
        <w:spacing w:line="240" w:lineRule="auto"/>
        <w:rPr>
          <w:sz w:val="24"/>
          <w:szCs w:val="24"/>
          <w:u w:val="single"/>
        </w:rPr>
      </w:pPr>
    </w:p>
    <w:p w14:paraId="2D3CB843" w14:textId="77777777" w:rsidR="0032138D" w:rsidRDefault="0032138D" w:rsidP="00F5445A">
      <w:pPr>
        <w:pStyle w:val="Bezmezer"/>
        <w:spacing w:line="240" w:lineRule="auto"/>
        <w:rPr>
          <w:sz w:val="24"/>
          <w:szCs w:val="24"/>
        </w:rPr>
      </w:pPr>
      <w:r w:rsidRPr="0032138D">
        <w:rPr>
          <w:sz w:val="24"/>
          <w:szCs w:val="24"/>
        </w:rPr>
        <w:t xml:space="preserve">       </w:t>
      </w:r>
      <w:r w:rsidR="00C82AF5">
        <w:rPr>
          <w:sz w:val="24"/>
          <w:szCs w:val="24"/>
        </w:rPr>
        <w:t>Částka z</w:t>
      </w:r>
      <w:r w:rsidRPr="0032138D">
        <w:rPr>
          <w:sz w:val="24"/>
          <w:szCs w:val="24"/>
        </w:rPr>
        <w:t>výšení procent</w:t>
      </w:r>
      <w:r w:rsidR="00C82AF5">
        <w:rPr>
          <w:sz w:val="24"/>
          <w:szCs w:val="24"/>
        </w:rPr>
        <w:t>n</w:t>
      </w:r>
      <w:r w:rsidRPr="0032138D">
        <w:rPr>
          <w:sz w:val="24"/>
          <w:szCs w:val="24"/>
        </w:rPr>
        <w:t xml:space="preserve">í výměry starobního důchodu </w:t>
      </w:r>
      <w:r w:rsidR="00C82AF5">
        <w:rPr>
          <w:sz w:val="24"/>
          <w:szCs w:val="24"/>
        </w:rPr>
        <w:t>za vychované děti se zvyšuje od</w:t>
      </w:r>
      <w:r w:rsidR="00E60561">
        <w:rPr>
          <w:sz w:val="24"/>
          <w:szCs w:val="24"/>
        </w:rPr>
        <w:t> </w:t>
      </w:r>
      <w:r w:rsidR="00C82AF5">
        <w:rPr>
          <w:sz w:val="24"/>
          <w:szCs w:val="24"/>
        </w:rPr>
        <w:t>1.</w:t>
      </w:r>
      <w:r w:rsidR="00E60561">
        <w:rPr>
          <w:sz w:val="24"/>
          <w:szCs w:val="24"/>
        </w:rPr>
        <w:t> </w:t>
      </w:r>
      <w:r w:rsidR="00C82AF5">
        <w:rPr>
          <w:sz w:val="24"/>
          <w:szCs w:val="24"/>
        </w:rPr>
        <w:t>ledna o tolik procent, o kolik se od 1. ledna zvyšují procentní výměry vyplácených starobních důchodů. Protože se podle § 67 odst. 6 ZDP bude snižovat tento počet procent o</w:t>
      </w:r>
      <w:r w:rsidR="00E60561">
        <w:rPr>
          <w:sz w:val="24"/>
          <w:szCs w:val="24"/>
        </w:rPr>
        <w:t> </w:t>
      </w:r>
      <w:r w:rsidR="00C82AF5">
        <w:rPr>
          <w:sz w:val="24"/>
          <w:szCs w:val="24"/>
        </w:rPr>
        <w:t>tolik procent, o kolik se zvýšily procentní výměry vyplácených důchodů podle navrhovaného § 67a ZDP v průběhu předchozího roku, stanoví se, že se pro účely valorizace částky zvýšení za vychované děti nebude k tomuto snížení přihlížet, čímž bude zajištěno, že se částka zvýšení za vychované děti bude vždy valorizovat podle plného růstu cen, což je dosavadní stav.</w:t>
      </w:r>
    </w:p>
    <w:p w14:paraId="0D759EA9" w14:textId="77777777" w:rsidR="00C82AF5" w:rsidRDefault="00C82AF5" w:rsidP="00F5445A">
      <w:pPr>
        <w:pStyle w:val="Bezmezer"/>
        <w:spacing w:line="240" w:lineRule="auto"/>
        <w:rPr>
          <w:sz w:val="24"/>
          <w:szCs w:val="24"/>
        </w:rPr>
      </w:pPr>
    </w:p>
    <w:p w14:paraId="74547556" w14:textId="77777777" w:rsidR="00C82AF5" w:rsidRDefault="00C82AF5" w:rsidP="00F5445A">
      <w:pPr>
        <w:pStyle w:val="Bezmezer"/>
        <w:spacing w:line="240" w:lineRule="auto"/>
        <w:rPr>
          <w:sz w:val="24"/>
          <w:szCs w:val="24"/>
          <w:u w:val="single"/>
        </w:rPr>
      </w:pPr>
      <w:r w:rsidRPr="00C82AF5">
        <w:rPr>
          <w:sz w:val="24"/>
          <w:szCs w:val="24"/>
          <w:u w:val="single"/>
        </w:rPr>
        <w:t xml:space="preserve">K bodu </w:t>
      </w:r>
      <w:r>
        <w:rPr>
          <w:sz w:val="24"/>
          <w:szCs w:val="24"/>
          <w:u w:val="single"/>
        </w:rPr>
        <w:t>4</w:t>
      </w:r>
    </w:p>
    <w:p w14:paraId="67264A11" w14:textId="77777777" w:rsidR="00C82AF5" w:rsidRDefault="00C82AF5" w:rsidP="00F5445A">
      <w:pPr>
        <w:pStyle w:val="Bezmezer"/>
        <w:spacing w:line="240" w:lineRule="auto"/>
        <w:rPr>
          <w:sz w:val="24"/>
          <w:szCs w:val="24"/>
          <w:u w:val="single"/>
        </w:rPr>
      </w:pPr>
    </w:p>
    <w:p w14:paraId="42F468AF" w14:textId="77777777" w:rsidR="00C82AF5" w:rsidRDefault="00C82AF5" w:rsidP="00F5445A">
      <w:pPr>
        <w:pStyle w:val="Bezmezer"/>
        <w:spacing w:line="240" w:lineRule="auto"/>
        <w:rPr>
          <w:sz w:val="24"/>
          <w:szCs w:val="24"/>
        </w:rPr>
      </w:pPr>
      <w:r>
        <w:rPr>
          <w:sz w:val="24"/>
          <w:szCs w:val="24"/>
        </w:rPr>
        <w:t xml:space="preserve">       Navrhuje se zpřísně</w:t>
      </w:r>
      <w:r w:rsidR="003C3FC2">
        <w:rPr>
          <w:sz w:val="24"/>
          <w:szCs w:val="24"/>
        </w:rPr>
        <w:t>n</w:t>
      </w:r>
      <w:r>
        <w:rPr>
          <w:sz w:val="24"/>
          <w:szCs w:val="24"/>
        </w:rPr>
        <w:t>í</w:t>
      </w:r>
      <w:r w:rsidR="003C3FC2">
        <w:rPr>
          <w:sz w:val="24"/>
          <w:szCs w:val="24"/>
        </w:rPr>
        <w:t xml:space="preserve"> při stanovení výše procentní výměry předčasného starobního důchodu. Návrh spočívá ve sjednocení dosavadních tří sazeb závisejících na době chybějící do dosažení důchodového věku. Nově se bude procentní výměra snižovat jednotně podle dosavadní nejvyšší sazby ve výši 1,5 %, tj. procentní výměra se sníží za každých i započatých 90 kalendářních dnů z doby ode dne přiznání důchodu do dosažení důchodového věku o</w:t>
      </w:r>
      <w:r w:rsidR="00E60561">
        <w:rPr>
          <w:sz w:val="24"/>
          <w:szCs w:val="24"/>
        </w:rPr>
        <w:t> </w:t>
      </w:r>
      <w:r w:rsidR="003C3FC2">
        <w:rPr>
          <w:sz w:val="24"/>
          <w:szCs w:val="24"/>
        </w:rPr>
        <w:t>1,5</w:t>
      </w:r>
      <w:r w:rsidR="00E60561">
        <w:rPr>
          <w:sz w:val="24"/>
          <w:szCs w:val="24"/>
        </w:rPr>
        <w:t> </w:t>
      </w:r>
      <w:r w:rsidR="003C3FC2">
        <w:rPr>
          <w:sz w:val="24"/>
          <w:szCs w:val="24"/>
        </w:rPr>
        <w:t>% výpočtového základu. Například schází-li ode dne přiznání předčasného starobního důchodu do dosažení důchodového věku 740 dnů, sníží se procentní výměra o 9 x 1,5 %, tj. o</w:t>
      </w:r>
      <w:r w:rsidR="00E60561">
        <w:rPr>
          <w:sz w:val="24"/>
          <w:szCs w:val="24"/>
        </w:rPr>
        <w:t> </w:t>
      </w:r>
      <w:r w:rsidR="003C3FC2">
        <w:rPr>
          <w:sz w:val="24"/>
          <w:szCs w:val="24"/>
        </w:rPr>
        <w:t xml:space="preserve">13,5 % výpočtového základu (740 dnů představuje 8 období po 90 dnech a jedno započaté období, tedy celkem se jedná o 9 období); podle dosavadní </w:t>
      </w:r>
      <w:r w:rsidR="00714C20">
        <w:rPr>
          <w:sz w:val="24"/>
          <w:szCs w:val="24"/>
        </w:rPr>
        <w:t xml:space="preserve">právní </w:t>
      </w:r>
      <w:r w:rsidR="003C3FC2">
        <w:rPr>
          <w:sz w:val="24"/>
          <w:szCs w:val="24"/>
        </w:rPr>
        <w:t xml:space="preserve">úpravy by </w:t>
      </w:r>
      <w:r w:rsidR="00714C20">
        <w:rPr>
          <w:sz w:val="24"/>
          <w:szCs w:val="24"/>
        </w:rPr>
        <w:t>snížení</w:t>
      </w:r>
      <w:r w:rsidR="003C3FC2">
        <w:rPr>
          <w:sz w:val="24"/>
          <w:szCs w:val="24"/>
        </w:rPr>
        <w:t xml:space="preserve"> procentní výměry v tomto případě činilo </w:t>
      </w:r>
      <w:r w:rsidR="00714C20">
        <w:rPr>
          <w:sz w:val="24"/>
          <w:szCs w:val="24"/>
        </w:rPr>
        <w:t xml:space="preserve">celkem </w:t>
      </w:r>
      <w:r w:rsidR="003C3FC2">
        <w:rPr>
          <w:sz w:val="24"/>
          <w:szCs w:val="24"/>
        </w:rPr>
        <w:t xml:space="preserve">9,9 % výpočtového základu (tj. 4 x 0,9 % + 4 x 1,2 % + 1,5 </w:t>
      </w:r>
      <w:r w:rsidR="00714C20">
        <w:rPr>
          <w:sz w:val="24"/>
          <w:szCs w:val="24"/>
        </w:rPr>
        <w:t>%).</w:t>
      </w:r>
    </w:p>
    <w:p w14:paraId="3560DABD" w14:textId="77777777" w:rsidR="00714C20" w:rsidRDefault="00714C20" w:rsidP="00F5445A">
      <w:pPr>
        <w:pStyle w:val="Bezmezer"/>
        <w:spacing w:line="240" w:lineRule="auto"/>
        <w:rPr>
          <w:sz w:val="24"/>
          <w:szCs w:val="24"/>
        </w:rPr>
      </w:pPr>
    </w:p>
    <w:p w14:paraId="5FB46458" w14:textId="77777777" w:rsidR="00714C20" w:rsidRDefault="00714C20" w:rsidP="00F5445A">
      <w:pPr>
        <w:pStyle w:val="Bezmezer"/>
        <w:spacing w:line="240" w:lineRule="auto"/>
        <w:rPr>
          <w:sz w:val="24"/>
          <w:szCs w:val="24"/>
          <w:u w:val="single"/>
        </w:rPr>
      </w:pPr>
      <w:r w:rsidRPr="00714C20">
        <w:rPr>
          <w:sz w:val="24"/>
          <w:szCs w:val="24"/>
          <w:u w:val="single"/>
        </w:rPr>
        <w:t>K bod</w:t>
      </w:r>
      <w:r>
        <w:rPr>
          <w:sz w:val="24"/>
          <w:szCs w:val="24"/>
          <w:u w:val="single"/>
        </w:rPr>
        <w:t>ům</w:t>
      </w:r>
      <w:r w:rsidRPr="00714C20">
        <w:rPr>
          <w:sz w:val="24"/>
          <w:szCs w:val="24"/>
          <w:u w:val="single"/>
        </w:rPr>
        <w:t xml:space="preserve"> 5</w:t>
      </w:r>
      <w:r>
        <w:rPr>
          <w:sz w:val="24"/>
          <w:szCs w:val="24"/>
          <w:u w:val="single"/>
        </w:rPr>
        <w:t>, 12</w:t>
      </w:r>
      <w:r w:rsidR="002E2FC1">
        <w:rPr>
          <w:sz w:val="24"/>
          <w:szCs w:val="24"/>
          <w:u w:val="single"/>
        </w:rPr>
        <w:t>,</w:t>
      </w:r>
      <w:r>
        <w:rPr>
          <w:sz w:val="24"/>
          <w:szCs w:val="24"/>
          <w:u w:val="single"/>
        </w:rPr>
        <w:t xml:space="preserve"> 13</w:t>
      </w:r>
      <w:r w:rsidR="002E2FC1">
        <w:rPr>
          <w:sz w:val="24"/>
          <w:szCs w:val="24"/>
          <w:u w:val="single"/>
        </w:rPr>
        <w:t xml:space="preserve"> a 21</w:t>
      </w:r>
    </w:p>
    <w:p w14:paraId="267A5C16" w14:textId="77777777" w:rsidR="00714C20" w:rsidRDefault="00714C20" w:rsidP="00F5445A">
      <w:pPr>
        <w:pStyle w:val="Bezmezer"/>
        <w:spacing w:line="240" w:lineRule="auto"/>
        <w:rPr>
          <w:sz w:val="24"/>
          <w:szCs w:val="24"/>
          <w:u w:val="single"/>
        </w:rPr>
      </w:pPr>
    </w:p>
    <w:p w14:paraId="3F2B82D9" w14:textId="77777777" w:rsidR="00714C20" w:rsidRDefault="00714C20" w:rsidP="00F5445A">
      <w:pPr>
        <w:pStyle w:val="Bezmezer"/>
        <w:spacing w:line="240" w:lineRule="auto"/>
        <w:rPr>
          <w:sz w:val="24"/>
          <w:szCs w:val="24"/>
        </w:rPr>
      </w:pPr>
      <w:r>
        <w:rPr>
          <w:sz w:val="24"/>
          <w:szCs w:val="24"/>
        </w:rPr>
        <w:t xml:space="preserve">       I</w:t>
      </w:r>
      <w:r w:rsidRPr="00714C20">
        <w:rPr>
          <w:sz w:val="24"/>
          <w:szCs w:val="24"/>
        </w:rPr>
        <w:t>nstitut zvýšení důchodů v</w:t>
      </w:r>
      <w:r>
        <w:rPr>
          <w:sz w:val="24"/>
          <w:szCs w:val="24"/>
        </w:rPr>
        <w:t xml:space="preserve"> mimořádném termínu se zrušuje </w:t>
      </w:r>
      <w:r w:rsidR="00055F14">
        <w:rPr>
          <w:sz w:val="24"/>
          <w:szCs w:val="24"/>
        </w:rPr>
        <w:t xml:space="preserve">(srov. bod 6) </w:t>
      </w:r>
      <w:r>
        <w:rPr>
          <w:sz w:val="24"/>
          <w:szCs w:val="24"/>
        </w:rPr>
        <w:t xml:space="preserve">a v návaznosti na to se vypouští odkaz na zvýšení důchodů v pravidelném termínu (není-li zvýšení v mimořádném termínu, je nadbytečné hovořit o pravidelném termínu) a zároveň se vypouštějí se odkazy na tento mimořádný termín, popřípadě se odkaz na zvýšení v mimořádném termínu nahrazuje odkazem na novou úpravu v § 67a, která zvýšení v mimořádném termínu nahrazuje.  </w:t>
      </w:r>
    </w:p>
    <w:p w14:paraId="034783EC" w14:textId="77777777" w:rsidR="00714C20" w:rsidRDefault="00714C20" w:rsidP="00F5445A">
      <w:pPr>
        <w:pStyle w:val="Bezmezer"/>
        <w:spacing w:line="240" w:lineRule="auto"/>
        <w:rPr>
          <w:sz w:val="24"/>
          <w:szCs w:val="24"/>
        </w:rPr>
      </w:pPr>
    </w:p>
    <w:p w14:paraId="699C93FA" w14:textId="77777777" w:rsidR="00055F14" w:rsidRDefault="00055F14" w:rsidP="00F5445A">
      <w:pPr>
        <w:pStyle w:val="Bezmezer"/>
        <w:spacing w:line="240" w:lineRule="auto"/>
        <w:rPr>
          <w:sz w:val="24"/>
          <w:szCs w:val="24"/>
        </w:rPr>
      </w:pPr>
    </w:p>
    <w:p w14:paraId="36E5D436" w14:textId="77777777" w:rsidR="00055F14" w:rsidRDefault="00055F14" w:rsidP="00F5445A">
      <w:pPr>
        <w:pStyle w:val="Bezmezer"/>
        <w:spacing w:line="240" w:lineRule="auto"/>
        <w:rPr>
          <w:sz w:val="24"/>
          <w:szCs w:val="24"/>
        </w:rPr>
      </w:pPr>
    </w:p>
    <w:p w14:paraId="2A0AE5CC" w14:textId="77777777" w:rsidR="00055F14" w:rsidRDefault="00055F14" w:rsidP="00F5445A">
      <w:pPr>
        <w:pStyle w:val="Bezmezer"/>
        <w:spacing w:line="240" w:lineRule="auto"/>
        <w:rPr>
          <w:sz w:val="24"/>
          <w:szCs w:val="24"/>
        </w:rPr>
      </w:pPr>
    </w:p>
    <w:p w14:paraId="7F1E9634" w14:textId="77777777" w:rsidR="00714C20" w:rsidRDefault="00714C20" w:rsidP="00F5445A">
      <w:pPr>
        <w:pStyle w:val="Bezmezer"/>
        <w:spacing w:line="240" w:lineRule="auto"/>
        <w:rPr>
          <w:sz w:val="24"/>
          <w:szCs w:val="24"/>
          <w:u w:val="single"/>
        </w:rPr>
      </w:pPr>
      <w:r w:rsidRPr="00714C20">
        <w:rPr>
          <w:sz w:val="24"/>
          <w:szCs w:val="24"/>
          <w:u w:val="single"/>
        </w:rPr>
        <w:t>K bod</w:t>
      </w:r>
      <w:r w:rsidR="00055F14">
        <w:rPr>
          <w:sz w:val="24"/>
          <w:szCs w:val="24"/>
          <w:u w:val="single"/>
        </w:rPr>
        <w:t>ům</w:t>
      </w:r>
      <w:r w:rsidRPr="00714C20">
        <w:rPr>
          <w:sz w:val="24"/>
          <w:szCs w:val="24"/>
          <w:u w:val="single"/>
        </w:rPr>
        <w:t xml:space="preserve"> 6</w:t>
      </w:r>
      <w:r w:rsidR="00055F14">
        <w:rPr>
          <w:sz w:val="24"/>
          <w:szCs w:val="24"/>
          <w:u w:val="single"/>
        </w:rPr>
        <w:t xml:space="preserve"> a 7</w:t>
      </w:r>
    </w:p>
    <w:p w14:paraId="53753396" w14:textId="77777777" w:rsidR="00055F14" w:rsidRDefault="00055F14" w:rsidP="00F5445A">
      <w:pPr>
        <w:pStyle w:val="Bezmezer"/>
        <w:spacing w:line="240" w:lineRule="auto"/>
        <w:rPr>
          <w:sz w:val="24"/>
          <w:szCs w:val="24"/>
          <w:u w:val="single"/>
        </w:rPr>
      </w:pPr>
    </w:p>
    <w:p w14:paraId="5248F482" w14:textId="77777777" w:rsidR="00055F14" w:rsidRDefault="00055F14" w:rsidP="00F5445A">
      <w:pPr>
        <w:pStyle w:val="Bezmezer"/>
        <w:spacing w:line="240" w:lineRule="auto"/>
        <w:rPr>
          <w:sz w:val="24"/>
          <w:szCs w:val="24"/>
        </w:rPr>
      </w:pPr>
      <w:r>
        <w:rPr>
          <w:sz w:val="24"/>
          <w:szCs w:val="24"/>
        </w:rPr>
        <w:t xml:space="preserve">      V návaznosti na zrušení zvýšení důchodů v mimořádném termínu se vypouští úprava stanovení období pro zjišťování růstu cen v tomto termínu a zároveň se nově formuluje stanovení období pro zjišťování růstu cen při zvýšení důchodů od 1. ledna kalendářního roku, které bude vždy zahrnovat 12 kalendářních měsíců počínaje červencem kalendářního roku, který o dva roky předchází kalendářnímu roku, do něhož spadá 1. leden, od něhož se důchody zvyšují. Například při zvýšení důchodů od 1. ledna 2025 bude tímto obdobím období od</w:t>
      </w:r>
      <w:r w:rsidR="00E60561">
        <w:rPr>
          <w:sz w:val="24"/>
          <w:szCs w:val="24"/>
        </w:rPr>
        <w:t> </w:t>
      </w:r>
      <w:r>
        <w:rPr>
          <w:sz w:val="24"/>
          <w:szCs w:val="24"/>
        </w:rPr>
        <w:t>července 2023 do června 2024.</w:t>
      </w:r>
    </w:p>
    <w:p w14:paraId="53D8F219" w14:textId="77777777" w:rsidR="00055F14" w:rsidRDefault="00055F14" w:rsidP="00F5445A">
      <w:pPr>
        <w:pStyle w:val="Bezmezer"/>
        <w:spacing w:line="240" w:lineRule="auto"/>
        <w:rPr>
          <w:sz w:val="24"/>
          <w:szCs w:val="24"/>
        </w:rPr>
      </w:pPr>
    </w:p>
    <w:p w14:paraId="44CC7EE0" w14:textId="77777777" w:rsidR="00055F14" w:rsidRDefault="00055F14" w:rsidP="00F5445A">
      <w:pPr>
        <w:pStyle w:val="Bezmezer"/>
        <w:spacing w:line="240" w:lineRule="auto"/>
        <w:rPr>
          <w:sz w:val="24"/>
          <w:szCs w:val="24"/>
          <w:u w:val="single"/>
        </w:rPr>
      </w:pPr>
      <w:r w:rsidRPr="00055F14">
        <w:rPr>
          <w:sz w:val="24"/>
          <w:szCs w:val="24"/>
          <w:u w:val="single"/>
        </w:rPr>
        <w:t>K bodu 8</w:t>
      </w:r>
    </w:p>
    <w:p w14:paraId="742C3063" w14:textId="77777777" w:rsidR="00055F14" w:rsidRDefault="00055F14" w:rsidP="00F5445A">
      <w:pPr>
        <w:pStyle w:val="Bezmezer"/>
        <w:spacing w:line="240" w:lineRule="auto"/>
        <w:rPr>
          <w:sz w:val="24"/>
          <w:szCs w:val="24"/>
          <w:u w:val="single"/>
        </w:rPr>
      </w:pPr>
    </w:p>
    <w:p w14:paraId="5E493E13" w14:textId="77777777" w:rsidR="00055F14" w:rsidRDefault="00055F14" w:rsidP="00F5445A">
      <w:pPr>
        <w:pStyle w:val="Bezmezer"/>
        <w:spacing w:line="240" w:lineRule="auto"/>
        <w:rPr>
          <w:sz w:val="24"/>
          <w:szCs w:val="24"/>
        </w:rPr>
      </w:pPr>
      <w:r>
        <w:rPr>
          <w:sz w:val="24"/>
          <w:szCs w:val="24"/>
        </w:rPr>
        <w:t xml:space="preserve">      Dosud se výpočet růstu cen provádí</w:t>
      </w:r>
      <w:r w:rsidR="00700577">
        <w:rPr>
          <w:sz w:val="24"/>
          <w:szCs w:val="24"/>
        </w:rPr>
        <w:t xml:space="preserve"> z indexů spotřebitelských cen (životních nákladů) za</w:t>
      </w:r>
      <w:r w:rsidR="00E60561">
        <w:rPr>
          <w:sz w:val="24"/>
          <w:szCs w:val="24"/>
        </w:rPr>
        <w:t> </w:t>
      </w:r>
      <w:r w:rsidR="00700577">
        <w:rPr>
          <w:sz w:val="24"/>
          <w:szCs w:val="24"/>
        </w:rPr>
        <w:t>domácnosti celkem a z indexů spotřebitelských cen (životních nákladů) za domácnosti důchodců s tím, že pro stanovení valorizace procentní výměry důchodu se použije vyšší růst cen. Navrhuje se stanovovat tuto valorizaci jen podle růstu cen zjištěného podle indexu spotřebitelských cen (životních nákladů) za domácnosti důchodců, což je jednak vhodnější k účelu valorizace důchodů, která se týká jen poživatelů důchodů, jednak přispěje též k určitému snížení nákladů na důchody v případě, kdy by byl obecný růst cen vyšší než růst cen u domácností důchodců.</w:t>
      </w:r>
    </w:p>
    <w:p w14:paraId="3ADF3F56" w14:textId="77777777" w:rsidR="00700577" w:rsidRDefault="00700577" w:rsidP="00F5445A">
      <w:pPr>
        <w:pStyle w:val="Bezmezer"/>
        <w:spacing w:line="240" w:lineRule="auto"/>
        <w:rPr>
          <w:sz w:val="24"/>
          <w:szCs w:val="24"/>
        </w:rPr>
      </w:pPr>
    </w:p>
    <w:p w14:paraId="218D9751" w14:textId="77777777" w:rsidR="00700577" w:rsidRDefault="00700577" w:rsidP="00F5445A">
      <w:pPr>
        <w:pStyle w:val="Bezmezer"/>
        <w:spacing w:line="240" w:lineRule="auto"/>
        <w:rPr>
          <w:sz w:val="24"/>
          <w:szCs w:val="24"/>
          <w:u w:val="single"/>
        </w:rPr>
      </w:pPr>
      <w:r w:rsidRPr="00700577">
        <w:rPr>
          <w:sz w:val="24"/>
          <w:szCs w:val="24"/>
          <w:u w:val="single"/>
        </w:rPr>
        <w:t>K bodu 9</w:t>
      </w:r>
    </w:p>
    <w:p w14:paraId="4FF2C66E" w14:textId="77777777" w:rsidR="00700577" w:rsidRDefault="00700577" w:rsidP="00F5445A">
      <w:pPr>
        <w:pStyle w:val="Bezmezer"/>
        <w:spacing w:line="240" w:lineRule="auto"/>
        <w:rPr>
          <w:sz w:val="24"/>
          <w:szCs w:val="24"/>
          <w:u w:val="single"/>
        </w:rPr>
      </w:pPr>
    </w:p>
    <w:p w14:paraId="2FB35928" w14:textId="77777777" w:rsidR="00700577" w:rsidRDefault="00700577" w:rsidP="00F5445A">
      <w:pPr>
        <w:pStyle w:val="Bezmezer"/>
        <w:spacing w:line="240" w:lineRule="auto"/>
        <w:rPr>
          <w:sz w:val="24"/>
          <w:szCs w:val="24"/>
        </w:rPr>
      </w:pPr>
      <w:r>
        <w:rPr>
          <w:sz w:val="24"/>
          <w:szCs w:val="24"/>
        </w:rPr>
        <w:t xml:space="preserve">     K růstu reálných mezd se přihlíží jen v částečném rozsahu. Navrhuje se toto kritérium ponechat, avšak zohledňovat nikoliv polovinu růstu reálné mzdy, nýbrž jen třetinu růstu reálné mzdy. Tato </w:t>
      </w:r>
      <w:r w:rsidR="00EF135A">
        <w:rPr>
          <w:sz w:val="24"/>
          <w:szCs w:val="24"/>
        </w:rPr>
        <w:t>změn</w:t>
      </w:r>
      <w:r>
        <w:rPr>
          <w:sz w:val="24"/>
          <w:szCs w:val="24"/>
        </w:rPr>
        <w:t>a přitom znamená jen návrat k</w:t>
      </w:r>
      <w:r w:rsidR="00EF135A">
        <w:rPr>
          <w:sz w:val="24"/>
          <w:szCs w:val="24"/>
        </w:rPr>
        <w:t> úpravě, která platila před 1. srpnem 2017.</w:t>
      </w:r>
    </w:p>
    <w:p w14:paraId="0E701C4A" w14:textId="77777777" w:rsidR="00EF135A" w:rsidRDefault="00EF135A" w:rsidP="00F5445A">
      <w:pPr>
        <w:pStyle w:val="Bezmezer"/>
        <w:spacing w:line="240" w:lineRule="auto"/>
        <w:rPr>
          <w:sz w:val="24"/>
          <w:szCs w:val="24"/>
        </w:rPr>
      </w:pPr>
    </w:p>
    <w:p w14:paraId="7DFA04AB" w14:textId="77777777" w:rsidR="00EF135A" w:rsidRDefault="00EF135A" w:rsidP="00F5445A">
      <w:pPr>
        <w:pStyle w:val="Bezmezer"/>
        <w:spacing w:line="240" w:lineRule="auto"/>
        <w:rPr>
          <w:sz w:val="24"/>
          <w:szCs w:val="24"/>
          <w:u w:val="single"/>
        </w:rPr>
      </w:pPr>
      <w:r w:rsidRPr="00EF135A">
        <w:rPr>
          <w:sz w:val="24"/>
          <w:szCs w:val="24"/>
          <w:u w:val="single"/>
        </w:rPr>
        <w:t>K bodu 10</w:t>
      </w:r>
    </w:p>
    <w:p w14:paraId="7B920064" w14:textId="77777777" w:rsidR="00EF135A" w:rsidRDefault="00EF135A" w:rsidP="00F5445A">
      <w:pPr>
        <w:pStyle w:val="Bezmezer"/>
        <w:spacing w:line="240" w:lineRule="auto"/>
        <w:rPr>
          <w:sz w:val="24"/>
          <w:szCs w:val="24"/>
          <w:u w:val="single"/>
        </w:rPr>
      </w:pPr>
    </w:p>
    <w:p w14:paraId="2B25E84D" w14:textId="77777777" w:rsidR="00EF135A" w:rsidRDefault="00EF135A" w:rsidP="00F5445A">
      <w:pPr>
        <w:pStyle w:val="Bezmezer"/>
        <w:spacing w:line="240" w:lineRule="auto"/>
        <w:rPr>
          <w:sz w:val="24"/>
          <w:szCs w:val="24"/>
        </w:rPr>
      </w:pPr>
      <w:r>
        <w:rPr>
          <w:sz w:val="24"/>
          <w:szCs w:val="24"/>
        </w:rPr>
        <w:t xml:space="preserve">      Navrhované doplnění reaguje na zvyšování důchodů v průběhu kalendářního roku podle §</w:t>
      </w:r>
      <w:r w:rsidR="00E60561">
        <w:rPr>
          <w:sz w:val="24"/>
          <w:szCs w:val="24"/>
        </w:rPr>
        <w:t> </w:t>
      </w:r>
      <w:r>
        <w:rPr>
          <w:sz w:val="24"/>
          <w:szCs w:val="24"/>
        </w:rPr>
        <w:t>67a. Podle § 67a se v případě růstu cen aspoň o 5 % zvýší procentní výměry vyplácených důchodů o 30 % tohoto růstu, a to trvale. Z tohoto důvodu se od počtu procent zjištěného za</w:t>
      </w:r>
      <w:r w:rsidR="00E60561">
        <w:rPr>
          <w:sz w:val="24"/>
          <w:szCs w:val="24"/>
        </w:rPr>
        <w:t> </w:t>
      </w:r>
      <w:r>
        <w:rPr>
          <w:sz w:val="24"/>
          <w:szCs w:val="24"/>
        </w:rPr>
        <w:t>rozhodné období stanoveného pro účely zvýšení důchodů od 1. ledna odečte počet procent zvýšení stanoveného podle § 67a, neboť rozhodná období podle § 67 odst. 3 a podle § 67a odst. 2 se částečně překrývají a zvýšení v průběhu kalendářního roku je přiznáváno jen v určitém předstihu.</w:t>
      </w:r>
    </w:p>
    <w:p w14:paraId="684DA212" w14:textId="77777777" w:rsidR="00EF135A" w:rsidRDefault="00EF135A" w:rsidP="00F5445A">
      <w:pPr>
        <w:pStyle w:val="Bezmezer"/>
        <w:spacing w:line="240" w:lineRule="auto"/>
        <w:rPr>
          <w:sz w:val="24"/>
          <w:szCs w:val="24"/>
        </w:rPr>
      </w:pPr>
    </w:p>
    <w:p w14:paraId="054F6D0D" w14:textId="77777777" w:rsidR="00EF135A" w:rsidRDefault="00EF135A" w:rsidP="00F5445A">
      <w:pPr>
        <w:pStyle w:val="Bezmezer"/>
        <w:spacing w:line="240" w:lineRule="auto"/>
        <w:rPr>
          <w:sz w:val="24"/>
          <w:szCs w:val="24"/>
          <w:u w:val="single"/>
        </w:rPr>
      </w:pPr>
      <w:r w:rsidRPr="00EF135A">
        <w:rPr>
          <w:sz w:val="24"/>
          <w:szCs w:val="24"/>
          <w:u w:val="single"/>
        </w:rPr>
        <w:t>K bodům 11, 14</w:t>
      </w:r>
      <w:r w:rsidR="002E2FC1">
        <w:rPr>
          <w:sz w:val="24"/>
          <w:szCs w:val="24"/>
          <w:u w:val="single"/>
        </w:rPr>
        <w:t>,</w:t>
      </w:r>
      <w:r w:rsidRPr="00EF135A">
        <w:rPr>
          <w:sz w:val="24"/>
          <w:szCs w:val="24"/>
          <w:u w:val="single"/>
        </w:rPr>
        <w:t xml:space="preserve"> 15</w:t>
      </w:r>
      <w:r w:rsidR="002E2FC1">
        <w:rPr>
          <w:sz w:val="24"/>
          <w:szCs w:val="24"/>
          <w:u w:val="single"/>
        </w:rPr>
        <w:t xml:space="preserve"> a 22</w:t>
      </w:r>
    </w:p>
    <w:p w14:paraId="53173D66" w14:textId="77777777" w:rsidR="002E2FC1" w:rsidRDefault="002E2FC1" w:rsidP="00F5445A">
      <w:pPr>
        <w:pStyle w:val="Bezmezer"/>
        <w:spacing w:line="240" w:lineRule="auto"/>
        <w:rPr>
          <w:sz w:val="24"/>
          <w:szCs w:val="24"/>
          <w:u w:val="single"/>
        </w:rPr>
      </w:pPr>
    </w:p>
    <w:p w14:paraId="3D9B5C4E" w14:textId="77777777" w:rsidR="00EF135A" w:rsidRPr="00EF135A" w:rsidRDefault="00EF135A" w:rsidP="00F5445A">
      <w:pPr>
        <w:pStyle w:val="Bezmezer"/>
        <w:spacing w:line="240" w:lineRule="auto"/>
        <w:rPr>
          <w:sz w:val="24"/>
          <w:szCs w:val="24"/>
        </w:rPr>
      </w:pPr>
      <w:r>
        <w:rPr>
          <w:sz w:val="24"/>
          <w:szCs w:val="24"/>
        </w:rPr>
        <w:t xml:space="preserve">      Jedná se o legislativně-technické úpravy reagující zejména na přečíslování odstavců v</w:t>
      </w:r>
      <w:r w:rsidR="00E60561">
        <w:rPr>
          <w:sz w:val="24"/>
          <w:szCs w:val="24"/>
        </w:rPr>
        <w:t> </w:t>
      </w:r>
      <w:r>
        <w:rPr>
          <w:sz w:val="24"/>
          <w:szCs w:val="24"/>
        </w:rPr>
        <w:t>§</w:t>
      </w:r>
      <w:r w:rsidR="00E60561">
        <w:rPr>
          <w:sz w:val="24"/>
          <w:szCs w:val="24"/>
        </w:rPr>
        <w:t> </w:t>
      </w:r>
      <w:r>
        <w:rPr>
          <w:sz w:val="24"/>
          <w:szCs w:val="24"/>
        </w:rPr>
        <w:t>67.</w:t>
      </w:r>
    </w:p>
    <w:p w14:paraId="0C30E58B" w14:textId="77777777" w:rsidR="00055F14" w:rsidRDefault="00055F14" w:rsidP="00F5445A">
      <w:pPr>
        <w:pStyle w:val="Bezmezer"/>
        <w:spacing w:line="240" w:lineRule="auto"/>
        <w:rPr>
          <w:sz w:val="24"/>
          <w:szCs w:val="24"/>
          <w:u w:val="single"/>
        </w:rPr>
      </w:pPr>
    </w:p>
    <w:p w14:paraId="4AE2CABB" w14:textId="77777777" w:rsidR="00EF135A" w:rsidRDefault="00EF135A" w:rsidP="00F5445A">
      <w:pPr>
        <w:pStyle w:val="Bezmezer"/>
        <w:spacing w:line="240" w:lineRule="auto"/>
        <w:rPr>
          <w:sz w:val="24"/>
          <w:szCs w:val="24"/>
          <w:u w:val="single"/>
        </w:rPr>
      </w:pPr>
      <w:r>
        <w:rPr>
          <w:sz w:val="24"/>
          <w:szCs w:val="24"/>
          <w:u w:val="single"/>
        </w:rPr>
        <w:t>K bodu 16</w:t>
      </w:r>
    </w:p>
    <w:p w14:paraId="79883B7A" w14:textId="77777777" w:rsidR="00EF135A" w:rsidRDefault="00EF135A" w:rsidP="00F5445A">
      <w:pPr>
        <w:pStyle w:val="Bezmezer"/>
        <w:spacing w:line="240" w:lineRule="auto"/>
        <w:rPr>
          <w:sz w:val="24"/>
          <w:szCs w:val="24"/>
          <w:u w:val="single"/>
        </w:rPr>
      </w:pPr>
    </w:p>
    <w:p w14:paraId="7A5EA576" w14:textId="77777777" w:rsidR="002E2FC1" w:rsidRDefault="00EF135A" w:rsidP="00F5445A">
      <w:pPr>
        <w:pStyle w:val="Bezmezer"/>
        <w:spacing w:line="240" w:lineRule="auto"/>
        <w:rPr>
          <w:sz w:val="24"/>
          <w:szCs w:val="24"/>
        </w:rPr>
      </w:pPr>
      <w:r>
        <w:rPr>
          <w:sz w:val="24"/>
          <w:szCs w:val="24"/>
        </w:rPr>
        <w:t xml:space="preserve">      </w:t>
      </w:r>
      <w:r w:rsidR="009E02B8">
        <w:rPr>
          <w:sz w:val="24"/>
          <w:szCs w:val="24"/>
        </w:rPr>
        <w:t>Procentní výměry předčasných starobních důchodů, tedy důchodů přiznaných před dosažením</w:t>
      </w:r>
      <w:r w:rsidR="002E2FC1">
        <w:rPr>
          <w:sz w:val="24"/>
          <w:szCs w:val="24"/>
        </w:rPr>
        <w:t xml:space="preserve"> </w:t>
      </w:r>
      <w:r w:rsidR="009E02B8">
        <w:rPr>
          <w:sz w:val="24"/>
          <w:szCs w:val="24"/>
        </w:rPr>
        <w:t>důchodového věku,</w:t>
      </w:r>
      <w:r w:rsidR="00A40EDF">
        <w:rPr>
          <w:sz w:val="24"/>
          <w:szCs w:val="24"/>
        </w:rPr>
        <w:t xml:space="preserve"> </w:t>
      </w:r>
      <w:r w:rsidR="009E02B8">
        <w:rPr>
          <w:sz w:val="24"/>
          <w:szCs w:val="24"/>
        </w:rPr>
        <w:t>budou</w:t>
      </w:r>
      <w:r w:rsidR="002E2FC1">
        <w:rPr>
          <w:sz w:val="24"/>
          <w:szCs w:val="24"/>
        </w:rPr>
        <w:t xml:space="preserve"> </w:t>
      </w:r>
      <w:r w:rsidR="009E02B8">
        <w:rPr>
          <w:sz w:val="24"/>
          <w:szCs w:val="24"/>
        </w:rPr>
        <w:t>zvyšovány</w:t>
      </w:r>
      <w:r w:rsidR="002E2FC1">
        <w:rPr>
          <w:sz w:val="24"/>
          <w:szCs w:val="24"/>
        </w:rPr>
        <w:t xml:space="preserve"> </w:t>
      </w:r>
      <w:r w:rsidR="009E02B8">
        <w:rPr>
          <w:sz w:val="24"/>
          <w:szCs w:val="24"/>
        </w:rPr>
        <w:t>až</w:t>
      </w:r>
      <w:r w:rsidR="002E2FC1">
        <w:rPr>
          <w:sz w:val="24"/>
          <w:szCs w:val="24"/>
        </w:rPr>
        <w:t xml:space="preserve"> </w:t>
      </w:r>
      <w:r w:rsidR="009E02B8">
        <w:rPr>
          <w:sz w:val="24"/>
          <w:szCs w:val="24"/>
        </w:rPr>
        <w:t xml:space="preserve">v návaznosti na dosažení tohoto věku. </w:t>
      </w:r>
    </w:p>
    <w:p w14:paraId="1BFEA0AC" w14:textId="77777777" w:rsidR="002E2FC1" w:rsidRDefault="002E2FC1" w:rsidP="00F5445A">
      <w:pPr>
        <w:pStyle w:val="Bezmezer"/>
        <w:spacing w:line="240" w:lineRule="auto"/>
        <w:rPr>
          <w:sz w:val="24"/>
          <w:szCs w:val="24"/>
        </w:rPr>
      </w:pPr>
    </w:p>
    <w:p w14:paraId="1266A341" w14:textId="77777777" w:rsidR="002E2FC1" w:rsidRDefault="002E2FC1" w:rsidP="00F5445A">
      <w:pPr>
        <w:pStyle w:val="Bezmezer"/>
        <w:spacing w:line="240" w:lineRule="auto"/>
        <w:rPr>
          <w:sz w:val="24"/>
          <w:szCs w:val="24"/>
        </w:rPr>
      </w:pPr>
    </w:p>
    <w:p w14:paraId="0691B402" w14:textId="77777777" w:rsidR="002E2FC1" w:rsidRDefault="002E2FC1" w:rsidP="00F5445A">
      <w:pPr>
        <w:pStyle w:val="Bezmezer"/>
        <w:spacing w:line="240" w:lineRule="auto"/>
        <w:rPr>
          <w:sz w:val="24"/>
          <w:szCs w:val="24"/>
        </w:rPr>
      </w:pPr>
    </w:p>
    <w:p w14:paraId="1EB35778" w14:textId="77777777" w:rsidR="002E2FC1" w:rsidRDefault="002E2FC1" w:rsidP="00F5445A">
      <w:pPr>
        <w:pStyle w:val="Bezmezer"/>
        <w:spacing w:line="240" w:lineRule="auto"/>
        <w:rPr>
          <w:sz w:val="24"/>
          <w:szCs w:val="24"/>
        </w:rPr>
      </w:pPr>
    </w:p>
    <w:p w14:paraId="612F468C" w14:textId="77777777" w:rsidR="002E2FC1" w:rsidRDefault="002E2FC1" w:rsidP="00F5445A">
      <w:pPr>
        <w:pStyle w:val="Bezmezer"/>
        <w:spacing w:line="240" w:lineRule="auto"/>
        <w:rPr>
          <w:sz w:val="24"/>
          <w:szCs w:val="24"/>
        </w:rPr>
      </w:pPr>
    </w:p>
    <w:p w14:paraId="6DB24C49" w14:textId="77777777" w:rsidR="00EF135A" w:rsidRDefault="009E02B8" w:rsidP="00F5445A">
      <w:pPr>
        <w:pStyle w:val="Bezmezer"/>
        <w:spacing w:line="240" w:lineRule="auto"/>
        <w:rPr>
          <w:sz w:val="24"/>
          <w:szCs w:val="24"/>
        </w:rPr>
      </w:pPr>
      <w:r>
        <w:rPr>
          <w:sz w:val="24"/>
          <w:szCs w:val="24"/>
        </w:rPr>
        <w:t>Jedná se o jedno z opatření směřujících ke snížení motivace k předčasnému odchodu do</w:t>
      </w:r>
      <w:r w:rsidR="00E60561">
        <w:rPr>
          <w:sz w:val="24"/>
          <w:szCs w:val="24"/>
        </w:rPr>
        <w:t> </w:t>
      </w:r>
      <w:r>
        <w:rPr>
          <w:sz w:val="24"/>
          <w:szCs w:val="24"/>
        </w:rPr>
        <w:t xml:space="preserve">starobního důchodu. Pro účely valorizace důchodů bude tedy s předčasným starobním důchodem nakládáno stejně, jako kdyby byl přiznán od data, v němž pojištěnec dosáhl důchodového věku. Základní výměra však bude i u předčasných starobních důchodů zvyšována, neboť platí princip, že základní výměra je jednotná u všech důchodů a platí stejně pro všechny poživatele důchodů </w:t>
      </w:r>
      <w:r w:rsidR="002E2FC1">
        <w:rPr>
          <w:sz w:val="24"/>
          <w:szCs w:val="24"/>
        </w:rPr>
        <w:t>(</w:t>
      </w:r>
      <w:r>
        <w:rPr>
          <w:sz w:val="24"/>
          <w:szCs w:val="24"/>
        </w:rPr>
        <w:t>rozdílná výše základní výměry by též představovala provozní problémy u plátců důchodů).</w:t>
      </w:r>
    </w:p>
    <w:p w14:paraId="6C258E25" w14:textId="77777777" w:rsidR="002E2FC1" w:rsidRDefault="002E2FC1" w:rsidP="00F5445A">
      <w:pPr>
        <w:pStyle w:val="Bezmezer"/>
        <w:spacing w:line="240" w:lineRule="auto"/>
        <w:rPr>
          <w:sz w:val="24"/>
          <w:szCs w:val="24"/>
        </w:rPr>
      </w:pPr>
    </w:p>
    <w:p w14:paraId="77CB0492" w14:textId="77777777" w:rsidR="002E2FC1" w:rsidRDefault="002E2FC1" w:rsidP="00F5445A">
      <w:pPr>
        <w:pStyle w:val="Bezmezer"/>
        <w:spacing w:line="240" w:lineRule="auto"/>
        <w:rPr>
          <w:sz w:val="24"/>
          <w:szCs w:val="24"/>
          <w:u w:val="single"/>
        </w:rPr>
      </w:pPr>
      <w:r w:rsidRPr="002E2FC1">
        <w:rPr>
          <w:sz w:val="24"/>
          <w:szCs w:val="24"/>
          <w:u w:val="single"/>
        </w:rPr>
        <w:t>K bodu 17</w:t>
      </w:r>
    </w:p>
    <w:p w14:paraId="427B3ADE" w14:textId="77777777" w:rsidR="002E2FC1" w:rsidRDefault="002E2FC1" w:rsidP="00F5445A">
      <w:pPr>
        <w:pStyle w:val="Bezmezer"/>
        <w:spacing w:line="240" w:lineRule="auto"/>
        <w:rPr>
          <w:sz w:val="24"/>
          <w:szCs w:val="24"/>
          <w:u w:val="single"/>
        </w:rPr>
      </w:pPr>
    </w:p>
    <w:p w14:paraId="0C8E2ACC" w14:textId="77777777" w:rsidR="002E2FC1" w:rsidRDefault="002E2FC1" w:rsidP="00F5445A">
      <w:pPr>
        <w:pStyle w:val="Bezmezer"/>
        <w:spacing w:line="240" w:lineRule="auto"/>
        <w:rPr>
          <w:sz w:val="24"/>
          <w:szCs w:val="24"/>
        </w:rPr>
      </w:pPr>
      <w:r>
        <w:rPr>
          <w:sz w:val="24"/>
          <w:szCs w:val="24"/>
        </w:rPr>
        <w:t xml:space="preserve">      Vyplácené důchody se zvyšují od 1. ledna a protože v praxi se zvýšený důchod vyplácí od</w:t>
      </w:r>
      <w:r w:rsidR="00E60561">
        <w:rPr>
          <w:sz w:val="24"/>
          <w:szCs w:val="24"/>
        </w:rPr>
        <w:t> </w:t>
      </w:r>
      <w:r>
        <w:rPr>
          <w:sz w:val="24"/>
          <w:szCs w:val="24"/>
        </w:rPr>
        <w:t>splátky splatné v lednu, poskytuje ČSSZ ještě doplatek zvýšení za část doby od 1. ledna do</w:t>
      </w:r>
      <w:r w:rsidR="00E60561">
        <w:rPr>
          <w:sz w:val="24"/>
          <w:szCs w:val="24"/>
        </w:rPr>
        <w:t> </w:t>
      </w:r>
      <w:r>
        <w:rPr>
          <w:sz w:val="24"/>
          <w:szCs w:val="24"/>
        </w:rPr>
        <w:t xml:space="preserve">dne předcházejícího splátce důchodů; důchody </w:t>
      </w:r>
      <w:r w:rsidR="00517AE4">
        <w:rPr>
          <w:sz w:val="24"/>
          <w:szCs w:val="24"/>
        </w:rPr>
        <w:t xml:space="preserve">totiž </w:t>
      </w:r>
      <w:r>
        <w:rPr>
          <w:sz w:val="24"/>
          <w:szCs w:val="24"/>
        </w:rPr>
        <w:t xml:space="preserve">ČSSZ vyplácí podle § 116 odst. 1 zákona o organizaci a provádění sociálního zabezpečení dopředu v pravidelných měsíčních lhůtách, tedy na tzv. klouzavý měsíc (na kalendářní měsíc </w:t>
      </w:r>
      <w:r w:rsidR="00517AE4">
        <w:rPr>
          <w:sz w:val="24"/>
          <w:szCs w:val="24"/>
        </w:rPr>
        <w:t>vy</w:t>
      </w:r>
      <w:r>
        <w:rPr>
          <w:sz w:val="24"/>
          <w:szCs w:val="24"/>
        </w:rPr>
        <w:t>plácejí</w:t>
      </w:r>
      <w:r w:rsidR="00517AE4">
        <w:rPr>
          <w:sz w:val="24"/>
          <w:szCs w:val="24"/>
        </w:rPr>
        <w:t xml:space="preserve"> důchody ostatní plátci důchodů podle § 117 zákona o organizaci a provádění sociálního zabezpečení). Vzhledem k tomu, že podle § 67aa odst. 5 se dočasný přídavek vyplácí naposledy se splátkou důchodu splatnou v prosinci, tedy i na část ledna následujícího roku, budou se v tomto případě důchody zvyšovat v lednu až od splátky důchodu splatné v lednu, aby v lednu nedošlo zároveň jednak k výplatě části dočasného přídavku, jednak k výplatě doplatku zvýšení, tedy v podstatě k duplicitnímu plnění.</w:t>
      </w:r>
    </w:p>
    <w:p w14:paraId="450C86E9" w14:textId="77777777" w:rsidR="00517AE4" w:rsidRDefault="00517AE4" w:rsidP="00F5445A">
      <w:pPr>
        <w:pStyle w:val="Bezmezer"/>
        <w:spacing w:line="240" w:lineRule="auto"/>
        <w:rPr>
          <w:sz w:val="24"/>
          <w:szCs w:val="24"/>
        </w:rPr>
      </w:pPr>
    </w:p>
    <w:p w14:paraId="0CA07855" w14:textId="77777777" w:rsidR="00517AE4" w:rsidRDefault="00517AE4" w:rsidP="00F5445A">
      <w:pPr>
        <w:pStyle w:val="Bezmezer"/>
        <w:spacing w:line="240" w:lineRule="auto"/>
        <w:rPr>
          <w:sz w:val="24"/>
          <w:szCs w:val="24"/>
          <w:u w:val="single"/>
        </w:rPr>
      </w:pPr>
      <w:r w:rsidRPr="00517AE4">
        <w:rPr>
          <w:sz w:val="24"/>
          <w:szCs w:val="24"/>
          <w:u w:val="single"/>
        </w:rPr>
        <w:t>K bodu 18</w:t>
      </w:r>
    </w:p>
    <w:p w14:paraId="033506A3" w14:textId="77777777" w:rsidR="00517AE4" w:rsidRDefault="00517AE4" w:rsidP="00F5445A">
      <w:pPr>
        <w:pStyle w:val="Bezmezer"/>
        <w:spacing w:line="240" w:lineRule="auto"/>
        <w:rPr>
          <w:sz w:val="24"/>
          <w:szCs w:val="24"/>
          <w:u w:val="single"/>
        </w:rPr>
      </w:pPr>
    </w:p>
    <w:p w14:paraId="244C3FB5" w14:textId="77777777" w:rsidR="00517AE4" w:rsidRDefault="00517AE4" w:rsidP="00F5445A">
      <w:pPr>
        <w:pStyle w:val="Bezmezer"/>
        <w:spacing w:line="240" w:lineRule="auto"/>
        <w:rPr>
          <w:sz w:val="24"/>
          <w:szCs w:val="24"/>
        </w:rPr>
      </w:pPr>
      <w:r>
        <w:rPr>
          <w:sz w:val="24"/>
          <w:szCs w:val="24"/>
        </w:rPr>
        <w:t xml:space="preserve">      Zmocňovací ustanovení se nově formuluje vzhledem k tomu, že bylo zrušeno zvýšení důchodů v mimořádném termínu; věcně ke změnám nedochází, tj. zvýšení důchodů od</w:t>
      </w:r>
      <w:r w:rsidR="00E60561">
        <w:rPr>
          <w:sz w:val="24"/>
          <w:szCs w:val="24"/>
        </w:rPr>
        <w:t> </w:t>
      </w:r>
      <w:r>
        <w:rPr>
          <w:sz w:val="24"/>
          <w:szCs w:val="24"/>
        </w:rPr>
        <w:t>1.</w:t>
      </w:r>
      <w:r w:rsidR="00E60561">
        <w:rPr>
          <w:sz w:val="24"/>
          <w:szCs w:val="24"/>
        </w:rPr>
        <w:t> </w:t>
      </w:r>
      <w:r>
        <w:rPr>
          <w:sz w:val="24"/>
          <w:szCs w:val="24"/>
        </w:rPr>
        <w:t>ledna bude nadále stanovovat vláda svým nařízením do 30. září předchozího kalendářního roku.</w:t>
      </w:r>
    </w:p>
    <w:p w14:paraId="1C34C7D8" w14:textId="77777777" w:rsidR="00517AE4" w:rsidRDefault="00517AE4" w:rsidP="00F5445A">
      <w:pPr>
        <w:pStyle w:val="Bezmezer"/>
        <w:spacing w:line="240" w:lineRule="auto"/>
        <w:rPr>
          <w:sz w:val="24"/>
          <w:szCs w:val="24"/>
        </w:rPr>
      </w:pPr>
    </w:p>
    <w:p w14:paraId="2FE35FB8" w14:textId="77777777" w:rsidR="00517AE4" w:rsidRDefault="00517AE4" w:rsidP="00F5445A">
      <w:pPr>
        <w:pStyle w:val="Bezmezer"/>
        <w:spacing w:line="240" w:lineRule="auto"/>
        <w:rPr>
          <w:sz w:val="24"/>
          <w:szCs w:val="24"/>
          <w:u w:val="single"/>
        </w:rPr>
      </w:pPr>
      <w:r w:rsidRPr="00517AE4">
        <w:rPr>
          <w:sz w:val="24"/>
          <w:szCs w:val="24"/>
          <w:u w:val="single"/>
        </w:rPr>
        <w:t>K bodu 19</w:t>
      </w:r>
    </w:p>
    <w:p w14:paraId="40DBDCCD" w14:textId="77777777" w:rsidR="00517AE4" w:rsidRDefault="00517AE4" w:rsidP="00F5445A">
      <w:pPr>
        <w:pStyle w:val="Bezmezer"/>
        <w:spacing w:line="240" w:lineRule="auto"/>
        <w:rPr>
          <w:sz w:val="24"/>
          <w:szCs w:val="24"/>
          <w:u w:val="single"/>
        </w:rPr>
      </w:pPr>
    </w:p>
    <w:p w14:paraId="4DB27ED6" w14:textId="77777777" w:rsidR="00517AE4" w:rsidRDefault="00517AE4" w:rsidP="00F5445A">
      <w:pPr>
        <w:pStyle w:val="Bezmezer"/>
        <w:spacing w:line="240" w:lineRule="auto"/>
        <w:rPr>
          <w:sz w:val="24"/>
          <w:szCs w:val="24"/>
        </w:rPr>
      </w:pPr>
      <w:r>
        <w:rPr>
          <w:sz w:val="24"/>
          <w:szCs w:val="24"/>
        </w:rPr>
        <w:t xml:space="preserve">      </w:t>
      </w:r>
      <w:r w:rsidR="000C741C">
        <w:rPr>
          <w:sz w:val="24"/>
          <w:szCs w:val="24"/>
        </w:rPr>
        <w:t>V návaznosti na zrušení institutu zvýšení důchodů v mimořádném termínu v § 67 ZDP se navrhuje jiné řešení pro případ růstu cen aspoň ve výši 5 %. Tímto jiným řešením bude zvýšení procentních výměr vyplácených důchodů v průběhu kalendářního roku, tedy</w:t>
      </w:r>
      <w:r w:rsidR="00E60561">
        <w:rPr>
          <w:sz w:val="24"/>
          <w:szCs w:val="24"/>
        </w:rPr>
        <w:t xml:space="preserve"> </w:t>
      </w:r>
      <w:r w:rsidR="000C741C">
        <w:rPr>
          <w:sz w:val="24"/>
          <w:szCs w:val="24"/>
        </w:rPr>
        <w:t>v</w:t>
      </w:r>
      <w:r w:rsidR="00E60561">
        <w:rPr>
          <w:sz w:val="24"/>
          <w:szCs w:val="24"/>
        </w:rPr>
        <w:t> </w:t>
      </w:r>
      <w:r w:rsidR="000C741C">
        <w:rPr>
          <w:sz w:val="24"/>
          <w:szCs w:val="24"/>
        </w:rPr>
        <w:t>určitém předstihu, přičemž toto zvýšení bude trvalé a zohlední se při následném zvýšení od</w:t>
      </w:r>
      <w:r w:rsidR="00E60561">
        <w:rPr>
          <w:sz w:val="24"/>
          <w:szCs w:val="24"/>
        </w:rPr>
        <w:t> </w:t>
      </w:r>
      <w:r w:rsidR="000C741C">
        <w:rPr>
          <w:sz w:val="24"/>
          <w:szCs w:val="24"/>
        </w:rPr>
        <w:t>1. ledna (srov. § 67 odst. 6, ve znění podle bodu 10). Účelem je částečná kompenzace vyššího růstu cen, přičemž bude v daném kalendářním roce náležet ještě dočasný přídavek podle § 67aa</w:t>
      </w:r>
      <w:r w:rsidR="00CC1424">
        <w:rPr>
          <w:sz w:val="24"/>
          <w:szCs w:val="24"/>
        </w:rPr>
        <w:t>; celkem se bude takto v předstihu zohledňovat 60 % růstu cen</w:t>
      </w:r>
      <w:r w:rsidR="000C741C">
        <w:rPr>
          <w:sz w:val="24"/>
          <w:szCs w:val="24"/>
        </w:rPr>
        <w:t>.</w:t>
      </w:r>
    </w:p>
    <w:p w14:paraId="53B8B3D4" w14:textId="77777777" w:rsidR="000C741C" w:rsidRDefault="000C741C" w:rsidP="00F5445A">
      <w:pPr>
        <w:pStyle w:val="Bezmezer"/>
        <w:spacing w:line="240" w:lineRule="auto"/>
        <w:rPr>
          <w:sz w:val="24"/>
          <w:szCs w:val="24"/>
        </w:rPr>
      </w:pPr>
    </w:p>
    <w:p w14:paraId="6FD7AEEB" w14:textId="77777777" w:rsidR="000C741C" w:rsidRDefault="000C741C" w:rsidP="00F5445A">
      <w:pPr>
        <w:pStyle w:val="Bezmezer"/>
        <w:spacing w:line="240" w:lineRule="auto"/>
        <w:rPr>
          <w:sz w:val="24"/>
          <w:szCs w:val="24"/>
        </w:rPr>
      </w:pPr>
      <w:r>
        <w:rPr>
          <w:sz w:val="24"/>
          <w:szCs w:val="24"/>
        </w:rPr>
        <w:t xml:space="preserve">      Období pro zjišťování růstu cen bude začínat vždy červ</w:t>
      </w:r>
      <w:r w:rsidR="00CC1424">
        <w:rPr>
          <w:sz w:val="24"/>
          <w:szCs w:val="24"/>
        </w:rPr>
        <w:t>encem</w:t>
      </w:r>
      <w:r>
        <w:rPr>
          <w:sz w:val="24"/>
          <w:szCs w:val="24"/>
        </w:rPr>
        <w:t xml:space="preserve"> kalendářního roku, který </w:t>
      </w:r>
      <w:r w:rsidR="00CC1424">
        <w:rPr>
          <w:sz w:val="24"/>
          <w:szCs w:val="24"/>
        </w:rPr>
        <w:t>předchází roku, do něhož spadá měsíc, od něhož se důchody podle § 67a zvyšují, a posledním měsícem bude měsíc, v němž růst cen dosáhl aspoň 5 %, nejpozději však červen. Například pro zjištění, zda v průběhu roku 2025 došlo ke splnění podmínky růstu cen, se tento růst cen bude zjišťovat od července 2024 nejpozději do června 2025. Měsíc, v němž dojde ke zvýšení podle odstavce 3, vychází jednak z účelu zvýšení, jednak z praktických možností plátců důchodů; důchody se tak v případě, že by se podmínka růstu cen splnila v posledním možném měsíci, tedy v červnu, zvýší v říjnu a poté hned od 1. ledna následujícího roku.</w:t>
      </w:r>
    </w:p>
    <w:p w14:paraId="405E6495" w14:textId="77777777" w:rsidR="006B5603" w:rsidRDefault="006B5603" w:rsidP="00F5445A">
      <w:pPr>
        <w:pStyle w:val="Bezmezer"/>
        <w:spacing w:line="240" w:lineRule="auto"/>
        <w:rPr>
          <w:sz w:val="24"/>
          <w:szCs w:val="24"/>
        </w:rPr>
      </w:pPr>
    </w:p>
    <w:p w14:paraId="004581AC" w14:textId="77777777" w:rsidR="006B5603" w:rsidRDefault="006B5603" w:rsidP="00F5445A">
      <w:pPr>
        <w:pStyle w:val="Bezmezer"/>
        <w:spacing w:line="240" w:lineRule="auto"/>
        <w:rPr>
          <w:sz w:val="24"/>
          <w:szCs w:val="24"/>
        </w:rPr>
      </w:pPr>
    </w:p>
    <w:p w14:paraId="058C5949" w14:textId="77777777" w:rsidR="006B5603" w:rsidRDefault="006B5603" w:rsidP="00F5445A">
      <w:pPr>
        <w:pStyle w:val="Bezmezer"/>
        <w:spacing w:line="240" w:lineRule="auto"/>
        <w:rPr>
          <w:sz w:val="24"/>
          <w:szCs w:val="24"/>
        </w:rPr>
      </w:pPr>
    </w:p>
    <w:p w14:paraId="744A0907" w14:textId="77777777" w:rsidR="006B5603" w:rsidRDefault="006B5603" w:rsidP="00F5445A">
      <w:pPr>
        <w:pStyle w:val="Bezmezer"/>
        <w:spacing w:line="240" w:lineRule="auto"/>
        <w:rPr>
          <w:sz w:val="24"/>
          <w:szCs w:val="24"/>
        </w:rPr>
      </w:pPr>
      <w:r>
        <w:rPr>
          <w:sz w:val="24"/>
          <w:szCs w:val="24"/>
        </w:rPr>
        <w:t xml:space="preserve">      Zvýšení procentních výměr bude náležet, tak jako dosud, i k důchodům přiznávaným do</w:t>
      </w:r>
      <w:r w:rsidR="00DC4CC3">
        <w:rPr>
          <w:sz w:val="24"/>
          <w:szCs w:val="24"/>
        </w:rPr>
        <w:t> </w:t>
      </w:r>
      <w:r>
        <w:rPr>
          <w:sz w:val="24"/>
          <w:szCs w:val="24"/>
        </w:rPr>
        <w:t>konce kalendářního roku. Zvýšení však nebude náležet k předčasným starobním důchodům, pokud poživatel tohoto důchodu nedosáhl důchodového věku, a to obdobně podle úpravy navrhované v § 67, srov. bod 16.</w:t>
      </w:r>
    </w:p>
    <w:p w14:paraId="57495301" w14:textId="77777777" w:rsidR="006B5603" w:rsidRDefault="006B5603" w:rsidP="00F5445A">
      <w:pPr>
        <w:pStyle w:val="Bezmezer"/>
        <w:spacing w:line="240" w:lineRule="auto"/>
        <w:rPr>
          <w:sz w:val="24"/>
          <w:szCs w:val="24"/>
        </w:rPr>
      </w:pPr>
    </w:p>
    <w:p w14:paraId="330231FE" w14:textId="77777777" w:rsidR="006B5603" w:rsidRDefault="006B5603" w:rsidP="00F5445A">
      <w:pPr>
        <w:pStyle w:val="Bezmezer"/>
        <w:spacing w:line="240" w:lineRule="auto"/>
        <w:rPr>
          <w:sz w:val="24"/>
          <w:szCs w:val="24"/>
          <w:u w:val="single"/>
        </w:rPr>
      </w:pPr>
      <w:r w:rsidRPr="006B5603">
        <w:rPr>
          <w:sz w:val="24"/>
          <w:szCs w:val="24"/>
          <w:u w:val="single"/>
        </w:rPr>
        <w:t>K bodu 20</w:t>
      </w:r>
    </w:p>
    <w:p w14:paraId="7644B4F0" w14:textId="77777777" w:rsidR="006B5603" w:rsidRDefault="006B5603" w:rsidP="00F5445A">
      <w:pPr>
        <w:pStyle w:val="Bezmezer"/>
        <w:spacing w:line="240" w:lineRule="auto"/>
        <w:rPr>
          <w:sz w:val="24"/>
          <w:szCs w:val="24"/>
          <w:u w:val="single"/>
        </w:rPr>
      </w:pPr>
    </w:p>
    <w:p w14:paraId="44DE48F5" w14:textId="77777777" w:rsidR="006B5603" w:rsidRDefault="006B5603" w:rsidP="00F5445A">
      <w:pPr>
        <w:pStyle w:val="Bezmezer"/>
        <w:spacing w:line="240" w:lineRule="auto"/>
        <w:rPr>
          <w:sz w:val="24"/>
          <w:szCs w:val="24"/>
          <w:u w:val="single"/>
        </w:rPr>
      </w:pPr>
      <w:r w:rsidRPr="006B5603">
        <w:rPr>
          <w:sz w:val="24"/>
          <w:szCs w:val="24"/>
          <w:u w:val="single"/>
        </w:rPr>
        <w:t>K § 67aa</w:t>
      </w:r>
    </w:p>
    <w:p w14:paraId="1EA1BCE4" w14:textId="77777777" w:rsidR="006B5603" w:rsidRDefault="006B5603" w:rsidP="00F5445A">
      <w:pPr>
        <w:pStyle w:val="Bezmezer"/>
        <w:spacing w:line="240" w:lineRule="auto"/>
        <w:rPr>
          <w:sz w:val="24"/>
          <w:szCs w:val="24"/>
          <w:u w:val="single"/>
        </w:rPr>
      </w:pPr>
    </w:p>
    <w:p w14:paraId="3DD84128" w14:textId="77777777" w:rsidR="006B5603" w:rsidRDefault="006B5603" w:rsidP="00F5445A">
      <w:pPr>
        <w:pStyle w:val="Bezmezer"/>
        <w:spacing w:line="240" w:lineRule="auto"/>
        <w:rPr>
          <w:sz w:val="24"/>
          <w:szCs w:val="24"/>
        </w:rPr>
      </w:pPr>
      <w:r>
        <w:rPr>
          <w:sz w:val="24"/>
          <w:szCs w:val="24"/>
        </w:rPr>
        <w:t xml:space="preserve">      Vedle zvýšení procentních výměr podle nového § 67a (srov. bod 19) bude část růstu cen ve výši 30 % kompenzována ještě dočasným přídavkem k důchodu, který bude náležet jen do</w:t>
      </w:r>
      <w:r w:rsidR="00DC4CC3">
        <w:rPr>
          <w:sz w:val="24"/>
          <w:szCs w:val="24"/>
        </w:rPr>
        <w:t> </w:t>
      </w:r>
      <w:r>
        <w:rPr>
          <w:sz w:val="24"/>
          <w:szCs w:val="24"/>
        </w:rPr>
        <w:t>konce roku; v následujícím roce se vyplácené důchody zvýší od 1. ledna se zohledněním plného růstu cen. Dočasný přídavek nebude součástí důchodu (základní ani procentní výměry), avšak bude vyplácen spolu s důchodem, a to stejným způsobem.</w:t>
      </w:r>
    </w:p>
    <w:p w14:paraId="2C487C91" w14:textId="77777777" w:rsidR="006B5603" w:rsidRDefault="006B5603" w:rsidP="00F5445A">
      <w:pPr>
        <w:pStyle w:val="Bezmezer"/>
        <w:spacing w:line="240" w:lineRule="auto"/>
        <w:rPr>
          <w:sz w:val="24"/>
          <w:szCs w:val="24"/>
        </w:rPr>
      </w:pPr>
    </w:p>
    <w:p w14:paraId="73DF82C4" w14:textId="77777777" w:rsidR="006B5603" w:rsidRDefault="006B5603" w:rsidP="00F5445A">
      <w:pPr>
        <w:pStyle w:val="Bezmezer"/>
        <w:spacing w:line="240" w:lineRule="auto"/>
        <w:rPr>
          <w:sz w:val="24"/>
          <w:szCs w:val="24"/>
        </w:rPr>
      </w:pPr>
      <w:r>
        <w:rPr>
          <w:sz w:val="24"/>
          <w:szCs w:val="24"/>
        </w:rPr>
        <w:t xml:space="preserve">      Dočasný přídavek bude stanoven v jednotné pevné měsíční částce, která se</w:t>
      </w:r>
      <w:r w:rsidR="00BE4A1D">
        <w:rPr>
          <w:sz w:val="24"/>
          <w:szCs w:val="24"/>
        </w:rPr>
        <w:t xml:space="preserve"> </w:t>
      </w:r>
      <w:r>
        <w:rPr>
          <w:sz w:val="24"/>
          <w:szCs w:val="24"/>
        </w:rPr>
        <w:t>bude podle odstavce</w:t>
      </w:r>
      <w:r w:rsidR="00BE4A1D">
        <w:rPr>
          <w:sz w:val="24"/>
          <w:szCs w:val="24"/>
        </w:rPr>
        <w:t xml:space="preserve"> 2 odvozovat od výše průměrného starobního důchodu. Každému důchodci bude dočasný přídavek náležet jen jednou, tj. v případě souběhu nároků na výplatu více důchodů bude dočasný přídavek náležet k tomu důchodu, který se vyplácí v plné výši.</w:t>
      </w:r>
    </w:p>
    <w:p w14:paraId="60A88CF7" w14:textId="77777777" w:rsidR="00BE4A1D" w:rsidRDefault="00BE4A1D" w:rsidP="00F5445A">
      <w:pPr>
        <w:pStyle w:val="Bezmezer"/>
        <w:spacing w:line="240" w:lineRule="auto"/>
        <w:rPr>
          <w:sz w:val="24"/>
          <w:szCs w:val="24"/>
        </w:rPr>
      </w:pPr>
    </w:p>
    <w:p w14:paraId="3D34D1FF" w14:textId="77777777" w:rsidR="00BE4A1D" w:rsidRDefault="00BE4A1D" w:rsidP="00F5445A">
      <w:pPr>
        <w:pStyle w:val="Bezmezer"/>
        <w:spacing w:line="240" w:lineRule="auto"/>
        <w:rPr>
          <w:sz w:val="24"/>
          <w:szCs w:val="24"/>
        </w:rPr>
      </w:pPr>
      <w:r>
        <w:rPr>
          <w:sz w:val="24"/>
          <w:szCs w:val="24"/>
        </w:rPr>
        <w:t xml:space="preserve">      Dočasným přídavek se bude vyplácet bez žádosti (o dočasném přídavku se nebude také vydávat samostatné rozhodnutí) a poprvé se vyplatí se splátkou důchodu splatnou v kalendářním měsíci, v němž se zvyšují důchody podle § 67a a naposledy se splátkou důchodu splatnou v prosinci. </w:t>
      </w:r>
    </w:p>
    <w:p w14:paraId="2E68FD8D" w14:textId="77777777" w:rsidR="00BE4A1D" w:rsidRDefault="00BE4A1D" w:rsidP="00F5445A">
      <w:pPr>
        <w:pStyle w:val="Bezmezer"/>
        <w:spacing w:line="240" w:lineRule="auto"/>
        <w:rPr>
          <w:sz w:val="24"/>
          <w:szCs w:val="24"/>
        </w:rPr>
      </w:pPr>
    </w:p>
    <w:p w14:paraId="0CD3E2DE" w14:textId="77777777" w:rsidR="00BE4A1D" w:rsidRDefault="00BE4A1D" w:rsidP="00F5445A">
      <w:pPr>
        <w:pStyle w:val="Bezmezer"/>
        <w:spacing w:line="240" w:lineRule="auto"/>
        <w:rPr>
          <w:sz w:val="24"/>
          <w:szCs w:val="24"/>
        </w:rPr>
      </w:pPr>
      <w:r>
        <w:rPr>
          <w:sz w:val="24"/>
          <w:szCs w:val="24"/>
        </w:rPr>
        <w:t xml:space="preserve">      Pro účely příslušných ustanovení ZDP se bude s dočasným přídavkem podle odstavce 6 nakládat tak, jako by byl součástí základní výměry. V případě dílčího důchodu podle § 61 ZDP se bude poměrně upravovat i výše dočasného přídavku. Pro účely jiných právních předpisů, kdy se zjišťuje výše příjmů (např. pro účely dávek státní sociální podpory či pomoci v hmotné nouzi), se bude k dočasnému přídavku přihlížet, tj. bude se s ním nakládat tak, jako by byl součástí důchodu.</w:t>
      </w:r>
    </w:p>
    <w:p w14:paraId="37B30D8E" w14:textId="77777777" w:rsidR="00BE4A1D" w:rsidRDefault="00BE4A1D" w:rsidP="00F5445A">
      <w:pPr>
        <w:pStyle w:val="Bezmezer"/>
        <w:spacing w:line="240" w:lineRule="auto"/>
        <w:rPr>
          <w:sz w:val="24"/>
          <w:szCs w:val="24"/>
        </w:rPr>
      </w:pPr>
    </w:p>
    <w:p w14:paraId="6B1BCF2F" w14:textId="77777777" w:rsidR="00BE4A1D" w:rsidRPr="00BE4A1D" w:rsidRDefault="00BE4A1D" w:rsidP="00F5445A">
      <w:pPr>
        <w:pStyle w:val="Bezmezer"/>
        <w:spacing w:line="240" w:lineRule="auto"/>
        <w:rPr>
          <w:sz w:val="24"/>
          <w:szCs w:val="24"/>
          <w:u w:val="single"/>
        </w:rPr>
      </w:pPr>
      <w:r w:rsidRPr="00BE4A1D">
        <w:rPr>
          <w:sz w:val="24"/>
          <w:szCs w:val="24"/>
          <w:u w:val="single"/>
        </w:rPr>
        <w:t>§ 67ab</w:t>
      </w:r>
    </w:p>
    <w:p w14:paraId="24E82CAC" w14:textId="77777777" w:rsidR="002E2FC1" w:rsidRDefault="002E2FC1" w:rsidP="00F5445A">
      <w:pPr>
        <w:pStyle w:val="Bezmezer"/>
        <w:spacing w:line="240" w:lineRule="auto"/>
        <w:rPr>
          <w:sz w:val="24"/>
          <w:szCs w:val="24"/>
          <w:u w:val="single"/>
        </w:rPr>
      </w:pPr>
    </w:p>
    <w:p w14:paraId="7A0679DA" w14:textId="77777777" w:rsidR="00BE4A1D" w:rsidRDefault="00BE4A1D" w:rsidP="00F5445A">
      <w:pPr>
        <w:pStyle w:val="Bezmezer"/>
        <w:spacing w:line="240" w:lineRule="auto"/>
        <w:rPr>
          <w:sz w:val="24"/>
          <w:szCs w:val="24"/>
        </w:rPr>
      </w:pPr>
      <w:r>
        <w:rPr>
          <w:sz w:val="24"/>
          <w:szCs w:val="24"/>
        </w:rPr>
        <w:t xml:space="preserve">      </w:t>
      </w:r>
      <w:r w:rsidR="00737DB5">
        <w:rPr>
          <w:sz w:val="24"/>
          <w:szCs w:val="24"/>
        </w:rPr>
        <w:t>Toto ustanovení je stejné jako dosavadní § 67a a jen ze systematických důvodů, s příslušnou formulační úpravou odkazující na nový § 67a, se přesouvá na jiné místo.</w:t>
      </w:r>
    </w:p>
    <w:p w14:paraId="657DA950" w14:textId="77777777" w:rsidR="00737DB5" w:rsidRDefault="00737DB5" w:rsidP="00F5445A">
      <w:pPr>
        <w:pStyle w:val="Bezmezer"/>
        <w:spacing w:line="240" w:lineRule="auto"/>
        <w:rPr>
          <w:sz w:val="24"/>
          <w:szCs w:val="24"/>
        </w:rPr>
      </w:pPr>
    </w:p>
    <w:p w14:paraId="20D54B7D" w14:textId="77777777" w:rsidR="00737DB5" w:rsidRDefault="00737DB5" w:rsidP="00F5445A">
      <w:pPr>
        <w:pStyle w:val="Bezmezer"/>
        <w:spacing w:line="240" w:lineRule="auto"/>
        <w:rPr>
          <w:sz w:val="24"/>
          <w:szCs w:val="24"/>
          <w:u w:val="single"/>
        </w:rPr>
      </w:pPr>
      <w:r w:rsidRPr="00737DB5">
        <w:rPr>
          <w:sz w:val="24"/>
          <w:szCs w:val="24"/>
          <w:u w:val="single"/>
        </w:rPr>
        <w:t>K bodu 23</w:t>
      </w:r>
    </w:p>
    <w:p w14:paraId="31BDC3B1" w14:textId="77777777" w:rsidR="00737DB5" w:rsidRDefault="00737DB5" w:rsidP="00F5445A">
      <w:pPr>
        <w:pStyle w:val="Bezmezer"/>
        <w:spacing w:line="240" w:lineRule="auto"/>
        <w:rPr>
          <w:sz w:val="24"/>
          <w:szCs w:val="24"/>
          <w:u w:val="single"/>
        </w:rPr>
      </w:pPr>
    </w:p>
    <w:p w14:paraId="58092980" w14:textId="77777777" w:rsidR="00737DB5" w:rsidRDefault="00737DB5" w:rsidP="00F5445A">
      <w:pPr>
        <w:pStyle w:val="Bezmezer"/>
        <w:spacing w:line="240" w:lineRule="auto"/>
        <w:rPr>
          <w:sz w:val="24"/>
          <w:szCs w:val="24"/>
        </w:rPr>
      </w:pPr>
      <w:r>
        <w:rPr>
          <w:sz w:val="24"/>
          <w:szCs w:val="24"/>
        </w:rPr>
        <w:t xml:space="preserve">      </w:t>
      </w:r>
      <w:r w:rsidRPr="00737DB5">
        <w:rPr>
          <w:sz w:val="24"/>
          <w:szCs w:val="24"/>
        </w:rPr>
        <w:t xml:space="preserve">Ustanovení navazuje na </w:t>
      </w:r>
      <w:r>
        <w:rPr>
          <w:sz w:val="24"/>
          <w:szCs w:val="24"/>
        </w:rPr>
        <w:t>§ 67a odst. 8 a § 67aa odst. 7 (body 19 a 20) a stanoví, že zvýšení procentní výměry a</w:t>
      </w:r>
      <w:r w:rsidRPr="00737DB5">
        <w:rPr>
          <w:sz w:val="24"/>
          <w:szCs w:val="24"/>
        </w:rPr>
        <w:t xml:space="preserve"> </w:t>
      </w:r>
      <w:r>
        <w:rPr>
          <w:sz w:val="24"/>
          <w:szCs w:val="24"/>
        </w:rPr>
        <w:t>výši dočasného přídavku pro příslušný kalendářní rok, resp. jeho část, stanoví MPSV vyhláškou. Tato úprava formou vyhlášky se volí proto, že pravidla jsou stanovena jednoznačně bez možnosti se od nich odchýlit (na rozdíl od zvýšení od 1. ledna, srov. § 67 odst. 6, kdy vláda může za určitých podmínek rozhodnout o vyšším než statistickém zvýšení); vydání vyhlášky je také operativnější.</w:t>
      </w:r>
      <w:r w:rsidRPr="00737DB5">
        <w:rPr>
          <w:sz w:val="24"/>
          <w:szCs w:val="24"/>
        </w:rPr>
        <w:t xml:space="preserve">   </w:t>
      </w:r>
    </w:p>
    <w:p w14:paraId="728A0949" w14:textId="77777777" w:rsidR="00737DB5" w:rsidRDefault="00737DB5" w:rsidP="00F5445A">
      <w:pPr>
        <w:pStyle w:val="Bezmezer"/>
        <w:spacing w:line="240" w:lineRule="auto"/>
        <w:rPr>
          <w:sz w:val="24"/>
          <w:szCs w:val="24"/>
        </w:rPr>
      </w:pPr>
    </w:p>
    <w:p w14:paraId="3493240A" w14:textId="77777777" w:rsidR="00737DB5" w:rsidRDefault="00737DB5" w:rsidP="00F5445A">
      <w:pPr>
        <w:pStyle w:val="Bezmezer"/>
        <w:spacing w:line="240" w:lineRule="auto"/>
        <w:rPr>
          <w:sz w:val="24"/>
          <w:szCs w:val="24"/>
        </w:rPr>
      </w:pPr>
    </w:p>
    <w:p w14:paraId="0BDA6A7A" w14:textId="77777777" w:rsidR="00737DB5" w:rsidRDefault="00737DB5" w:rsidP="00F5445A">
      <w:pPr>
        <w:pStyle w:val="Bezmezer"/>
        <w:spacing w:line="240" w:lineRule="auto"/>
        <w:rPr>
          <w:sz w:val="24"/>
          <w:szCs w:val="24"/>
        </w:rPr>
      </w:pPr>
    </w:p>
    <w:p w14:paraId="553391CD" w14:textId="77777777" w:rsidR="00737DB5" w:rsidRDefault="00737DB5" w:rsidP="00F5445A">
      <w:pPr>
        <w:pStyle w:val="Bezmezer"/>
        <w:spacing w:line="240" w:lineRule="auto"/>
        <w:rPr>
          <w:sz w:val="24"/>
          <w:szCs w:val="24"/>
        </w:rPr>
      </w:pPr>
    </w:p>
    <w:p w14:paraId="366D4A41" w14:textId="77777777" w:rsidR="00737DB5" w:rsidRDefault="00737DB5" w:rsidP="00F5445A">
      <w:pPr>
        <w:pStyle w:val="Bezmezer"/>
        <w:spacing w:line="240" w:lineRule="auto"/>
        <w:rPr>
          <w:sz w:val="24"/>
          <w:szCs w:val="24"/>
        </w:rPr>
      </w:pPr>
    </w:p>
    <w:p w14:paraId="19C65EDB" w14:textId="77777777" w:rsidR="00737DB5" w:rsidRDefault="00737DB5" w:rsidP="00F5445A">
      <w:pPr>
        <w:pStyle w:val="Bezmezer"/>
        <w:spacing w:line="240" w:lineRule="auto"/>
        <w:rPr>
          <w:sz w:val="24"/>
          <w:szCs w:val="24"/>
        </w:rPr>
      </w:pPr>
    </w:p>
    <w:p w14:paraId="6A31B6B9" w14:textId="77777777" w:rsidR="00737DB5" w:rsidRDefault="00737DB5" w:rsidP="00F5445A">
      <w:pPr>
        <w:pStyle w:val="Bezmezer"/>
        <w:spacing w:line="240" w:lineRule="auto"/>
        <w:rPr>
          <w:b/>
          <w:bCs/>
          <w:sz w:val="24"/>
          <w:szCs w:val="24"/>
          <w:u w:val="single"/>
        </w:rPr>
      </w:pPr>
      <w:r w:rsidRPr="00737DB5">
        <w:rPr>
          <w:b/>
          <w:bCs/>
          <w:sz w:val="24"/>
          <w:szCs w:val="24"/>
          <w:u w:val="single"/>
        </w:rPr>
        <w:t>K čl. II</w:t>
      </w:r>
    </w:p>
    <w:p w14:paraId="103BB5C5" w14:textId="77777777" w:rsidR="00737DB5" w:rsidRDefault="00737DB5" w:rsidP="00F5445A">
      <w:pPr>
        <w:pStyle w:val="Bezmezer"/>
        <w:spacing w:line="240" w:lineRule="auto"/>
        <w:rPr>
          <w:b/>
          <w:bCs/>
          <w:sz w:val="24"/>
          <w:szCs w:val="24"/>
          <w:u w:val="single"/>
        </w:rPr>
      </w:pPr>
    </w:p>
    <w:p w14:paraId="5DB902E2" w14:textId="77777777" w:rsidR="00737DB5" w:rsidRDefault="00737DB5" w:rsidP="00F5445A">
      <w:pPr>
        <w:pStyle w:val="Bezmezer"/>
        <w:spacing w:line="240" w:lineRule="auto"/>
        <w:rPr>
          <w:sz w:val="24"/>
          <w:szCs w:val="24"/>
          <w:u w:val="single"/>
        </w:rPr>
      </w:pPr>
      <w:r>
        <w:rPr>
          <w:sz w:val="24"/>
          <w:szCs w:val="24"/>
          <w:u w:val="single"/>
        </w:rPr>
        <w:t>K bodu 1</w:t>
      </w:r>
    </w:p>
    <w:p w14:paraId="1DB07A69" w14:textId="77777777" w:rsidR="00737DB5" w:rsidRDefault="00737DB5" w:rsidP="00F5445A">
      <w:pPr>
        <w:pStyle w:val="Bezmezer"/>
        <w:spacing w:line="240" w:lineRule="auto"/>
        <w:rPr>
          <w:sz w:val="24"/>
          <w:szCs w:val="24"/>
          <w:u w:val="single"/>
        </w:rPr>
      </w:pPr>
    </w:p>
    <w:p w14:paraId="1654CD9D" w14:textId="77777777" w:rsidR="00737DB5" w:rsidRDefault="00737DB5" w:rsidP="00F5445A">
      <w:pPr>
        <w:pStyle w:val="Bezmezer"/>
        <w:spacing w:line="240" w:lineRule="auto"/>
        <w:rPr>
          <w:sz w:val="24"/>
          <w:szCs w:val="24"/>
        </w:rPr>
      </w:pPr>
      <w:r>
        <w:rPr>
          <w:sz w:val="24"/>
          <w:szCs w:val="24"/>
        </w:rPr>
        <w:t xml:space="preserve">      Jedná se o standardní přechodné ustanovení, které bude využitelné zejména v případě předčasných starobních důchodů.</w:t>
      </w:r>
    </w:p>
    <w:p w14:paraId="4E60ADBE" w14:textId="77777777" w:rsidR="00737DB5" w:rsidRDefault="00737DB5" w:rsidP="00F5445A">
      <w:pPr>
        <w:pStyle w:val="Bezmezer"/>
        <w:spacing w:line="240" w:lineRule="auto"/>
        <w:rPr>
          <w:sz w:val="24"/>
          <w:szCs w:val="24"/>
        </w:rPr>
      </w:pPr>
    </w:p>
    <w:p w14:paraId="6DF62438" w14:textId="77777777" w:rsidR="00737DB5" w:rsidRDefault="00737DB5" w:rsidP="00F5445A">
      <w:pPr>
        <w:pStyle w:val="Bezmezer"/>
        <w:spacing w:line="240" w:lineRule="auto"/>
        <w:rPr>
          <w:sz w:val="24"/>
          <w:szCs w:val="24"/>
          <w:u w:val="single"/>
        </w:rPr>
      </w:pPr>
      <w:r w:rsidRPr="00737DB5">
        <w:rPr>
          <w:sz w:val="24"/>
          <w:szCs w:val="24"/>
          <w:u w:val="single"/>
        </w:rPr>
        <w:t>K bodu 2</w:t>
      </w:r>
    </w:p>
    <w:p w14:paraId="16D85C27" w14:textId="77777777" w:rsidR="00737DB5" w:rsidRDefault="00737DB5" w:rsidP="00F5445A">
      <w:pPr>
        <w:pStyle w:val="Bezmezer"/>
        <w:spacing w:line="240" w:lineRule="auto"/>
        <w:rPr>
          <w:sz w:val="24"/>
          <w:szCs w:val="24"/>
          <w:u w:val="single"/>
        </w:rPr>
      </w:pPr>
    </w:p>
    <w:p w14:paraId="0553F58D" w14:textId="77777777" w:rsidR="00737DB5" w:rsidRDefault="00737DB5" w:rsidP="00F5445A">
      <w:pPr>
        <w:pStyle w:val="Bezmezer"/>
        <w:spacing w:line="240" w:lineRule="auto"/>
        <w:rPr>
          <w:sz w:val="24"/>
          <w:szCs w:val="24"/>
        </w:rPr>
      </w:pPr>
      <w:r>
        <w:rPr>
          <w:sz w:val="24"/>
          <w:szCs w:val="24"/>
        </w:rPr>
        <w:t xml:space="preserve">      </w:t>
      </w:r>
      <w:r w:rsidR="0010395C">
        <w:rPr>
          <w:sz w:val="24"/>
          <w:szCs w:val="24"/>
        </w:rPr>
        <w:t xml:space="preserve">Předčasné starobní důchody se za dobu výdělečné činnosti vykonávané v období ode dne přiznání důchodu do dosažení důchodového věku přepočítávají tak, že </w:t>
      </w:r>
      <w:r w:rsidR="00A40EDF">
        <w:rPr>
          <w:sz w:val="24"/>
          <w:szCs w:val="24"/>
        </w:rPr>
        <w:t>se doba této výdělečné činnosti přičte k době pojištění získané do přiznání předčasného starobního důchodu a</w:t>
      </w:r>
      <w:r w:rsidR="00DC4CC3">
        <w:rPr>
          <w:sz w:val="24"/>
          <w:szCs w:val="24"/>
        </w:rPr>
        <w:t> </w:t>
      </w:r>
      <w:r w:rsidR="00A40EDF">
        <w:rPr>
          <w:sz w:val="24"/>
          <w:szCs w:val="24"/>
        </w:rPr>
        <w:t>současně se zkrátí doba, za kterou se snižovala výše procentní výměry tohoto důchodu. Vzhledem k novým pravidlům snižování výše procentní výměry za chybějící dobu do dosažení důchodového věku se z důvodu právní jistoty stanoví, že tento přepočet s eu důchodů přiznaných přede dnem nabytí účinnosti navrhovaného zákona postupuje podle dosavadní právní úpravy, a to i za dobu výdělečné činnosti vykonávané za účinnosti navrhovaného zákona.</w:t>
      </w:r>
    </w:p>
    <w:p w14:paraId="00FFCA3D" w14:textId="77777777" w:rsidR="00A40EDF" w:rsidRDefault="00A40EDF" w:rsidP="00F5445A">
      <w:pPr>
        <w:pStyle w:val="Bezmezer"/>
        <w:spacing w:line="240" w:lineRule="auto"/>
        <w:rPr>
          <w:sz w:val="24"/>
          <w:szCs w:val="24"/>
        </w:rPr>
      </w:pPr>
    </w:p>
    <w:p w14:paraId="6FFE397C" w14:textId="77777777" w:rsidR="00A40EDF" w:rsidRDefault="00A40EDF" w:rsidP="00F5445A">
      <w:pPr>
        <w:pStyle w:val="Bezmezer"/>
        <w:spacing w:line="240" w:lineRule="auto"/>
        <w:rPr>
          <w:sz w:val="24"/>
          <w:szCs w:val="24"/>
          <w:u w:val="single"/>
        </w:rPr>
      </w:pPr>
      <w:r w:rsidRPr="00A40EDF">
        <w:rPr>
          <w:sz w:val="24"/>
          <w:szCs w:val="24"/>
          <w:u w:val="single"/>
        </w:rPr>
        <w:t>K bodu 3</w:t>
      </w:r>
    </w:p>
    <w:p w14:paraId="06F03426" w14:textId="77777777" w:rsidR="00A40EDF" w:rsidRDefault="00A40EDF" w:rsidP="00F5445A">
      <w:pPr>
        <w:pStyle w:val="Bezmezer"/>
        <w:spacing w:line="240" w:lineRule="auto"/>
        <w:rPr>
          <w:sz w:val="24"/>
          <w:szCs w:val="24"/>
          <w:u w:val="single"/>
        </w:rPr>
      </w:pPr>
    </w:p>
    <w:p w14:paraId="480D5C9D" w14:textId="77777777" w:rsidR="00A40EDF" w:rsidRDefault="00A40EDF" w:rsidP="00F5445A">
      <w:pPr>
        <w:pStyle w:val="Bezmezer"/>
        <w:spacing w:line="240" w:lineRule="auto"/>
        <w:rPr>
          <w:sz w:val="24"/>
          <w:szCs w:val="24"/>
        </w:rPr>
      </w:pPr>
      <w:r w:rsidRPr="00A40EDF">
        <w:rPr>
          <w:sz w:val="24"/>
          <w:szCs w:val="24"/>
        </w:rPr>
        <w:t xml:space="preserve">      Dosud</w:t>
      </w:r>
      <w:r>
        <w:rPr>
          <w:sz w:val="24"/>
          <w:szCs w:val="24"/>
        </w:rPr>
        <w:t xml:space="preserve"> platí úprava obsažená v § 67 odst. 15 ZDP, podle níž k důchodům přiznávaným v tom, kalendářním roce, v němž došlo ke zvýšení procentních výměr</w:t>
      </w:r>
      <w:r w:rsidR="000F3AEB">
        <w:rPr>
          <w:sz w:val="24"/>
          <w:szCs w:val="24"/>
        </w:rPr>
        <w:t xml:space="preserve"> vyplácených důchodů v mimořádném termínu, náleží též zvýšení procentních výměr v mimořádném termínu. V roce 2023 byly procentní výměry vyplácených důchodů, které byly přiznány před 1. červnem 2023, zvýšeny na základě zákona č. 71/2023 Sb.  a podle § 67 odst. 15 ZDP v dosavadním znění byly zvyšovány i procentní výměry důchodů přiznávaných po 31. květnu 2023. Tato zásada obsažená v § 67 odst. 15 se pro rok 2023 zachovává i pro důchody přiznávané ode dne nabytí účinnosti navrhovaného zákona, aby nebyly rozdíly mezi důchody přiznanými po</w:t>
      </w:r>
      <w:r w:rsidR="00DC4CC3">
        <w:rPr>
          <w:sz w:val="24"/>
          <w:szCs w:val="24"/>
        </w:rPr>
        <w:t> </w:t>
      </w:r>
      <w:r w:rsidR="000F3AEB">
        <w:rPr>
          <w:sz w:val="24"/>
          <w:szCs w:val="24"/>
        </w:rPr>
        <w:t>31.</w:t>
      </w:r>
      <w:r w:rsidR="00DC4CC3">
        <w:rPr>
          <w:sz w:val="24"/>
          <w:szCs w:val="24"/>
        </w:rPr>
        <w:t> </w:t>
      </w:r>
      <w:r w:rsidR="000F3AEB">
        <w:rPr>
          <w:sz w:val="24"/>
          <w:szCs w:val="24"/>
        </w:rPr>
        <w:t>květnu 2023 do dne nabytí účinnosti navrhovaného zákona a důchody přiznanými ode dne nabytí účinnosti navrhovaného zákona do 31. prosince 2023; přihlíží se k tomu, že pro</w:t>
      </w:r>
      <w:r w:rsidR="00DC4CC3">
        <w:rPr>
          <w:sz w:val="24"/>
          <w:szCs w:val="24"/>
        </w:rPr>
        <w:t> </w:t>
      </w:r>
      <w:r w:rsidR="000F3AEB">
        <w:rPr>
          <w:sz w:val="24"/>
          <w:szCs w:val="24"/>
        </w:rPr>
        <w:t>všechny důchody přiznané v roce 2923 platí stejné parametry, zejména rozhodné období, koeficienty nárůstu všeobecného vyměřovacího základu a redukční hranice.</w:t>
      </w:r>
    </w:p>
    <w:p w14:paraId="43A6BF76" w14:textId="77777777" w:rsidR="000F3AEB" w:rsidRPr="000F3AEB" w:rsidRDefault="000F3AEB" w:rsidP="00F5445A">
      <w:pPr>
        <w:pStyle w:val="Bezmezer"/>
        <w:spacing w:line="240" w:lineRule="auto"/>
        <w:rPr>
          <w:sz w:val="24"/>
          <w:szCs w:val="24"/>
          <w:u w:val="single"/>
        </w:rPr>
      </w:pPr>
    </w:p>
    <w:p w14:paraId="6F0BF632" w14:textId="77777777" w:rsidR="000F3AEB" w:rsidRDefault="000F3AEB" w:rsidP="00F5445A">
      <w:pPr>
        <w:pStyle w:val="Bezmezer"/>
        <w:spacing w:line="240" w:lineRule="auto"/>
        <w:rPr>
          <w:sz w:val="24"/>
          <w:szCs w:val="24"/>
          <w:u w:val="single"/>
        </w:rPr>
      </w:pPr>
      <w:r w:rsidRPr="000F3AEB">
        <w:rPr>
          <w:sz w:val="24"/>
          <w:szCs w:val="24"/>
          <w:u w:val="single"/>
        </w:rPr>
        <w:t>K bodu 4</w:t>
      </w:r>
    </w:p>
    <w:p w14:paraId="38F0BE52" w14:textId="77777777" w:rsidR="000F3AEB" w:rsidRDefault="000F3AEB" w:rsidP="00F5445A">
      <w:pPr>
        <w:pStyle w:val="Bezmezer"/>
        <w:spacing w:line="240" w:lineRule="auto"/>
        <w:rPr>
          <w:sz w:val="24"/>
          <w:szCs w:val="24"/>
          <w:u w:val="single"/>
        </w:rPr>
      </w:pPr>
    </w:p>
    <w:p w14:paraId="06C227D5" w14:textId="77777777" w:rsidR="000F3AEB" w:rsidRDefault="000F3AEB" w:rsidP="00F5445A">
      <w:pPr>
        <w:pStyle w:val="Bezmezer"/>
        <w:spacing w:line="240" w:lineRule="auto"/>
        <w:rPr>
          <w:sz w:val="24"/>
          <w:szCs w:val="24"/>
        </w:rPr>
      </w:pPr>
      <w:r>
        <w:rPr>
          <w:sz w:val="24"/>
          <w:szCs w:val="24"/>
        </w:rPr>
        <w:t xml:space="preserve">      Vzhledem k novým pravidlům stanovení období pro zjišťování růstu cen se stanoví, jak se</w:t>
      </w:r>
      <w:r w:rsidR="00A371D5">
        <w:rPr>
          <w:sz w:val="24"/>
          <w:szCs w:val="24"/>
        </w:rPr>
        <w:t xml:space="preserve"> </w:t>
      </w:r>
      <w:r>
        <w:rPr>
          <w:sz w:val="24"/>
          <w:szCs w:val="24"/>
        </w:rPr>
        <w:t>bude toto období stanovovat</w:t>
      </w:r>
      <w:r w:rsidR="00A371D5">
        <w:rPr>
          <w:sz w:val="24"/>
          <w:szCs w:val="24"/>
        </w:rPr>
        <w:t xml:space="preserve"> při zvýšení důchodů od 1. ledna 2024. Přitom je nutné přihlédnout k tomu, že v roce 2023 došlo ke zvýšení důchodů v mimořádném termínu v červnu 2023, přičemž pro toto zvýšení období pro zjišťování růstu cen končilo lednem 2023; to znamená, nebude-li v roce 2023 před účinností navrhovaného zákona ještě další zvýšení v mimořádném termínu, že období pro zjišťování růstu cen začne únorem 2023. Dále se řeší situace, kdyby v roce 2023 ke splnění podmínky pro další mimořádnou valorizaci došlo v červenci nebo v srpnu 2023, a to v návaznosti na § 67 odst. 5 ZDP v dosavadním znění, a to pro účely stanovení období pro zjišťování růstu cen pro valorizace od 1. ledna 2024 a od 1. ledna 2025. </w:t>
      </w:r>
    </w:p>
    <w:p w14:paraId="617EDA43" w14:textId="77777777" w:rsidR="00A371D5" w:rsidRDefault="00A371D5" w:rsidP="00F5445A">
      <w:pPr>
        <w:pStyle w:val="Bezmezer"/>
        <w:spacing w:line="240" w:lineRule="auto"/>
        <w:rPr>
          <w:sz w:val="24"/>
          <w:szCs w:val="24"/>
        </w:rPr>
      </w:pPr>
    </w:p>
    <w:p w14:paraId="5A882BE8" w14:textId="77777777" w:rsidR="00A371D5" w:rsidRDefault="00A371D5" w:rsidP="00F5445A">
      <w:pPr>
        <w:pStyle w:val="Bezmezer"/>
        <w:spacing w:line="240" w:lineRule="auto"/>
        <w:rPr>
          <w:sz w:val="24"/>
          <w:szCs w:val="24"/>
        </w:rPr>
      </w:pPr>
    </w:p>
    <w:p w14:paraId="35094EE1" w14:textId="77777777" w:rsidR="00A371D5" w:rsidRDefault="00A371D5" w:rsidP="00F5445A">
      <w:pPr>
        <w:pStyle w:val="Bezmezer"/>
        <w:spacing w:line="240" w:lineRule="auto"/>
        <w:rPr>
          <w:sz w:val="24"/>
          <w:szCs w:val="24"/>
        </w:rPr>
      </w:pPr>
    </w:p>
    <w:p w14:paraId="4123E149" w14:textId="77777777" w:rsidR="00A371D5" w:rsidRDefault="00A371D5" w:rsidP="00F5445A">
      <w:pPr>
        <w:pStyle w:val="Bezmezer"/>
        <w:spacing w:line="240" w:lineRule="auto"/>
        <w:rPr>
          <w:sz w:val="24"/>
          <w:szCs w:val="24"/>
        </w:rPr>
      </w:pPr>
    </w:p>
    <w:p w14:paraId="1886754E" w14:textId="77777777" w:rsidR="00A371D5" w:rsidRDefault="00A371D5" w:rsidP="00F5445A">
      <w:pPr>
        <w:pStyle w:val="Bezmezer"/>
        <w:spacing w:line="240" w:lineRule="auto"/>
        <w:rPr>
          <w:sz w:val="24"/>
          <w:szCs w:val="24"/>
        </w:rPr>
      </w:pPr>
    </w:p>
    <w:p w14:paraId="794EE542" w14:textId="77777777" w:rsidR="00A371D5" w:rsidRDefault="00A371D5" w:rsidP="00F5445A">
      <w:pPr>
        <w:pStyle w:val="Bezmezer"/>
        <w:spacing w:line="240" w:lineRule="auto"/>
        <w:rPr>
          <w:sz w:val="24"/>
          <w:szCs w:val="24"/>
        </w:rPr>
      </w:pPr>
    </w:p>
    <w:p w14:paraId="62BE1075" w14:textId="77777777" w:rsidR="00A371D5" w:rsidRDefault="00A371D5" w:rsidP="00F5445A">
      <w:pPr>
        <w:pStyle w:val="Bezmezer"/>
        <w:spacing w:line="240" w:lineRule="auto"/>
        <w:rPr>
          <w:b/>
          <w:bCs/>
          <w:sz w:val="24"/>
          <w:szCs w:val="24"/>
          <w:u w:val="single"/>
        </w:rPr>
      </w:pPr>
      <w:r w:rsidRPr="00A371D5">
        <w:rPr>
          <w:b/>
          <w:bCs/>
          <w:sz w:val="24"/>
          <w:szCs w:val="24"/>
          <w:u w:val="single"/>
        </w:rPr>
        <w:t>K čl. III</w:t>
      </w:r>
    </w:p>
    <w:p w14:paraId="308A3F88" w14:textId="77777777" w:rsidR="00A371D5" w:rsidRDefault="00A371D5" w:rsidP="00F5445A">
      <w:pPr>
        <w:pStyle w:val="Bezmezer"/>
        <w:spacing w:line="240" w:lineRule="auto"/>
        <w:rPr>
          <w:b/>
          <w:bCs/>
          <w:sz w:val="24"/>
          <w:szCs w:val="24"/>
          <w:u w:val="single"/>
        </w:rPr>
      </w:pPr>
    </w:p>
    <w:p w14:paraId="42B414E1" w14:textId="77777777" w:rsidR="00A371D5" w:rsidRPr="00A371D5" w:rsidRDefault="00A371D5" w:rsidP="00F5445A">
      <w:pPr>
        <w:pStyle w:val="Bezmezer"/>
        <w:spacing w:line="240" w:lineRule="auto"/>
        <w:rPr>
          <w:sz w:val="24"/>
          <w:szCs w:val="24"/>
        </w:rPr>
      </w:pPr>
      <w:r>
        <w:rPr>
          <w:sz w:val="24"/>
          <w:szCs w:val="24"/>
        </w:rPr>
        <w:t xml:space="preserve">      Účinnost zákona se navrhuje prvním dnem kalendářního měsíce následujícího po</w:t>
      </w:r>
      <w:r w:rsidR="00DC4CC3">
        <w:rPr>
          <w:sz w:val="24"/>
          <w:szCs w:val="24"/>
        </w:rPr>
        <w:t> </w:t>
      </w:r>
      <w:r>
        <w:rPr>
          <w:sz w:val="24"/>
          <w:szCs w:val="24"/>
        </w:rPr>
        <w:t>vyhlášení zákona se zřetelem na naléhavost navrhovaných změn, které mají význa</w:t>
      </w:r>
      <w:r w:rsidR="00151217">
        <w:rPr>
          <w:sz w:val="24"/>
          <w:szCs w:val="24"/>
        </w:rPr>
        <w:t>m</w:t>
      </w:r>
      <w:r>
        <w:rPr>
          <w:sz w:val="24"/>
          <w:szCs w:val="24"/>
        </w:rPr>
        <w:t>né rozpočtové dopady</w:t>
      </w:r>
      <w:r w:rsidR="00151217">
        <w:rPr>
          <w:sz w:val="24"/>
          <w:szCs w:val="24"/>
        </w:rPr>
        <w:t xml:space="preserve">; délku legislativního procesu nelze přitom přesně odhadnout. </w:t>
      </w:r>
    </w:p>
    <w:p w14:paraId="1191D8BA" w14:textId="77777777" w:rsidR="00714C20" w:rsidRPr="00714C20" w:rsidRDefault="00714C20" w:rsidP="00F5445A">
      <w:pPr>
        <w:pStyle w:val="Bezmezer"/>
        <w:spacing w:line="240" w:lineRule="auto"/>
        <w:rPr>
          <w:sz w:val="24"/>
          <w:szCs w:val="24"/>
        </w:rPr>
      </w:pPr>
    </w:p>
    <w:p w14:paraId="23341B02" w14:textId="77777777" w:rsidR="00F5445A" w:rsidRDefault="00F5445A" w:rsidP="00F5445A">
      <w:pPr>
        <w:pStyle w:val="Bezmezer"/>
        <w:spacing w:line="240" w:lineRule="auto"/>
        <w:rPr>
          <w:sz w:val="24"/>
          <w:szCs w:val="24"/>
          <w:u w:val="single"/>
        </w:rPr>
      </w:pPr>
    </w:p>
    <w:p w14:paraId="20FCE17D" w14:textId="77777777" w:rsidR="00F5445A" w:rsidRPr="00F5445A" w:rsidRDefault="00F5445A" w:rsidP="00F5445A">
      <w:pPr>
        <w:pStyle w:val="Bezmezer"/>
        <w:spacing w:line="240" w:lineRule="auto"/>
        <w:rPr>
          <w:sz w:val="24"/>
          <w:szCs w:val="24"/>
          <w:u w:val="single"/>
        </w:rPr>
      </w:pPr>
    </w:p>
    <w:p w14:paraId="20633002" w14:textId="77777777" w:rsidR="001A0353" w:rsidRPr="00215161" w:rsidRDefault="001A0353" w:rsidP="00E70FEE">
      <w:pPr>
        <w:pStyle w:val="Bezmezer"/>
        <w:spacing w:line="240" w:lineRule="auto"/>
        <w:ind w:firstLine="426"/>
        <w:rPr>
          <w:b/>
          <w:bCs/>
          <w:sz w:val="24"/>
          <w:szCs w:val="24"/>
          <w:u w:val="single"/>
        </w:rPr>
      </w:pPr>
    </w:p>
    <w:p w14:paraId="18358E07" w14:textId="77777777" w:rsidR="001A0353" w:rsidRPr="00215161" w:rsidRDefault="001A0353" w:rsidP="00E70FEE">
      <w:pPr>
        <w:pStyle w:val="Bezmezer"/>
        <w:spacing w:line="240" w:lineRule="auto"/>
        <w:ind w:firstLine="426"/>
        <w:rPr>
          <w:b/>
          <w:bCs/>
          <w:sz w:val="24"/>
          <w:szCs w:val="24"/>
          <w:u w:val="single"/>
        </w:rPr>
      </w:pPr>
    </w:p>
    <w:sectPr w:rsidR="001A0353" w:rsidRPr="00215161" w:rsidSect="003304E3">
      <w:type w:val="continuous"/>
      <w:pgSz w:w="11906" w:h="16838"/>
      <w:pgMar w:top="1418" w:right="1418" w:bottom="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E57F6" w14:textId="77777777" w:rsidR="00C42581" w:rsidRDefault="00C42581">
      <w:r>
        <w:separator/>
      </w:r>
    </w:p>
  </w:endnote>
  <w:endnote w:type="continuationSeparator" w:id="0">
    <w:p w14:paraId="73B8819E" w14:textId="77777777" w:rsidR="00C42581" w:rsidRDefault="00C42581">
      <w:r>
        <w:continuationSeparator/>
      </w:r>
    </w:p>
  </w:endnote>
  <w:endnote w:type="continuationNotice" w:id="1">
    <w:p w14:paraId="399E3A85" w14:textId="77777777" w:rsidR="00C42581" w:rsidRDefault="00C425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D64C7" w14:textId="77777777" w:rsidR="00F109B7" w:rsidRPr="00F109B7" w:rsidRDefault="00F109B7">
    <w:pPr>
      <w:pStyle w:val="Zpat"/>
      <w:jc w:val="center"/>
      <w:rPr>
        <w:rFonts w:ascii="Times New Roman" w:hAnsi="Times New Roman"/>
        <w:sz w:val="24"/>
        <w:szCs w:val="24"/>
      </w:rPr>
    </w:pPr>
    <w:r w:rsidRPr="00F109B7">
      <w:rPr>
        <w:rFonts w:ascii="Times New Roman" w:hAnsi="Times New Roman"/>
        <w:sz w:val="24"/>
        <w:szCs w:val="24"/>
      </w:rPr>
      <w:fldChar w:fldCharType="begin"/>
    </w:r>
    <w:r w:rsidRPr="00F109B7">
      <w:rPr>
        <w:rFonts w:ascii="Times New Roman" w:hAnsi="Times New Roman"/>
        <w:sz w:val="24"/>
        <w:szCs w:val="24"/>
      </w:rPr>
      <w:instrText>PAGE   \* MERGEFORMAT</w:instrText>
    </w:r>
    <w:r w:rsidRPr="00F109B7">
      <w:rPr>
        <w:rFonts w:ascii="Times New Roman" w:hAnsi="Times New Roman"/>
        <w:sz w:val="24"/>
        <w:szCs w:val="24"/>
      </w:rPr>
      <w:fldChar w:fldCharType="separate"/>
    </w:r>
    <w:r w:rsidRPr="00F109B7">
      <w:rPr>
        <w:rFonts w:ascii="Times New Roman" w:hAnsi="Times New Roman"/>
        <w:sz w:val="24"/>
        <w:szCs w:val="24"/>
      </w:rPr>
      <w:t>2</w:t>
    </w:r>
    <w:r w:rsidRPr="00F109B7">
      <w:rPr>
        <w:rFonts w:ascii="Times New Roman" w:hAnsi="Times New Roman"/>
        <w:sz w:val="24"/>
        <w:szCs w:val="24"/>
      </w:rPr>
      <w:fldChar w:fldCharType="end"/>
    </w:r>
  </w:p>
  <w:p w14:paraId="2BBFF857" w14:textId="77777777" w:rsidR="00F109B7" w:rsidRDefault="00F109B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0BCF0" w14:textId="77777777" w:rsidR="00F109B7" w:rsidRPr="00F109B7" w:rsidRDefault="00F109B7">
    <w:pPr>
      <w:pStyle w:val="Zpat"/>
      <w:jc w:val="center"/>
      <w:rPr>
        <w:rFonts w:ascii="Times New Roman" w:hAnsi="Times New Roman"/>
        <w:sz w:val="24"/>
        <w:szCs w:val="24"/>
      </w:rPr>
    </w:pPr>
    <w:r w:rsidRPr="00F109B7">
      <w:rPr>
        <w:rFonts w:ascii="Times New Roman" w:hAnsi="Times New Roman"/>
        <w:sz w:val="24"/>
        <w:szCs w:val="24"/>
      </w:rPr>
      <w:fldChar w:fldCharType="begin"/>
    </w:r>
    <w:r w:rsidRPr="00F109B7">
      <w:rPr>
        <w:rFonts w:ascii="Times New Roman" w:hAnsi="Times New Roman"/>
        <w:sz w:val="24"/>
        <w:szCs w:val="24"/>
      </w:rPr>
      <w:instrText>PAGE   \* MERGEFORMAT</w:instrText>
    </w:r>
    <w:r w:rsidRPr="00F109B7">
      <w:rPr>
        <w:rFonts w:ascii="Times New Roman" w:hAnsi="Times New Roman"/>
        <w:sz w:val="24"/>
        <w:szCs w:val="24"/>
      </w:rPr>
      <w:fldChar w:fldCharType="separate"/>
    </w:r>
    <w:r w:rsidRPr="00F109B7">
      <w:rPr>
        <w:rFonts w:ascii="Times New Roman" w:hAnsi="Times New Roman"/>
        <w:sz w:val="24"/>
        <w:szCs w:val="24"/>
      </w:rPr>
      <w:t>2</w:t>
    </w:r>
    <w:r w:rsidRPr="00F109B7">
      <w:rPr>
        <w:rFonts w:ascii="Times New Roman" w:hAnsi="Times New Roman"/>
        <w:sz w:val="24"/>
        <w:szCs w:val="24"/>
      </w:rPr>
      <w:fldChar w:fldCharType="end"/>
    </w:r>
  </w:p>
  <w:p w14:paraId="0E0D3741" w14:textId="77777777" w:rsidR="00F109B7" w:rsidRDefault="00F109B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4590" w14:textId="77777777" w:rsidR="00F109B7" w:rsidRDefault="00F109B7">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243FE" w14:textId="77777777" w:rsidR="001D0CC4" w:rsidRPr="00D12774" w:rsidRDefault="001D0CC4">
    <w:pPr>
      <w:pStyle w:val="Zpat"/>
      <w:jc w:val="center"/>
      <w:rPr>
        <w:rFonts w:ascii="Times New Roman" w:hAnsi="Times New Roman"/>
        <w:sz w:val="24"/>
        <w:szCs w:val="24"/>
      </w:rPr>
    </w:pPr>
    <w:r w:rsidRPr="00D12774">
      <w:rPr>
        <w:rFonts w:ascii="Times New Roman" w:hAnsi="Times New Roman"/>
        <w:sz w:val="24"/>
        <w:szCs w:val="24"/>
      </w:rPr>
      <w:fldChar w:fldCharType="begin"/>
    </w:r>
    <w:r w:rsidRPr="00D12774">
      <w:rPr>
        <w:rFonts w:ascii="Times New Roman" w:hAnsi="Times New Roman"/>
        <w:sz w:val="24"/>
        <w:szCs w:val="24"/>
      </w:rPr>
      <w:instrText>PAGE   \* MERGEFORMAT</w:instrText>
    </w:r>
    <w:r w:rsidRPr="00D12774">
      <w:rPr>
        <w:rFonts w:ascii="Times New Roman" w:hAnsi="Times New Roman"/>
        <w:sz w:val="24"/>
        <w:szCs w:val="24"/>
      </w:rPr>
      <w:fldChar w:fldCharType="separate"/>
    </w:r>
    <w:r w:rsidR="00131552">
      <w:rPr>
        <w:rFonts w:ascii="Times New Roman" w:hAnsi="Times New Roman"/>
        <w:noProof/>
        <w:sz w:val="24"/>
        <w:szCs w:val="24"/>
      </w:rPr>
      <w:t>8</w:t>
    </w:r>
    <w:r w:rsidRPr="00D12774">
      <w:rPr>
        <w:rFonts w:ascii="Times New Roman" w:hAnsi="Times New Roman"/>
        <w:sz w:val="24"/>
        <w:szCs w:val="24"/>
      </w:rPr>
      <w:fldChar w:fldCharType="end"/>
    </w:r>
  </w:p>
  <w:p w14:paraId="4EE72324" w14:textId="77777777" w:rsidR="001D0CC4" w:rsidRDefault="001D0CC4">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6A160" w14:textId="77777777" w:rsidR="001D0CC4" w:rsidRPr="00720346" w:rsidRDefault="001D0CC4">
    <w:pPr>
      <w:pStyle w:val="Zpat"/>
      <w:jc w:val="center"/>
      <w:rPr>
        <w:rFonts w:ascii="Times New Roman" w:hAnsi="Times New Roman"/>
        <w:sz w:val="24"/>
        <w:szCs w:val="24"/>
      </w:rPr>
    </w:pPr>
    <w:r w:rsidRPr="00720346">
      <w:rPr>
        <w:rFonts w:ascii="Times New Roman" w:hAnsi="Times New Roman"/>
        <w:sz w:val="24"/>
        <w:szCs w:val="24"/>
      </w:rPr>
      <w:fldChar w:fldCharType="begin"/>
    </w:r>
    <w:r w:rsidRPr="00720346">
      <w:rPr>
        <w:rFonts w:ascii="Times New Roman" w:hAnsi="Times New Roman"/>
        <w:sz w:val="24"/>
        <w:szCs w:val="24"/>
      </w:rPr>
      <w:instrText>PAGE   \* MERGEFORMAT</w:instrText>
    </w:r>
    <w:r w:rsidRPr="00720346">
      <w:rPr>
        <w:rFonts w:ascii="Times New Roman" w:hAnsi="Times New Roman"/>
        <w:sz w:val="24"/>
        <w:szCs w:val="24"/>
      </w:rPr>
      <w:fldChar w:fldCharType="separate"/>
    </w:r>
    <w:r w:rsidR="00131552">
      <w:rPr>
        <w:rFonts w:ascii="Times New Roman" w:hAnsi="Times New Roman"/>
        <w:noProof/>
        <w:sz w:val="24"/>
        <w:szCs w:val="24"/>
      </w:rPr>
      <w:t>7</w:t>
    </w:r>
    <w:r w:rsidRPr="00720346">
      <w:rPr>
        <w:rFonts w:ascii="Times New Roman" w:hAnsi="Times New Roman"/>
        <w:sz w:val="24"/>
        <w:szCs w:val="24"/>
      </w:rPr>
      <w:fldChar w:fldCharType="end"/>
    </w:r>
  </w:p>
  <w:p w14:paraId="6B39D80F" w14:textId="77777777" w:rsidR="001D0CC4" w:rsidRDefault="001D0CC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391D6" w14:textId="77777777" w:rsidR="00C42581" w:rsidRDefault="00C42581">
      <w:r>
        <w:separator/>
      </w:r>
    </w:p>
  </w:footnote>
  <w:footnote w:type="continuationSeparator" w:id="0">
    <w:p w14:paraId="43CD3D9D" w14:textId="77777777" w:rsidR="00C42581" w:rsidRDefault="00C42581">
      <w:r>
        <w:continuationSeparator/>
      </w:r>
    </w:p>
  </w:footnote>
  <w:footnote w:type="continuationNotice" w:id="1">
    <w:p w14:paraId="25348CA2" w14:textId="77777777" w:rsidR="00C42581" w:rsidRDefault="00C42581"/>
  </w:footnote>
  <w:footnote w:id="2">
    <w:p w14:paraId="19E2B10B" w14:textId="77777777" w:rsidR="003304E3" w:rsidRPr="009D2737" w:rsidRDefault="003304E3" w:rsidP="003304E3">
      <w:pPr>
        <w:pStyle w:val="Textpoznpodarou"/>
        <w:rPr>
          <w:sz w:val="18"/>
          <w:szCs w:val="18"/>
        </w:rPr>
      </w:pPr>
      <w:r w:rsidRPr="009D2737">
        <w:rPr>
          <w:rStyle w:val="Znakapoznpodarou"/>
          <w:sz w:val="18"/>
          <w:szCs w:val="18"/>
        </w:rPr>
        <w:footnoteRef/>
      </w:r>
      <w:r w:rsidRPr="009D2737">
        <w:rPr>
          <w:sz w:val="18"/>
          <w:szCs w:val="18"/>
        </w:rPr>
        <w:t xml:space="preserve"> Robert Jahoda - Odhad nákladů veřejných rozpočtů vynakládaných na jednoho nezaměstnaného za rok 2021, </w:t>
      </w:r>
      <w:hyperlink r:id="rId1" w:history="1">
        <w:r w:rsidRPr="00AC7F13">
          <w:rPr>
            <w:rStyle w:val="Hypertextovodkaz"/>
            <w:sz w:val="18"/>
            <w:szCs w:val="18"/>
          </w:rPr>
          <w:t>https://katalog.vupsv.cz/fulltext/vz_500.pdf</w:t>
        </w:r>
      </w:hyperlink>
      <w:r w:rsidR="00FA6909">
        <w:rPr>
          <w:rStyle w:val="Hypertextovodkaz"/>
          <w:sz w:val="18"/>
          <w:szCs w:val="18"/>
        </w:rPr>
        <w:t>.</w:t>
      </w:r>
    </w:p>
  </w:footnote>
  <w:footnote w:id="3">
    <w:p w14:paraId="28AEB72F" w14:textId="77777777" w:rsidR="00612D29" w:rsidRDefault="00612D29">
      <w:pPr>
        <w:pStyle w:val="Textpoznpodarou"/>
      </w:pPr>
      <w:r>
        <w:rPr>
          <w:rStyle w:val="Znakapoznpodarou"/>
        </w:rPr>
        <w:footnoteRef/>
      </w:r>
      <w:r>
        <w:t xml:space="preserve"> </w:t>
      </w:r>
      <w:hyperlink r:id="rId2" w:history="1">
        <w:r w:rsidRPr="00DF7C72">
          <w:rPr>
            <w:rStyle w:val="Hypertextovodkaz"/>
          </w:rPr>
          <w:t>https://www.usoud.cz/fileadmin/user_upload/ustavni_soud_www/Aktualne_prilohy/2010_04_16.pdf</w:t>
        </w:r>
      </w:hyperlink>
      <w:r w:rsidR="00FA6909">
        <w:t>.</w:t>
      </w:r>
    </w:p>
  </w:footnote>
  <w:footnote w:id="4">
    <w:p w14:paraId="51B644CA" w14:textId="77777777" w:rsidR="003304E3" w:rsidRPr="00EE4728" w:rsidRDefault="003304E3" w:rsidP="003304E3">
      <w:pPr>
        <w:pStyle w:val="Textpoznpodarou"/>
        <w:rPr>
          <w:sz w:val="18"/>
          <w:szCs w:val="18"/>
        </w:rPr>
      </w:pPr>
      <w:r w:rsidRPr="00EE4728">
        <w:rPr>
          <w:rStyle w:val="Znakapoznpodarou"/>
          <w:sz w:val="18"/>
          <w:szCs w:val="18"/>
        </w:rPr>
        <w:footnoteRef/>
      </w:r>
      <w:r w:rsidRPr="00EE4728">
        <w:rPr>
          <w:sz w:val="18"/>
          <w:szCs w:val="18"/>
        </w:rPr>
        <w:t xml:space="preserve"> Jde o příjem v roce, který předchází roku přiznání starobního důchodu (konkrétně jde o příjmy dosahované v roce 2020 </w:t>
      </w:r>
      <w:r w:rsidR="00D03391">
        <w:rPr>
          <w:sz w:val="18"/>
          <w:szCs w:val="18"/>
        </w:rPr>
        <w:t xml:space="preserve">       </w:t>
      </w:r>
      <w:r w:rsidRPr="00EE4728">
        <w:rPr>
          <w:sz w:val="18"/>
          <w:szCs w:val="18"/>
        </w:rPr>
        <w:t>u důchodců s důchodem přiznaným v roce 2021)</w:t>
      </w:r>
      <w:r w:rsidR="00D03391">
        <w:rPr>
          <w:sz w:val="18"/>
          <w:szCs w:val="18"/>
        </w:rPr>
        <w:t>.</w:t>
      </w:r>
    </w:p>
  </w:footnote>
  <w:footnote w:id="5">
    <w:p w14:paraId="5879D47F" w14:textId="77777777" w:rsidR="003304E3" w:rsidRPr="001B635F" w:rsidRDefault="003304E3" w:rsidP="003304E3">
      <w:pPr>
        <w:pStyle w:val="Textpoznpodarou"/>
        <w:rPr>
          <w:sz w:val="18"/>
          <w:szCs w:val="18"/>
        </w:rPr>
      </w:pPr>
      <w:r w:rsidRPr="001B635F">
        <w:rPr>
          <w:rStyle w:val="Znakapoznpodarou"/>
          <w:sz w:val="18"/>
          <w:szCs w:val="18"/>
        </w:rPr>
        <w:footnoteRef/>
      </w:r>
      <w:r w:rsidRPr="001B635F">
        <w:rPr>
          <w:sz w:val="18"/>
          <w:szCs w:val="18"/>
        </w:rPr>
        <w:t xml:space="preserve"> Na základě dostupných dat je možné odhadnout, že nemocnost před odchodem do starobního důchodu je u osob, které odchází předčasně zhruba dvojnásobná proti těm</w:t>
      </w:r>
      <w:r>
        <w:rPr>
          <w:sz w:val="18"/>
          <w:szCs w:val="18"/>
        </w:rPr>
        <w:t>,</w:t>
      </w:r>
      <w:r w:rsidRPr="001B635F">
        <w:rPr>
          <w:sz w:val="18"/>
          <w:szCs w:val="18"/>
        </w:rPr>
        <w:t xml:space="preserve"> co odchází až do řádného starobního důchodu.</w:t>
      </w:r>
    </w:p>
  </w:footnote>
  <w:footnote w:id="6">
    <w:p w14:paraId="54D9E12E" w14:textId="77777777" w:rsidR="00494ABC" w:rsidRDefault="00494ABC">
      <w:pPr>
        <w:pStyle w:val="Textpoznpodarou"/>
      </w:pPr>
      <w:r>
        <w:rPr>
          <w:rStyle w:val="Znakapoznpodarou"/>
        </w:rPr>
        <w:footnoteRef/>
      </w:r>
      <w:r>
        <w:t xml:space="preserve"> </w:t>
      </w:r>
      <w:r w:rsidRPr="00494ABC">
        <w:rPr>
          <w:sz w:val="18"/>
          <w:szCs w:val="18"/>
        </w:rPr>
        <w:t xml:space="preserve">Na základě předchozích zkušeností s dopady úprav u předčasných starobních důchodů lze odhadnout, že zvýšený zájem by se mohl pohybovat na úrovni 10 </w:t>
      </w:r>
      <w:r>
        <w:rPr>
          <w:sz w:val="18"/>
          <w:szCs w:val="18"/>
        </w:rPr>
        <w:t>-</w:t>
      </w:r>
      <w:r w:rsidRPr="00494ABC">
        <w:rPr>
          <w:sz w:val="18"/>
          <w:szCs w:val="18"/>
        </w:rPr>
        <w:t xml:space="preserve"> 15 tisíc osob.</w:t>
      </w:r>
    </w:p>
  </w:footnote>
  <w:footnote w:id="7">
    <w:p w14:paraId="45A081C5" w14:textId="77777777" w:rsidR="003304E3" w:rsidRDefault="003304E3" w:rsidP="003304E3">
      <w:pPr>
        <w:pStyle w:val="Textpoznpodarou"/>
      </w:pPr>
      <w:r>
        <w:rPr>
          <w:rStyle w:val="Znakapoznpodarou"/>
        </w:rPr>
        <w:footnoteRef/>
      </w:r>
      <w:r>
        <w:t xml:space="preserve"> Zpráva o stavu důchodového systému České republiky a o jeho předpokládaném vývoji se zřetelem na demografickou situaci České republiky a na očekávaný populační a ekonomický vývoj z roku 2019 (</w:t>
      </w:r>
      <w:hyperlink r:id="rId3" w:history="1">
        <w:r w:rsidRPr="005E14A7">
          <w:rPr>
            <w:rStyle w:val="Hypertextovodkaz"/>
          </w:rPr>
          <w:t>https://www.mpsv.cz/documents/20142/225513/Zpr%C3%A1va+2019.pdf/6f47700b-66a2-00a1-c86e-28090e8f5c6a</w:t>
        </w:r>
      </w:hyperlink>
      <w:r>
        <w:t>) – kapitola 6.4.3</w:t>
      </w:r>
      <w:r w:rsidR="00D03391">
        <w:t>.</w:t>
      </w:r>
    </w:p>
  </w:footnote>
  <w:footnote w:id="8">
    <w:p w14:paraId="399F3729" w14:textId="77777777" w:rsidR="003304E3" w:rsidRDefault="003304E3" w:rsidP="003304E3">
      <w:pPr>
        <w:pStyle w:val="Textpoznpodarou"/>
      </w:pPr>
      <w:r>
        <w:rPr>
          <w:rStyle w:val="Znakapoznpodarou"/>
        </w:rPr>
        <w:footnoteRef/>
      </w:r>
      <w:r>
        <w:t xml:space="preserve"> Bez zohlednění efektů zákona č. 71/2023 Sb.</w:t>
      </w:r>
    </w:p>
  </w:footnote>
  <w:footnote w:id="9">
    <w:p w14:paraId="2C13FC82" w14:textId="77777777" w:rsidR="00215161" w:rsidRDefault="00215161" w:rsidP="00215161">
      <w:pPr>
        <w:pStyle w:val="Textpoznpodarou"/>
      </w:pPr>
      <w:r>
        <w:rPr>
          <w:rStyle w:val="Znakapoznpodarou"/>
        </w:rPr>
        <w:footnoteRef/>
      </w:r>
      <w:r>
        <w:t xml:space="preserve"> </w:t>
      </w:r>
      <w:r w:rsidRPr="006D6EC4">
        <w:t xml:space="preserve">Srovnání vychází z předpokladu stabilního ekonomického vývoje, konkrétně růstu mezd na úrovni 4,5 % a cen na úrovni 2 %, při </w:t>
      </w:r>
      <w:r>
        <w:t xml:space="preserve">výpočtu výše </w:t>
      </w:r>
      <w:r w:rsidRPr="006D6EC4">
        <w:t xml:space="preserve">starobního důchodu podle </w:t>
      </w:r>
      <w:r>
        <w:t xml:space="preserve">parametrů pro </w:t>
      </w:r>
      <w:r w:rsidRPr="006D6EC4">
        <w:t>a) v roce 2023 a výdělku na úrovni průměrné mzdy.</w:t>
      </w:r>
    </w:p>
  </w:footnote>
  <w:footnote w:id="10">
    <w:p w14:paraId="15CACE30" w14:textId="77777777" w:rsidR="00215161" w:rsidRDefault="00215161" w:rsidP="00215161">
      <w:pPr>
        <w:pStyle w:val="Textpoznpodarou"/>
      </w:pPr>
      <w:r>
        <w:rPr>
          <w:rStyle w:val="Znakapoznpodarou"/>
        </w:rPr>
        <w:footnoteRef/>
      </w:r>
      <w:r>
        <w:t xml:space="preserve"> Srovnání s podobou zvýšení podle zákoně č. 71/2023 Sb., je doplněno pouze jako kontextová informace.</w:t>
      </w:r>
    </w:p>
  </w:footnote>
  <w:footnote w:id="11">
    <w:p w14:paraId="2054BB71" w14:textId="77777777" w:rsidR="00215161" w:rsidRDefault="00215161" w:rsidP="00215161">
      <w:pPr>
        <w:pStyle w:val="Textpoznpodarou"/>
      </w:pPr>
      <w:r>
        <w:rPr>
          <w:rStyle w:val="Znakapoznpodarou"/>
        </w:rPr>
        <w:footnoteRef/>
      </w:r>
      <w:r>
        <w:t xml:space="preserve"> Jedná se o odhad vzhledem k tomu, že ještě není k dispozici růst cen do června 2023 a mezd v roce 2022 </w:t>
      </w:r>
      <w:r w:rsidR="00D03391">
        <w:t xml:space="preserve">        </w:t>
      </w:r>
      <w:r>
        <w:t>a prvním pololetí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E942C" w14:textId="77777777" w:rsidR="00F109B7" w:rsidRDefault="00F109B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22EBD" w14:textId="77777777" w:rsidR="00F109B7" w:rsidRDefault="00F109B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C481B" w14:textId="77777777" w:rsidR="00F109B7" w:rsidRDefault="00F109B7">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1FE5A" w14:textId="77777777" w:rsidR="001D0CC4" w:rsidRPr="000C4E04" w:rsidRDefault="001D0CC4" w:rsidP="00D321FE">
    <w:pPr>
      <w:pStyle w:val="Zhlav"/>
      <w:jc w:val="right"/>
      <w:rPr>
        <w:b/>
      </w:rPr>
    </w:pPr>
    <w:r>
      <w:rPr>
        <w:b/>
      </w:rPr>
      <w:t>IV</w:t>
    </w:r>
    <w:r w:rsidRPr="000C4E04">
      <w:rPr>
        <w:b/>
      </w:rPr>
      <w:t>.</w:t>
    </w:r>
  </w:p>
  <w:p w14:paraId="64F7962A" w14:textId="77777777" w:rsidR="001D0CC4" w:rsidRDefault="001D0CC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11.4pt" o:bullet="t">
        <v:imagedata r:id="rId1" o:title="msoFE0E"/>
      </v:shape>
    </w:pict>
  </w:numPicBullet>
  <w:abstractNum w:abstractNumId="0" w15:restartNumberingAfterBreak="0">
    <w:nsid w:val="047C3EDA"/>
    <w:multiLevelType w:val="hybridMultilevel"/>
    <w:tmpl w:val="F938A6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91516F4"/>
    <w:multiLevelType w:val="hybridMultilevel"/>
    <w:tmpl w:val="87C05C58"/>
    <w:lvl w:ilvl="0" w:tplc="09BEF77A">
      <w:start w:val="1"/>
      <w:numFmt w:val="decimal"/>
      <w:pStyle w:val="Stylzkon"/>
      <w:lvlText w:val="(%1)"/>
      <w:lvlJc w:val="left"/>
      <w:pPr>
        <w:ind w:left="348" w:hanging="360"/>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4050019">
      <w:start w:val="1"/>
      <w:numFmt w:val="lowerLetter"/>
      <w:lvlText w:val="%2."/>
      <w:lvlJc w:val="left"/>
      <w:pPr>
        <w:ind w:left="1068" w:hanging="360"/>
      </w:pPr>
    </w:lvl>
    <w:lvl w:ilvl="2" w:tplc="0405001B" w:tentative="1">
      <w:start w:val="1"/>
      <w:numFmt w:val="lowerRoman"/>
      <w:lvlText w:val="%3."/>
      <w:lvlJc w:val="right"/>
      <w:pPr>
        <w:ind w:left="1788" w:hanging="180"/>
      </w:pPr>
    </w:lvl>
    <w:lvl w:ilvl="3" w:tplc="0405000F" w:tentative="1">
      <w:start w:val="1"/>
      <w:numFmt w:val="decimal"/>
      <w:lvlText w:val="%4."/>
      <w:lvlJc w:val="left"/>
      <w:pPr>
        <w:ind w:left="2508" w:hanging="360"/>
      </w:pPr>
    </w:lvl>
    <w:lvl w:ilvl="4" w:tplc="04050019" w:tentative="1">
      <w:start w:val="1"/>
      <w:numFmt w:val="lowerLetter"/>
      <w:lvlText w:val="%5."/>
      <w:lvlJc w:val="left"/>
      <w:pPr>
        <w:ind w:left="3228" w:hanging="360"/>
      </w:pPr>
    </w:lvl>
    <w:lvl w:ilvl="5" w:tplc="0405001B" w:tentative="1">
      <w:start w:val="1"/>
      <w:numFmt w:val="lowerRoman"/>
      <w:lvlText w:val="%6."/>
      <w:lvlJc w:val="right"/>
      <w:pPr>
        <w:ind w:left="3948" w:hanging="180"/>
      </w:pPr>
    </w:lvl>
    <w:lvl w:ilvl="6" w:tplc="0405000F" w:tentative="1">
      <w:start w:val="1"/>
      <w:numFmt w:val="decimal"/>
      <w:lvlText w:val="%7."/>
      <w:lvlJc w:val="left"/>
      <w:pPr>
        <w:ind w:left="4668" w:hanging="360"/>
      </w:pPr>
    </w:lvl>
    <w:lvl w:ilvl="7" w:tplc="04050019" w:tentative="1">
      <w:start w:val="1"/>
      <w:numFmt w:val="lowerLetter"/>
      <w:lvlText w:val="%8."/>
      <w:lvlJc w:val="left"/>
      <w:pPr>
        <w:ind w:left="5388" w:hanging="360"/>
      </w:pPr>
    </w:lvl>
    <w:lvl w:ilvl="8" w:tplc="0405001B" w:tentative="1">
      <w:start w:val="1"/>
      <w:numFmt w:val="lowerRoman"/>
      <w:lvlText w:val="%9."/>
      <w:lvlJc w:val="right"/>
      <w:pPr>
        <w:ind w:left="6108" w:hanging="180"/>
      </w:pPr>
    </w:lvl>
  </w:abstractNum>
  <w:abstractNum w:abstractNumId="2" w15:restartNumberingAfterBreak="0">
    <w:nsid w:val="0D756DCE"/>
    <w:multiLevelType w:val="hybridMultilevel"/>
    <w:tmpl w:val="A036CCB4"/>
    <w:lvl w:ilvl="0" w:tplc="27148D32">
      <w:start w:val="1"/>
      <w:numFmt w:val="upperRoman"/>
      <w:pStyle w:val="Podnadpis"/>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A247F5"/>
    <w:multiLevelType w:val="hybridMultilevel"/>
    <w:tmpl w:val="7D44027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3D662AF"/>
    <w:multiLevelType w:val="hybridMultilevel"/>
    <w:tmpl w:val="4D5AE4D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04088F"/>
    <w:multiLevelType w:val="hybridMultilevel"/>
    <w:tmpl w:val="D16A61EE"/>
    <w:lvl w:ilvl="0" w:tplc="04050015">
      <w:start w:val="2"/>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23479BC"/>
    <w:multiLevelType w:val="hybridMultilevel"/>
    <w:tmpl w:val="3AC2A6DC"/>
    <w:lvl w:ilvl="0" w:tplc="13C25AAE">
      <w:start w:val="1"/>
      <w:numFmt w:val="decimal"/>
      <w:lvlText w:val="(%1)"/>
      <w:lvlJc w:val="left"/>
      <w:pPr>
        <w:ind w:left="786" w:hanging="360"/>
      </w:pPr>
      <w:rPr>
        <w:rFonts w:hint="default"/>
        <w:b w:val="0"/>
        <w:i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7" w15:restartNumberingAfterBreak="0">
    <w:nsid w:val="4243508E"/>
    <w:multiLevelType w:val="hybridMultilevel"/>
    <w:tmpl w:val="D0FCF444"/>
    <w:lvl w:ilvl="0" w:tplc="8B70D03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75A0CC2"/>
    <w:multiLevelType w:val="hybridMultilevel"/>
    <w:tmpl w:val="36B4EFD6"/>
    <w:lvl w:ilvl="0" w:tplc="04050011">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15:restartNumberingAfterBreak="0">
    <w:nsid w:val="4EB95DCC"/>
    <w:multiLevelType w:val="hybridMultilevel"/>
    <w:tmpl w:val="327C387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02E4176"/>
    <w:multiLevelType w:val="hybridMultilevel"/>
    <w:tmpl w:val="805CC092"/>
    <w:lvl w:ilvl="0" w:tplc="07A231F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5073C38"/>
    <w:multiLevelType w:val="hybridMultilevel"/>
    <w:tmpl w:val="17E6437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95A1EF7"/>
    <w:multiLevelType w:val="hybridMultilevel"/>
    <w:tmpl w:val="2D2A170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5DFB3518"/>
    <w:multiLevelType w:val="hybridMultilevel"/>
    <w:tmpl w:val="F3C42908"/>
    <w:lvl w:ilvl="0" w:tplc="3EA837B8">
      <w:numFmt w:val="bullet"/>
      <w:lvlText w:val="-"/>
      <w:lvlJc w:val="left"/>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8276664"/>
    <w:multiLevelType w:val="hybridMultilevel"/>
    <w:tmpl w:val="FB905CC8"/>
    <w:lvl w:ilvl="0" w:tplc="D8B40A16">
      <w:start w:val="1"/>
      <w:numFmt w:val="decimal"/>
      <w:lvlText w:val="%1."/>
      <w:lvlJc w:val="left"/>
      <w:pPr>
        <w:ind w:left="1068" w:hanging="360"/>
      </w:pPr>
      <w:rPr>
        <w:rFonts w:ascii="Times New Roman" w:hAnsi="Times New Roman" w:cs="Times New Roman" w:hint="default"/>
        <w:sz w:val="24"/>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15:restartNumberingAfterBreak="0">
    <w:nsid w:val="6FE85D2C"/>
    <w:multiLevelType w:val="hybridMultilevel"/>
    <w:tmpl w:val="F4B2FB08"/>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CB91A5F"/>
    <w:multiLevelType w:val="hybridMultilevel"/>
    <w:tmpl w:val="A288B24A"/>
    <w:lvl w:ilvl="0" w:tplc="23D64806">
      <w:numFmt w:val="bullet"/>
      <w:lvlText w:val="•"/>
      <w:lvlJc w:val="left"/>
      <w:pPr>
        <w:ind w:left="720" w:hanging="360"/>
      </w:pPr>
      <w:rPr>
        <w:rFonts w:ascii="Times New Roman" w:eastAsia="Calibr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7E6B3249"/>
    <w:multiLevelType w:val="multilevel"/>
    <w:tmpl w:val="58FACFDA"/>
    <w:lvl w:ilvl="0">
      <w:start w:val="1"/>
      <w:numFmt w:val="decimal"/>
      <w:pStyle w:val="Nadpis1"/>
      <w:lvlText w:val="%1."/>
      <w:lvlJc w:val="left"/>
      <w:pPr>
        <w:ind w:left="700" w:hanging="360"/>
      </w:pPr>
      <w:rPr>
        <w:rFonts w:ascii="Times New Roman" w:hAnsi="Times New Roman" w:cs="Times New Roman" w:hint="default"/>
        <w:b/>
        <w:sz w:val="24"/>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16cid:durableId="1669672655">
    <w:abstractNumId w:val="17"/>
  </w:num>
  <w:num w:numId="2" w16cid:durableId="1809978083">
    <w:abstractNumId w:val="1"/>
  </w:num>
  <w:num w:numId="3" w16cid:durableId="878784742">
    <w:abstractNumId w:val="2"/>
  </w:num>
  <w:num w:numId="4" w16cid:durableId="875659134">
    <w:abstractNumId w:val="14"/>
  </w:num>
  <w:num w:numId="5" w16cid:durableId="1338191911">
    <w:abstractNumId w:val="9"/>
  </w:num>
  <w:num w:numId="6" w16cid:durableId="380835477">
    <w:abstractNumId w:val="3"/>
  </w:num>
  <w:num w:numId="7" w16cid:durableId="284851357">
    <w:abstractNumId w:val="16"/>
  </w:num>
  <w:num w:numId="8" w16cid:durableId="1586303725">
    <w:abstractNumId w:val="15"/>
  </w:num>
  <w:num w:numId="9" w16cid:durableId="1092968627">
    <w:abstractNumId w:val="5"/>
  </w:num>
  <w:num w:numId="10" w16cid:durableId="214319286">
    <w:abstractNumId w:val="8"/>
  </w:num>
  <w:num w:numId="11" w16cid:durableId="1151949481">
    <w:abstractNumId w:val="4"/>
  </w:num>
  <w:num w:numId="12" w16cid:durableId="1390690697">
    <w:abstractNumId w:val="10"/>
  </w:num>
  <w:num w:numId="13" w16cid:durableId="1875264584">
    <w:abstractNumId w:val="11"/>
  </w:num>
  <w:num w:numId="14" w16cid:durableId="1398555351">
    <w:abstractNumId w:val="7"/>
  </w:num>
  <w:num w:numId="15" w16cid:durableId="1924795522">
    <w:abstractNumId w:val="12"/>
    <w:lvlOverride w:ilvl="0"/>
    <w:lvlOverride w:ilvl="1"/>
    <w:lvlOverride w:ilvl="2"/>
    <w:lvlOverride w:ilvl="3"/>
    <w:lvlOverride w:ilvl="4"/>
    <w:lvlOverride w:ilvl="5"/>
    <w:lvlOverride w:ilvl="6"/>
    <w:lvlOverride w:ilvl="7"/>
    <w:lvlOverride w:ilvl="8"/>
  </w:num>
  <w:num w:numId="16" w16cid:durableId="217280685">
    <w:abstractNumId w:val="13"/>
  </w:num>
  <w:num w:numId="17" w16cid:durableId="211301357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5700440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89547013">
    <w:abstractNumId w:val="17"/>
  </w:num>
  <w:num w:numId="20" w16cid:durableId="1777748730">
    <w:abstractNumId w:val="17"/>
  </w:num>
  <w:num w:numId="21" w16cid:durableId="237061500">
    <w:abstractNumId w:val="17"/>
  </w:num>
  <w:num w:numId="22" w16cid:durableId="1927180763">
    <w:abstractNumId w:val="17"/>
  </w:num>
  <w:num w:numId="23" w16cid:durableId="552276868">
    <w:abstractNumId w:val="17"/>
  </w:num>
  <w:num w:numId="24" w16cid:durableId="1359545443">
    <w:abstractNumId w:val="17"/>
  </w:num>
  <w:num w:numId="25" w16cid:durableId="1771044969">
    <w:abstractNumId w:val="6"/>
  </w:num>
  <w:num w:numId="26" w16cid:durableId="158997088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C19"/>
    <w:rsid w:val="00000119"/>
    <w:rsid w:val="0000058C"/>
    <w:rsid w:val="000011F8"/>
    <w:rsid w:val="0000127C"/>
    <w:rsid w:val="0000199B"/>
    <w:rsid w:val="0000330D"/>
    <w:rsid w:val="00003D09"/>
    <w:rsid w:val="00003FA9"/>
    <w:rsid w:val="00005133"/>
    <w:rsid w:val="00005CF5"/>
    <w:rsid w:val="000060C0"/>
    <w:rsid w:val="000077F4"/>
    <w:rsid w:val="00007FBF"/>
    <w:rsid w:val="000100C2"/>
    <w:rsid w:val="00010622"/>
    <w:rsid w:val="0001080D"/>
    <w:rsid w:val="000122FB"/>
    <w:rsid w:val="00012517"/>
    <w:rsid w:val="000126D3"/>
    <w:rsid w:val="00013216"/>
    <w:rsid w:val="00013515"/>
    <w:rsid w:val="00013DEA"/>
    <w:rsid w:val="00014284"/>
    <w:rsid w:val="0001478B"/>
    <w:rsid w:val="00014794"/>
    <w:rsid w:val="0001590A"/>
    <w:rsid w:val="00015F0C"/>
    <w:rsid w:val="0001795B"/>
    <w:rsid w:val="00020095"/>
    <w:rsid w:val="00020D21"/>
    <w:rsid w:val="000218DE"/>
    <w:rsid w:val="00021ED6"/>
    <w:rsid w:val="000224F0"/>
    <w:rsid w:val="00022AC4"/>
    <w:rsid w:val="00023DC0"/>
    <w:rsid w:val="00024265"/>
    <w:rsid w:val="000244CF"/>
    <w:rsid w:val="0002483C"/>
    <w:rsid w:val="00024FDA"/>
    <w:rsid w:val="00025F73"/>
    <w:rsid w:val="00026AE7"/>
    <w:rsid w:val="00027AD5"/>
    <w:rsid w:val="00027E53"/>
    <w:rsid w:val="00031061"/>
    <w:rsid w:val="0003154E"/>
    <w:rsid w:val="00031F95"/>
    <w:rsid w:val="000334BD"/>
    <w:rsid w:val="00034492"/>
    <w:rsid w:val="00034AE4"/>
    <w:rsid w:val="000350F7"/>
    <w:rsid w:val="000362F0"/>
    <w:rsid w:val="00036358"/>
    <w:rsid w:val="00036970"/>
    <w:rsid w:val="00036EC2"/>
    <w:rsid w:val="0003777B"/>
    <w:rsid w:val="00037AB2"/>
    <w:rsid w:val="0004044C"/>
    <w:rsid w:val="000404D3"/>
    <w:rsid w:val="000412EE"/>
    <w:rsid w:val="00042369"/>
    <w:rsid w:val="00042565"/>
    <w:rsid w:val="0004365F"/>
    <w:rsid w:val="00043669"/>
    <w:rsid w:val="000454DF"/>
    <w:rsid w:val="00045504"/>
    <w:rsid w:val="000458D3"/>
    <w:rsid w:val="00045B8E"/>
    <w:rsid w:val="00045DA5"/>
    <w:rsid w:val="000464CB"/>
    <w:rsid w:val="000469D8"/>
    <w:rsid w:val="00046E92"/>
    <w:rsid w:val="000476D8"/>
    <w:rsid w:val="00050733"/>
    <w:rsid w:val="00051630"/>
    <w:rsid w:val="000517E4"/>
    <w:rsid w:val="00052284"/>
    <w:rsid w:val="000550E3"/>
    <w:rsid w:val="0005520A"/>
    <w:rsid w:val="00055F14"/>
    <w:rsid w:val="00056F70"/>
    <w:rsid w:val="000571F4"/>
    <w:rsid w:val="0005764B"/>
    <w:rsid w:val="00057C1A"/>
    <w:rsid w:val="00060229"/>
    <w:rsid w:val="0006083A"/>
    <w:rsid w:val="00061A0F"/>
    <w:rsid w:val="00061FCF"/>
    <w:rsid w:val="00063814"/>
    <w:rsid w:val="00063B34"/>
    <w:rsid w:val="0006464C"/>
    <w:rsid w:val="000646E9"/>
    <w:rsid w:val="000660F4"/>
    <w:rsid w:val="000663E9"/>
    <w:rsid w:val="000667EA"/>
    <w:rsid w:val="00066F43"/>
    <w:rsid w:val="0007010D"/>
    <w:rsid w:val="0007055E"/>
    <w:rsid w:val="00070CA3"/>
    <w:rsid w:val="00071421"/>
    <w:rsid w:val="00071E0E"/>
    <w:rsid w:val="00072D32"/>
    <w:rsid w:val="00072E82"/>
    <w:rsid w:val="00073E48"/>
    <w:rsid w:val="0007419A"/>
    <w:rsid w:val="0007532F"/>
    <w:rsid w:val="00076F44"/>
    <w:rsid w:val="0007706F"/>
    <w:rsid w:val="000772D9"/>
    <w:rsid w:val="0007752A"/>
    <w:rsid w:val="000779D2"/>
    <w:rsid w:val="00077C11"/>
    <w:rsid w:val="00080677"/>
    <w:rsid w:val="00081B2A"/>
    <w:rsid w:val="00083B7C"/>
    <w:rsid w:val="0008428F"/>
    <w:rsid w:val="00084C68"/>
    <w:rsid w:val="00085C98"/>
    <w:rsid w:val="00086553"/>
    <w:rsid w:val="00087960"/>
    <w:rsid w:val="00087D55"/>
    <w:rsid w:val="000902EC"/>
    <w:rsid w:val="000922D9"/>
    <w:rsid w:val="000929F4"/>
    <w:rsid w:val="00092A90"/>
    <w:rsid w:val="0009334C"/>
    <w:rsid w:val="0009527C"/>
    <w:rsid w:val="000957DF"/>
    <w:rsid w:val="0009594D"/>
    <w:rsid w:val="00095BBA"/>
    <w:rsid w:val="00095E54"/>
    <w:rsid w:val="00096105"/>
    <w:rsid w:val="0009638C"/>
    <w:rsid w:val="00096DE2"/>
    <w:rsid w:val="00097A87"/>
    <w:rsid w:val="00097C5C"/>
    <w:rsid w:val="000A262F"/>
    <w:rsid w:val="000A2871"/>
    <w:rsid w:val="000A31D5"/>
    <w:rsid w:val="000A442E"/>
    <w:rsid w:val="000A4AA3"/>
    <w:rsid w:val="000A4BFB"/>
    <w:rsid w:val="000A5105"/>
    <w:rsid w:val="000A57D3"/>
    <w:rsid w:val="000A5E81"/>
    <w:rsid w:val="000A7400"/>
    <w:rsid w:val="000B0ACD"/>
    <w:rsid w:val="000B1181"/>
    <w:rsid w:val="000B16E3"/>
    <w:rsid w:val="000B4FE8"/>
    <w:rsid w:val="000B69AF"/>
    <w:rsid w:val="000B7698"/>
    <w:rsid w:val="000B77AB"/>
    <w:rsid w:val="000C04D5"/>
    <w:rsid w:val="000C1BED"/>
    <w:rsid w:val="000C40F4"/>
    <w:rsid w:val="000C4480"/>
    <w:rsid w:val="000C4E04"/>
    <w:rsid w:val="000C4F0C"/>
    <w:rsid w:val="000C59AD"/>
    <w:rsid w:val="000C741C"/>
    <w:rsid w:val="000C7473"/>
    <w:rsid w:val="000C7756"/>
    <w:rsid w:val="000D0486"/>
    <w:rsid w:val="000D04C1"/>
    <w:rsid w:val="000D0CC6"/>
    <w:rsid w:val="000D16F6"/>
    <w:rsid w:val="000D3802"/>
    <w:rsid w:val="000D5405"/>
    <w:rsid w:val="000D57AE"/>
    <w:rsid w:val="000D57CF"/>
    <w:rsid w:val="000D5AD8"/>
    <w:rsid w:val="000E025C"/>
    <w:rsid w:val="000E0455"/>
    <w:rsid w:val="000E049E"/>
    <w:rsid w:val="000E0E0B"/>
    <w:rsid w:val="000E2216"/>
    <w:rsid w:val="000E2819"/>
    <w:rsid w:val="000E2A3F"/>
    <w:rsid w:val="000E5310"/>
    <w:rsid w:val="000E621C"/>
    <w:rsid w:val="000E6368"/>
    <w:rsid w:val="000E68D9"/>
    <w:rsid w:val="000E7079"/>
    <w:rsid w:val="000E78F5"/>
    <w:rsid w:val="000E7A0B"/>
    <w:rsid w:val="000E7BEF"/>
    <w:rsid w:val="000F0F40"/>
    <w:rsid w:val="000F12B9"/>
    <w:rsid w:val="000F1995"/>
    <w:rsid w:val="000F28B1"/>
    <w:rsid w:val="000F34DE"/>
    <w:rsid w:val="000F36E2"/>
    <w:rsid w:val="000F3AEB"/>
    <w:rsid w:val="000F67FC"/>
    <w:rsid w:val="000F6A0B"/>
    <w:rsid w:val="000F702D"/>
    <w:rsid w:val="00100387"/>
    <w:rsid w:val="00100E33"/>
    <w:rsid w:val="001017C3"/>
    <w:rsid w:val="0010395C"/>
    <w:rsid w:val="00105337"/>
    <w:rsid w:val="0010569C"/>
    <w:rsid w:val="00106ADE"/>
    <w:rsid w:val="00107415"/>
    <w:rsid w:val="00111723"/>
    <w:rsid w:val="00112283"/>
    <w:rsid w:val="00112616"/>
    <w:rsid w:val="00112B48"/>
    <w:rsid w:val="001137DF"/>
    <w:rsid w:val="00115B31"/>
    <w:rsid w:val="00115D16"/>
    <w:rsid w:val="00116176"/>
    <w:rsid w:val="0011654E"/>
    <w:rsid w:val="00116C87"/>
    <w:rsid w:val="001172BC"/>
    <w:rsid w:val="00121AF0"/>
    <w:rsid w:val="00121D74"/>
    <w:rsid w:val="001225FC"/>
    <w:rsid w:val="00122679"/>
    <w:rsid w:val="001231F3"/>
    <w:rsid w:val="00124B82"/>
    <w:rsid w:val="00125674"/>
    <w:rsid w:val="00125711"/>
    <w:rsid w:val="00125C6D"/>
    <w:rsid w:val="0013036E"/>
    <w:rsid w:val="00131552"/>
    <w:rsid w:val="00132115"/>
    <w:rsid w:val="001338FC"/>
    <w:rsid w:val="001359EE"/>
    <w:rsid w:val="0013671E"/>
    <w:rsid w:val="0013766D"/>
    <w:rsid w:val="00140D2D"/>
    <w:rsid w:val="00142A93"/>
    <w:rsid w:val="00142BD5"/>
    <w:rsid w:val="00143A19"/>
    <w:rsid w:val="00144544"/>
    <w:rsid w:val="001460F6"/>
    <w:rsid w:val="00147B77"/>
    <w:rsid w:val="00151217"/>
    <w:rsid w:val="00151FC0"/>
    <w:rsid w:val="00152087"/>
    <w:rsid w:val="0015394C"/>
    <w:rsid w:val="00153954"/>
    <w:rsid w:val="00154336"/>
    <w:rsid w:val="00154A37"/>
    <w:rsid w:val="00154EEC"/>
    <w:rsid w:val="00155022"/>
    <w:rsid w:val="001551DB"/>
    <w:rsid w:val="00157705"/>
    <w:rsid w:val="0016022F"/>
    <w:rsid w:val="00160324"/>
    <w:rsid w:val="00160387"/>
    <w:rsid w:val="00162712"/>
    <w:rsid w:val="00163304"/>
    <w:rsid w:val="00163B62"/>
    <w:rsid w:val="00163C5B"/>
    <w:rsid w:val="00164214"/>
    <w:rsid w:val="00164E2F"/>
    <w:rsid w:val="00165417"/>
    <w:rsid w:val="00165531"/>
    <w:rsid w:val="001663F7"/>
    <w:rsid w:val="00170F50"/>
    <w:rsid w:val="001715C7"/>
    <w:rsid w:val="00171D81"/>
    <w:rsid w:val="00171E2B"/>
    <w:rsid w:val="00171F54"/>
    <w:rsid w:val="0017296F"/>
    <w:rsid w:val="00173CC2"/>
    <w:rsid w:val="0017602E"/>
    <w:rsid w:val="0017642B"/>
    <w:rsid w:val="001765F6"/>
    <w:rsid w:val="00176662"/>
    <w:rsid w:val="0017672D"/>
    <w:rsid w:val="00176A80"/>
    <w:rsid w:val="00176E90"/>
    <w:rsid w:val="0017702A"/>
    <w:rsid w:val="001808E8"/>
    <w:rsid w:val="00180F3A"/>
    <w:rsid w:val="00181C57"/>
    <w:rsid w:val="00181EA7"/>
    <w:rsid w:val="00181EE1"/>
    <w:rsid w:val="00182312"/>
    <w:rsid w:val="001826A2"/>
    <w:rsid w:val="00182B4A"/>
    <w:rsid w:val="00182CAE"/>
    <w:rsid w:val="0018456F"/>
    <w:rsid w:val="00186F23"/>
    <w:rsid w:val="00187278"/>
    <w:rsid w:val="001879FF"/>
    <w:rsid w:val="0019073E"/>
    <w:rsid w:val="001913B5"/>
    <w:rsid w:val="00192074"/>
    <w:rsid w:val="001922C4"/>
    <w:rsid w:val="00192347"/>
    <w:rsid w:val="00192B51"/>
    <w:rsid w:val="00193AE8"/>
    <w:rsid w:val="00193B75"/>
    <w:rsid w:val="001947E7"/>
    <w:rsid w:val="00196558"/>
    <w:rsid w:val="00196A0D"/>
    <w:rsid w:val="00196DD5"/>
    <w:rsid w:val="00197A8B"/>
    <w:rsid w:val="00197B0B"/>
    <w:rsid w:val="00197E5D"/>
    <w:rsid w:val="001A0353"/>
    <w:rsid w:val="001A071A"/>
    <w:rsid w:val="001A3321"/>
    <w:rsid w:val="001A4234"/>
    <w:rsid w:val="001A51F4"/>
    <w:rsid w:val="001A53E6"/>
    <w:rsid w:val="001A5C67"/>
    <w:rsid w:val="001A7918"/>
    <w:rsid w:val="001B0431"/>
    <w:rsid w:val="001B2EE4"/>
    <w:rsid w:val="001B3754"/>
    <w:rsid w:val="001B3F25"/>
    <w:rsid w:val="001B4CA9"/>
    <w:rsid w:val="001B4EB2"/>
    <w:rsid w:val="001B5FA3"/>
    <w:rsid w:val="001B6EA0"/>
    <w:rsid w:val="001C016B"/>
    <w:rsid w:val="001C02BA"/>
    <w:rsid w:val="001C1162"/>
    <w:rsid w:val="001C1445"/>
    <w:rsid w:val="001C2FA7"/>
    <w:rsid w:val="001C460E"/>
    <w:rsid w:val="001C5A0A"/>
    <w:rsid w:val="001C5EA7"/>
    <w:rsid w:val="001C65D2"/>
    <w:rsid w:val="001C7CD5"/>
    <w:rsid w:val="001D0488"/>
    <w:rsid w:val="001D0807"/>
    <w:rsid w:val="001D0CC4"/>
    <w:rsid w:val="001D0D32"/>
    <w:rsid w:val="001D1FB9"/>
    <w:rsid w:val="001D2ACD"/>
    <w:rsid w:val="001D3636"/>
    <w:rsid w:val="001D4EE9"/>
    <w:rsid w:val="001D53EC"/>
    <w:rsid w:val="001D5F0E"/>
    <w:rsid w:val="001D5FDC"/>
    <w:rsid w:val="001D65AF"/>
    <w:rsid w:val="001D708C"/>
    <w:rsid w:val="001E14DA"/>
    <w:rsid w:val="001E35B5"/>
    <w:rsid w:val="001E393B"/>
    <w:rsid w:val="001E3C7C"/>
    <w:rsid w:val="001E3EC2"/>
    <w:rsid w:val="001E49FB"/>
    <w:rsid w:val="001E4D69"/>
    <w:rsid w:val="001E4E00"/>
    <w:rsid w:val="001E5144"/>
    <w:rsid w:val="001E59B6"/>
    <w:rsid w:val="001F07EE"/>
    <w:rsid w:val="001F1A94"/>
    <w:rsid w:val="001F29B3"/>
    <w:rsid w:val="001F3777"/>
    <w:rsid w:val="001F3E48"/>
    <w:rsid w:val="001F40F6"/>
    <w:rsid w:val="001F437E"/>
    <w:rsid w:val="001F469E"/>
    <w:rsid w:val="001F70BA"/>
    <w:rsid w:val="001F70D6"/>
    <w:rsid w:val="001F70FD"/>
    <w:rsid w:val="001F7166"/>
    <w:rsid w:val="001F79A7"/>
    <w:rsid w:val="001F7BB3"/>
    <w:rsid w:val="0020005A"/>
    <w:rsid w:val="0020082E"/>
    <w:rsid w:val="00201491"/>
    <w:rsid w:val="002026C2"/>
    <w:rsid w:val="00203D6F"/>
    <w:rsid w:val="00204B2C"/>
    <w:rsid w:val="00205030"/>
    <w:rsid w:val="002051A7"/>
    <w:rsid w:val="00206621"/>
    <w:rsid w:val="002066E4"/>
    <w:rsid w:val="0020717A"/>
    <w:rsid w:val="0020783E"/>
    <w:rsid w:val="00207C04"/>
    <w:rsid w:val="00212B9D"/>
    <w:rsid w:val="00212F48"/>
    <w:rsid w:val="00213396"/>
    <w:rsid w:val="002140E7"/>
    <w:rsid w:val="00215161"/>
    <w:rsid w:val="002151EC"/>
    <w:rsid w:val="00217206"/>
    <w:rsid w:val="0022009B"/>
    <w:rsid w:val="0022066C"/>
    <w:rsid w:val="0022096B"/>
    <w:rsid w:val="00222720"/>
    <w:rsid w:val="00222813"/>
    <w:rsid w:val="002243E1"/>
    <w:rsid w:val="00224429"/>
    <w:rsid w:val="00224952"/>
    <w:rsid w:val="00224CF3"/>
    <w:rsid w:val="00225B8D"/>
    <w:rsid w:val="00227311"/>
    <w:rsid w:val="002320C0"/>
    <w:rsid w:val="00232760"/>
    <w:rsid w:val="00232875"/>
    <w:rsid w:val="002329D6"/>
    <w:rsid w:val="00232FBF"/>
    <w:rsid w:val="002333D3"/>
    <w:rsid w:val="002344AA"/>
    <w:rsid w:val="00234653"/>
    <w:rsid w:val="0023488C"/>
    <w:rsid w:val="00236F81"/>
    <w:rsid w:val="00237543"/>
    <w:rsid w:val="00237800"/>
    <w:rsid w:val="002379EE"/>
    <w:rsid w:val="00237B9A"/>
    <w:rsid w:val="00240516"/>
    <w:rsid w:val="00240CFA"/>
    <w:rsid w:val="00241299"/>
    <w:rsid w:val="0024146F"/>
    <w:rsid w:val="002438B4"/>
    <w:rsid w:val="00243D44"/>
    <w:rsid w:val="002440DB"/>
    <w:rsid w:val="002442E7"/>
    <w:rsid w:val="002449FC"/>
    <w:rsid w:val="00245EC6"/>
    <w:rsid w:val="00245FA3"/>
    <w:rsid w:val="002461CA"/>
    <w:rsid w:val="00246D15"/>
    <w:rsid w:val="00247F4E"/>
    <w:rsid w:val="002502D5"/>
    <w:rsid w:val="00250C76"/>
    <w:rsid w:val="002515B0"/>
    <w:rsid w:val="0025339B"/>
    <w:rsid w:val="002548EB"/>
    <w:rsid w:val="00254BD5"/>
    <w:rsid w:val="00255E87"/>
    <w:rsid w:val="00256EA3"/>
    <w:rsid w:val="0025712C"/>
    <w:rsid w:val="00261035"/>
    <w:rsid w:val="00261E43"/>
    <w:rsid w:val="00262215"/>
    <w:rsid w:val="002622A3"/>
    <w:rsid w:val="00264016"/>
    <w:rsid w:val="0026477C"/>
    <w:rsid w:val="00264F95"/>
    <w:rsid w:val="00265146"/>
    <w:rsid w:val="0026571E"/>
    <w:rsid w:val="0026572B"/>
    <w:rsid w:val="00265D5F"/>
    <w:rsid w:val="002704BB"/>
    <w:rsid w:val="0027137E"/>
    <w:rsid w:val="002717E6"/>
    <w:rsid w:val="00272578"/>
    <w:rsid w:val="00273A53"/>
    <w:rsid w:val="002742A3"/>
    <w:rsid w:val="0027577D"/>
    <w:rsid w:val="00276BBC"/>
    <w:rsid w:val="002800DB"/>
    <w:rsid w:val="00280A3A"/>
    <w:rsid w:val="002817FA"/>
    <w:rsid w:val="00281ABE"/>
    <w:rsid w:val="002825E9"/>
    <w:rsid w:val="00283550"/>
    <w:rsid w:val="00283D19"/>
    <w:rsid w:val="00285CE2"/>
    <w:rsid w:val="002871E3"/>
    <w:rsid w:val="00287E2A"/>
    <w:rsid w:val="00290006"/>
    <w:rsid w:val="0029182D"/>
    <w:rsid w:val="0029207A"/>
    <w:rsid w:val="002934E6"/>
    <w:rsid w:val="00294133"/>
    <w:rsid w:val="0029421C"/>
    <w:rsid w:val="00294955"/>
    <w:rsid w:val="00294A1C"/>
    <w:rsid w:val="00294E0D"/>
    <w:rsid w:val="00294F68"/>
    <w:rsid w:val="00295B2E"/>
    <w:rsid w:val="00295C9A"/>
    <w:rsid w:val="002A2966"/>
    <w:rsid w:val="002A2C91"/>
    <w:rsid w:val="002A3A7E"/>
    <w:rsid w:val="002A4B53"/>
    <w:rsid w:val="002A5061"/>
    <w:rsid w:val="002A5608"/>
    <w:rsid w:val="002A5A1C"/>
    <w:rsid w:val="002A5C4C"/>
    <w:rsid w:val="002A5D0F"/>
    <w:rsid w:val="002A5D86"/>
    <w:rsid w:val="002A603F"/>
    <w:rsid w:val="002A6104"/>
    <w:rsid w:val="002A6710"/>
    <w:rsid w:val="002A6BA8"/>
    <w:rsid w:val="002A709E"/>
    <w:rsid w:val="002B152B"/>
    <w:rsid w:val="002B159B"/>
    <w:rsid w:val="002B248E"/>
    <w:rsid w:val="002B3385"/>
    <w:rsid w:val="002B3E7A"/>
    <w:rsid w:val="002B44C4"/>
    <w:rsid w:val="002B4C6A"/>
    <w:rsid w:val="002B5492"/>
    <w:rsid w:val="002B5503"/>
    <w:rsid w:val="002B5C56"/>
    <w:rsid w:val="002B63CF"/>
    <w:rsid w:val="002B7881"/>
    <w:rsid w:val="002B7C81"/>
    <w:rsid w:val="002C0432"/>
    <w:rsid w:val="002C16D7"/>
    <w:rsid w:val="002C2B6F"/>
    <w:rsid w:val="002C3450"/>
    <w:rsid w:val="002C3951"/>
    <w:rsid w:val="002C5D65"/>
    <w:rsid w:val="002C6F21"/>
    <w:rsid w:val="002C6F5A"/>
    <w:rsid w:val="002C70F6"/>
    <w:rsid w:val="002C76D9"/>
    <w:rsid w:val="002D0CCD"/>
    <w:rsid w:val="002D20F9"/>
    <w:rsid w:val="002D4C23"/>
    <w:rsid w:val="002D5488"/>
    <w:rsid w:val="002D6F34"/>
    <w:rsid w:val="002E022C"/>
    <w:rsid w:val="002E047F"/>
    <w:rsid w:val="002E0FC0"/>
    <w:rsid w:val="002E13F4"/>
    <w:rsid w:val="002E191F"/>
    <w:rsid w:val="002E19C2"/>
    <w:rsid w:val="002E2507"/>
    <w:rsid w:val="002E25D3"/>
    <w:rsid w:val="002E2FC1"/>
    <w:rsid w:val="002E381D"/>
    <w:rsid w:val="002E4AD9"/>
    <w:rsid w:val="002E5025"/>
    <w:rsid w:val="002E5A53"/>
    <w:rsid w:val="002E5C25"/>
    <w:rsid w:val="002E5F78"/>
    <w:rsid w:val="002E703B"/>
    <w:rsid w:val="002E7699"/>
    <w:rsid w:val="002F03BE"/>
    <w:rsid w:val="002F0C32"/>
    <w:rsid w:val="002F0D46"/>
    <w:rsid w:val="002F10E6"/>
    <w:rsid w:val="002F1C58"/>
    <w:rsid w:val="002F2C13"/>
    <w:rsid w:val="002F367D"/>
    <w:rsid w:val="002F3933"/>
    <w:rsid w:val="002F3B1B"/>
    <w:rsid w:val="002F3F18"/>
    <w:rsid w:val="002F5068"/>
    <w:rsid w:val="002F51F1"/>
    <w:rsid w:val="002F7348"/>
    <w:rsid w:val="002F77C8"/>
    <w:rsid w:val="0030010E"/>
    <w:rsid w:val="003002D2"/>
    <w:rsid w:val="00300770"/>
    <w:rsid w:val="00301083"/>
    <w:rsid w:val="00302485"/>
    <w:rsid w:val="00303394"/>
    <w:rsid w:val="003034D4"/>
    <w:rsid w:val="003043D1"/>
    <w:rsid w:val="00304512"/>
    <w:rsid w:val="00304C4B"/>
    <w:rsid w:val="003053AA"/>
    <w:rsid w:val="0030557B"/>
    <w:rsid w:val="003062B9"/>
    <w:rsid w:val="003062ED"/>
    <w:rsid w:val="00306DF3"/>
    <w:rsid w:val="00306FDB"/>
    <w:rsid w:val="00307822"/>
    <w:rsid w:val="00307DE8"/>
    <w:rsid w:val="00312178"/>
    <w:rsid w:val="003122DB"/>
    <w:rsid w:val="00312A6D"/>
    <w:rsid w:val="00312C5B"/>
    <w:rsid w:val="00313D24"/>
    <w:rsid w:val="00315514"/>
    <w:rsid w:val="0031603D"/>
    <w:rsid w:val="003171BE"/>
    <w:rsid w:val="003173DC"/>
    <w:rsid w:val="003200C2"/>
    <w:rsid w:val="00320B05"/>
    <w:rsid w:val="00320B3C"/>
    <w:rsid w:val="0032138D"/>
    <w:rsid w:val="0032179E"/>
    <w:rsid w:val="00321A25"/>
    <w:rsid w:val="00322357"/>
    <w:rsid w:val="00322678"/>
    <w:rsid w:val="0032443D"/>
    <w:rsid w:val="003250CA"/>
    <w:rsid w:val="0032713C"/>
    <w:rsid w:val="0032746B"/>
    <w:rsid w:val="00327DD3"/>
    <w:rsid w:val="003304E3"/>
    <w:rsid w:val="003312B8"/>
    <w:rsid w:val="0033230A"/>
    <w:rsid w:val="00332ED5"/>
    <w:rsid w:val="00333349"/>
    <w:rsid w:val="0033362A"/>
    <w:rsid w:val="003349FD"/>
    <w:rsid w:val="0033533C"/>
    <w:rsid w:val="00336164"/>
    <w:rsid w:val="00336C0A"/>
    <w:rsid w:val="00336D1B"/>
    <w:rsid w:val="00337D42"/>
    <w:rsid w:val="00337E44"/>
    <w:rsid w:val="0034051E"/>
    <w:rsid w:val="00340EAF"/>
    <w:rsid w:val="003414CC"/>
    <w:rsid w:val="00341D42"/>
    <w:rsid w:val="003436D5"/>
    <w:rsid w:val="00343B9A"/>
    <w:rsid w:val="00343EF1"/>
    <w:rsid w:val="00344054"/>
    <w:rsid w:val="00344225"/>
    <w:rsid w:val="0034425C"/>
    <w:rsid w:val="00345955"/>
    <w:rsid w:val="003461C8"/>
    <w:rsid w:val="00346FB7"/>
    <w:rsid w:val="00347406"/>
    <w:rsid w:val="00347B62"/>
    <w:rsid w:val="0035049E"/>
    <w:rsid w:val="0035083B"/>
    <w:rsid w:val="00350D83"/>
    <w:rsid w:val="003512F0"/>
    <w:rsid w:val="0035160D"/>
    <w:rsid w:val="003519D7"/>
    <w:rsid w:val="00351B68"/>
    <w:rsid w:val="0035426A"/>
    <w:rsid w:val="00354408"/>
    <w:rsid w:val="003550D2"/>
    <w:rsid w:val="003557C9"/>
    <w:rsid w:val="00355AF4"/>
    <w:rsid w:val="00355D7E"/>
    <w:rsid w:val="00356609"/>
    <w:rsid w:val="003569FB"/>
    <w:rsid w:val="003614B5"/>
    <w:rsid w:val="00361722"/>
    <w:rsid w:val="00361E99"/>
    <w:rsid w:val="003627F5"/>
    <w:rsid w:val="00364DCF"/>
    <w:rsid w:val="00364E47"/>
    <w:rsid w:val="0036501F"/>
    <w:rsid w:val="003651B0"/>
    <w:rsid w:val="00366858"/>
    <w:rsid w:val="0036743F"/>
    <w:rsid w:val="0037011C"/>
    <w:rsid w:val="00370406"/>
    <w:rsid w:val="003709DE"/>
    <w:rsid w:val="00370BB9"/>
    <w:rsid w:val="00371CC5"/>
    <w:rsid w:val="00371FF8"/>
    <w:rsid w:val="00373990"/>
    <w:rsid w:val="00375428"/>
    <w:rsid w:val="003758D5"/>
    <w:rsid w:val="003768E1"/>
    <w:rsid w:val="00377035"/>
    <w:rsid w:val="003773FB"/>
    <w:rsid w:val="00377525"/>
    <w:rsid w:val="003800A4"/>
    <w:rsid w:val="00380116"/>
    <w:rsid w:val="0038022F"/>
    <w:rsid w:val="003805EF"/>
    <w:rsid w:val="00381C15"/>
    <w:rsid w:val="00381DDF"/>
    <w:rsid w:val="00381FE0"/>
    <w:rsid w:val="00383A18"/>
    <w:rsid w:val="003840B3"/>
    <w:rsid w:val="00384A86"/>
    <w:rsid w:val="00385576"/>
    <w:rsid w:val="00385A22"/>
    <w:rsid w:val="00385AEA"/>
    <w:rsid w:val="00386DEA"/>
    <w:rsid w:val="0038719E"/>
    <w:rsid w:val="003871F9"/>
    <w:rsid w:val="0038784A"/>
    <w:rsid w:val="0038790D"/>
    <w:rsid w:val="00387F36"/>
    <w:rsid w:val="0039107A"/>
    <w:rsid w:val="003910EC"/>
    <w:rsid w:val="0039137C"/>
    <w:rsid w:val="00391BD0"/>
    <w:rsid w:val="00391E2F"/>
    <w:rsid w:val="003920CC"/>
    <w:rsid w:val="00392435"/>
    <w:rsid w:val="003927D7"/>
    <w:rsid w:val="00392D58"/>
    <w:rsid w:val="00392E04"/>
    <w:rsid w:val="0039484D"/>
    <w:rsid w:val="00395E26"/>
    <w:rsid w:val="0039601A"/>
    <w:rsid w:val="00397789"/>
    <w:rsid w:val="003A0046"/>
    <w:rsid w:val="003A178F"/>
    <w:rsid w:val="003A1CF6"/>
    <w:rsid w:val="003A2178"/>
    <w:rsid w:val="003A303F"/>
    <w:rsid w:val="003A409A"/>
    <w:rsid w:val="003A4A9B"/>
    <w:rsid w:val="003A4E8E"/>
    <w:rsid w:val="003A55C3"/>
    <w:rsid w:val="003A6935"/>
    <w:rsid w:val="003A75AC"/>
    <w:rsid w:val="003A7EF1"/>
    <w:rsid w:val="003B06CE"/>
    <w:rsid w:val="003B15F4"/>
    <w:rsid w:val="003B2F0B"/>
    <w:rsid w:val="003B4B01"/>
    <w:rsid w:val="003B688B"/>
    <w:rsid w:val="003B6DE5"/>
    <w:rsid w:val="003B7920"/>
    <w:rsid w:val="003C17DC"/>
    <w:rsid w:val="003C2018"/>
    <w:rsid w:val="003C2B8A"/>
    <w:rsid w:val="003C3273"/>
    <w:rsid w:val="003C3C24"/>
    <w:rsid w:val="003C3FC2"/>
    <w:rsid w:val="003C4960"/>
    <w:rsid w:val="003C4E7D"/>
    <w:rsid w:val="003C5735"/>
    <w:rsid w:val="003C5AD1"/>
    <w:rsid w:val="003C5DF6"/>
    <w:rsid w:val="003C614C"/>
    <w:rsid w:val="003C7322"/>
    <w:rsid w:val="003D002A"/>
    <w:rsid w:val="003D01F7"/>
    <w:rsid w:val="003D0E0D"/>
    <w:rsid w:val="003D1DC7"/>
    <w:rsid w:val="003D2936"/>
    <w:rsid w:val="003D3F69"/>
    <w:rsid w:val="003D3FC0"/>
    <w:rsid w:val="003D482F"/>
    <w:rsid w:val="003D4BDA"/>
    <w:rsid w:val="003D4DDA"/>
    <w:rsid w:val="003D4E0A"/>
    <w:rsid w:val="003D560D"/>
    <w:rsid w:val="003E0307"/>
    <w:rsid w:val="003E10DA"/>
    <w:rsid w:val="003E1AAE"/>
    <w:rsid w:val="003E24F6"/>
    <w:rsid w:val="003E2852"/>
    <w:rsid w:val="003E417F"/>
    <w:rsid w:val="003E4447"/>
    <w:rsid w:val="003E44AD"/>
    <w:rsid w:val="003E5246"/>
    <w:rsid w:val="003E54C2"/>
    <w:rsid w:val="003E556A"/>
    <w:rsid w:val="003E56D3"/>
    <w:rsid w:val="003E5C27"/>
    <w:rsid w:val="003E5C7F"/>
    <w:rsid w:val="003E66C8"/>
    <w:rsid w:val="003F02AB"/>
    <w:rsid w:val="003F0D95"/>
    <w:rsid w:val="003F13D1"/>
    <w:rsid w:val="003F289B"/>
    <w:rsid w:val="003F2A0C"/>
    <w:rsid w:val="003F37A0"/>
    <w:rsid w:val="003F6529"/>
    <w:rsid w:val="003F7699"/>
    <w:rsid w:val="00400769"/>
    <w:rsid w:val="0040109A"/>
    <w:rsid w:val="00401289"/>
    <w:rsid w:val="00402845"/>
    <w:rsid w:val="004042CF"/>
    <w:rsid w:val="0040546A"/>
    <w:rsid w:val="00405E21"/>
    <w:rsid w:val="004064E5"/>
    <w:rsid w:val="0040668C"/>
    <w:rsid w:val="0041044B"/>
    <w:rsid w:val="00410FB6"/>
    <w:rsid w:val="00411B5C"/>
    <w:rsid w:val="00411EC4"/>
    <w:rsid w:val="00412E77"/>
    <w:rsid w:val="00413788"/>
    <w:rsid w:val="004139C9"/>
    <w:rsid w:val="00413BD7"/>
    <w:rsid w:val="004147AF"/>
    <w:rsid w:val="00420190"/>
    <w:rsid w:val="00421E6D"/>
    <w:rsid w:val="00422476"/>
    <w:rsid w:val="00423F06"/>
    <w:rsid w:val="004247E6"/>
    <w:rsid w:val="0042601A"/>
    <w:rsid w:val="0042754A"/>
    <w:rsid w:val="0042783F"/>
    <w:rsid w:val="004307FD"/>
    <w:rsid w:val="00430E14"/>
    <w:rsid w:val="00431D5E"/>
    <w:rsid w:val="004321E8"/>
    <w:rsid w:val="00432F2E"/>
    <w:rsid w:val="00433257"/>
    <w:rsid w:val="004345E4"/>
    <w:rsid w:val="00434906"/>
    <w:rsid w:val="00434B64"/>
    <w:rsid w:val="00434BFC"/>
    <w:rsid w:val="00437E7E"/>
    <w:rsid w:val="00443485"/>
    <w:rsid w:val="004454BA"/>
    <w:rsid w:val="00447087"/>
    <w:rsid w:val="0045053C"/>
    <w:rsid w:val="00451F4E"/>
    <w:rsid w:val="0045389F"/>
    <w:rsid w:val="00453EEA"/>
    <w:rsid w:val="0045447A"/>
    <w:rsid w:val="00455AEC"/>
    <w:rsid w:val="00456859"/>
    <w:rsid w:val="00456F5E"/>
    <w:rsid w:val="0045729C"/>
    <w:rsid w:val="00457574"/>
    <w:rsid w:val="00457762"/>
    <w:rsid w:val="00460AB9"/>
    <w:rsid w:val="004612A4"/>
    <w:rsid w:val="004615FC"/>
    <w:rsid w:val="00461841"/>
    <w:rsid w:val="00462BBF"/>
    <w:rsid w:val="00462E34"/>
    <w:rsid w:val="00463508"/>
    <w:rsid w:val="00463E3F"/>
    <w:rsid w:val="00464638"/>
    <w:rsid w:val="00466B92"/>
    <w:rsid w:val="00467AC4"/>
    <w:rsid w:val="00470999"/>
    <w:rsid w:val="00470A31"/>
    <w:rsid w:val="00470BF2"/>
    <w:rsid w:val="00471130"/>
    <w:rsid w:val="0047172E"/>
    <w:rsid w:val="00472FF7"/>
    <w:rsid w:val="00473382"/>
    <w:rsid w:val="004742ED"/>
    <w:rsid w:val="00474E37"/>
    <w:rsid w:val="004773FF"/>
    <w:rsid w:val="00477DD0"/>
    <w:rsid w:val="0048152D"/>
    <w:rsid w:val="00483CD2"/>
    <w:rsid w:val="00484579"/>
    <w:rsid w:val="00485294"/>
    <w:rsid w:val="00487D1A"/>
    <w:rsid w:val="0049294C"/>
    <w:rsid w:val="00494861"/>
    <w:rsid w:val="00494ABC"/>
    <w:rsid w:val="004959E7"/>
    <w:rsid w:val="00496620"/>
    <w:rsid w:val="00496ADD"/>
    <w:rsid w:val="00496F42"/>
    <w:rsid w:val="004A09CC"/>
    <w:rsid w:val="004A0D32"/>
    <w:rsid w:val="004A272D"/>
    <w:rsid w:val="004A2B29"/>
    <w:rsid w:val="004A30E4"/>
    <w:rsid w:val="004A3A90"/>
    <w:rsid w:val="004A439C"/>
    <w:rsid w:val="004A5914"/>
    <w:rsid w:val="004A597F"/>
    <w:rsid w:val="004A63B7"/>
    <w:rsid w:val="004A6409"/>
    <w:rsid w:val="004A6612"/>
    <w:rsid w:val="004A6AAB"/>
    <w:rsid w:val="004A710C"/>
    <w:rsid w:val="004A74ED"/>
    <w:rsid w:val="004B0054"/>
    <w:rsid w:val="004B084B"/>
    <w:rsid w:val="004B238A"/>
    <w:rsid w:val="004B2788"/>
    <w:rsid w:val="004B3F62"/>
    <w:rsid w:val="004B4527"/>
    <w:rsid w:val="004B54F8"/>
    <w:rsid w:val="004B693F"/>
    <w:rsid w:val="004B6A1E"/>
    <w:rsid w:val="004B6C2E"/>
    <w:rsid w:val="004B6FC9"/>
    <w:rsid w:val="004B71A0"/>
    <w:rsid w:val="004C0466"/>
    <w:rsid w:val="004C08A1"/>
    <w:rsid w:val="004C0A6A"/>
    <w:rsid w:val="004C132B"/>
    <w:rsid w:val="004C31A1"/>
    <w:rsid w:val="004C37E5"/>
    <w:rsid w:val="004C4BF1"/>
    <w:rsid w:val="004C5432"/>
    <w:rsid w:val="004D0984"/>
    <w:rsid w:val="004D108E"/>
    <w:rsid w:val="004D12F4"/>
    <w:rsid w:val="004D142F"/>
    <w:rsid w:val="004D2B1D"/>
    <w:rsid w:val="004D2D68"/>
    <w:rsid w:val="004D2E8D"/>
    <w:rsid w:val="004D3206"/>
    <w:rsid w:val="004D3670"/>
    <w:rsid w:val="004D49F7"/>
    <w:rsid w:val="004D5584"/>
    <w:rsid w:val="004D5632"/>
    <w:rsid w:val="004D5A0B"/>
    <w:rsid w:val="004D5CEF"/>
    <w:rsid w:val="004D7D19"/>
    <w:rsid w:val="004E0361"/>
    <w:rsid w:val="004E15A1"/>
    <w:rsid w:val="004E41A3"/>
    <w:rsid w:val="004E4FB7"/>
    <w:rsid w:val="004E5F45"/>
    <w:rsid w:val="004E6723"/>
    <w:rsid w:val="004E7105"/>
    <w:rsid w:val="004E7B18"/>
    <w:rsid w:val="004F0F07"/>
    <w:rsid w:val="004F1A70"/>
    <w:rsid w:val="004F3C90"/>
    <w:rsid w:val="004F413E"/>
    <w:rsid w:val="004F414E"/>
    <w:rsid w:val="004F474F"/>
    <w:rsid w:val="004F79C1"/>
    <w:rsid w:val="0050067A"/>
    <w:rsid w:val="00500EE2"/>
    <w:rsid w:val="005022F8"/>
    <w:rsid w:val="005027C5"/>
    <w:rsid w:val="0050302D"/>
    <w:rsid w:val="00503A41"/>
    <w:rsid w:val="0050403B"/>
    <w:rsid w:val="0050495B"/>
    <w:rsid w:val="00505888"/>
    <w:rsid w:val="00506AD9"/>
    <w:rsid w:val="00510521"/>
    <w:rsid w:val="0051076B"/>
    <w:rsid w:val="00511AF7"/>
    <w:rsid w:val="005120E5"/>
    <w:rsid w:val="00512D08"/>
    <w:rsid w:val="0051791F"/>
    <w:rsid w:val="00517AE4"/>
    <w:rsid w:val="00517F40"/>
    <w:rsid w:val="00522311"/>
    <w:rsid w:val="00522DDA"/>
    <w:rsid w:val="00523253"/>
    <w:rsid w:val="0052379A"/>
    <w:rsid w:val="00523EE9"/>
    <w:rsid w:val="005241A4"/>
    <w:rsid w:val="005273EF"/>
    <w:rsid w:val="00527436"/>
    <w:rsid w:val="005276C7"/>
    <w:rsid w:val="005300E5"/>
    <w:rsid w:val="005326D8"/>
    <w:rsid w:val="00533BB5"/>
    <w:rsid w:val="00533BC9"/>
    <w:rsid w:val="00533D29"/>
    <w:rsid w:val="00534043"/>
    <w:rsid w:val="0053448A"/>
    <w:rsid w:val="00535E9B"/>
    <w:rsid w:val="00536AB7"/>
    <w:rsid w:val="00537F26"/>
    <w:rsid w:val="00540970"/>
    <w:rsid w:val="00540A64"/>
    <w:rsid w:val="00541341"/>
    <w:rsid w:val="0054139D"/>
    <w:rsid w:val="00541E13"/>
    <w:rsid w:val="00544B94"/>
    <w:rsid w:val="00544CAD"/>
    <w:rsid w:val="005450BD"/>
    <w:rsid w:val="00545483"/>
    <w:rsid w:val="00545943"/>
    <w:rsid w:val="0054620F"/>
    <w:rsid w:val="0054734B"/>
    <w:rsid w:val="0054743A"/>
    <w:rsid w:val="005474CD"/>
    <w:rsid w:val="005478E1"/>
    <w:rsid w:val="00550357"/>
    <w:rsid w:val="00550B1D"/>
    <w:rsid w:val="0055123B"/>
    <w:rsid w:val="00551DE0"/>
    <w:rsid w:val="005544BF"/>
    <w:rsid w:val="0055474B"/>
    <w:rsid w:val="005548A3"/>
    <w:rsid w:val="00554A13"/>
    <w:rsid w:val="00555D8A"/>
    <w:rsid w:val="005573E1"/>
    <w:rsid w:val="005574DF"/>
    <w:rsid w:val="00561499"/>
    <w:rsid w:val="00563DDF"/>
    <w:rsid w:val="00564247"/>
    <w:rsid w:val="0056583E"/>
    <w:rsid w:val="00565A9F"/>
    <w:rsid w:val="00566567"/>
    <w:rsid w:val="00567722"/>
    <w:rsid w:val="00567FD8"/>
    <w:rsid w:val="00570027"/>
    <w:rsid w:val="005704E2"/>
    <w:rsid w:val="005710E4"/>
    <w:rsid w:val="005729D2"/>
    <w:rsid w:val="00573461"/>
    <w:rsid w:val="00573CEA"/>
    <w:rsid w:val="00573E23"/>
    <w:rsid w:val="00574430"/>
    <w:rsid w:val="00575AE9"/>
    <w:rsid w:val="005770FD"/>
    <w:rsid w:val="0057796F"/>
    <w:rsid w:val="0058035B"/>
    <w:rsid w:val="005815A7"/>
    <w:rsid w:val="00581A73"/>
    <w:rsid w:val="00581B4D"/>
    <w:rsid w:val="00581C26"/>
    <w:rsid w:val="0058351C"/>
    <w:rsid w:val="005840FC"/>
    <w:rsid w:val="00584201"/>
    <w:rsid w:val="00585B5A"/>
    <w:rsid w:val="00586F4D"/>
    <w:rsid w:val="0058755D"/>
    <w:rsid w:val="005877C8"/>
    <w:rsid w:val="00590B0A"/>
    <w:rsid w:val="005919B2"/>
    <w:rsid w:val="00591EAD"/>
    <w:rsid w:val="00592ECA"/>
    <w:rsid w:val="00594754"/>
    <w:rsid w:val="005949E2"/>
    <w:rsid w:val="00594E85"/>
    <w:rsid w:val="00596375"/>
    <w:rsid w:val="00597065"/>
    <w:rsid w:val="005972CA"/>
    <w:rsid w:val="005A10F3"/>
    <w:rsid w:val="005A19DB"/>
    <w:rsid w:val="005A2E82"/>
    <w:rsid w:val="005A3518"/>
    <w:rsid w:val="005A3A9D"/>
    <w:rsid w:val="005A3D4A"/>
    <w:rsid w:val="005A4693"/>
    <w:rsid w:val="005A4E43"/>
    <w:rsid w:val="005A787F"/>
    <w:rsid w:val="005A7C61"/>
    <w:rsid w:val="005B1845"/>
    <w:rsid w:val="005B2172"/>
    <w:rsid w:val="005B28A1"/>
    <w:rsid w:val="005B28C6"/>
    <w:rsid w:val="005B535F"/>
    <w:rsid w:val="005B606D"/>
    <w:rsid w:val="005B6C9E"/>
    <w:rsid w:val="005B6F97"/>
    <w:rsid w:val="005B71D2"/>
    <w:rsid w:val="005B77B4"/>
    <w:rsid w:val="005C0D1A"/>
    <w:rsid w:val="005C125D"/>
    <w:rsid w:val="005C1501"/>
    <w:rsid w:val="005C777A"/>
    <w:rsid w:val="005C77C0"/>
    <w:rsid w:val="005C782F"/>
    <w:rsid w:val="005D0F35"/>
    <w:rsid w:val="005D11DC"/>
    <w:rsid w:val="005D1905"/>
    <w:rsid w:val="005D198F"/>
    <w:rsid w:val="005D2933"/>
    <w:rsid w:val="005D2CA4"/>
    <w:rsid w:val="005D31BF"/>
    <w:rsid w:val="005D348C"/>
    <w:rsid w:val="005D39B7"/>
    <w:rsid w:val="005D3A54"/>
    <w:rsid w:val="005D3CB6"/>
    <w:rsid w:val="005D4F8E"/>
    <w:rsid w:val="005D75E3"/>
    <w:rsid w:val="005E020E"/>
    <w:rsid w:val="005E0C87"/>
    <w:rsid w:val="005E2A6A"/>
    <w:rsid w:val="005E3103"/>
    <w:rsid w:val="005E320D"/>
    <w:rsid w:val="005E3E4C"/>
    <w:rsid w:val="005E415E"/>
    <w:rsid w:val="005E4ADC"/>
    <w:rsid w:val="005E573E"/>
    <w:rsid w:val="005E5F8C"/>
    <w:rsid w:val="005E7B89"/>
    <w:rsid w:val="005E7CBA"/>
    <w:rsid w:val="005F0ACF"/>
    <w:rsid w:val="005F1317"/>
    <w:rsid w:val="005F1DD6"/>
    <w:rsid w:val="005F3057"/>
    <w:rsid w:val="005F3724"/>
    <w:rsid w:val="005F45B9"/>
    <w:rsid w:val="005F4610"/>
    <w:rsid w:val="005F5B2F"/>
    <w:rsid w:val="005F5E35"/>
    <w:rsid w:val="005F6F32"/>
    <w:rsid w:val="005F6F5E"/>
    <w:rsid w:val="005F7421"/>
    <w:rsid w:val="00600909"/>
    <w:rsid w:val="00600969"/>
    <w:rsid w:val="00601604"/>
    <w:rsid w:val="00601977"/>
    <w:rsid w:val="00603BB4"/>
    <w:rsid w:val="006044FB"/>
    <w:rsid w:val="0060617A"/>
    <w:rsid w:val="00610880"/>
    <w:rsid w:val="006109E5"/>
    <w:rsid w:val="00610E04"/>
    <w:rsid w:val="00610E57"/>
    <w:rsid w:val="00611308"/>
    <w:rsid w:val="006118CC"/>
    <w:rsid w:val="00612B3B"/>
    <w:rsid w:val="00612CD4"/>
    <w:rsid w:val="00612D29"/>
    <w:rsid w:val="00613910"/>
    <w:rsid w:val="0061452E"/>
    <w:rsid w:val="00614FD4"/>
    <w:rsid w:val="00615045"/>
    <w:rsid w:val="006154E1"/>
    <w:rsid w:val="006154ED"/>
    <w:rsid w:val="00615FB5"/>
    <w:rsid w:val="00617312"/>
    <w:rsid w:val="00620187"/>
    <w:rsid w:val="006215BF"/>
    <w:rsid w:val="00621EFC"/>
    <w:rsid w:val="006227A1"/>
    <w:rsid w:val="00622D19"/>
    <w:rsid w:val="00624C74"/>
    <w:rsid w:val="0062559C"/>
    <w:rsid w:val="00625800"/>
    <w:rsid w:val="0063008F"/>
    <w:rsid w:val="006312A5"/>
    <w:rsid w:val="00631A20"/>
    <w:rsid w:val="00632E9C"/>
    <w:rsid w:val="00633FA6"/>
    <w:rsid w:val="006370AF"/>
    <w:rsid w:val="00641E51"/>
    <w:rsid w:val="00641F26"/>
    <w:rsid w:val="00642B52"/>
    <w:rsid w:val="00642E2A"/>
    <w:rsid w:val="0064346B"/>
    <w:rsid w:val="00643795"/>
    <w:rsid w:val="00646011"/>
    <w:rsid w:val="0064608C"/>
    <w:rsid w:val="00646D14"/>
    <w:rsid w:val="00647734"/>
    <w:rsid w:val="00647759"/>
    <w:rsid w:val="00647B2D"/>
    <w:rsid w:val="00650186"/>
    <w:rsid w:val="00651716"/>
    <w:rsid w:val="00651C19"/>
    <w:rsid w:val="00651CA6"/>
    <w:rsid w:val="00652855"/>
    <w:rsid w:val="00653FC4"/>
    <w:rsid w:val="006543AF"/>
    <w:rsid w:val="00654605"/>
    <w:rsid w:val="006553FC"/>
    <w:rsid w:val="00655439"/>
    <w:rsid w:val="006555A3"/>
    <w:rsid w:val="00656F7D"/>
    <w:rsid w:val="00657958"/>
    <w:rsid w:val="0065796D"/>
    <w:rsid w:val="00660AA6"/>
    <w:rsid w:val="00662698"/>
    <w:rsid w:val="00662902"/>
    <w:rsid w:val="00662A74"/>
    <w:rsid w:val="006701D8"/>
    <w:rsid w:val="00670E57"/>
    <w:rsid w:val="00671099"/>
    <w:rsid w:val="00671E91"/>
    <w:rsid w:val="006723AF"/>
    <w:rsid w:val="00673571"/>
    <w:rsid w:val="0067433A"/>
    <w:rsid w:val="00674B16"/>
    <w:rsid w:val="006751AE"/>
    <w:rsid w:val="006759E0"/>
    <w:rsid w:val="00677B28"/>
    <w:rsid w:val="006802CD"/>
    <w:rsid w:val="00680757"/>
    <w:rsid w:val="0068227D"/>
    <w:rsid w:val="00682D0C"/>
    <w:rsid w:val="00683807"/>
    <w:rsid w:val="00683F06"/>
    <w:rsid w:val="0068558F"/>
    <w:rsid w:val="006855CF"/>
    <w:rsid w:val="006862EB"/>
    <w:rsid w:val="0068648D"/>
    <w:rsid w:val="00686544"/>
    <w:rsid w:val="006865BA"/>
    <w:rsid w:val="0068719C"/>
    <w:rsid w:val="006929B2"/>
    <w:rsid w:val="00694EE3"/>
    <w:rsid w:val="00695070"/>
    <w:rsid w:val="00695A71"/>
    <w:rsid w:val="00697099"/>
    <w:rsid w:val="006A074D"/>
    <w:rsid w:val="006A0C8C"/>
    <w:rsid w:val="006A12D5"/>
    <w:rsid w:val="006A201C"/>
    <w:rsid w:val="006A2944"/>
    <w:rsid w:val="006A37AA"/>
    <w:rsid w:val="006A3F1B"/>
    <w:rsid w:val="006A40DE"/>
    <w:rsid w:val="006A438A"/>
    <w:rsid w:val="006A5370"/>
    <w:rsid w:val="006A6425"/>
    <w:rsid w:val="006A65F7"/>
    <w:rsid w:val="006A6B3D"/>
    <w:rsid w:val="006A7742"/>
    <w:rsid w:val="006B00F2"/>
    <w:rsid w:val="006B0D23"/>
    <w:rsid w:val="006B1FF8"/>
    <w:rsid w:val="006B2450"/>
    <w:rsid w:val="006B2C1E"/>
    <w:rsid w:val="006B2D64"/>
    <w:rsid w:val="006B3CDE"/>
    <w:rsid w:val="006B3F7C"/>
    <w:rsid w:val="006B4030"/>
    <w:rsid w:val="006B5603"/>
    <w:rsid w:val="006B5623"/>
    <w:rsid w:val="006B621F"/>
    <w:rsid w:val="006C0435"/>
    <w:rsid w:val="006C16BB"/>
    <w:rsid w:val="006C2BBC"/>
    <w:rsid w:val="006C3484"/>
    <w:rsid w:val="006C43D9"/>
    <w:rsid w:val="006C483E"/>
    <w:rsid w:val="006C51F6"/>
    <w:rsid w:val="006C682D"/>
    <w:rsid w:val="006C7616"/>
    <w:rsid w:val="006D0146"/>
    <w:rsid w:val="006D1928"/>
    <w:rsid w:val="006D20F8"/>
    <w:rsid w:val="006D633A"/>
    <w:rsid w:val="006D686A"/>
    <w:rsid w:val="006D6C16"/>
    <w:rsid w:val="006D7BAD"/>
    <w:rsid w:val="006E19C1"/>
    <w:rsid w:val="006E2286"/>
    <w:rsid w:val="006E22B7"/>
    <w:rsid w:val="006E26A0"/>
    <w:rsid w:val="006E3965"/>
    <w:rsid w:val="006E3CB2"/>
    <w:rsid w:val="006E47C9"/>
    <w:rsid w:val="006E4B5D"/>
    <w:rsid w:val="006E5403"/>
    <w:rsid w:val="006E6574"/>
    <w:rsid w:val="006E711B"/>
    <w:rsid w:val="006E79C3"/>
    <w:rsid w:val="006F09DB"/>
    <w:rsid w:val="006F0A14"/>
    <w:rsid w:val="006F1554"/>
    <w:rsid w:val="006F307B"/>
    <w:rsid w:val="006F3193"/>
    <w:rsid w:val="006F359E"/>
    <w:rsid w:val="006F4305"/>
    <w:rsid w:val="006F440A"/>
    <w:rsid w:val="006F462D"/>
    <w:rsid w:val="006F4AD6"/>
    <w:rsid w:val="006F686F"/>
    <w:rsid w:val="006F6E14"/>
    <w:rsid w:val="0070054D"/>
    <w:rsid w:val="00700577"/>
    <w:rsid w:val="00700629"/>
    <w:rsid w:val="00700FBF"/>
    <w:rsid w:val="007011D3"/>
    <w:rsid w:val="00701858"/>
    <w:rsid w:val="00701FF4"/>
    <w:rsid w:val="00702618"/>
    <w:rsid w:val="0070290E"/>
    <w:rsid w:val="007042BB"/>
    <w:rsid w:val="00705443"/>
    <w:rsid w:val="00705AC4"/>
    <w:rsid w:val="007073AC"/>
    <w:rsid w:val="0070759E"/>
    <w:rsid w:val="007077D0"/>
    <w:rsid w:val="00707C7E"/>
    <w:rsid w:val="00707D84"/>
    <w:rsid w:val="007106C8"/>
    <w:rsid w:val="007117CC"/>
    <w:rsid w:val="0071246C"/>
    <w:rsid w:val="0071292A"/>
    <w:rsid w:val="00713305"/>
    <w:rsid w:val="00714C20"/>
    <w:rsid w:val="00716896"/>
    <w:rsid w:val="00717D1A"/>
    <w:rsid w:val="00720104"/>
    <w:rsid w:val="00720346"/>
    <w:rsid w:val="00720F90"/>
    <w:rsid w:val="007216AF"/>
    <w:rsid w:val="00722080"/>
    <w:rsid w:val="00722619"/>
    <w:rsid w:val="00722A6A"/>
    <w:rsid w:val="00722EF7"/>
    <w:rsid w:val="007244DE"/>
    <w:rsid w:val="007249D2"/>
    <w:rsid w:val="00725373"/>
    <w:rsid w:val="00725D13"/>
    <w:rsid w:val="00727C05"/>
    <w:rsid w:val="00731552"/>
    <w:rsid w:val="0073169F"/>
    <w:rsid w:val="00731813"/>
    <w:rsid w:val="00731CD4"/>
    <w:rsid w:val="00734732"/>
    <w:rsid w:val="007359BE"/>
    <w:rsid w:val="00735E50"/>
    <w:rsid w:val="007364A4"/>
    <w:rsid w:val="00736AA3"/>
    <w:rsid w:val="007375A5"/>
    <w:rsid w:val="007376B1"/>
    <w:rsid w:val="007377B1"/>
    <w:rsid w:val="00737DB5"/>
    <w:rsid w:val="00737E15"/>
    <w:rsid w:val="007404A4"/>
    <w:rsid w:val="007404EC"/>
    <w:rsid w:val="007407DA"/>
    <w:rsid w:val="00741ACC"/>
    <w:rsid w:val="007420D8"/>
    <w:rsid w:val="00743F48"/>
    <w:rsid w:val="0074444E"/>
    <w:rsid w:val="00744998"/>
    <w:rsid w:val="0074574B"/>
    <w:rsid w:val="007465D4"/>
    <w:rsid w:val="007465EF"/>
    <w:rsid w:val="00746EC2"/>
    <w:rsid w:val="00747692"/>
    <w:rsid w:val="0075060C"/>
    <w:rsid w:val="00750D6A"/>
    <w:rsid w:val="00750E3E"/>
    <w:rsid w:val="00751996"/>
    <w:rsid w:val="00751D42"/>
    <w:rsid w:val="00751DA9"/>
    <w:rsid w:val="007526E9"/>
    <w:rsid w:val="0075317F"/>
    <w:rsid w:val="00753225"/>
    <w:rsid w:val="00753E91"/>
    <w:rsid w:val="0075437C"/>
    <w:rsid w:val="00755406"/>
    <w:rsid w:val="00755A09"/>
    <w:rsid w:val="00757625"/>
    <w:rsid w:val="00757C06"/>
    <w:rsid w:val="00760708"/>
    <w:rsid w:val="007609E6"/>
    <w:rsid w:val="00761407"/>
    <w:rsid w:val="007614AD"/>
    <w:rsid w:val="007615F0"/>
    <w:rsid w:val="007619BB"/>
    <w:rsid w:val="00763448"/>
    <w:rsid w:val="00764524"/>
    <w:rsid w:val="007667A2"/>
    <w:rsid w:val="00767A11"/>
    <w:rsid w:val="007700F8"/>
    <w:rsid w:val="00770142"/>
    <w:rsid w:val="007705AC"/>
    <w:rsid w:val="00770DB2"/>
    <w:rsid w:val="00771600"/>
    <w:rsid w:val="00772B95"/>
    <w:rsid w:val="00772F7D"/>
    <w:rsid w:val="007735FF"/>
    <w:rsid w:val="00773951"/>
    <w:rsid w:val="007742E1"/>
    <w:rsid w:val="0077710F"/>
    <w:rsid w:val="007800E0"/>
    <w:rsid w:val="00780BCD"/>
    <w:rsid w:val="00781225"/>
    <w:rsid w:val="00781579"/>
    <w:rsid w:val="00781FE1"/>
    <w:rsid w:val="00782101"/>
    <w:rsid w:val="0078275D"/>
    <w:rsid w:val="007828DB"/>
    <w:rsid w:val="007843D8"/>
    <w:rsid w:val="0078445F"/>
    <w:rsid w:val="00784B50"/>
    <w:rsid w:val="00784BE7"/>
    <w:rsid w:val="0078620A"/>
    <w:rsid w:val="00787501"/>
    <w:rsid w:val="007904DA"/>
    <w:rsid w:val="007918F4"/>
    <w:rsid w:val="00792FC8"/>
    <w:rsid w:val="0079358B"/>
    <w:rsid w:val="00793733"/>
    <w:rsid w:val="007939B0"/>
    <w:rsid w:val="00793D36"/>
    <w:rsid w:val="00794175"/>
    <w:rsid w:val="0079672E"/>
    <w:rsid w:val="00796DD0"/>
    <w:rsid w:val="00797102"/>
    <w:rsid w:val="007972B5"/>
    <w:rsid w:val="007977BB"/>
    <w:rsid w:val="007A0BD7"/>
    <w:rsid w:val="007A1175"/>
    <w:rsid w:val="007A1B79"/>
    <w:rsid w:val="007A1B8C"/>
    <w:rsid w:val="007A3ED4"/>
    <w:rsid w:val="007A3F8C"/>
    <w:rsid w:val="007A4B3E"/>
    <w:rsid w:val="007A4B57"/>
    <w:rsid w:val="007A68FB"/>
    <w:rsid w:val="007A6A38"/>
    <w:rsid w:val="007A717F"/>
    <w:rsid w:val="007A7267"/>
    <w:rsid w:val="007A7516"/>
    <w:rsid w:val="007A78E1"/>
    <w:rsid w:val="007B0DED"/>
    <w:rsid w:val="007B26A0"/>
    <w:rsid w:val="007B29EF"/>
    <w:rsid w:val="007B2EF6"/>
    <w:rsid w:val="007B3605"/>
    <w:rsid w:val="007B4821"/>
    <w:rsid w:val="007B49E0"/>
    <w:rsid w:val="007B4E66"/>
    <w:rsid w:val="007B4EA6"/>
    <w:rsid w:val="007B5285"/>
    <w:rsid w:val="007B52AC"/>
    <w:rsid w:val="007B55DA"/>
    <w:rsid w:val="007B71E7"/>
    <w:rsid w:val="007B7C5B"/>
    <w:rsid w:val="007C0042"/>
    <w:rsid w:val="007C22E8"/>
    <w:rsid w:val="007C2549"/>
    <w:rsid w:val="007C317F"/>
    <w:rsid w:val="007C4C02"/>
    <w:rsid w:val="007D3A38"/>
    <w:rsid w:val="007D3AB0"/>
    <w:rsid w:val="007D4F51"/>
    <w:rsid w:val="007D559A"/>
    <w:rsid w:val="007D62A7"/>
    <w:rsid w:val="007D63B3"/>
    <w:rsid w:val="007D6964"/>
    <w:rsid w:val="007D7012"/>
    <w:rsid w:val="007D7289"/>
    <w:rsid w:val="007D751C"/>
    <w:rsid w:val="007E3042"/>
    <w:rsid w:val="007E394E"/>
    <w:rsid w:val="007E43FD"/>
    <w:rsid w:val="007E4AD8"/>
    <w:rsid w:val="007E50CB"/>
    <w:rsid w:val="007E56CF"/>
    <w:rsid w:val="007E5726"/>
    <w:rsid w:val="007E5BE8"/>
    <w:rsid w:val="007E6DC5"/>
    <w:rsid w:val="007E7692"/>
    <w:rsid w:val="007F07F0"/>
    <w:rsid w:val="007F0A7B"/>
    <w:rsid w:val="007F1ECE"/>
    <w:rsid w:val="007F2C88"/>
    <w:rsid w:val="007F480F"/>
    <w:rsid w:val="007F487F"/>
    <w:rsid w:val="007F4C97"/>
    <w:rsid w:val="007F4D9A"/>
    <w:rsid w:val="007F59A6"/>
    <w:rsid w:val="007F61D5"/>
    <w:rsid w:val="007F6445"/>
    <w:rsid w:val="007F698C"/>
    <w:rsid w:val="007F7F87"/>
    <w:rsid w:val="00803DBF"/>
    <w:rsid w:val="008055B6"/>
    <w:rsid w:val="00807C57"/>
    <w:rsid w:val="00811623"/>
    <w:rsid w:val="00811A02"/>
    <w:rsid w:val="00812DC3"/>
    <w:rsid w:val="00812F83"/>
    <w:rsid w:val="00813367"/>
    <w:rsid w:val="00813C55"/>
    <w:rsid w:val="008168D7"/>
    <w:rsid w:val="00816FA8"/>
    <w:rsid w:val="00817D4C"/>
    <w:rsid w:val="0082037F"/>
    <w:rsid w:val="008209E8"/>
    <w:rsid w:val="00820A9C"/>
    <w:rsid w:val="00820B2E"/>
    <w:rsid w:val="0082245B"/>
    <w:rsid w:val="008238BD"/>
    <w:rsid w:val="00825106"/>
    <w:rsid w:val="00826DE6"/>
    <w:rsid w:val="008275F1"/>
    <w:rsid w:val="00827739"/>
    <w:rsid w:val="008314EB"/>
    <w:rsid w:val="00831CE0"/>
    <w:rsid w:val="008326A4"/>
    <w:rsid w:val="00833866"/>
    <w:rsid w:val="00835115"/>
    <w:rsid w:val="00835861"/>
    <w:rsid w:val="008359F1"/>
    <w:rsid w:val="00835AA9"/>
    <w:rsid w:val="00835B8D"/>
    <w:rsid w:val="00835E31"/>
    <w:rsid w:val="00835FDD"/>
    <w:rsid w:val="008361A8"/>
    <w:rsid w:val="00836970"/>
    <w:rsid w:val="0084174F"/>
    <w:rsid w:val="00842D4C"/>
    <w:rsid w:val="0084357A"/>
    <w:rsid w:val="008441F6"/>
    <w:rsid w:val="00845443"/>
    <w:rsid w:val="008462C2"/>
    <w:rsid w:val="00846CFC"/>
    <w:rsid w:val="0085082B"/>
    <w:rsid w:val="00852C7D"/>
    <w:rsid w:val="00853152"/>
    <w:rsid w:val="0085402B"/>
    <w:rsid w:val="008546D0"/>
    <w:rsid w:val="00854E6B"/>
    <w:rsid w:val="00855859"/>
    <w:rsid w:val="008564C0"/>
    <w:rsid w:val="00856D7E"/>
    <w:rsid w:val="0086086C"/>
    <w:rsid w:val="008651DB"/>
    <w:rsid w:val="00865957"/>
    <w:rsid w:val="008663FD"/>
    <w:rsid w:val="00866FFF"/>
    <w:rsid w:val="008672AC"/>
    <w:rsid w:val="00872AE8"/>
    <w:rsid w:val="00872FE1"/>
    <w:rsid w:val="00873215"/>
    <w:rsid w:val="008742FA"/>
    <w:rsid w:val="008766DF"/>
    <w:rsid w:val="00876761"/>
    <w:rsid w:val="008767DE"/>
    <w:rsid w:val="00876B07"/>
    <w:rsid w:val="00880B1D"/>
    <w:rsid w:val="00880F0E"/>
    <w:rsid w:val="00881074"/>
    <w:rsid w:val="00881758"/>
    <w:rsid w:val="0088176F"/>
    <w:rsid w:val="00882196"/>
    <w:rsid w:val="00882859"/>
    <w:rsid w:val="00882AAB"/>
    <w:rsid w:val="00883544"/>
    <w:rsid w:val="00883A25"/>
    <w:rsid w:val="0088447A"/>
    <w:rsid w:val="008852CC"/>
    <w:rsid w:val="008862B4"/>
    <w:rsid w:val="00886E00"/>
    <w:rsid w:val="00887A7B"/>
    <w:rsid w:val="00890E4A"/>
    <w:rsid w:val="008915F9"/>
    <w:rsid w:val="008920CD"/>
    <w:rsid w:val="0089252C"/>
    <w:rsid w:val="00892708"/>
    <w:rsid w:val="00893E86"/>
    <w:rsid w:val="00893FBB"/>
    <w:rsid w:val="00894638"/>
    <w:rsid w:val="008946A8"/>
    <w:rsid w:val="00894D21"/>
    <w:rsid w:val="00895462"/>
    <w:rsid w:val="00895A0B"/>
    <w:rsid w:val="00895B07"/>
    <w:rsid w:val="00895F28"/>
    <w:rsid w:val="0089737F"/>
    <w:rsid w:val="00897E41"/>
    <w:rsid w:val="008A1854"/>
    <w:rsid w:val="008A1FC1"/>
    <w:rsid w:val="008A27F8"/>
    <w:rsid w:val="008A2F81"/>
    <w:rsid w:val="008A3092"/>
    <w:rsid w:val="008A3434"/>
    <w:rsid w:val="008A4023"/>
    <w:rsid w:val="008A610F"/>
    <w:rsid w:val="008A6C22"/>
    <w:rsid w:val="008A73B2"/>
    <w:rsid w:val="008A74B8"/>
    <w:rsid w:val="008B10EA"/>
    <w:rsid w:val="008B1448"/>
    <w:rsid w:val="008B3727"/>
    <w:rsid w:val="008B38E5"/>
    <w:rsid w:val="008B3FEC"/>
    <w:rsid w:val="008B45D0"/>
    <w:rsid w:val="008B5255"/>
    <w:rsid w:val="008B536F"/>
    <w:rsid w:val="008B6987"/>
    <w:rsid w:val="008B7BAE"/>
    <w:rsid w:val="008B7F11"/>
    <w:rsid w:val="008C0932"/>
    <w:rsid w:val="008C0DCA"/>
    <w:rsid w:val="008C239E"/>
    <w:rsid w:val="008C3110"/>
    <w:rsid w:val="008C35E5"/>
    <w:rsid w:val="008C4ED9"/>
    <w:rsid w:val="008C5818"/>
    <w:rsid w:val="008C6EC8"/>
    <w:rsid w:val="008C75CF"/>
    <w:rsid w:val="008D17C8"/>
    <w:rsid w:val="008D23FA"/>
    <w:rsid w:val="008D52C6"/>
    <w:rsid w:val="008D6114"/>
    <w:rsid w:val="008D6ED9"/>
    <w:rsid w:val="008D70D4"/>
    <w:rsid w:val="008D7D23"/>
    <w:rsid w:val="008E1DA1"/>
    <w:rsid w:val="008E2AB3"/>
    <w:rsid w:val="008E2D66"/>
    <w:rsid w:val="008E5366"/>
    <w:rsid w:val="008E63C8"/>
    <w:rsid w:val="008E64C3"/>
    <w:rsid w:val="008E6FA8"/>
    <w:rsid w:val="008E7CA8"/>
    <w:rsid w:val="008F0396"/>
    <w:rsid w:val="008F0ED3"/>
    <w:rsid w:val="008F239F"/>
    <w:rsid w:val="008F488F"/>
    <w:rsid w:val="008F5A23"/>
    <w:rsid w:val="008F6459"/>
    <w:rsid w:val="008F72FF"/>
    <w:rsid w:val="009007D3"/>
    <w:rsid w:val="0090090E"/>
    <w:rsid w:val="00901097"/>
    <w:rsid w:val="009025F8"/>
    <w:rsid w:val="00902935"/>
    <w:rsid w:val="00902ACD"/>
    <w:rsid w:val="00902E06"/>
    <w:rsid w:val="00903077"/>
    <w:rsid w:val="00903CDE"/>
    <w:rsid w:val="00903D39"/>
    <w:rsid w:val="00904E10"/>
    <w:rsid w:val="00904FFE"/>
    <w:rsid w:val="0090605C"/>
    <w:rsid w:val="009066DB"/>
    <w:rsid w:val="00906E34"/>
    <w:rsid w:val="00906F63"/>
    <w:rsid w:val="00907D8A"/>
    <w:rsid w:val="00907E0B"/>
    <w:rsid w:val="009122F1"/>
    <w:rsid w:val="00913A43"/>
    <w:rsid w:val="00913B42"/>
    <w:rsid w:val="00914239"/>
    <w:rsid w:val="00914864"/>
    <w:rsid w:val="0091515B"/>
    <w:rsid w:val="009167AF"/>
    <w:rsid w:val="009167E5"/>
    <w:rsid w:val="009169A5"/>
    <w:rsid w:val="00921B1C"/>
    <w:rsid w:val="00921B9A"/>
    <w:rsid w:val="00921CEA"/>
    <w:rsid w:val="0092271E"/>
    <w:rsid w:val="0092314A"/>
    <w:rsid w:val="00924E87"/>
    <w:rsid w:val="009258EE"/>
    <w:rsid w:val="00926124"/>
    <w:rsid w:val="00927404"/>
    <w:rsid w:val="00927A5B"/>
    <w:rsid w:val="009300E6"/>
    <w:rsid w:val="0093018A"/>
    <w:rsid w:val="00930C8B"/>
    <w:rsid w:val="009312F3"/>
    <w:rsid w:val="009317AB"/>
    <w:rsid w:val="0093189A"/>
    <w:rsid w:val="009319C2"/>
    <w:rsid w:val="00932229"/>
    <w:rsid w:val="00932F6F"/>
    <w:rsid w:val="0093444C"/>
    <w:rsid w:val="00935DED"/>
    <w:rsid w:val="0093693B"/>
    <w:rsid w:val="00936CED"/>
    <w:rsid w:val="00937F33"/>
    <w:rsid w:val="00940A8F"/>
    <w:rsid w:val="00940FEA"/>
    <w:rsid w:val="0094108A"/>
    <w:rsid w:val="00941657"/>
    <w:rsid w:val="00943F06"/>
    <w:rsid w:val="009473FC"/>
    <w:rsid w:val="00950B10"/>
    <w:rsid w:val="00952602"/>
    <w:rsid w:val="009540E5"/>
    <w:rsid w:val="009574AA"/>
    <w:rsid w:val="00960089"/>
    <w:rsid w:val="0096121E"/>
    <w:rsid w:val="00962715"/>
    <w:rsid w:val="009628F7"/>
    <w:rsid w:val="00963427"/>
    <w:rsid w:val="00963ADC"/>
    <w:rsid w:val="009641D6"/>
    <w:rsid w:val="00964FE7"/>
    <w:rsid w:val="0096554F"/>
    <w:rsid w:val="0096572E"/>
    <w:rsid w:val="00965A16"/>
    <w:rsid w:val="00965AB9"/>
    <w:rsid w:val="00965F51"/>
    <w:rsid w:val="00966577"/>
    <w:rsid w:val="009667D0"/>
    <w:rsid w:val="009718F4"/>
    <w:rsid w:val="00971C69"/>
    <w:rsid w:val="00971C95"/>
    <w:rsid w:val="009754DE"/>
    <w:rsid w:val="00975D6E"/>
    <w:rsid w:val="0097603D"/>
    <w:rsid w:val="009760B4"/>
    <w:rsid w:val="009763CE"/>
    <w:rsid w:val="00977142"/>
    <w:rsid w:val="00980436"/>
    <w:rsid w:val="00982957"/>
    <w:rsid w:val="009830FF"/>
    <w:rsid w:val="00983502"/>
    <w:rsid w:val="0098482C"/>
    <w:rsid w:val="0098519D"/>
    <w:rsid w:val="0098612F"/>
    <w:rsid w:val="00986A82"/>
    <w:rsid w:val="009901D4"/>
    <w:rsid w:val="009905E0"/>
    <w:rsid w:val="0099191F"/>
    <w:rsid w:val="00991F80"/>
    <w:rsid w:val="0099305E"/>
    <w:rsid w:val="00993A09"/>
    <w:rsid w:val="00994840"/>
    <w:rsid w:val="00994C3C"/>
    <w:rsid w:val="00995910"/>
    <w:rsid w:val="009959D2"/>
    <w:rsid w:val="009966D3"/>
    <w:rsid w:val="00996E79"/>
    <w:rsid w:val="009A17DC"/>
    <w:rsid w:val="009A1B05"/>
    <w:rsid w:val="009A1B64"/>
    <w:rsid w:val="009A2930"/>
    <w:rsid w:val="009A3296"/>
    <w:rsid w:val="009A45C1"/>
    <w:rsid w:val="009A541C"/>
    <w:rsid w:val="009A5711"/>
    <w:rsid w:val="009A6291"/>
    <w:rsid w:val="009A6C63"/>
    <w:rsid w:val="009A75C0"/>
    <w:rsid w:val="009B10F4"/>
    <w:rsid w:val="009B1C66"/>
    <w:rsid w:val="009B28DA"/>
    <w:rsid w:val="009B3EC1"/>
    <w:rsid w:val="009B6716"/>
    <w:rsid w:val="009B7873"/>
    <w:rsid w:val="009C05A9"/>
    <w:rsid w:val="009C2322"/>
    <w:rsid w:val="009C2786"/>
    <w:rsid w:val="009C4F93"/>
    <w:rsid w:val="009C54F9"/>
    <w:rsid w:val="009C5B95"/>
    <w:rsid w:val="009C6FFE"/>
    <w:rsid w:val="009C706A"/>
    <w:rsid w:val="009C71FE"/>
    <w:rsid w:val="009D00B8"/>
    <w:rsid w:val="009D0CD3"/>
    <w:rsid w:val="009D103A"/>
    <w:rsid w:val="009D1464"/>
    <w:rsid w:val="009D1B77"/>
    <w:rsid w:val="009D3367"/>
    <w:rsid w:val="009D3593"/>
    <w:rsid w:val="009D436D"/>
    <w:rsid w:val="009D4792"/>
    <w:rsid w:val="009D4C5C"/>
    <w:rsid w:val="009D5451"/>
    <w:rsid w:val="009D55B7"/>
    <w:rsid w:val="009D5FE2"/>
    <w:rsid w:val="009D64AA"/>
    <w:rsid w:val="009D6681"/>
    <w:rsid w:val="009D6E1B"/>
    <w:rsid w:val="009D6F22"/>
    <w:rsid w:val="009D7111"/>
    <w:rsid w:val="009D7957"/>
    <w:rsid w:val="009E00D0"/>
    <w:rsid w:val="009E02B8"/>
    <w:rsid w:val="009E0540"/>
    <w:rsid w:val="009E0960"/>
    <w:rsid w:val="009E1840"/>
    <w:rsid w:val="009E1DE0"/>
    <w:rsid w:val="009E2D6D"/>
    <w:rsid w:val="009E32B9"/>
    <w:rsid w:val="009E3AA1"/>
    <w:rsid w:val="009E4D95"/>
    <w:rsid w:val="009E534A"/>
    <w:rsid w:val="009E5782"/>
    <w:rsid w:val="009E72A6"/>
    <w:rsid w:val="009E73E4"/>
    <w:rsid w:val="009F0100"/>
    <w:rsid w:val="009F040A"/>
    <w:rsid w:val="009F08B4"/>
    <w:rsid w:val="009F0B63"/>
    <w:rsid w:val="009F0CEE"/>
    <w:rsid w:val="009F0E5C"/>
    <w:rsid w:val="009F2910"/>
    <w:rsid w:val="009F30EE"/>
    <w:rsid w:val="009F3DFB"/>
    <w:rsid w:val="009F42D7"/>
    <w:rsid w:val="009F5C26"/>
    <w:rsid w:val="009F65DE"/>
    <w:rsid w:val="009F6A0B"/>
    <w:rsid w:val="009F6A8C"/>
    <w:rsid w:val="009F792A"/>
    <w:rsid w:val="009F7DCA"/>
    <w:rsid w:val="009F7FA1"/>
    <w:rsid w:val="00A00DFD"/>
    <w:rsid w:val="00A02787"/>
    <w:rsid w:val="00A04EAD"/>
    <w:rsid w:val="00A0510E"/>
    <w:rsid w:val="00A05598"/>
    <w:rsid w:val="00A0717E"/>
    <w:rsid w:val="00A07AB9"/>
    <w:rsid w:val="00A111E4"/>
    <w:rsid w:val="00A11AB1"/>
    <w:rsid w:val="00A11DB1"/>
    <w:rsid w:val="00A133D0"/>
    <w:rsid w:val="00A13603"/>
    <w:rsid w:val="00A13DC4"/>
    <w:rsid w:val="00A153CA"/>
    <w:rsid w:val="00A1661C"/>
    <w:rsid w:val="00A16F6D"/>
    <w:rsid w:val="00A17147"/>
    <w:rsid w:val="00A20309"/>
    <w:rsid w:val="00A2067A"/>
    <w:rsid w:val="00A20C81"/>
    <w:rsid w:val="00A21937"/>
    <w:rsid w:val="00A22348"/>
    <w:rsid w:val="00A2258B"/>
    <w:rsid w:val="00A2306B"/>
    <w:rsid w:val="00A238D0"/>
    <w:rsid w:val="00A2395B"/>
    <w:rsid w:val="00A24CFD"/>
    <w:rsid w:val="00A252AC"/>
    <w:rsid w:val="00A2629F"/>
    <w:rsid w:val="00A263D1"/>
    <w:rsid w:val="00A26CBB"/>
    <w:rsid w:val="00A278E4"/>
    <w:rsid w:val="00A306B7"/>
    <w:rsid w:val="00A30904"/>
    <w:rsid w:val="00A3111F"/>
    <w:rsid w:val="00A33A0A"/>
    <w:rsid w:val="00A371D5"/>
    <w:rsid w:val="00A372FE"/>
    <w:rsid w:val="00A37E0B"/>
    <w:rsid w:val="00A4040F"/>
    <w:rsid w:val="00A40546"/>
    <w:rsid w:val="00A40EDF"/>
    <w:rsid w:val="00A4208C"/>
    <w:rsid w:val="00A43889"/>
    <w:rsid w:val="00A43E49"/>
    <w:rsid w:val="00A43F9A"/>
    <w:rsid w:val="00A448C2"/>
    <w:rsid w:val="00A4557F"/>
    <w:rsid w:val="00A455DC"/>
    <w:rsid w:val="00A4669D"/>
    <w:rsid w:val="00A4683D"/>
    <w:rsid w:val="00A47D02"/>
    <w:rsid w:val="00A50449"/>
    <w:rsid w:val="00A52E03"/>
    <w:rsid w:val="00A533B2"/>
    <w:rsid w:val="00A538E1"/>
    <w:rsid w:val="00A53E85"/>
    <w:rsid w:val="00A54EA7"/>
    <w:rsid w:val="00A56412"/>
    <w:rsid w:val="00A57031"/>
    <w:rsid w:val="00A57D18"/>
    <w:rsid w:val="00A641A0"/>
    <w:rsid w:val="00A64C8D"/>
    <w:rsid w:val="00A70425"/>
    <w:rsid w:val="00A7168A"/>
    <w:rsid w:val="00A717FA"/>
    <w:rsid w:val="00A718E3"/>
    <w:rsid w:val="00A7253B"/>
    <w:rsid w:val="00A72A67"/>
    <w:rsid w:val="00A73906"/>
    <w:rsid w:val="00A73A95"/>
    <w:rsid w:val="00A73D58"/>
    <w:rsid w:val="00A74F40"/>
    <w:rsid w:val="00A752BC"/>
    <w:rsid w:val="00A7576D"/>
    <w:rsid w:val="00A759C3"/>
    <w:rsid w:val="00A75BA7"/>
    <w:rsid w:val="00A75C9B"/>
    <w:rsid w:val="00A81664"/>
    <w:rsid w:val="00A81A4F"/>
    <w:rsid w:val="00A8223D"/>
    <w:rsid w:val="00A833FA"/>
    <w:rsid w:val="00A8463B"/>
    <w:rsid w:val="00A84C39"/>
    <w:rsid w:val="00A85C2E"/>
    <w:rsid w:val="00A85E8D"/>
    <w:rsid w:val="00A86036"/>
    <w:rsid w:val="00A8604B"/>
    <w:rsid w:val="00A861C6"/>
    <w:rsid w:val="00A868FB"/>
    <w:rsid w:val="00A86C60"/>
    <w:rsid w:val="00A9007E"/>
    <w:rsid w:val="00A90154"/>
    <w:rsid w:val="00A917CD"/>
    <w:rsid w:val="00A91E89"/>
    <w:rsid w:val="00A923C2"/>
    <w:rsid w:val="00A92431"/>
    <w:rsid w:val="00A92ED6"/>
    <w:rsid w:val="00A950A3"/>
    <w:rsid w:val="00A95F42"/>
    <w:rsid w:val="00A977FA"/>
    <w:rsid w:val="00A97A0B"/>
    <w:rsid w:val="00AA0BA1"/>
    <w:rsid w:val="00AA1B17"/>
    <w:rsid w:val="00AA31F8"/>
    <w:rsid w:val="00AA3947"/>
    <w:rsid w:val="00AA4CF5"/>
    <w:rsid w:val="00AA6125"/>
    <w:rsid w:val="00AA64F1"/>
    <w:rsid w:val="00AA68A3"/>
    <w:rsid w:val="00AA6ACC"/>
    <w:rsid w:val="00AA75F0"/>
    <w:rsid w:val="00AB02B2"/>
    <w:rsid w:val="00AB03F8"/>
    <w:rsid w:val="00AB05BF"/>
    <w:rsid w:val="00AB0B95"/>
    <w:rsid w:val="00AB2E2E"/>
    <w:rsid w:val="00AB4D59"/>
    <w:rsid w:val="00AB4EF9"/>
    <w:rsid w:val="00AB5F2F"/>
    <w:rsid w:val="00AB6444"/>
    <w:rsid w:val="00AB6A27"/>
    <w:rsid w:val="00AB70B0"/>
    <w:rsid w:val="00AC083C"/>
    <w:rsid w:val="00AC0963"/>
    <w:rsid w:val="00AC0D71"/>
    <w:rsid w:val="00AC0EA6"/>
    <w:rsid w:val="00AC0FBA"/>
    <w:rsid w:val="00AC2AD7"/>
    <w:rsid w:val="00AC2D0B"/>
    <w:rsid w:val="00AC31AE"/>
    <w:rsid w:val="00AC322C"/>
    <w:rsid w:val="00AC3AF5"/>
    <w:rsid w:val="00AC3C87"/>
    <w:rsid w:val="00AC3F99"/>
    <w:rsid w:val="00AC5EB7"/>
    <w:rsid w:val="00AC7251"/>
    <w:rsid w:val="00AC7467"/>
    <w:rsid w:val="00AC76E0"/>
    <w:rsid w:val="00AD006F"/>
    <w:rsid w:val="00AD04D1"/>
    <w:rsid w:val="00AD2449"/>
    <w:rsid w:val="00AD26BC"/>
    <w:rsid w:val="00AD272E"/>
    <w:rsid w:val="00AD4B82"/>
    <w:rsid w:val="00AD4F36"/>
    <w:rsid w:val="00AD6632"/>
    <w:rsid w:val="00AD681B"/>
    <w:rsid w:val="00AD683F"/>
    <w:rsid w:val="00AD6EE2"/>
    <w:rsid w:val="00AD7881"/>
    <w:rsid w:val="00AD79A0"/>
    <w:rsid w:val="00AE06CE"/>
    <w:rsid w:val="00AE1EEC"/>
    <w:rsid w:val="00AE370A"/>
    <w:rsid w:val="00AE39CF"/>
    <w:rsid w:val="00AE40AA"/>
    <w:rsid w:val="00AE6D5C"/>
    <w:rsid w:val="00AE791A"/>
    <w:rsid w:val="00AF04CF"/>
    <w:rsid w:val="00AF1CCD"/>
    <w:rsid w:val="00AF1F34"/>
    <w:rsid w:val="00AF270E"/>
    <w:rsid w:val="00AF2F39"/>
    <w:rsid w:val="00AF4D9E"/>
    <w:rsid w:val="00AF7935"/>
    <w:rsid w:val="00B0215C"/>
    <w:rsid w:val="00B042D3"/>
    <w:rsid w:val="00B05107"/>
    <w:rsid w:val="00B05632"/>
    <w:rsid w:val="00B05955"/>
    <w:rsid w:val="00B06582"/>
    <w:rsid w:val="00B067F2"/>
    <w:rsid w:val="00B10355"/>
    <w:rsid w:val="00B10553"/>
    <w:rsid w:val="00B10D6D"/>
    <w:rsid w:val="00B1169C"/>
    <w:rsid w:val="00B116F9"/>
    <w:rsid w:val="00B11854"/>
    <w:rsid w:val="00B1350E"/>
    <w:rsid w:val="00B13C56"/>
    <w:rsid w:val="00B1455E"/>
    <w:rsid w:val="00B172F9"/>
    <w:rsid w:val="00B20F60"/>
    <w:rsid w:val="00B21616"/>
    <w:rsid w:val="00B21A3C"/>
    <w:rsid w:val="00B21D5C"/>
    <w:rsid w:val="00B245D8"/>
    <w:rsid w:val="00B25260"/>
    <w:rsid w:val="00B27785"/>
    <w:rsid w:val="00B31800"/>
    <w:rsid w:val="00B322D5"/>
    <w:rsid w:val="00B326AF"/>
    <w:rsid w:val="00B330AF"/>
    <w:rsid w:val="00B341FA"/>
    <w:rsid w:val="00B34B7D"/>
    <w:rsid w:val="00B35ECD"/>
    <w:rsid w:val="00B36A1B"/>
    <w:rsid w:val="00B404FB"/>
    <w:rsid w:val="00B40BC1"/>
    <w:rsid w:val="00B42281"/>
    <w:rsid w:val="00B4243F"/>
    <w:rsid w:val="00B44890"/>
    <w:rsid w:val="00B44FA8"/>
    <w:rsid w:val="00B45DE9"/>
    <w:rsid w:val="00B47558"/>
    <w:rsid w:val="00B50C9B"/>
    <w:rsid w:val="00B51D13"/>
    <w:rsid w:val="00B51E67"/>
    <w:rsid w:val="00B533E5"/>
    <w:rsid w:val="00B53BBA"/>
    <w:rsid w:val="00B54D49"/>
    <w:rsid w:val="00B550CD"/>
    <w:rsid w:val="00B55B70"/>
    <w:rsid w:val="00B56FBB"/>
    <w:rsid w:val="00B572A4"/>
    <w:rsid w:val="00B60829"/>
    <w:rsid w:val="00B61404"/>
    <w:rsid w:val="00B61D2C"/>
    <w:rsid w:val="00B61DC7"/>
    <w:rsid w:val="00B62B92"/>
    <w:rsid w:val="00B6305A"/>
    <w:rsid w:val="00B63692"/>
    <w:rsid w:val="00B63FDC"/>
    <w:rsid w:val="00B64BB7"/>
    <w:rsid w:val="00B65687"/>
    <w:rsid w:val="00B678E0"/>
    <w:rsid w:val="00B70009"/>
    <w:rsid w:val="00B70418"/>
    <w:rsid w:val="00B7068D"/>
    <w:rsid w:val="00B70826"/>
    <w:rsid w:val="00B70EC3"/>
    <w:rsid w:val="00B7199D"/>
    <w:rsid w:val="00B71C62"/>
    <w:rsid w:val="00B73095"/>
    <w:rsid w:val="00B7490A"/>
    <w:rsid w:val="00B751D5"/>
    <w:rsid w:val="00B755C0"/>
    <w:rsid w:val="00B76736"/>
    <w:rsid w:val="00B76845"/>
    <w:rsid w:val="00B7789E"/>
    <w:rsid w:val="00B805DF"/>
    <w:rsid w:val="00B80C6D"/>
    <w:rsid w:val="00B80FB5"/>
    <w:rsid w:val="00B813DA"/>
    <w:rsid w:val="00B81ED6"/>
    <w:rsid w:val="00B82B1F"/>
    <w:rsid w:val="00B84964"/>
    <w:rsid w:val="00B85E3A"/>
    <w:rsid w:val="00B86F85"/>
    <w:rsid w:val="00B90072"/>
    <w:rsid w:val="00B90C9F"/>
    <w:rsid w:val="00B9169B"/>
    <w:rsid w:val="00B91837"/>
    <w:rsid w:val="00B92484"/>
    <w:rsid w:val="00B9320D"/>
    <w:rsid w:val="00B937E8"/>
    <w:rsid w:val="00B93CFC"/>
    <w:rsid w:val="00B94C38"/>
    <w:rsid w:val="00B94CE9"/>
    <w:rsid w:val="00B94DBE"/>
    <w:rsid w:val="00B96624"/>
    <w:rsid w:val="00B967AA"/>
    <w:rsid w:val="00BA0773"/>
    <w:rsid w:val="00BA0A77"/>
    <w:rsid w:val="00BA0A86"/>
    <w:rsid w:val="00BA2E68"/>
    <w:rsid w:val="00BA34BD"/>
    <w:rsid w:val="00BA3C5D"/>
    <w:rsid w:val="00BA3DBD"/>
    <w:rsid w:val="00BA5111"/>
    <w:rsid w:val="00BA6272"/>
    <w:rsid w:val="00BA6855"/>
    <w:rsid w:val="00BB08D2"/>
    <w:rsid w:val="00BB1AEF"/>
    <w:rsid w:val="00BB2E3D"/>
    <w:rsid w:val="00BB3275"/>
    <w:rsid w:val="00BB3948"/>
    <w:rsid w:val="00BB3C20"/>
    <w:rsid w:val="00BB44E6"/>
    <w:rsid w:val="00BB528F"/>
    <w:rsid w:val="00BB5736"/>
    <w:rsid w:val="00BB640A"/>
    <w:rsid w:val="00BB6527"/>
    <w:rsid w:val="00BB7035"/>
    <w:rsid w:val="00BB75B7"/>
    <w:rsid w:val="00BB79A9"/>
    <w:rsid w:val="00BC207B"/>
    <w:rsid w:val="00BC2475"/>
    <w:rsid w:val="00BC4723"/>
    <w:rsid w:val="00BC6BBC"/>
    <w:rsid w:val="00BC76F5"/>
    <w:rsid w:val="00BD0799"/>
    <w:rsid w:val="00BD07C9"/>
    <w:rsid w:val="00BD0966"/>
    <w:rsid w:val="00BD1A9D"/>
    <w:rsid w:val="00BD30F7"/>
    <w:rsid w:val="00BD3730"/>
    <w:rsid w:val="00BD48B1"/>
    <w:rsid w:val="00BD4FA6"/>
    <w:rsid w:val="00BD5355"/>
    <w:rsid w:val="00BD600A"/>
    <w:rsid w:val="00BD653E"/>
    <w:rsid w:val="00BD7917"/>
    <w:rsid w:val="00BD7E55"/>
    <w:rsid w:val="00BE0D58"/>
    <w:rsid w:val="00BE158F"/>
    <w:rsid w:val="00BE1AD5"/>
    <w:rsid w:val="00BE239E"/>
    <w:rsid w:val="00BE48A1"/>
    <w:rsid w:val="00BE4A1D"/>
    <w:rsid w:val="00BE55F8"/>
    <w:rsid w:val="00BF118A"/>
    <w:rsid w:val="00BF158C"/>
    <w:rsid w:val="00BF1E41"/>
    <w:rsid w:val="00BF20D4"/>
    <w:rsid w:val="00BF2676"/>
    <w:rsid w:val="00BF3965"/>
    <w:rsid w:val="00BF4942"/>
    <w:rsid w:val="00C01AA4"/>
    <w:rsid w:val="00C01B23"/>
    <w:rsid w:val="00C028D8"/>
    <w:rsid w:val="00C0434A"/>
    <w:rsid w:val="00C04389"/>
    <w:rsid w:val="00C0452B"/>
    <w:rsid w:val="00C050BC"/>
    <w:rsid w:val="00C0543D"/>
    <w:rsid w:val="00C05A2D"/>
    <w:rsid w:val="00C067E3"/>
    <w:rsid w:val="00C06A41"/>
    <w:rsid w:val="00C0790E"/>
    <w:rsid w:val="00C104CE"/>
    <w:rsid w:val="00C109FD"/>
    <w:rsid w:val="00C10F5B"/>
    <w:rsid w:val="00C11C53"/>
    <w:rsid w:val="00C11CD4"/>
    <w:rsid w:val="00C12715"/>
    <w:rsid w:val="00C135BC"/>
    <w:rsid w:val="00C14C6E"/>
    <w:rsid w:val="00C1752E"/>
    <w:rsid w:val="00C176E2"/>
    <w:rsid w:val="00C17A6B"/>
    <w:rsid w:val="00C17DDA"/>
    <w:rsid w:val="00C20967"/>
    <w:rsid w:val="00C20CE6"/>
    <w:rsid w:val="00C21317"/>
    <w:rsid w:val="00C22593"/>
    <w:rsid w:val="00C236E0"/>
    <w:rsid w:val="00C23957"/>
    <w:rsid w:val="00C23E4A"/>
    <w:rsid w:val="00C240AA"/>
    <w:rsid w:val="00C24B66"/>
    <w:rsid w:val="00C25A4E"/>
    <w:rsid w:val="00C25E40"/>
    <w:rsid w:val="00C25EB4"/>
    <w:rsid w:val="00C262AA"/>
    <w:rsid w:val="00C26408"/>
    <w:rsid w:val="00C264FF"/>
    <w:rsid w:val="00C273D4"/>
    <w:rsid w:val="00C279AF"/>
    <w:rsid w:val="00C3018D"/>
    <w:rsid w:val="00C3066E"/>
    <w:rsid w:val="00C30FA6"/>
    <w:rsid w:val="00C317B7"/>
    <w:rsid w:val="00C319A5"/>
    <w:rsid w:val="00C322F7"/>
    <w:rsid w:val="00C323A7"/>
    <w:rsid w:val="00C33502"/>
    <w:rsid w:val="00C3390D"/>
    <w:rsid w:val="00C40155"/>
    <w:rsid w:val="00C42581"/>
    <w:rsid w:val="00C426A9"/>
    <w:rsid w:val="00C43FB9"/>
    <w:rsid w:val="00C44944"/>
    <w:rsid w:val="00C44A4B"/>
    <w:rsid w:val="00C44C69"/>
    <w:rsid w:val="00C453EE"/>
    <w:rsid w:val="00C468C2"/>
    <w:rsid w:val="00C46D21"/>
    <w:rsid w:val="00C53DF1"/>
    <w:rsid w:val="00C540F2"/>
    <w:rsid w:val="00C542AA"/>
    <w:rsid w:val="00C54A93"/>
    <w:rsid w:val="00C55B78"/>
    <w:rsid w:val="00C57815"/>
    <w:rsid w:val="00C61B41"/>
    <w:rsid w:val="00C61EAF"/>
    <w:rsid w:val="00C62392"/>
    <w:rsid w:val="00C62F87"/>
    <w:rsid w:val="00C630B9"/>
    <w:rsid w:val="00C632CD"/>
    <w:rsid w:val="00C63B89"/>
    <w:rsid w:val="00C63CBD"/>
    <w:rsid w:val="00C63E25"/>
    <w:rsid w:val="00C640BE"/>
    <w:rsid w:val="00C64C87"/>
    <w:rsid w:val="00C65C93"/>
    <w:rsid w:val="00C667AD"/>
    <w:rsid w:val="00C67853"/>
    <w:rsid w:val="00C6793D"/>
    <w:rsid w:val="00C70BF2"/>
    <w:rsid w:val="00C71016"/>
    <w:rsid w:val="00C7104E"/>
    <w:rsid w:val="00C71273"/>
    <w:rsid w:val="00C725B8"/>
    <w:rsid w:val="00C72EA9"/>
    <w:rsid w:val="00C73399"/>
    <w:rsid w:val="00C74BDB"/>
    <w:rsid w:val="00C74EDD"/>
    <w:rsid w:val="00C74F6C"/>
    <w:rsid w:val="00C7519A"/>
    <w:rsid w:val="00C753E1"/>
    <w:rsid w:val="00C75A98"/>
    <w:rsid w:val="00C765F6"/>
    <w:rsid w:val="00C76D8C"/>
    <w:rsid w:val="00C77AE6"/>
    <w:rsid w:val="00C80D3E"/>
    <w:rsid w:val="00C821A9"/>
    <w:rsid w:val="00C82AF5"/>
    <w:rsid w:val="00C83B12"/>
    <w:rsid w:val="00C857BD"/>
    <w:rsid w:val="00C8668B"/>
    <w:rsid w:val="00C86D43"/>
    <w:rsid w:val="00C870F3"/>
    <w:rsid w:val="00C90243"/>
    <w:rsid w:val="00C9072D"/>
    <w:rsid w:val="00C91D4F"/>
    <w:rsid w:val="00C922A9"/>
    <w:rsid w:val="00C924A3"/>
    <w:rsid w:val="00C92EFA"/>
    <w:rsid w:val="00C93506"/>
    <w:rsid w:val="00C94C90"/>
    <w:rsid w:val="00C94DC4"/>
    <w:rsid w:val="00C94F2C"/>
    <w:rsid w:val="00CA016D"/>
    <w:rsid w:val="00CA074D"/>
    <w:rsid w:val="00CA08FB"/>
    <w:rsid w:val="00CA0C7F"/>
    <w:rsid w:val="00CA164C"/>
    <w:rsid w:val="00CA29BB"/>
    <w:rsid w:val="00CA3B96"/>
    <w:rsid w:val="00CA4550"/>
    <w:rsid w:val="00CA4644"/>
    <w:rsid w:val="00CA505D"/>
    <w:rsid w:val="00CB1309"/>
    <w:rsid w:val="00CB2826"/>
    <w:rsid w:val="00CB3173"/>
    <w:rsid w:val="00CB36D1"/>
    <w:rsid w:val="00CB6115"/>
    <w:rsid w:val="00CB6793"/>
    <w:rsid w:val="00CB6C1F"/>
    <w:rsid w:val="00CB70B3"/>
    <w:rsid w:val="00CB7374"/>
    <w:rsid w:val="00CB7629"/>
    <w:rsid w:val="00CC085E"/>
    <w:rsid w:val="00CC1114"/>
    <w:rsid w:val="00CC1424"/>
    <w:rsid w:val="00CC176B"/>
    <w:rsid w:val="00CC21E8"/>
    <w:rsid w:val="00CC240C"/>
    <w:rsid w:val="00CC2811"/>
    <w:rsid w:val="00CC38C2"/>
    <w:rsid w:val="00CC403A"/>
    <w:rsid w:val="00CC4F6C"/>
    <w:rsid w:val="00CC606D"/>
    <w:rsid w:val="00CC78EA"/>
    <w:rsid w:val="00CD0DD8"/>
    <w:rsid w:val="00CD4598"/>
    <w:rsid w:val="00CD49BA"/>
    <w:rsid w:val="00CD6082"/>
    <w:rsid w:val="00CD6246"/>
    <w:rsid w:val="00CD6A36"/>
    <w:rsid w:val="00CD7342"/>
    <w:rsid w:val="00CD7616"/>
    <w:rsid w:val="00CE0478"/>
    <w:rsid w:val="00CE0903"/>
    <w:rsid w:val="00CE0BF3"/>
    <w:rsid w:val="00CE1326"/>
    <w:rsid w:val="00CE1342"/>
    <w:rsid w:val="00CE214F"/>
    <w:rsid w:val="00CE22D1"/>
    <w:rsid w:val="00CE23FB"/>
    <w:rsid w:val="00CE2C6A"/>
    <w:rsid w:val="00CE3862"/>
    <w:rsid w:val="00CE3C67"/>
    <w:rsid w:val="00CE4A4E"/>
    <w:rsid w:val="00CE4F30"/>
    <w:rsid w:val="00CE5A08"/>
    <w:rsid w:val="00CE6F9D"/>
    <w:rsid w:val="00CE75A7"/>
    <w:rsid w:val="00CF01A2"/>
    <w:rsid w:val="00CF1612"/>
    <w:rsid w:val="00CF4A01"/>
    <w:rsid w:val="00CF4BFD"/>
    <w:rsid w:val="00CF55B5"/>
    <w:rsid w:val="00CF58D5"/>
    <w:rsid w:val="00CF6C43"/>
    <w:rsid w:val="00CF752A"/>
    <w:rsid w:val="00CF7A78"/>
    <w:rsid w:val="00CF7B50"/>
    <w:rsid w:val="00D00407"/>
    <w:rsid w:val="00D029BD"/>
    <w:rsid w:val="00D03391"/>
    <w:rsid w:val="00D03BB9"/>
    <w:rsid w:val="00D046D2"/>
    <w:rsid w:val="00D05E81"/>
    <w:rsid w:val="00D061B0"/>
    <w:rsid w:val="00D06CF1"/>
    <w:rsid w:val="00D06ED8"/>
    <w:rsid w:val="00D073BB"/>
    <w:rsid w:val="00D07793"/>
    <w:rsid w:val="00D1045C"/>
    <w:rsid w:val="00D11309"/>
    <w:rsid w:val="00D11EBE"/>
    <w:rsid w:val="00D12774"/>
    <w:rsid w:val="00D14B2E"/>
    <w:rsid w:val="00D15734"/>
    <w:rsid w:val="00D1640F"/>
    <w:rsid w:val="00D20FF9"/>
    <w:rsid w:val="00D210C9"/>
    <w:rsid w:val="00D2125E"/>
    <w:rsid w:val="00D21FAF"/>
    <w:rsid w:val="00D23DBD"/>
    <w:rsid w:val="00D242DD"/>
    <w:rsid w:val="00D24B72"/>
    <w:rsid w:val="00D25672"/>
    <w:rsid w:val="00D2643C"/>
    <w:rsid w:val="00D26C86"/>
    <w:rsid w:val="00D2772C"/>
    <w:rsid w:val="00D30BDE"/>
    <w:rsid w:val="00D30E64"/>
    <w:rsid w:val="00D31105"/>
    <w:rsid w:val="00D31585"/>
    <w:rsid w:val="00D31729"/>
    <w:rsid w:val="00D321FE"/>
    <w:rsid w:val="00D3232E"/>
    <w:rsid w:val="00D33387"/>
    <w:rsid w:val="00D34A06"/>
    <w:rsid w:val="00D37E57"/>
    <w:rsid w:val="00D40019"/>
    <w:rsid w:val="00D40BBD"/>
    <w:rsid w:val="00D40FB9"/>
    <w:rsid w:val="00D4148A"/>
    <w:rsid w:val="00D41845"/>
    <w:rsid w:val="00D41E8A"/>
    <w:rsid w:val="00D42A5D"/>
    <w:rsid w:val="00D43CB3"/>
    <w:rsid w:val="00D46051"/>
    <w:rsid w:val="00D460C8"/>
    <w:rsid w:val="00D4727A"/>
    <w:rsid w:val="00D47F72"/>
    <w:rsid w:val="00D512B1"/>
    <w:rsid w:val="00D52BA5"/>
    <w:rsid w:val="00D52C52"/>
    <w:rsid w:val="00D541D4"/>
    <w:rsid w:val="00D558E1"/>
    <w:rsid w:val="00D56B58"/>
    <w:rsid w:val="00D56C0B"/>
    <w:rsid w:val="00D57ED4"/>
    <w:rsid w:val="00D61609"/>
    <w:rsid w:val="00D61813"/>
    <w:rsid w:val="00D61AF7"/>
    <w:rsid w:val="00D6224F"/>
    <w:rsid w:val="00D66194"/>
    <w:rsid w:val="00D66674"/>
    <w:rsid w:val="00D70DB6"/>
    <w:rsid w:val="00D71AB5"/>
    <w:rsid w:val="00D7282D"/>
    <w:rsid w:val="00D72DD4"/>
    <w:rsid w:val="00D72EC1"/>
    <w:rsid w:val="00D73071"/>
    <w:rsid w:val="00D737AC"/>
    <w:rsid w:val="00D75315"/>
    <w:rsid w:val="00D75511"/>
    <w:rsid w:val="00D81889"/>
    <w:rsid w:val="00D81DF8"/>
    <w:rsid w:val="00D83D5D"/>
    <w:rsid w:val="00D83E10"/>
    <w:rsid w:val="00D845ED"/>
    <w:rsid w:val="00D85F4A"/>
    <w:rsid w:val="00D86286"/>
    <w:rsid w:val="00D864CB"/>
    <w:rsid w:val="00D90290"/>
    <w:rsid w:val="00D915A2"/>
    <w:rsid w:val="00D91B2F"/>
    <w:rsid w:val="00D9254E"/>
    <w:rsid w:val="00D93340"/>
    <w:rsid w:val="00D93B5D"/>
    <w:rsid w:val="00D94EFE"/>
    <w:rsid w:val="00D966AB"/>
    <w:rsid w:val="00D97673"/>
    <w:rsid w:val="00DA063E"/>
    <w:rsid w:val="00DA09D8"/>
    <w:rsid w:val="00DA1495"/>
    <w:rsid w:val="00DA3A98"/>
    <w:rsid w:val="00DA3AE9"/>
    <w:rsid w:val="00DA5BD4"/>
    <w:rsid w:val="00DA5CAA"/>
    <w:rsid w:val="00DA5F88"/>
    <w:rsid w:val="00DA6731"/>
    <w:rsid w:val="00DA7463"/>
    <w:rsid w:val="00DA77EE"/>
    <w:rsid w:val="00DA79EB"/>
    <w:rsid w:val="00DA7FA8"/>
    <w:rsid w:val="00DB01EB"/>
    <w:rsid w:val="00DB0C3F"/>
    <w:rsid w:val="00DB0E72"/>
    <w:rsid w:val="00DB0F81"/>
    <w:rsid w:val="00DB2BCE"/>
    <w:rsid w:val="00DB32E3"/>
    <w:rsid w:val="00DB41AB"/>
    <w:rsid w:val="00DB4D50"/>
    <w:rsid w:val="00DB645E"/>
    <w:rsid w:val="00DB78E1"/>
    <w:rsid w:val="00DC14C6"/>
    <w:rsid w:val="00DC16D0"/>
    <w:rsid w:val="00DC25A1"/>
    <w:rsid w:val="00DC32DC"/>
    <w:rsid w:val="00DC3C1E"/>
    <w:rsid w:val="00DC3E2F"/>
    <w:rsid w:val="00DC40BD"/>
    <w:rsid w:val="00DC4CC3"/>
    <w:rsid w:val="00DC5ADB"/>
    <w:rsid w:val="00DC7220"/>
    <w:rsid w:val="00DC73A5"/>
    <w:rsid w:val="00DC76C7"/>
    <w:rsid w:val="00DD0249"/>
    <w:rsid w:val="00DD1018"/>
    <w:rsid w:val="00DD16A2"/>
    <w:rsid w:val="00DD1B19"/>
    <w:rsid w:val="00DD21E7"/>
    <w:rsid w:val="00DD3226"/>
    <w:rsid w:val="00DD48FA"/>
    <w:rsid w:val="00DD4B2A"/>
    <w:rsid w:val="00DD4FA2"/>
    <w:rsid w:val="00DD50EE"/>
    <w:rsid w:val="00DD58FE"/>
    <w:rsid w:val="00DD5ED8"/>
    <w:rsid w:val="00DD632F"/>
    <w:rsid w:val="00DD7028"/>
    <w:rsid w:val="00DE1E94"/>
    <w:rsid w:val="00DE33FF"/>
    <w:rsid w:val="00DE3D0E"/>
    <w:rsid w:val="00DE4666"/>
    <w:rsid w:val="00DE5005"/>
    <w:rsid w:val="00DE54BB"/>
    <w:rsid w:val="00DE5D18"/>
    <w:rsid w:val="00DE6067"/>
    <w:rsid w:val="00DE684E"/>
    <w:rsid w:val="00DE69AF"/>
    <w:rsid w:val="00DF05B5"/>
    <w:rsid w:val="00DF0930"/>
    <w:rsid w:val="00DF0DC1"/>
    <w:rsid w:val="00DF2002"/>
    <w:rsid w:val="00DF2B03"/>
    <w:rsid w:val="00DF4C17"/>
    <w:rsid w:val="00DF4CE4"/>
    <w:rsid w:val="00DF54E2"/>
    <w:rsid w:val="00DF6498"/>
    <w:rsid w:val="00DF77D2"/>
    <w:rsid w:val="00DF7D7E"/>
    <w:rsid w:val="00E003C6"/>
    <w:rsid w:val="00E00BC4"/>
    <w:rsid w:val="00E0110F"/>
    <w:rsid w:val="00E01479"/>
    <w:rsid w:val="00E01CBD"/>
    <w:rsid w:val="00E0244B"/>
    <w:rsid w:val="00E027B2"/>
    <w:rsid w:val="00E0390D"/>
    <w:rsid w:val="00E053A4"/>
    <w:rsid w:val="00E05C90"/>
    <w:rsid w:val="00E075FA"/>
    <w:rsid w:val="00E10029"/>
    <w:rsid w:val="00E110A4"/>
    <w:rsid w:val="00E111A7"/>
    <w:rsid w:val="00E115FD"/>
    <w:rsid w:val="00E13152"/>
    <w:rsid w:val="00E1337A"/>
    <w:rsid w:val="00E1340E"/>
    <w:rsid w:val="00E13AF4"/>
    <w:rsid w:val="00E147AC"/>
    <w:rsid w:val="00E14B0E"/>
    <w:rsid w:val="00E1552C"/>
    <w:rsid w:val="00E15778"/>
    <w:rsid w:val="00E15910"/>
    <w:rsid w:val="00E16099"/>
    <w:rsid w:val="00E20DAE"/>
    <w:rsid w:val="00E22D29"/>
    <w:rsid w:val="00E22E7A"/>
    <w:rsid w:val="00E23E9D"/>
    <w:rsid w:val="00E3024A"/>
    <w:rsid w:val="00E313C3"/>
    <w:rsid w:val="00E326F1"/>
    <w:rsid w:val="00E329DC"/>
    <w:rsid w:val="00E32EE2"/>
    <w:rsid w:val="00E32F47"/>
    <w:rsid w:val="00E33165"/>
    <w:rsid w:val="00E33187"/>
    <w:rsid w:val="00E343B8"/>
    <w:rsid w:val="00E353A4"/>
    <w:rsid w:val="00E35D4E"/>
    <w:rsid w:val="00E35FBC"/>
    <w:rsid w:val="00E36EF0"/>
    <w:rsid w:val="00E3766E"/>
    <w:rsid w:val="00E37EB0"/>
    <w:rsid w:val="00E40AA2"/>
    <w:rsid w:val="00E40B88"/>
    <w:rsid w:val="00E41468"/>
    <w:rsid w:val="00E42A01"/>
    <w:rsid w:val="00E45E11"/>
    <w:rsid w:val="00E479DB"/>
    <w:rsid w:val="00E47F62"/>
    <w:rsid w:val="00E51102"/>
    <w:rsid w:val="00E5119D"/>
    <w:rsid w:val="00E511BD"/>
    <w:rsid w:val="00E54DBE"/>
    <w:rsid w:val="00E55523"/>
    <w:rsid w:val="00E556D1"/>
    <w:rsid w:val="00E55B4A"/>
    <w:rsid w:val="00E57208"/>
    <w:rsid w:val="00E573BA"/>
    <w:rsid w:val="00E5789D"/>
    <w:rsid w:val="00E57B8F"/>
    <w:rsid w:val="00E60561"/>
    <w:rsid w:val="00E60857"/>
    <w:rsid w:val="00E610D6"/>
    <w:rsid w:val="00E62031"/>
    <w:rsid w:val="00E62A38"/>
    <w:rsid w:val="00E630A9"/>
    <w:rsid w:val="00E70CDD"/>
    <w:rsid w:val="00E70FEE"/>
    <w:rsid w:val="00E74899"/>
    <w:rsid w:val="00E74BC6"/>
    <w:rsid w:val="00E7508E"/>
    <w:rsid w:val="00E75172"/>
    <w:rsid w:val="00E75324"/>
    <w:rsid w:val="00E753E7"/>
    <w:rsid w:val="00E76B56"/>
    <w:rsid w:val="00E7770A"/>
    <w:rsid w:val="00E77B26"/>
    <w:rsid w:val="00E80884"/>
    <w:rsid w:val="00E80992"/>
    <w:rsid w:val="00E8158D"/>
    <w:rsid w:val="00E82DA4"/>
    <w:rsid w:val="00E83010"/>
    <w:rsid w:val="00E85CEA"/>
    <w:rsid w:val="00E86360"/>
    <w:rsid w:val="00E86AF6"/>
    <w:rsid w:val="00E86B8A"/>
    <w:rsid w:val="00E870A7"/>
    <w:rsid w:val="00E90B87"/>
    <w:rsid w:val="00E9170C"/>
    <w:rsid w:val="00E91D59"/>
    <w:rsid w:val="00E93145"/>
    <w:rsid w:val="00E93CC7"/>
    <w:rsid w:val="00E942F4"/>
    <w:rsid w:val="00E97C7C"/>
    <w:rsid w:val="00EA2D57"/>
    <w:rsid w:val="00EA321A"/>
    <w:rsid w:val="00EA3538"/>
    <w:rsid w:val="00EA4655"/>
    <w:rsid w:val="00EA4A7D"/>
    <w:rsid w:val="00EA5397"/>
    <w:rsid w:val="00EA5D58"/>
    <w:rsid w:val="00EA7174"/>
    <w:rsid w:val="00EA76CF"/>
    <w:rsid w:val="00EA792F"/>
    <w:rsid w:val="00EA7CF2"/>
    <w:rsid w:val="00EB0930"/>
    <w:rsid w:val="00EB0B61"/>
    <w:rsid w:val="00EB0B9A"/>
    <w:rsid w:val="00EB18FF"/>
    <w:rsid w:val="00EB3203"/>
    <w:rsid w:val="00EB5262"/>
    <w:rsid w:val="00EB5465"/>
    <w:rsid w:val="00EB600D"/>
    <w:rsid w:val="00EB7748"/>
    <w:rsid w:val="00EB7A9B"/>
    <w:rsid w:val="00EB7B12"/>
    <w:rsid w:val="00EC0794"/>
    <w:rsid w:val="00EC0837"/>
    <w:rsid w:val="00EC10A5"/>
    <w:rsid w:val="00EC174C"/>
    <w:rsid w:val="00EC2255"/>
    <w:rsid w:val="00EC2B8F"/>
    <w:rsid w:val="00EC3298"/>
    <w:rsid w:val="00EC353E"/>
    <w:rsid w:val="00EC353F"/>
    <w:rsid w:val="00EC3606"/>
    <w:rsid w:val="00ED01D7"/>
    <w:rsid w:val="00ED1134"/>
    <w:rsid w:val="00ED149C"/>
    <w:rsid w:val="00ED2B6E"/>
    <w:rsid w:val="00ED3504"/>
    <w:rsid w:val="00ED3B62"/>
    <w:rsid w:val="00ED3D64"/>
    <w:rsid w:val="00ED418B"/>
    <w:rsid w:val="00ED4223"/>
    <w:rsid w:val="00ED4D11"/>
    <w:rsid w:val="00ED6BF4"/>
    <w:rsid w:val="00ED78E0"/>
    <w:rsid w:val="00ED7B0A"/>
    <w:rsid w:val="00ED7C00"/>
    <w:rsid w:val="00ED7E51"/>
    <w:rsid w:val="00EE01B0"/>
    <w:rsid w:val="00EE239F"/>
    <w:rsid w:val="00EE2879"/>
    <w:rsid w:val="00EE3C72"/>
    <w:rsid w:val="00EE44F2"/>
    <w:rsid w:val="00EE45CD"/>
    <w:rsid w:val="00EE5461"/>
    <w:rsid w:val="00EE654F"/>
    <w:rsid w:val="00EF01DC"/>
    <w:rsid w:val="00EF135A"/>
    <w:rsid w:val="00EF199E"/>
    <w:rsid w:val="00EF27AD"/>
    <w:rsid w:val="00EF29B5"/>
    <w:rsid w:val="00EF3D35"/>
    <w:rsid w:val="00EF4921"/>
    <w:rsid w:val="00EF4A1E"/>
    <w:rsid w:val="00EF4EBB"/>
    <w:rsid w:val="00EF5AB0"/>
    <w:rsid w:val="00EF60D3"/>
    <w:rsid w:val="00EF6B5C"/>
    <w:rsid w:val="00EF6D55"/>
    <w:rsid w:val="00EF6DDE"/>
    <w:rsid w:val="00EF7286"/>
    <w:rsid w:val="00F00337"/>
    <w:rsid w:val="00F00D64"/>
    <w:rsid w:val="00F01BD2"/>
    <w:rsid w:val="00F0298A"/>
    <w:rsid w:val="00F02B55"/>
    <w:rsid w:val="00F03136"/>
    <w:rsid w:val="00F0338E"/>
    <w:rsid w:val="00F0365E"/>
    <w:rsid w:val="00F0369A"/>
    <w:rsid w:val="00F04906"/>
    <w:rsid w:val="00F056EA"/>
    <w:rsid w:val="00F0579F"/>
    <w:rsid w:val="00F06160"/>
    <w:rsid w:val="00F065FE"/>
    <w:rsid w:val="00F06F33"/>
    <w:rsid w:val="00F07E6A"/>
    <w:rsid w:val="00F109B7"/>
    <w:rsid w:val="00F143C6"/>
    <w:rsid w:val="00F1521A"/>
    <w:rsid w:val="00F15524"/>
    <w:rsid w:val="00F163C3"/>
    <w:rsid w:val="00F172F8"/>
    <w:rsid w:val="00F17AB9"/>
    <w:rsid w:val="00F22722"/>
    <w:rsid w:val="00F22826"/>
    <w:rsid w:val="00F22CD7"/>
    <w:rsid w:val="00F246E9"/>
    <w:rsid w:val="00F24BA1"/>
    <w:rsid w:val="00F26EAC"/>
    <w:rsid w:val="00F27615"/>
    <w:rsid w:val="00F27AC2"/>
    <w:rsid w:val="00F31C0D"/>
    <w:rsid w:val="00F328A2"/>
    <w:rsid w:val="00F347BC"/>
    <w:rsid w:val="00F3501E"/>
    <w:rsid w:val="00F35DE4"/>
    <w:rsid w:val="00F36274"/>
    <w:rsid w:val="00F36CDB"/>
    <w:rsid w:val="00F36D33"/>
    <w:rsid w:val="00F37C8D"/>
    <w:rsid w:val="00F424AA"/>
    <w:rsid w:val="00F430AC"/>
    <w:rsid w:val="00F44361"/>
    <w:rsid w:val="00F45039"/>
    <w:rsid w:val="00F452C6"/>
    <w:rsid w:val="00F478AE"/>
    <w:rsid w:val="00F47AEE"/>
    <w:rsid w:val="00F47CAA"/>
    <w:rsid w:val="00F50188"/>
    <w:rsid w:val="00F50508"/>
    <w:rsid w:val="00F510CB"/>
    <w:rsid w:val="00F52A13"/>
    <w:rsid w:val="00F53A1E"/>
    <w:rsid w:val="00F53A30"/>
    <w:rsid w:val="00F54101"/>
    <w:rsid w:val="00F5445A"/>
    <w:rsid w:val="00F54A4F"/>
    <w:rsid w:val="00F57870"/>
    <w:rsid w:val="00F60E26"/>
    <w:rsid w:val="00F61EA5"/>
    <w:rsid w:val="00F63179"/>
    <w:rsid w:val="00F6347A"/>
    <w:rsid w:val="00F644CA"/>
    <w:rsid w:val="00F64C51"/>
    <w:rsid w:val="00F658CE"/>
    <w:rsid w:val="00F66DF1"/>
    <w:rsid w:val="00F67150"/>
    <w:rsid w:val="00F67CEE"/>
    <w:rsid w:val="00F67D8D"/>
    <w:rsid w:val="00F703CB"/>
    <w:rsid w:val="00F70631"/>
    <w:rsid w:val="00F71030"/>
    <w:rsid w:val="00F7211F"/>
    <w:rsid w:val="00F72596"/>
    <w:rsid w:val="00F7275D"/>
    <w:rsid w:val="00F729D0"/>
    <w:rsid w:val="00F736CE"/>
    <w:rsid w:val="00F73782"/>
    <w:rsid w:val="00F73BD1"/>
    <w:rsid w:val="00F73CE2"/>
    <w:rsid w:val="00F73F57"/>
    <w:rsid w:val="00F74CA6"/>
    <w:rsid w:val="00F75240"/>
    <w:rsid w:val="00F80A3F"/>
    <w:rsid w:val="00F82366"/>
    <w:rsid w:val="00F82F0B"/>
    <w:rsid w:val="00F8301B"/>
    <w:rsid w:val="00F846FA"/>
    <w:rsid w:val="00F84E38"/>
    <w:rsid w:val="00F85173"/>
    <w:rsid w:val="00F8524F"/>
    <w:rsid w:val="00F8575D"/>
    <w:rsid w:val="00F85A8B"/>
    <w:rsid w:val="00F86BB7"/>
    <w:rsid w:val="00F87727"/>
    <w:rsid w:val="00F90087"/>
    <w:rsid w:val="00F90579"/>
    <w:rsid w:val="00F9212B"/>
    <w:rsid w:val="00F9221C"/>
    <w:rsid w:val="00F92D64"/>
    <w:rsid w:val="00F9335C"/>
    <w:rsid w:val="00F939FE"/>
    <w:rsid w:val="00F94186"/>
    <w:rsid w:val="00F94218"/>
    <w:rsid w:val="00F94D63"/>
    <w:rsid w:val="00F958AB"/>
    <w:rsid w:val="00F96270"/>
    <w:rsid w:val="00F96529"/>
    <w:rsid w:val="00F96904"/>
    <w:rsid w:val="00F9744C"/>
    <w:rsid w:val="00F97874"/>
    <w:rsid w:val="00F97DA3"/>
    <w:rsid w:val="00FA1EFF"/>
    <w:rsid w:val="00FA3320"/>
    <w:rsid w:val="00FA4059"/>
    <w:rsid w:val="00FA50AC"/>
    <w:rsid w:val="00FA5690"/>
    <w:rsid w:val="00FA6909"/>
    <w:rsid w:val="00FA6BC7"/>
    <w:rsid w:val="00FA6F1F"/>
    <w:rsid w:val="00FA710D"/>
    <w:rsid w:val="00FA7C6A"/>
    <w:rsid w:val="00FA7EAA"/>
    <w:rsid w:val="00FA7EDD"/>
    <w:rsid w:val="00FB021E"/>
    <w:rsid w:val="00FB06D0"/>
    <w:rsid w:val="00FB1087"/>
    <w:rsid w:val="00FB2286"/>
    <w:rsid w:val="00FB26F2"/>
    <w:rsid w:val="00FB2889"/>
    <w:rsid w:val="00FB3CBB"/>
    <w:rsid w:val="00FB54B5"/>
    <w:rsid w:val="00FB57A7"/>
    <w:rsid w:val="00FB6879"/>
    <w:rsid w:val="00FB6EE7"/>
    <w:rsid w:val="00FB76FC"/>
    <w:rsid w:val="00FB7A9D"/>
    <w:rsid w:val="00FC1D99"/>
    <w:rsid w:val="00FC1FD1"/>
    <w:rsid w:val="00FC221D"/>
    <w:rsid w:val="00FC2800"/>
    <w:rsid w:val="00FC2A5A"/>
    <w:rsid w:val="00FC2CE8"/>
    <w:rsid w:val="00FC5453"/>
    <w:rsid w:val="00FC60F3"/>
    <w:rsid w:val="00FC63FA"/>
    <w:rsid w:val="00FC71F9"/>
    <w:rsid w:val="00FC78AB"/>
    <w:rsid w:val="00FD01A0"/>
    <w:rsid w:val="00FD10A1"/>
    <w:rsid w:val="00FD17B9"/>
    <w:rsid w:val="00FD34CA"/>
    <w:rsid w:val="00FD38DB"/>
    <w:rsid w:val="00FD5ABB"/>
    <w:rsid w:val="00FD66D7"/>
    <w:rsid w:val="00FD785D"/>
    <w:rsid w:val="00FD7BB3"/>
    <w:rsid w:val="00FD7D42"/>
    <w:rsid w:val="00FE0B86"/>
    <w:rsid w:val="00FE185A"/>
    <w:rsid w:val="00FE1AC2"/>
    <w:rsid w:val="00FE21BE"/>
    <w:rsid w:val="00FE27F7"/>
    <w:rsid w:val="00FE2875"/>
    <w:rsid w:val="00FE3CE8"/>
    <w:rsid w:val="00FE5863"/>
    <w:rsid w:val="00FE58FF"/>
    <w:rsid w:val="00FE78B4"/>
    <w:rsid w:val="00FF0745"/>
    <w:rsid w:val="00FF07AC"/>
    <w:rsid w:val="00FF209A"/>
    <w:rsid w:val="00FF2747"/>
    <w:rsid w:val="00FF3236"/>
    <w:rsid w:val="00FF5CDC"/>
    <w:rsid w:val="00FF5FDB"/>
    <w:rsid w:val="00FF6920"/>
    <w:rsid w:val="00FF6B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CFE397"/>
  <w15:chartTrackingRefBased/>
  <w15:docId w15:val="{50933B09-41BB-4A34-BEA4-B493B5C55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710E4"/>
    <w:pPr>
      <w:jc w:val="both"/>
    </w:pPr>
    <w:rPr>
      <w:rFonts w:ascii="Times New Roman" w:hAnsi="Times New Roman"/>
      <w:sz w:val="24"/>
      <w:szCs w:val="22"/>
      <w:lang w:eastAsia="en-US"/>
    </w:rPr>
  </w:style>
  <w:style w:type="paragraph" w:styleId="Nadpis1">
    <w:name w:val="heading 1"/>
    <w:basedOn w:val="Normln"/>
    <w:next w:val="Normln"/>
    <w:link w:val="Nadpis1Char"/>
    <w:uiPriority w:val="9"/>
    <w:qFormat/>
    <w:rsid w:val="00F3501E"/>
    <w:pPr>
      <w:keepNext/>
      <w:numPr>
        <w:numId w:val="1"/>
      </w:numPr>
      <w:spacing w:before="360" w:after="180"/>
      <w:outlineLvl w:val="0"/>
    </w:pPr>
    <w:rPr>
      <w:rFonts w:eastAsia="Times New Roman"/>
      <w:b/>
      <w:bCs/>
      <w:kern w:val="32"/>
      <w:szCs w:val="32"/>
    </w:rPr>
  </w:style>
  <w:style w:type="paragraph" w:styleId="Nadpis2">
    <w:name w:val="heading 2"/>
    <w:basedOn w:val="Normln"/>
    <w:next w:val="Normln"/>
    <w:link w:val="Nadpis2Char"/>
    <w:uiPriority w:val="9"/>
    <w:unhideWhenUsed/>
    <w:qFormat/>
    <w:rsid w:val="000B16E3"/>
    <w:pPr>
      <w:keepNext/>
      <w:numPr>
        <w:ilvl w:val="1"/>
        <w:numId w:val="1"/>
      </w:numPr>
      <w:spacing w:before="240" w:after="60"/>
      <w:outlineLvl w:val="1"/>
    </w:pPr>
    <w:rPr>
      <w:rFonts w:eastAsia="Times New Roman"/>
      <w:b/>
      <w:bCs/>
      <w:iCs/>
      <w:szCs w:val="28"/>
    </w:rPr>
  </w:style>
  <w:style w:type="paragraph" w:styleId="Nadpis3">
    <w:name w:val="heading 3"/>
    <w:basedOn w:val="Normln"/>
    <w:next w:val="Normln"/>
    <w:link w:val="Nadpis3Char"/>
    <w:uiPriority w:val="9"/>
    <w:semiHidden/>
    <w:unhideWhenUsed/>
    <w:qFormat/>
    <w:rsid w:val="00B94CE9"/>
    <w:pPr>
      <w:keepNext/>
      <w:numPr>
        <w:ilvl w:val="2"/>
        <w:numId w:val="1"/>
      </w:numPr>
      <w:spacing w:before="240" w:after="60"/>
      <w:outlineLvl w:val="2"/>
    </w:pPr>
    <w:rPr>
      <w:rFonts w:ascii="Calibri Light" w:eastAsia="Times New Roman" w:hAnsi="Calibri Light"/>
      <w:b/>
      <w:bCs/>
      <w:sz w:val="26"/>
      <w:szCs w:val="26"/>
    </w:rPr>
  </w:style>
  <w:style w:type="paragraph" w:styleId="Nadpis4">
    <w:name w:val="heading 4"/>
    <w:basedOn w:val="Normln"/>
    <w:next w:val="Normln"/>
    <w:link w:val="Nadpis4Char"/>
    <w:uiPriority w:val="9"/>
    <w:semiHidden/>
    <w:unhideWhenUsed/>
    <w:qFormat/>
    <w:rsid w:val="00B94CE9"/>
    <w:pPr>
      <w:keepNext/>
      <w:numPr>
        <w:ilvl w:val="3"/>
        <w:numId w:val="1"/>
      </w:numPr>
      <w:spacing w:before="240" w:after="60"/>
      <w:outlineLvl w:val="3"/>
    </w:pPr>
    <w:rPr>
      <w:rFonts w:ascii="Calibri" w:eastAsia="Times New Roman" w:hAnsi="Calibri"/>
      <w:b/>
      <w:bCs/>
      <w:sz w:val="28"/>
      <w:szCs w:val="28"/>
    </w:rPr>
  </w:style>
  <w:style w:type="paragraph" w:styleId="Nadpis5">
    <w:name w:val="heading 5"/>
    <w:basedOn w:val="Normln"/>
    <w:next w:val="Normln"/>
    <w:link w:val="Nadpis5Char"/>
    <w:uiPriority w:val="9"/>
    <w:semiHidden/>
    <w:unhideWhenUsed/>
    <w:qFormat/>
    <w:rsid w:val="00B94CE9"/>
    <w:pPr>
      <w:numPr>
        <w:ilvl w:val="4"/>
        <w:numId w:val="1"/>
      </w:num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
    <w:semiHidden/>
    <w:unhideWhenUsed/>
    <w:qFormat/>
    <w:rsid w:val="00B94CE9"/>
    <w:pPr>
      <w:numPr>
        <w:ilvl w:val="5"/>
        <w:numId w:val="1"/>
      </w:numPr>
      <w:spacing w:before="240" w:after="60"/>
      <w:outlineLvl w:val="5"/>
    </w:pPr>
    <w:rPr>
      <w:rFonts w:ascii="Calibri" w:eastAsia="Times New Roman" w:hAnsi="Calibri"/>
      <w:b/>
      <w:bCs/>
      <w:sz w:val="22"/>
    </w:rPr>
  </w:style>
  <w:style w:type="paragraph" w:styleId="Nadpis7">
    <w:name w:val="heading 7"/>
    <w:basedOn w:val="Normln"/>
    <w:next w:val="Normln"/>
    <w:link w:val="Nadpis7Char"/>
    <w:uiPriority w:val="9"/>
    <w:semiHidden/>
    <w:unhideWhenUsed/>
    <w:qFormat/>
    <w:rsid w:val="00B94CE9"/>
    <w:pPr>
      <w:numPr>
        <w:ilvl w:val="6"/>
        <w:numId w:val="1"/>
      </w:numPr>
      <w:spacing w:before="240" w:after="60"/>
      <w:outlineLvl w:val="6"/>
    </w:pPr>
    <w:rPr>
      <w:rFonts w:ascii="Calibri" w:eastAsia="Times New Roman" w:hAnsi="Calibri"/>
      <w:szCs w:val="24"/>
    </w:rPr>
  </w:style>
  <w:style w:type="paragraph" w:styleId="Nadpis8">
    <w:name w:val="heading 8"/>
    <w:basedOn w:val="Normln"/>
    <w:next w:val="Normln"/>
    <w:link w:val="Nadpis8Char"/>
    <w:uiPriority w:val="9"/>
    <w:semiHidden/>
    <w:unhideWhenUsed/>
    <w:qFormat/>
    <w:rsid w:val="00B94CE9"/>
    <w:pPr>
      <w:numPr>
        <w:ilvl w:val="7"/>
        <w:numId w:val="1"/>
      </w:numPr>
      <w:spacing w:before="240" w:after="60"/>
      <w:outlineLvl w:val="7"/>
    </w:pPr>
    <w:rPr>
      <w:rFonts w:ascii="Calibri" w:eastAsia="Times New Roman" w:hAnsi="Calibri"/>
      <w:i/>
      <w:iCs/>
      <w:szCs w:val="24"/>
    </w:rPr>
  </w:style>
  <w:style w:type="paragraph" w:styleId="Nadpis9">
    <w:name w:val="heading 9"/>
    <w:basedOn w:val="Normln"/>
    <w:next w:val="Normln"/>
    <w:link w:val="Nadpis9Char"/>
    <w:uiPriority w:val="9"/>
    <w:semiHidden/>
    <w:unhideWhenUsed/>
    <w:qFormat/>
    <w:rsid w:val="00B94CE9"/>
    <w:pPr>
      <w:numPr>
        <w:ilvl w:val="8"/>
        <w:numId w:val="1"/>
      </w:numPr>
      <w:spacing w:before="240" w:after="60"/>
      <w:outlineLvl w:val="8"/>
    </w:pPr>
    <w:rPr>
      <w:rFonts w:ascii="Calibri Light" w:eastAsia="Times New Roman" w:hAnsi="Calibri Light"/>
      <w:sz w:val="22"/>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651C19"/>
    <w:pPr>
      <w:tabs>
        <w:tab w:val="center" w:pos="4536"/>
        <w:tab w:val="right" w:pos="9072"/>
      </w:tabs>
    </w:pPr>
    <w:rPr>
      <w:rFonts w:ascii="Calibri" w:hAnsi="Calibri"/>
      <w:sz w:val="22"/>
    </w:rPr>
  </w:style>
  <w:style w:type="character" w:customStyle="1" w:styleId="ZpatChar">
    <w:name w:val="Zápatí Char"/>
    <w:link w:val="Zpat"/>
    <w:uiPriority w:val="99"/>
    <w:rsid w:val="00651C19"/>
    <w:rPr>
      <w:rFonts w:ascii="Calibri" w:hAnsi="Calibri"/>
      <w:sz w:val="22"/>
      <w:szCs w:val="22"/>
      <w:lang w:eastAsia="en-US"/>
    </w:rPr>
  </w:style>
  <w:style w:type="paragraph" w:styleId="Zkladntext">
    <w:name w:val="Body Text"/>
    <w:basedOn w:val="Normln"/>
    <w:link w:val="ZkladntextChar"/>
    <w:rsid w:val="00651C19"/>
    <w:pPr>
      <w:widowControl w:val="0"/>
    </w:pPr>
    <w:rPr>
      <w:rFonts w:eastAsia="Times New Roman"/>
      <w:szCs w:val="20"/>
      <w:lang w:eastAsia="cs-CZ"/>
    </w:rPr>
  </w:style>
  <w:style w:type="character" w:customStyle="1" w:styleId="ZkladntextChar">
    <w:name w:val="Základní text Char"/>
    <w:link w:val="Zkladntext"/>
    <w:rsid w:val="00651C19"/>
    <w:rPr>
      <w:rFonts w:ascii="Times New Roman" w:eastAsia="Times New Roman" w:hAnsi="Times New Roman"/>
      <w:sz w:val="24"/>
    </w:rPr>
  </w:style>
  <w:style w:type="paragraph" w:customStyle="1" w:styleId="Textparagrafu">
    <w:name w:val="Text paragrafu"/>
    <w:basedOn w:val="Normln"/>
    <w:rsid w:val="00651C19"/>
    <w:pPr>
      <w:suppressAutoHyphens/>
      <w:spacing w:before="240" w:line="100" w:lineRule="atLeast"/>
      <w:ind w:firstLine="425"/>
    </w:pPr>
    <w:rPr>
      <w:rFonts w:eastAsia="Times New Roman"/>
      <w:sz w:val="20"/>
      <w:szCs w:val="20"/>
      <w:lang w:eastAsia="cs-CZ"/>
    </w:rPr>
  </w:style>
  <w:style w:type="character" w:customStyle="1" w:styleId="Nadpis1Char">
    <w:name w:val="Nadpis 1 Char"/>
    <w:link w:val="Nadpis1"/>
    <w:uiPriority w:val="9"/>
    <w:rsid w:val="005710E4"/>
    <w:rPr>
      <w:rFonts w:ascii="Times New Roman" w:eastAsia="Times New Roman" w:hAnsi="Times New Roman"/>
      <w:b/>
      <w:bCs/>
      <w:kern w:val="32"/>
      <w:sz w:val="24"/>
      <w:szCs w:val="32"/>
      <w:lang w:eastAsia="en-US"/>
    </w:rPr>
  </w:style>
  <w:style w:type="character" w:customStyle="1" w:styleId="Nadpis2Char">
    <w:name w:val="Nadpis 2 Char"/>
    <w:link w:val="Nadpis2"/>
    <w:uiPriority w:val="9"/>
    <w:rsid w:val="000B16E3"/>
    <w:rPr>
      <w:rFonts w:ascii="Times New Roman" w:eastAsia="Times New Roman" w:hAnsi="Times New Roman"/>
      <w:b/>
      <w:bCs/>
      <w:iCs/>
      <w:sz w:val="24"/>
      <w:szCs w:val="28"/>
      <w:lang w:eastAsia="en-US"/>
    </w:rPr>
  </w:style>
  <w:style w:type="character" w:customStyle="1" w:styleId="Nadpis3Char">
    <w:name w:val="Nadpis 3 Char"/>
    <w:link w:val="Nadpis3"/>
    <w:uiPriority w:val="9"/>
    <w:semiHidden/>
    <w:rsid w:val="00B94CE9"/>
    <w:rPr>
      <w:rFonts w:ascii="Calibri Light" w:eastAsia="Times New Roman" w:hAnsi="Calibri Light"/>
      <w:b/>
      <w:bCs/>
      <w:sz w:val="26"/>
      <w:szCs w:val="26"/>
      <w:lang w:eastAsia="en-US"/>
    </w:rPr>
  </w:style>
  <w:style w:type="character" w:customStyle="1" w:styleId="Nadpis4Char">
    <w:name w:val="Nadpis 4 Char"/>
    <w:link w:val="Nadpis4"/>
    <w:uiPriority w:val="9"/>
    <w:semiHidden/>
    <w:rsid w:val="00B94CE9"/>
    <w:rPr>
      <w:rFonts w:ascii="Calibri" w:eastAsia="Times New Roman" w:hAnsi="Calibri"/>
      <w:b/>
      <w:bCs/>
      <w:sz w:val="28"/>
      <w:szCs w:val="28"/>
      <w:lang w:eastAsia="en-US"/>
    </w:rPr>
  </w:style>
  <w:style w:type="character" w:customStyle="1" w:styleId="Nadpis5Char">
    <w:name w:val="Nadpis 5 Char"/>
    <w:link w:val="Nadpis5"/>
    <w:uiPriority w:val="9"/>
    <w:semiHidden/>
    <w:rsid w:val="00B94CE9"/>
    <w:rPr>
      <w:rFonts w:ascii="Calibri" w:eastAsia="Times New Roman" w:hAnsi="Calibri"/>
      <w:b/>
      <w:bCs/>
      <w:i/>
      <w:iCs/>
      <w:sz w:val="26"/>
      <w:szCs w:val="26"/>
      <w:lang w:eastAsia="en-US"/>
    </w:rPr>
  </w:style>
  <w:style w:type="character" w:customStyle="1" w:styleId="Nadpis6Char">
    <w:name w:val="Nadpis 6 Char"/>
    <w:link w:val="Nadpis6"/>
    <w:uiPriority w:val="9"/>
    <w:semiHidden/>
    <w:rsid w:val="00B94CE9"/>
    <w:rPr>
      <w:rFonts w:ascii="Calibri" w:eastAsia="Times New Roman" w:hAnsi="Calibri"/>
      <w:b/>
      <w:bCs/>
      <w:sz w:val="22"/>
      <w:szCs w:val="22"/>
      <w:lang w:eastAsia="en-US"/>
    </w:rPr>
  </w:style>
  <w:style w:type="character" w:customStyle="1" w:styleId="Nadpis7Char">
    <w:name w:val="Nadpis 7 Char"/>
    <w:link w:val="Nadpis7"/>
    <w:uiPriority w:val="9"/>
    <w:semiHidden/>
    <w:rsid w:val="00B94CE9"/>
    <w:rPr>
      <w:rFonts w:ascii="Calibri" w:eastAsia="Times New Roman" w:hAnsi="Calibri"/>
      <w:sz w:val="24"/>
      <w:szCs w:val="24"/>
      <w:lang w:eastAsia="en-US"/>
    </w:rPr>
  </w:style>
  <w:style w:type="character" w:customStyle="1" w:styleId="Nadpis8Char">
    <w:name w:val="Nadpis 8 Char"/>
    <w:link w:val="Nadpis8"/>
    <w:uiPriority w:val="9"/>
    <w:semiHidden/>
    <w:rsid w:val="00B94CE9"/>
    <w:rPr>
      <w:rFonts w:ascii="Calibri" w:eastAsia="Times New Roman" w:hAnsi="Calibri"/>
      <w:i/>
      <w:iCs/>
      <w:sz w:val="24"/>
      <w:szCs w:val="24"/>
      <w:lang w:eastAsia="en-US"/>
    </w:rPr>
  </w:style>
  <w:style w:type="character" w:customStyle="1" w:styleId="Nadpis9Char">
    <w:name w:val="Nadpis 9 Char"/>
    <w:link w:val="Nadpis9"/>
    <w:uiPriority w:val="9"/>
    <w:semiHidden/>
    <w:rsid w:val="00B94CE9"/>
    <w:rPr>
      <w:rFonts w:ascii="Calibri Light" w:eastAsia="Times New Roman" w:hAnsi="Calibri Light"/>
      <w:sz w:val="22"/>
      <w:szCs w:val="22"/>
      <w:lang w:eastAsia="en-US"/>
    </w:rPr>
  </w:style>
  <w:style w:type="paragraph" w:styleId="Nzev">
    <w:name w:val="Title"/>
    <w:basedOn w:val="Normln"/>
    <w:next w:val="Normln"/>
    <w:link w:val="NzevChar"/>
    <w:uiPriority w:val="10"/>
    <w:qFormat/>
    <w:rsid w:val="003312B8"/>
    <w:pPr>
      <w:spacing w:before="240" w:after="60"/>
      <w:outlineLvl w:val="0"/>
    </w:pPr>
    <w:rPr>
      <w:rFonts w:eastAsia="Times New Roman"/>
      <w:b/>
      <w:bCs/>
      <w:kern w:val="28"/>
      <w:szCs w:val="32"/>
    </w:rPr>
  </w:style>
  <w:style w:type="character" w:customStyle="1" w:styleId="NzevChar">
    <w:name w:val="Název Char"/>
    <w:link w:val="Nzev"/>
    <w:uiPriority w:val="10"/>
    <w:rsid w:val="003312B8"/>
    <w:rPr>
      <w:rFonts w:ascii="Times New Roman" w:eastAsia="Times New Roman" w:hAnsi="Times New Roman"/>
      <w:b/>
      <w:bCs/>
      <w:kern w:val="28"/>
      <w:sz w:val="24"/>
      <w:szCs w:val="32"/>
      <w:lang w:eastAsia="en-US"/>
    </w:rPr>
  </w:style>
  <w:style w:type="paragraph" w:styleId="Textpoznpodarou">
    <w:name w:val="footnote text"/>
    <w:aliases w:val="Footnote Text Char,Schriftart: 9 pt Char,Schriftart: 10 pt Char,Schriftart: 8 pt Char,Char Char Char Char Char Char,Char Char Char Char Char1,Char Char Char Char1,Char3 Char,Char Char1,Char Char Char1,Char Char,Schriftart: 9 pt, Cha"/>
    <w:basedOn w:val="Normln"/>
    <w:link w:val="TextpoznpodarouChar"/>
    <w:uiPriority w:val="99"/>
    <w:unhideWhenUsed/>
    <w:qFormat/>
    <w:rsid w:val="00C922A9"/>
    <w:rPr>
      <w:sz w:val="20"/>
      <w:szCs w:val="20"/>
    </w:rPr>
  </w:style>
  <w:style w:type="character" w:customStyle="1" w:styleId="TextpoznpodarouChar">
    <w:name w:val="Text pozn. pod čarou Char"/>
    <w:aliases w:val="Footnote Text Char Char,Schriftart: 9 pt Char Char,Schriftart: 10 pt Char Char,Schriftart: 8 pt Char Char,Char Char Char Char Char Char Char,Char Char Char Char Char1 Char,Char Char Char Char1 Char,Char3 Char Char, Char Char"/>
    <w:link w:val="Textpoznpodarou"/>
    <w:uiPriority w:val="99"/>
    <w:rsid w:val="00C922A9"/>
    <w:rPr>
      <w:lang w:eastAsia="en-US"/>
    </w:rPr>
  </w:style>
  <w:style w:type="character" w:styleId="Znakapoznpodarou">
    <w:name w:val="footnote reference"/>
    <w:aliases w:val="BVI fnr,Footnote symbol,EN Footnote Reference,PGI Fußnote Ziffer + Times New Roman,12 b.,Zúžené o ...,PGI Fußnote Ziffer,Footnote Reference Superscript,Appel note de bas de p,Appel note de bas de page,Légende,Char Car Car Car Car"/>
    <w:uiPriority w:val="99"/>
    <w:unhideWhenUsed/>
    <w:qFormat/>
    <w:rsid w:val="00C922A9"/>
    <w:rPr>
      <w:vertAlign w:val="superscript"/>
    </w:rPr>
  </w:style>
  <w:style w:type="paragraph" w:customStyle="1" w:styleId="Default">
    <w:name w:val="Default"/>
    <w:rsid w:val="0099191F"/>
    <w:pPr>
      <w:autoSpaceDE w:val="0"/>
      <w:autoSpaceDN w:val="0"/>
      <w:adjustRightInd w:val="0"/>
      <w:jc w:val="both"/>
    </w:pPr>
    <w:rPr>
      <w:rFonts w:cs="Arial"/>
      <w:color w:val="000000"/>
      <w:sz w:val="24"/>
      <w:szCs w:val="24"/>
    </w:rPr>
  </w:style>
  <w:style w:type="paragraph" w:styleId="Odstavecseseznamem">
    <w:name w:val="List Paragraph"/>
    <w:aliases w:val="List Paragraph (Czech Tourism),Nad,List Paragraph,Odstavec se seznamem1,Odstavec cíl se seznamem,1 odstavecH,Odstavec_muj,Conclusion de partie,References,Odstavec se seznamem2"/>
    <w:basedOn w:val="Normln"/>
    <w:link w:val="OdstavecseseznamemChar"/>
    <w:uiPriority w:val="34"/>
    <w:unhideWhenUsed/>
    <w:qFormat/>
    <w:rsid w:val="00AA0BA1"/>
    <w:pPr>
      <w:spacing w:line="293" w:lineRule="auto"/>
      <w:ind w:left="720"/>
      <w:contextualSpacing/>
      <w:jc w:val="left"/>
    </w:pPr>
    <w:rPr>
      <w:rFonts w:ascii="Calibri" w:hAnsi="Calibri"/>
      <w:color w:val="000000"/>
      <w:sz w:val="22"/>
    </w:rPr>
  </w:style>
  <w:style w:type="character" w:customStyle="1" w:styleId="FontStyle13">
    <w:name w:val="Font Style13"/>
    <w:uiPriority w:val="99"/>
    <w:rsid w:val="00F3501E"/>
    <w:rPr>
      <w:rFonts w:ascii="Times New Roman" w:hAnsi="Times New Roman" w:cs="Times New Roman" w:hint="default"/>
      <w:sz w:val="22"/>
      <w:szCs w:val="22"/>
    </w:rPr>
  </w:style>
  <w:style w:type="paragraph" w:customStyle="1" w:styleId="Style3">
    <w:name w:val="Style3"/>
    <w:basedOn w:val="Normln"/>
    <w:uiPriority w:val="99"/>
    <w:rsid w:val="00F3501E"/>
    <w:pPr>
      <w:widowControl w:val="0"/>
      <w:autoSpaceDE w:val="0"/>
      <w:autoSpaceDN w:val="0"/>
      <w:adjustRightInd w:val="0"/>
      <w:jc w:val="left"/>
    </w:pPr>
    <w:rPr>
      <w:rFonts w:ascii="Arial" w:eastAsia="Times New Roman" w:hAnsi="Arial"/>
      <w:szCs w:val="24"/>
      <w:lang w:eastAsia="cs-CZ"/>
    </w:rPr>
  </w:style>
  <w:style w:type="character" w:customStyle="1" w:styleId="posted-on">
    <w:name w:val="posted-on"/>
    <w:rsid w:val="00AB05BF"/>
  </w:style>
  <w:style w:type="character" w:customStyle="1" w:styleId="screen-reader-text">
    <w:name w:val="screen-reader-text"/>
    <w:rsid w:val="00AB05BF"/>
  </w:style>
  <w:style w:type="character" w:styleId="Hypertextovodkaz">
    <w:name w:val="Hyperlink"/>
    <w:uiPriority w:val="99"/>
    <w:unhideWhenUsed/>
    <w:rsid w:val="00AB05BF"/>
    <w:rPr>
      <w:color w:val="0000FF"/>
      <w:u w:val="single"/>
    </w:rPr>
  </w:style>
  <w:style w:type="character" w:customStyle="1" w:styleId="byline">
    <w:name w:val="byline"/>
    <w:rsid w:val="00AB05BF"/>
  </w:style>
  <w:style w:type="character" w:customStyle="1" w:styleId="author">
    <w:name w:val="author"/>
    <w:rsid w:val="00AB05BF"/>
  </w:style>
  <w:style w:type="paragraph" w:styleId="Normlnweb">
    <w:name w:val="Normal (Web)"/>
    <w:basedOn w:val="Normln"/>
    <w:uiPriority w:val="99"/>
    <w:unhideWhenUsed/>
    <w:rsid w:val="00AB05BF"/>
    <w:pPr>
      <w:spacing w:before="100" w:beforeAutospacing="1" w:after="100" w:afterAutospacing="1"/>
      <w:jc w:val="left"/>
    </w:pPr>
    <w:rPr>
      <w:rFonts w:eastAsia="Times New Roman"/>
      <w:szCs w:val="24"/>
      <w:lang w:eastAsia="cs-CZ"/>
    </w:rPr>
  </w:style>
  <w:style w:type="character" w:styleId="Siln">
    <w:name w:val="Strong"/>
    <w:uiPriority w:val="22"/>
    <w:qFormat/>
    <w:rsid w:val="00AB05BF"/>
    <w:rPr>
      <w:b/>
      <w:bCs/>
    </w:rPr>
  </w:style>
  <w:style w:type="paragraph" w:customStyle="1" w:styleId="Stylzkon">
    <w:name w:val="Styl zákon"/>
    <w:basedOn w:val="Odstavecseseznamem"/>
    <w:link w:val="StylzkonChar"/>
    <w:qFormat/>
    <w:rsid w:val="009122F1"/>
    <w:pPr>
      <w:numPr>
        <w:numId w:val="2"/>
      </w:numPr>
      <w:spacing w:after="200" w:line="276" w:lineRule="auto"/>
      <w:contextualSpacing w:val="0"/>
    </w:pPr>
    <w:rPr>
      <w:rFonts w:ascii="Times New Roman" w:eastAsia="Times New Roman" w:hAnsi="Times New Roman"/>
      <w:color w:val="auto"/>
      <w:sz w:val="24"/>
      <w:szCs w:val="24"/>
      <w:lang w:eastAsia="cs-CZ"/>
    </w:rPr>
  </w:style>
  <w:style w:type="character" w:customStyle="1" w:styleId="StylzkonChar">
    <w:name w:val="Styl zákon Char"/>
    <w:link w:val="Stylzkon"/>
    <w:rsid w:val="009122F1"/>
    <w:rPr>
      <w:rFonts w:ascii="Times New Roman" w:eastAsia="Times New Roman" w:hAnsi="Times New Roman"/>
      <w:sz w:val="24"/>
      <w:szCs w:val="24"/>
    </w:rPr>
  </w:style>
  <w:style w:type="paragraph" w:styleId="Podnadpis">
    <w:name w:val="Subtitle"/>
    <w:basedOn w:val="Normln"/>
    <w:next w:val="Normln"/>
    <w:link w:val="PodnadpisChar"/>
    <w:uiPriority w:val="11"/>
    <w:qFormat/>
    <w:rsid w:val="00584201"/>
    <w:pPr>
      <w:numPr>
        <w:numId w:val="3"/>
      </w:numPr>
      <w:spacing w:after="60"/>
      <w:ind w:left="924" w:hanging="357"/>
      <w:outlineLvl w:val="1"/>
    </w:pPr>
    <w:rPr>
      <w:rFonts w:eastAsia="Times New Roman"/>
      <w:b/>
      <w:szCs w:val="24"/>
    </w:rPr>
  </w:style>
  <w:style w:type="character" w:customStyle="1" w:styleId="PodnadpisChar">
    <w:name w:val="Podnadpis Char"/>
    <w:link w:val="Podnadpis"/>
    <w:uiPriority w:val="11"/>
    <w:rsid w:val="00584201"/>
    <w:rPr>
      <w:rFonts w:ascii="Times New Roman" w:eastAsia="Times New Roman" w:hAnsi="Times New Roman"/>
      <w:b/>
      <w:sz w:val="24"/>
      <w:szCs w:val="24"/>
      <w:lang w:eastAsia="en-US"/>
    </w:rPr>
  </w:style>
  <w:style w:type="character" w:styleId="Odkaznakoment">
    <w:name w:val="annotation reference"/>
    <w:uiPriority w:val="99"/>
    <w:semiHidden/>
    <w:unhideWhenUsed/>
    <w:rsid w:val="00CE4F30"/>
    <w:rPr>
      <w:sz w:val="16"/>
      <w:szCs w:val="16"/>
    </w:rPr>
  </w:style>
  <w:style w:type="paragraph" w:styleId="Textkomente">
    <w:name w:val="annotation text"/>
    <w:basedOn w:val="Normln"/>
    <w:link w:val="TextkomenteChar"/>
    <w:uiPriority w:val="99"/>
    <w:unhideWhenUsed/>
    <w:rsid w:val="00CE4F30"/>
    <w:rPr>
      <w:sz w:val="20"/>
      <w:szCs w:val="20"/>
    </w:rPr>
  </w:style>
  <w:style w:type="character" w:customStyle="1" w:styleId="TextkomenteChar">
    <w:name w:val="Text komentáře Char"/>
    <w:link w:val="Textkomente"/>
    <w:uiPriority w:val="99"/>
    <w:rsid w:val="00CE4F30"/>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CE4F30"/>
    <w:rPr>
      <w:b/>
      <w:bCs/>
    </w:rPr>
  </w:style>
  <w:style w:type="character" w:customStyle="1" w:styleId="PedmtkomenteChar">
    <w:name w:val="Předmět komentáře Char"/>
    <w:link w:val="Pedmtkomente"/>
    <w:uiPriority w:val="99"/>
    <w:semiHidden/>
    <w:rsid w:val="00CE4F30"/>
    <w:rPr>
      <w:rFonts w:ascii="Times New Roman" w:hAnsi="Times New Roman"/>
      <w:b/>
      <w:bCs/>
      <w:lang w:eastAsia="en-US"/>
    </w:rPr>
  </w:style>
  <w:style w:type="paragraph" w:styleId="Textbubliny">
    <w:name w:val="Balloon Text"/>
    <w:basedOn w:val="Normln"/>
    <w:link w:val="TextbublinyChar"/>
    <w:uiPriority w:val="99"/>
    <w:semiHidden/>
    <w:unhideWhenUsed/>
    <w:rsid w:val="00CE4F30"/>
    <w:rPr>
      <w:rFonts w:ascii="Segoe UI" w:hAnsi="Segoe UI" w:cs="Segoe UI"/>
      <w:sz w:val="18"/>
      <w:szCs w:val="18"/>
    </w:rPr>
  </w:style>
  <w:style w:type="character" w:customStyle="1" w:styleId="TextbublinyChar">
    <w:name w:val="Text bubliny Char"/>
    <w:link w:val="Textbubliny"/>
    <w:uiPriority w:val="99"/>
    <w:semiHidden/>
    <w:rsid w:val="00CE4F30"/>
    <w:rPr>
      <w:rFonts w:ascii="Segoe UI" w:hAnsi="Segoe UI" w:cs="Segoe UI"/>
      <w:sz w:val="18"/>
      <w:szCs w:val="18"/>
      <w:lang w:eastAsia="en-US"/>
    </w:rPr>
  </w:style>
  <w:style w:type="paragraph" w:customStyle="1" w:styleId="Textodstavce">
    <w:name w:val="Text odstavce"/>
    <w:basedOn w:val="Normln"/>
    <w:link w:val="TextodstavceChar"/>
    <w:rsid w:val="0007419A"/>
    <w:pPr>
      <w:tabs>
        <w:tab w:val="num" w:pos="782"/>
        <w:tab w:val="left" w:pos="851"/>
      </w:tabs>
      <w:spacing w:before="120" w:after="120"/>
      <w:ind w:firstLine="425"/>
      <w:outlineLvl w:val="6"/>
    </w:pPr>
    <w:rPr>
      <w:rFonts w:eastAsia="Times New Roman"/>
      <w:szCs w:val="20"/>
      <w:lang w:eastAsia="cs-CZ"/>
    </w:rPr>
  </w:style>
  <w:style w:type="character" w:customStyle="1" w:styleId="TextodstavceChar">
    <w:name w:val="Text odstavce Char"/>
    <w:link w:val="Textodstavce"/>
    <w:locked/>
    <w:rsid w:val="0007419A"/>
    <w:rPr>
      <w:rFonts w:ascii="Times New Roman" w:eastAsia="Times New Roman" w:hAnsi="Times New Roman"/>
      <w:sz w:val="24"/>
    </w:rPr>
  </w:style>
  <w:style w:type="paragraph" w:styleId="Zhlav">
    <w:name w:val="header"/>
    <w:basedOn w:val="Normln"/>
    <w:link w:val="ZhlavChar"/>
    <w:uiPriority w:val="99"/>
    <w:unhideWhenUsed/>
    <w:rsid w:val="000B1181"/>
    <w:pPr>
      <w:tabs>
        <w:tab w:val="center" w:pos="4536"/>
        <w:tab w:val="right" w:pos="9072"/>
      </w:tabs>
    </w:pPr>
  </w:style>
  <w:style w:type="character" w:customStyle="1" w:styleId="ZhlavChar">
    <w:name w:val="Záhlaví Char"/>
    <w:link w:val="Zhlav"/>
    <w:uiPriority w:val="99"/>
    <w:rsid w:val="000B1181"/>
    <w:rPr>
      <w:rFonts w:ascii="Times New Roman" w:hAnsi="Times New Roman"/>
      <w:sz w:val="24"/>
      <w:szCs w:val="22"/>
      <w:lang w:eastAsia="en-US"/>
    </w:rPr>
  </w:style>
  <w:style w:type="paragraph" w:styleId="Revize">
    <w:name w:val="Revision"/>
    <w:hidden/>
    <w:uiPriority w:val="99"/>
    <w:semiHidden/>
    <w:rsid w:val="0027577D"/>
    <w:rPr>
      <w:rFonts w:ascii="Times New Roman" w:hAnsi="Times New Roman"/>
      <w:sz w:val="24"/>
      <w:szCs w:val="22"/>
      <w:lang w:eastAsia="en-US"/>
    </w:rPr>
  </w:style>
  <w:style w:type="paragraph" w:styleId="Prosttext">
    <w:name w:val="Plain Text"/>
    <w:basedOn w:val="Normln"/>
    <w:link w:val="ProsttextChar"/>
    <w:uiPriority w:val="99"/>
    <w:semiHidden/>
    <w:unhideWhenUsed/>
    <w:rsid w:val="00AB4D59"/>
    <w:pPr>
      <w:jc w:val="left"/>
    </w:pPr>
    <w:rPr>
      <w:rFonts w:ascii="Calibri" w:hAnsi="Calibri" w:cs="Calibri"/>
      <w:sz w:val="22"/>
    </w:rPr>
  </w:style>
  <w:style w:type="character" w:customStyle="1" w:styleId="ProsttextChar">
    <w:name w:val="Prostý text Char"/>
    <w:link w:val="Prosttext"/>
    <w:uiPriority w:val="99"/>
    <w:semiHidden/>
    <w:rsid w:val="00AB4D59"/>
    <w:rPr>
      <w:rFonts w:ascii="Calibri" w:hAnsi="Calibri" w:cs="Calibri"/>
      <w:sz w:val="22"/>
      <w:szCs w:val="22"/>
      <w:lang w:eastAsia="en-US"/>
    </w:rPr>
  </w:style>
  <w:style w:type="paragraph" w:styleId="Bezmezer">
    <w:name w:val="No Spacing"/>
    <w:link w:val="BezmezerChar"/>
    <w:uiPriority w:val="1"/>
    <w:qFormat/>
    <w:rsid w:val="005949E2"/>
    <w:pPr>
      <w:spacing w:line="320" w:lineRule="exact"/>
      <w:jc w:val="both"/>
    </w:pPr>
    <w:rPr>
      <w:rFonts w:ascii="Times New Roman" w:hAnsi="Times New Roman"/>
      <w:sz w:val="22"/>
      <w:szCs w:val="22"/>
      <w:lang w:eastAsia="en-US"/>
    </w:rPr>
  </w:style>
  <w:style w:type="character" w:customStyle="1" w:styleId="BezmezerChar">
    <w:name w:val="Bez mezer Char"/>
    <w:link w:val="Bezmezer"/>
    <w:uiPriority w:val="1"/>
    <w:rsid w:val="005949E2"/>
    <w:rPr>
      <w:rFonts w:ascii="Times New Roman" w:hAnsi="Times New Roman"/>
      <w:sz w:val="22"/>
      <w:szCs w:val="22"/>
      <w:lang w:eastAsia="en-US"/>
    </w:rPr>
  </w:style>
  <w:style w:type="character" w:customStyle="1" w:styleId="OdstavecseseznamemChar">
    <w:name w:val="Odstavec se seznamem Char"/>
    <w:aliases w:val="List Paragraph (Czech Tourism) Char,Nad Char,List Paragraph Char,Odstavec se seznamem1 Char,Odstavec cíl se seznamem Char,1 odstavecH Char,Odstavec_muj Char,Conclusion de partie Char,References Char,Odstavec se seznamem2 Char"/>
    <w:link w:val="Odstavecseseznamem"/>
    <w:uiPriority w:val="34"/>
    <w:qFormat/>
    <w:locked/>
    <w:rsid w:val="00D242DD"/>
    <w:rPr>
      <w:rFonts w:ascii="Calibri" w:hAnsi="Calibri"/>
      <w:color w:val="000000"/>
      <w:sz w:val="22"/>
      <w:szCs w:val="22"/>
      <w:lang w:eastAsia="en-US"/>
    </w:rPr>
  </w:style>
  <w:style w:type="paragraph" w:customStyle="1" w:styleId="Vchoz">
    <w:name w:val="Výchozí"/>
    <w:qFormat/>
    <w:rsid w:val="00CD6A36"/>
    <w:pPr>
      <w:suppressAutoHyphens/>
      <w:spacing w:before="120" w:after="120" w:line="264" w:lineRule="auto"/>
      <w:jc w:val="both"/>
    </w:pPr>
    <w:rPr>
      <w:rFonts w:eastAsia="MS Mincho"/>
      <w:sz w:val="24"/>
      <w:szCs w:val="24"/>
      <w:lang w:eastAsia="en-US"/>
    </w:rPr>
  </w:style>
  <w:style w:type="paragraph" w:customStyle="1" w:styleId="l4">
    <w:name w:val="l4"/>
    <w:basedOn w:val="Normln"/>
    <w:rsid w:val="00505888"/>
    <w:pPr>
      <w:spacing w:before="100" w:beforeAutospacing="1" w:after="100" w:afterAutospacing="1"/>
      <w:jc w:val="left"/>
    </w:pPr>
    <w:rPr>
      <w:rFonts w:eastAsia="Times New Roman"/>
      <w:szCs w:val="24"/>
      <w:lang w:eastAsia="cs-CZ"/>
    </w:rPr>
  </w:style>
  <w:style w:type="paragraph" w:customStyle="1" w:styleId="Textlnku">
    <w:name w:val="Text článku"/>
    <w:basedOn w:val="Normln"/>
    <w:rsid w:val="004F414E"/>
    <w:pPr>
      <w:suppressAutoHyphens/>
      <w:spacing w:before="240" w:after="200" w:line="276" w:lineRule="auto"/>
      <w:ind w:firstLine="425"/>
      <w:outlineLvl w:val="5"/>
    </w:pPr>
    <w:rPr>
      <w:rFonts w:eastAsia="Times New Roman"/>
      <w:color w:val="00000A"/>
      <w:szCs w:val="24"/>
      <w:lang w:eastAsia="cs-CZ"/>
    </w:rPr>
  </w:style>
  <w:style w:type="character" w:styleId="PromnnHTML">
    <w:name w:val="HTML Variable"/>
    <w:uiPriority w:val="99"/>
    <w:semiHidden/>
    <w:unhideWhenUsed/>
    <w:rsid w:val="008F239F"/>
    <w:rPr>
      <w:i/>
      <w:iCs/>
    </w:rPr>
  </w:style>
  <w:style w:type="character" w:styleId="Sledovanodkaz">
    <w:name w:val="FollowedHyperlink"/>
    <w:uiPriority w:val="99"/>
    <w:semiHidden/>
    <w:unhideWhenUsed/>
    <w:rsid w:val="00F31C0D"/>
    <w:rPr>
      <w:color w:val="954F72"/>
      <w:u w:val="single"/>
    </w:rPr>
  </w:style>
  <w:style w:type="paragraph" w:customStyle="1" w:styleId="l3">
    <w:name w:val="l3"/>
    <w:basedOn w:val="Normln"/>
    <w:rsid w:val="00AD26BC"/>
    <w:pPr>
      <w:spacing w:before="100" w:beforeAutospacing="1" w:after="100" w:afterAutospacing="1"/>
      <w:jc w:val="left"/>
    </w:pPr>
    <w:rPr>
      <w:rFonts w:eastAsia="Times New Roman"/>
      <w:szCs w:val="24"/>
      <w:lang w:eastAsia="cs-CZ"/>
    </w:rPr>
  </w:style>
  <w:style w:type="character" w:customStyle="1" w:styleId="h1a">
    <w:name w:val="h1a"/>
    <w:basedOn w:val="Standardnpsmoodstavce"/>
    <w:rsid w:val="00C61B41"/>
  </w:style>
  <w:style w:type="paragraph" w:styleId="Zkladntext2">
    <w:name w:val="Body Text 2"/>
    <w:basedOn w:val="Normln"/>
    <w:link w:val="Zkladntext2Char"/>
    <w:uiPriority w:val="99"/>
    <w:semiHidden/>
    <w:unhideWhenUsed/>
    <w:rsid w:val="001A0353"/>
    <w:pPr>
      <w:spacing w:after="120" w:line="480" w:lineRule="auto"/>
    </w:pPr>
  </w:style>
  <w:style w:type="character" w:customStyle="1" w:styleId="Zkladntext2Char">
    <w:name w:val="Základní text 2 Char"/>
    <w:link w:val="Zkladntext2"/>
    <w:uiPriority w:val="99"/>
    <w:semiHidden/>
    <w:rsid w:val="001A0353"/>
    <w:rPr>
      <w:rFonts w:ascii="Times New Roman" w:hAnsi="Times New Roman"/>
      <w:sz w:val="24"/>
      <w:szCs w:val="22"/>
      <w:lang w:eastAsia="en-US"/>
    </w:rPr>
  </w:style>
  <w:style w:type="paragraph" w:styleId="Titulek">
    <w:name w:val="caption"/>
    <w:basedOn w:val="Normln"/>
    <w:next w:val="Normln"/>
    <w:uiPriority w:val="35"/>
    <w:unhideWhenUsed/>
    <w:qFormat/>
    <w:rsid w:val="00215161"/>
    <w:pPr>
      <w:spacing w:after="200"/>
      <w:jc w:val="left"/>
    </w:pPr>
    <w:rPr>
      <w:rFonts w:ascii="Calibri" w:hAnsi="Calibri"/>
      <w:i/>
      <w:iCs/>
      <w:color w:val="44546A"/>
      <w:sz w:val="18"/>
      <w:szCs w:val="18"/>
    </w:rPr>
  </w:style>
  <w:style w:type="character" w:styleId="Nevyeenzmnka">
    <w:name w:val="Unresolved Mention"/>
    <w:uiPriority w:val="99"/>
    <w:semiHidden/>
    <w:unhideWhenUsed/>
    <w:rsid w:val="00612D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6751">
      <w:bodyDiv w:val="1"/>
      <w:marLeft w:val="0"/>
      <w:marRight w:val="0"/>
      <w:marTop w:val="0"/>
      <w:marBottom w:val="0"/>
      <w:divBdr>
        <w:top w:val="none" w:sz="0" w:space="0" w:color="auto"/>
        <w:left w:val="none" w:sz="0" w:space="0" w:color="auto"/>
        <w:bottom w:val="none" w:sz="0" w:space="0" w:color="auto"/>
        <w:right w:val="none" w:sz="0" w:space="0" w:color="auto"/>
      </w:divBdr>
    </w:div>
    <w:div w:id="27881282">
      <w:bodyDiv w:val="1"/>
      <w:marLeft w:val="0"/>
      <w:marRight w:val="0"/>
      <w:marTop w:val="0"/>
      <w:marBottom w:val="0"/>
      <w:divBdr>
        <w:top w:val="none" w:sz="0" w:space="0" w:color="auto"/>
        <w:left w:val="none" w:sz="0" w:space="0" w:color="auto"/>
        <w:bottom w:val="none" w:sz="0" w:space="0" w:color="auto"/>
        <w:right w:val="none" w:sz="0" w:space="0" w:color="auto"/>
      </w:divBdr>
    </w:div>
    <w:div w:id="124547628">
      <w:bodyDiv w:val="1"/>
      <w:marLeft w:val="0"/>
      <w:marRight w:val="0"/>
      <w:marTop w:val="0"/>
      <w:marBottom w:val="0"/>
      <w:divBdr>
        <w:top w:val="none" w:sz="0" w:space="0" w:color="auto"/>
        <w:left w:val="none" w:sz="0" w:space="0" w:color="auto"/>
        <w:bottom w:val="none" w:sz="0" w:space="0" w:color="auto"/>
        <w:right w:val="none" w:sz="0" w:space="0" w:color="auto"/>
      </w:divBdr>
    </w:div>
    <w:div w:id="187069127">
      <w:bodyDiv w:val="1"/>
      <w:marLeft w:val="0"/>
      <w:marRight w:val="0"/>
      <w:marTop w:val="0"/>
      <w:marBottom w:val="0"/>
      <w:divBdr>
        <w:top w:val="none" w:sz="0" w:space="0" w:color="auto"/>
        <w:left w:val="none" w:sz="0" w:space="0" w:color="auto"/>
        <w:bottom w:val="none" w:sz="0" w:space="0" w:color="auto"/>
        <w:right w:val="none" w:sz="0" w:space="0" w:color="auto"/>
      </w:divBdr>
    </w:div>
    <w:div w:id="299382627">
      <w:bodyDiv w:val="1"/>
      <w:marLeft w:val="0"/>
      <w:marRight w:val="0"/>
      <w:marTop w:val="0"/>
      <w:marBottom w:val="0"/>
      <w:divBdr>
        <w:top w:val="none" w:sz="0" w:space="0" w:color="auto"/>
        <w:left w:val="none" w:sz="0" w:space="0" w:color="auto"/>
        <w:bottom w:val="none" w:sz="0" w:space="0" w:color="auto"/>
        <w:right w:val="none" w:sz="0" w:space="0" w:color="auto"/>
      </w:divBdr>
    </w:div>
    <w:div w:id="306205069">
      <w:bodyDiv w:val="1"/>
      <w:marLeft w:val="0"/>
      <w:marRight w:val="0"/>
      <w:marTop w:val="0"/>
      <w:marBottom w:val="0"/>
      <w:divBdr>
        <w:top w:val="none" w:sz="0" w:space="0" w:color="auto"/>
        <w:left w:val="none" w:sz="0" w:space="0" w:color="auto"/>
        <w:bottom w:val="none" w:sz="0" w:space="0" w:color="auto"/>
        <w:right w:val="none" w:sz="0" w:space="0" w:color="auto"/>
      </w:divBdr>
    </w:div>
    <w:div w:id="306668596">
      <w:bodyDiv w:val="1"/>
      <w:marLeft w:val="0"/>
      <w:marRight w:val="0"/>
      <w:marTop w:val="0"/>
      <w:marBottom w:val="0"/>
      <w:divBdr>
        <w:top w:val="none" w:sz="0" w:space="0" w:color="auto"/>
        <w:left w:val="none" w:sz="0" w:space="0" w:color="auto"/>
        <w:bottom w:val="none" w:sz="0" w:space="0" w:color="auto"/>
        <w:right w:val="none" w:sz="0" w:space="0" w:color="auto"/>
      </w:divBdr>
    </w:div>
    <w:div w:id="315884053">
      <w:bodyDiv w:val="1"/>
      <w:marLeft w:val="0"/>
      <w:marRight w:val="0"/>
      <w:marTop w:val="0"/>
      <w:marBottom w:val="0"/>
      <w:divBdr>
        <w:top w:val="none" w:sz="0" w:space="0" w:color="auto"/>
        <w:left w:val="none" w:sz="0" w:space="0" w:color="auto"/>
        <w:bottom w:val="none" w:sz="0" w:space="0" w:color="auto"/>
        <w:right w:val="none" w:sz="0" w:space="0" w:color="auto"/>
      </w:divBdr>
    </w:div>
    <w:div w:id="382101859">
      <w:bodyDiv w:val="1"/>
      <w:marLeft w:val="0"/>
      <w:marRight w:val="0"/>
      <w:marTop w:val="0"/>
      <w:marBottom w:val="0"/>
      <w:divBdr>
        <w:top w:val="none" w:sz="0" w:space="0" w:color="auto"/>
        <w:left w:val="none" w:sz="0" w:space="0" w:color="auto"/>
        <w:bottom w:val="none" w:sz="0" w:space="0" w:color="auto"/>
        <w:right w:val="none" w:sz="0" w:space="0" w:color="auto"/>
      </w:divBdr>
    </w:div>
    <w:div w:id="396243712">
      <w:bodyDiv w:val="1"/>
      <w:marLeft w:val="0"/>
      <w:marRight w:val="0"/>
      <w:marTop w:val="0"/>
      <w:marBottom w:val="0"/>
      <w:divBdr>
        <w:top w:val="none" w:sz="0" w:space="0" w:color="auto"/>
        <w:left w:val="none" w:sz="0" w:space="0" w:color="auto"/>
        <w:bottom w:val="none" w:sz="0" w:space="0" w:color="auto"/>
        <w:right w:val="none" w:sz="0" w:space="0" w:color="auto"/>
      </w:divBdr>
    </w:div>
    <w:div w:id="397679455">
      <w:bodyDiv w:val="1"/>
      <w:marLeft w:val="0"/>
      <w:marRight w:val="0"/>
      <w:marTop w:val="0"/>
      <w:marBottom w:val="0"/>
      <w:divBdr>
        <w:top w:val="none" w:sz="0" w:space="0" w:color="auto"/>
        <w:left w:val="none" w:sz="0" w:space="0" w:color="auto"/>
        <w:bottom w:val="none" w:sz="0" w:space="0" w:color="auto"/>
        <w:right w:val="none" w:sz="0" w:space="0" w:color="auto"/>
      </w:divBdr>
    </w:div>
    <w:div w:id="428622544">
      <w:bodyDiv w:val="1"/>
      <w:marLeft w:val="0"/>
      <w:marRight w:val="0"/>
      <w:marTop w:val="0"/>
      <w:marBottom w:val="0"/>
      <w:divBdr>
        <w:top w:val="none" w:sz="0" w:space="0" w:color="auto"/>
        <w:left w:val="none" w:sz="0" w:space="0" w:color="auto"/>
        <w:bottom w:val="none" w:sz="0" w:space="0" w:color="auto"/>
        <w:right w:val="none" w:sz="0" w:space="0" w:color="auto"/>
      </w:divBdr>
    </w:div>
    <w:div w:id="474570595">
      <w:bodyDiv w:val="1"/>
      <w:marLeft w:val="0"/>
      <w:marRight w:val="0"/>
      <w:marTop w:val="0"/>
      <w:marBottom w:val="0"/>
      <w:divBdr>
        <w:top w:val="none" w:sz="0" w:space="0" w:color="auto"/>
        <w:left w:val="none" w:sz="0" w:space="0" w:color="auto"/>
        <w:bottom w:val="none" w:sz="0" w:space="0" w:color="auto"/>
        <w:right w:val="none" w:sz="0" w:space="0" w:color="auto"/>
      </w:divBdr>
    </w:div>
    <w:div w:id="494611029">
      <w:bodyDiv w:val="1"/>
      <w:marLeft w:val="0"/>
      <w:marRight w:val="0"/>
      <w:marTop w:val="0"/>
      <w:marBottom w:val="0"/>
      <w:divBdr>
        <w:top w:val="none" w:sz="0" w:space="0" w:color="auto"/>
        <w:left w:val="none" w:sz="0" w:space="0" w:color="auto"/>
        <w:bottom w:val="none" w:sz="0" w:space="0" w:color="auto"/>
        <w:right w:val="none" w:sz="0" w:space="0" w:color="auto"/>
      </w:divBdr>
    </w:div>
    <w:div w:id="537281295">
      <w:bodyDiv w:val="1"/>
      <w:marLeft w:val="0"/>
      <w:marRight w:val="0"/>
      <w:marTop w:val="0"/>
      <w:marBottom w:val="0"/>
      <w:divBdr>
        <w:top w:val="none" w:sz="0" w:space="0" w:color="auto"/>
        <w:left w:val="none" w:sz="0" w:space="0" w:color="auto"/>
        <w:bottom w:val="none" w:sz="0" w:space="0" w:color="auto"/>
        <w:right w:val="none" w:sz="0" w:space="0" w:color="auto"/>
      </w:divBdr>
    </w:div>
    <w:div w:id="579096149">
      <w:bodyDiv w:val="1"/>
      <w:marLeft w:val="0"/>
      <w:marRight w:val="0"/>
      <w:marTop w:val="0"/>
      <w:marBottom w:val="0"/>
      <w:divBdr>
        <w:top w:val="none" w:sz="0" w:space="0" w:color="auto"/>
        <w:left w:val="none" w:sz="0" w:space="0" w:color="auto"/>
        <w:bottom w:val="none" w:sz="0" w:space="0" w:color="auto"/>
        <w:right w:val="none" w:sz="0" w:space="0" w:color="auto"/>
      </w:divBdr>
      <w:divsChild>
        <w:div w:id="2105371259">
          <w:marLeft w:val="0"/>
          <w:marRight w:val="0"/>
          <w:marTop w:val="0"/>
          <w:marBottom w:val="0"/>
          <w:divBdr>
            <w:top w:val="none" w:sz="0" w:space="0" w:color="auto"/>
            <w:left w:val="none" w:sz="0" w:space="0" w:color="auto"/>
            <w:bottom w:val="none" w:sz="0" w:space="0" w:color="auto"/>
            <w:right w:val="none" w:sz="0" w:space="0" w:color="auto"/>
          </w:divBdr>
          <w:divsChild>
            <w:div w:id="783305376">
              <w:marLeft w:val="0"/>
              <w:marRight w:val="0"/>
              <w:marTop w:val="0"/>
              <w:marBottom w:val="0"/>
              <w:divBdr>
                <w:top w:val="none" w:sz="0" w:space="0" w:color="auto"/>
                <w:left w:val="none" w:sz="0" w:space="0" w:color="auto"/>
                <w:bottom w:val="none" w:sz="0" w:space="0" w:color="auto"/>
                <w:right w:val="none" w:sz="0" w:space="0" w:color="auto"/>
              </w:divBdr>
            </w:div>
            <w:div w:id="95325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1251">
      <w:bodyDiv w:val="1"/>
      <w:marLeft w:val="0"/>
      <w:marRight w:val="0"/>
      <w:marTop w:val="0"/>
      <w:marBottom w:val="0"/>
      <w:divBdr>
        <w:top w:val="none" w:sz="0" w:space="0" w:color="auto"/>
        <w:left w:val="none" w:sz="0" w:space="0" w:color="auto"/>
        <w:bottom w:val="none" w:sz="0" w:space="0" w:color="auto"/>
        <w:right w:val="none" w:sz="0" w:space="0" w:color="auto"/>
      </w:divBdr>
    </w:div>
    <w:div w:id="683048208">
      <w:bodyDiv w:val="1"/>
      <w:marLeft w:val="0"/>
      <w:marRight w:val="0"/>
      <w:marTop w:val="0"/>
      <w:marBottom w:val="0"/>
      <w:divBdr>
        <w:top w:val="none" w:sz="0" w:space="0" w:color="auto"/>
        <w:left w:val="none" w:sz="0" w:space="0" w:color="auto"/>
        <w:bottom w:val="none" w:sz="0" w:space="0" w:color="auto"/>
        <w:right w:val="none" w:sz="0" w:space="0" w:color="auto"/>
      </w:divBdr>
    </w:div>
    <w:div w:id="757674067">
      <w:bodyDiv w:val="1"/>
      <w:marLeft w:val="0"/>
      <w:marRight w:val="0"/>
      <w:marTop w:val="0"/>
      <w:marBottom w:val="0"/>
      <w:divBdr>
        <w:top w:val="none" w:sz="0" w:space="0" w:color="auto"/>
        <w:left w:val="none" w:sz="0" w:space="0" w:color="auto"/>
        <w:bottom w:val="none" w:sz="0" w:space="0" w:color="auto"/>
        <w:right w:val="none" w:sz="0" w:space="0" w:color="auto"/>
      </w:divBdr>
    </w:div>
    <w:div w:id="839201815">
      <w:bodyDiv w:val="1"/>
      <w:marLeft w:val="0"/>
      <w:marRight w:val="0"/>
      <w:marTop w:val="0"/>
      <w:marBottom w:val="0"/>
      <w:divBdr>
        <w:top w:val="none" w:sz="0" w:space="0" w:color="auto"/>
        <w:left w:val="none" w:sz="0" w:space="0" w:color="auto"/>
        <w:bottom w:val="none" w:sz="0" w:space="0" w:color="auto"/>
        <w:right w:val="none" w:sz="0" w:space="0" w:color="auto"/>
      </w:divBdr>
    </w:div>
    <w:div w:id="847987650">
      <w:bodyDiv w:val="1"/>
      <w:marLeft w:val="0"/>
      <w:marRight w:val="0"/>
      <w:marTop w:val="0"/>
      <w:marBottom w:val="0"/>
      <w:divBdr>
        <w:top w:val="none" w:sz="0" w:space="0" w:color="auto"/>
        <w:left w:val="none" w:sz="0" w:space="0" w:color="auto"/>
        <w:bottom w:val="none" w:sz="0" w:space="0" w:color="auto"/>
        <w:right w:val="none" w:sz="0" w:space="0" w:color="auto"/>
      </w:divBdr>
    </w:div>
    <w:div w:id="878664428">
      <w:bodyDiv w:val="1"/>
      <w:marLeft w:val="0"/>
      <w:marRight w:val="0"/>
      <w:marTop w:val="0"/>
      <w:marBottom w:val="0"/>
      <w:divBdr>
        <w:top w:val="none" w:sz="0" w:space="0" w:color="auto"/>
        <w:left w:val="none" w:sz="0" w:space="0" w:color="auto"/>
        <w:bottom w:val="none" w:sz="0" w:space="0" w:color="auto"/>
        <w:right w:val="none" w:sz="0" w:space="0" w:color="auto"/>
      </w:divBdr>
    </w:div>
    <w:div w:id="936248888">
      <w:bodyDiv w:val="1"/>
      <w:marLeft w:val="0"/>
      <w:marRight w:val="0"/>
      <w:marTop w:val="0"/>
      <w:marBottom w:val="0"/>
      <w:divBdr>
        <w:top w:val="none" w:sz="0" w:space="0" w:color="auto"/>
        <w:left w:val="none" w:sz="0" w:space="0" w:color="auto"/>
        <w:bottom w:val="none" w:sz="0" w:space="0" w:color="auto"/>
        <w:right w:val="none" w:sz="0" w:space="0" w:color="auto"/>
      </w:divBdr>
    </w:div>
    <w:div w:id="972174302">
      <w:bodyDiv w:val="1"/>
      <w:marLeft w:val="0"/>
      <w:marRight w:val="0"/>
      <w:marTop w:val="0"/>
      <w:marBottom w:val="0"/>
      <w:divBdr>
        <w:top w:val="none" w:sz="0" w:space="0" w:color="auto"/>
        <w:left w:val="none" w:sz="0" w:space="0" w:color="auto"/>
        <w:bottom w:val="none" w:sz="0" w:space="0" w:color="auto"/>
        <w:right w:val="none" w:sz="0" w:space="0" w:color="auto"/>
      </w:divBdr>
    </w:div>
    <w:div w:id="980967425">
      <w:bodyDiv w:val="1"/>
      <w:marLeft w:val="0"/>
      <w:marRight w:val="0"/>
      <w:marTop w:val="0"/>
      <w:marBottom w:val="0"/>
      <w:divBdr>
        <w:top w:val="none" w:sz="0" w:space="0" w:color="auto"/>
        <w:left w:val="none" w:sz="0" w:space="0" w:color="auto"/>
        <w:bottom w:val="none" w:sz="0" w:space="0" w:color="auto"/>
        <w:right w:val="none" w:sz="0" w:space="0" w:color="auto"/>
      </w:divBdr>
    </w:div>
    <w:div w:id="991568584">
      <w:bodyDiv w:val="1"/>
      <w:marLeft w:val="0"/>
      <w:marRight w:val="0"/>
      <w:marTop w:val="0"/>
      <w:marBottom w:val="0"/>
      <w:divBdr>
        <w:top w:val="none" w:sz="0" w:space="0" w:color="auto"/>
        <w:left w:val="none" w:sz="0" w:space="0" w:color="auto"/>
        <w:bottom w:val="none" w:sz="0" w:space="0" w:color="auto"/>
        <w:right w:val="none" w:sz="0" w:space="0" w:color="auto"/>
      </w:divBdr>
      <w:divsChild>
        <w:div w:id="275185972">
          <w:marLeft w:val="0"/>
          <w:marRight w:val="0"/>
          <w:marTop w:val="0"/>
          <w:marBottom w:val="0"/>
          <w:divBdr>
            <w:top w:val="none" w:sz="0" w:space="0" w:color="auto"/>
            <w:left w:val="none" w:sz="0" w:space="0" w:color="auto"/>
            <w:bottom w:val="none" w:sz="0" w:space="0" w:color="auto"/>
            <w:right w:val="none" w:sz="0" w:space="0" w:color="auto"/>
          </w:divBdr>
        </w:div>
        <w:div w:id="295991942">
          <w:marLeft w:val="0"/>
          <w:marRight w:val="0"/>
          <w:marTop w:val="0"/>
          <w:marBottom w:val="0"/>
          <w:divBdr>
            <w:top w:val="none" w:sz="0" w:space="0" w:color="auto"/>
            <w:left w:val="none" w:sz="0" w:space="0" w:color="auto"/>
            <w:bottom w:val="none" w:sz="0" w:space="0" w:color="auto"/>
            <w:right w:val="none" w:sz="0" w:space="0" w:color="auto"/>
          </w:divBdr>
        </w:div>
        <w:div w:id="495152373">
          <w:marLeft w:val="0"/>
          <w:marRight w:val="0"/>
          <w:marTop w:val="0"/>
          <w:marBottom w:val="0"/>
          <w:divBdr>
            <w:top w:val="none" w:sz="0" w:space="0" w:color="auto"/>
            <w:left w:val="none" w:sz="0" w:space="0" w:color="auto"/>
            <w:bottom w:val="none" w:sz="0" w:space="0" w:color="auto"/>
            <w:right w:val="none" w:sz="0" w:space="0" w:color="auto"/>
          </w:divBdr>
        </w:div>
        <w:div w:id="519127773">
          <w:marLeft w:val="0"/>
          <w:marRight w:val="0"/>
          <w:marTop w:val="0"/>
          <w:marBottom w:val="0"/>
          <w:divBdr>
            <w:top w:val="none" w:sz="0" w:space="0" w:color="auto"/>
            <w:left w:val="none" w:sz="0" w:space="0" w:color="auto"/>
            <w:bottom w:val="none" w:sz="0" w:space="0" w:color="auto"/>
            <w:right w:val="none" w:sz="0" w:space="0" w:color="auto"/>
          </w:divBdr>
        </w:div>
        <w:div w:id="545802927">
          <w:marLeft w:val="0"/>
          <w:marRight w:val="0"/>
          <w:marTop w:val="0"/>
          <w:marBottom w:val="0"/>
          <w:divBdr>
            <w:top w:val="none" w:sz="0" w:space="0" w:color="auto"/>
            <w:left w:val="none" w:sz="0" w:space="0" w:color="auto"/>
            <w:bottom w:val="none" w:sz="0" w:space="0" w:color="auto"/>
            <w:right w:val="none" w:sz="0" w:space="0" w:color="auto"/>
          </w:divBdr>
        </w:div>
        <w:div w:id="556362811">
          <w:marLeft w:val="0"/>
          <w:marRight w:val="0"/>
          <w:marTop w:val="0"/>
          <w:marBottom w:val="0"/>
          <w:divBdr>
            <w:top w:val="none" w:sz="0" w:space="0" w:color="auto"/>
            <w:left w:val="none" w:sz="0" w:space="0" w:color="auto"/>
            <w:bottom w:val="none" w:sz="0" w:space="0" w:color="auto"/>
            <w:right w:val="none" w:sz="0" w:space="0" w:color="auto"/>
          </w:divBdr>
        </w:div>
        <w:div w:id="589588206">
          <w:marLeft w:val="0"/>
          <w:marRight w:val="0"/>
          <w:marTop w:val="0"/>
          <w:marBottom w:val="0"/>
          <w:divBdr>
            <w:top w:val="none" w:sz="0" w:space="0" w:color="auto"/>
            <w:left w:val="none" w:sz="0" w:space="0" w:color="auto"/>
            <w:bottom w:val="none" w:sz="0" w:space="0" w:color="auto"/>
            <w:right w:val="none" w:sz="0" w:space="0" w:color="auto"/>
          </w:divBdr>
        </w:div>
        <w:div w:id="645743049">
          <w:marLeft w:val="0"/>
          <w:marRight w:val="0"/>
          <w:marTop w:val="0"/>
          <w:marBottom w:val="0"/>
          <w:divBdr>
            <w:top w:val="none" w:sz="0" w:space="0" w:color="auto"/>
            <w:left w:val="none" w:sz="0" w:space="0" w:color="auto"/>
            <w:bottom w:val="none" w:sz="0" w:space="0" w:color="auto"/>
            <w:right w:val="none" w:sz="0" w:space="0" w:color="auto"/>
          </w:divBdr>
        </w:div>
        <w:div w:id="705064929">
          <w:marLeft w:val="0"/>
          <w:marRight w:val="0"/>
          <w:marTop w:val="0"/>
          <w:marBottom w:val="0"/>
          <w:divBdr>
            <w:top w:val="none" w:sz="0" w:space="0" w:color="auto"/>
            <w:left w:val="none" w:sz="0" w:space="0" w:color="auto"/>
            <w:bottom w:val="none" w:sz="0" w:space="0" w:color="auto"/>
            <w:right w:val="none" w:sz="0" w:space="0" w:color="auto"/>
          </w:divBdr>
        </w:div>
        <w:div w:id="776798751">
          <w:marLeft w:val="0"/>
          <w:marRight w:val="0"/>
          <w:marTop w:val="0"/>
          <w:marBottom w:val="0"/>
          <w:divBdr>
            <w:top w:val="none" w:sz="0" w:space="0" w:color="auto"/>
            <w:left w:val="none" w:sz="0" w:space="0" w:color="auto"/>
            <w:bottom w:val="none" w:sz="0" w:space="0" w:color="auto"/>
            <w:right w:val="none" w:sz="0" w:space="0" w:color="auto"/>
          </w:divBdr>
        </w:div>
        <w:div w:id="808940451">
          <w:marLeft w:val="0"/>
          <w:marRight w:val="0"/>
          <w:marTop w:val="0"/>
          <w:marBottom w:val="0"/>
          <w:divBdr>
            <w:top w:val="none" w:sz="0" w:space="0" w:color="auto"/>
            <w:left w:val="none" w:sz="0" w:space="0" w:color="auto"/>
            <w:bottom w:val="none" w:sz="0" w:space="0" w:color="auto"/>
            <w:right w:val="none" w:sz="0" w:space="0" w:color="auto"/>
          </w:divBdr>
        </w:div>
        <w:div w:id="877669119">
          <w:marLeft w:val="0"/>
          <w:marRight w:val="0"/>
          <w:marTop w:val="0"/>
          <w:marBottom w:val="0"/>
          <w:divBdr>
            <w:top w:val="none" w:sz="0" w:space="0" w:color="auto"/>
            <w:left w:val="none" w:sz="0" w:space="0" w:color="auto"/>
            <w:bottom w:val="none" w:sz="0" w:space="0" w:color="auto"/>
            <w:right w:val="none" w:sz="0" w:space="0" w:color="auto"/>
          </w:divBdr>
        </w:div>
        <w:div w:id="889194198">
          <w:marLeft w:val="0"/>
          <w:marRight w:val="0"/>
          <w:marTop w:val="0"/>
          <w:marBottom w:val="0"/>
          <w:divBdr>
            <w:top w:val="none" w:sz="0" w:space="0" w:color="auto"/>
            <w:left w:val="none" w:sz="0" w:space="0" w:color="auto"/>
            <w:bottom w:val="none" w:sz="0" w:space="0" w:color="auto"/>
            <w:right w:val="none" w:sz="0" w:space="0" w:color="auto"/>
          </w:divBdr>
        </w:div>
        <w:div w:id="899483340">
          <w:marLeft w:val="0"/>
          <w:marRight w:val="0"/>
          <w:marTop w:val="0"/>
          <w:marBottom w:val="0"/>
          <w:divBdr>
            <w:top w:val="none" w:sz="0" w:space="0" w:color="auto"/>
            <w:left w:val="none" w:sz="0" w:space="0" w:color="auto"/>
            <w:bottom w:val="none" w:sz="0" w:space="0" w:color="auto"/>
            <w:right w:val="none" w:sz="0" w:space="0" w:color="auto"/>
          </w:divBdr>
        </w:div>
        <w:div w:id="955252863">
          <w:marLeft w:val="0"/>
          <w:marRight w:val="0"/>
          <w:marTop w:val="0"/>
          <w:marBottom w:val="0"/>
          <w:divBdr>
            <w:top w:val="none" w:sz="0" w:space="0" w:color="auto"/>
            <w:left w:val="none" w:sz="0" w:space="0" w:color="auto"/>
            <w:bottom w:val="none" w:sz="0" w:space="0" w:color="auto"/>
            <w:right w:val="none" w:sz="0" w:space="0" w:color="auto"/>
          </w:divBdr>
        </w:div>
        <w:div w:id="1118840123">
          <w:marLeft w:val="0"/>
          <w:marRight w:val="0"/>
          <w:marTop w:val="0"/>
          <w:marBottom w:val="0"/>
          <w:divBdr>
            <w:top w:val="none" w:sz="0" w:space="0" w:color="auto"/>
            <w:left w:val="none" w:sz="0" w:space="0" w:color="auto"/>
            <w:bottom w:val="none" w:sz="0" w:space="0" w:color="auto"/>
            <w:right w:val="none" w:sz="0" w:space="0" w:color="auto"/>
          </w:divBdr>
        </w:div>
        <w:div w:id="1121923384">
          <w:marLeft w:val="0"/>
          <w:marRight w:val="0"/>
          <w:marTop w:val="0"/>
          <w:marBottom w:val="0"/>
          <w:divBdr>
            <w:top w:val="none" w:sz="0" w:space="0" w:color="auto"/>
            <w:left w:val="none" w:sz="0" w:space="0" w:color="auto"/>
            <w:bottom w:val="none" w:sz="0" w:space="0" w:color="auto"/>
            <w:right w:val="none" w:sz="0" w:space="0" w:color="auto"/>
          </w:divBdr>
        </w:div>
        <w:div w:id="1237590876">
          <w:marLeft w:val="0"/>
          <w:marRight w:val="0"/>
          <w:marTop w:val="0"/>
          <w:marBottom w:val="0"/>
          <w:divBdr>
            <w:top w:val="none" w:sz="0" w:space="0" w:color="auto"/>
            <w:left w:val="none" w:sz="0" w:space="0" w:color="auto"/>
            <w:bottom w:val="none" w:sz="0" w:space="0" w:color="auto"/>
            <w:right w:val="none" w:sz="0" w:space="0" w:color="auto"/>
          </w:divBdr>
        </w:div>
        <w:div w:id="1434932291">
          <w:marLeft w:val="0"/>
          <w:marRight w:val="0"/>
          <w:marTop w:val="0"/>
          <w:marBottom w:val="0"/>
          <w:divBdr>
            <w:top w:val="none" w:sz="0" w:space="0" w:color="auto"/>
            <w:left w:val="none" w:sz="0" w:space="0" w:color="auto"/>
            <w:bottom w:val="none" w:sz="0" w:space="0" w:color="auto"/>
            <w:right w:val="none" w:sz="0" w:space="0" w:color="auto"/>
          </w:divBdr>
        </w:div>
        <w:div w:id="1447509172">
          <w:marLeft w:val="0"/>
          <w:marRight w:val="0"/>
          <w:marTop w:val="0"/>
          <w:marBottom w:val="0"/>
          <w:divBdr>
            <w:top w:val="none" w:sz="0" w:space="0" w:color="auto"/>
            <w:left w:val="none" w:sz="0" w:space="0" w:color="auto"/>
            <w:bottom w:val="none" w:sz="0" w:space="0" w:color="auto"/>
            <w:right w:val="none" w:sz="0" w:space="0" w:color="auto"/>
          </w:divBdr>
        </w:div>
        <w:div w:id="1561942493">
          <w:marLeft w:val="0"/>
          <w:marRight w:val="0"/>
          <w:marTop w:val="0"/>
          <w:marBottom w:val="0"/>
          <w:divBdr>
            <w:top w:val="none" w:sz="0" w:space="0" w:color="auto"/>
            <w:left w:val="none" w:sz="0" w:space="0" w:color="auto"/>
            <w:bottom w:val="none" w:sz="0" w:space="0" w:color="auto"/>
            <w:right w:val="none" w:sz="0" w:space="0" w:color="auto"/>
          </w:divBdr>
        </w:div>
        <w:div w:id="1658193744">
          <w:marLeft w:val="0"/>
          <w:marRight w:val="0"/>
          <w:marTop w:val="0"/>
          <w:marBottom w:val="0"/>
          <w:divBdr>
            <w:top w:val="none" w:sz="0" w:space="0" w:color="auto"/>
            <w:left w:val="none" w:sz="0" w:space="0" w:color="auto"/>
            <w:bottom w:val="none" w:sz="0" w:space="0" w:color="auto"/>
            <w:right w:val="none" w:sz="0" w:space="0" w:color="auto"/>
          </w:divBdr>
        </w:div>
        <w:div w:id="1888101265">
          <w:marLeft w:val="0"/>
          <w:marRight w:val="0"/>
          <w:marTop w:val="0"/>
          <w:marBottom w:val="0"/>
          <w:divBdr>
            <w:top w:val="none" w:sz="0" w:space="0" w:color="auto"/>
            <w:left w:val="none" w:sz="0" w:space="0" w:color="auto"/>
            <w:bottom w:val="none" w:sz="0" w:space="0" w:color="auto"/>
            <w:right w:val="none" w:sz="0" w:space="0" w:color="auto"/>
          </w:divBdr>
        </w:div>
        <w:div w:id="1910728269">
          <w:marLeft w:val="0"/>
          <w:marRight w:val="0"/>
          <w:marTop w:val="0"/>
          <w:marBottom w:val="0"/>
          <w:divBdr>
            <w:top w:val="none" w:sz="0" w:space="0" w:color="auto"/>
            <w:left w:val="none" w:sz="0" w:space="0" w:color="auto"/>
            <w:bottom w:val="none" w:sz="0" w:space="0" w:color="auto"/>
            <w:right w:val="none" w:sz="0" w:space="0" w:color="auto"/>
          </w:divBdr>
        </w:div>
        <w:div w:id="2033267296">
          <w:marLeft w:val="0"/>
          <w:marRight w:val="0"/>
          <w:marTop w:val="0"/>
          <w:marBottom w:val="0"/>
          <w:divBdr>
            <w:top w:val="none" w:sz="0" w:space="0" w:color="auto"/>
            <w:left w:val="none" w:sz="0" w:space="0" w:color="auto"/>
            <w:bottom w:val="none" w:sz="0" w:space="0" w:color="auto"/>
            <w:right w:val="none" w:sz="0" w:space="0" w:color="auto"/>
          </w:divBdr>
        </w:div>
        <w:div w:id="2136095141">
          <w:marLeft w:val="0"/>
          <w:marRight w:val="0"/>
          <w:marTop w:val="0"/>
          <w:marBottom w:val="0"/>
          <w:divBdr>
            <w:top w:val="none" w:sz="0" w:space="0" w:color="auto"/>
            <w:left w:val="none" w:sz="0" w:space="0" w:color="auto"/>
            <w:bottom w:val="none" w:sz="0" w:space="0" w:color="auto"/>
            <w:right w:val="none" w:sz="0" w:space="0" w:color="auto"/>
          </w:divBdr>
        </w:div>
      </w:divsChild>
    </w:div>
    <w:div w:id="1006440066">
      <w:bodyDiv w:val="1"/>
      <w:marLeft w:val="0"/>
      <w:marRight w:val="0"/>
      <w:marTop w:val="0"/>
      <w:marBottom w:val="0"/>
      <w:divBdr>
        <w:top w:val="none" w:sz="0" w:space="0" w:color="auto"/>
        <w:left w:val="none" w:sz="0" w:space="0" w:color="auto"/>
        <w:bottom w:val="none" w:sz="0" w:space="0" w:color="auto"/>
        <w:right w:val="none" w:sz="0" w:space="0" w:color="auto"/>
      </w:divBdr>
    </w:div>
    <w:div w:id="1018698967">
      <w:bodyDiv w:val="1"/>
      <w:marLeft w:val="0"/>
      <w:marRight w:val="0"/>
      <w:marTop w:val="0"/>
      <w:marBottom w:val="0"/>
      <w:divBdr>
        <w:top w:val="none" w:sz="0" w:space="0" w:color="auto"/>
        <w:left w:val="none" w:sz="0" w:space="0" w:color="auto"/>
        <w:bottom w:val="none" w:sz="0" w:space="0" w:color="auto"/>
        <w:right w:val="none" w:sz="0" w:space="0" w:color="auto"/>
      </w:divBdr>
    </w:div>
    <w:div w:id="1024601365">
      <w:bodyDiv w:val="1"/>
      <w:marLeft w:val="0"/>
      <w:marRight w:val="0"/>
      <w:marTop w:val="0"/>
      <w:marBottom w:val="0"/>
      <w:divBdr>
        <w:top w:val="none" w:sz="0" w:space="0" w:color="auto"/>
        <w:left w:val="none" w:sz="0" w:space="0" w:color="auto"/>
        <w:bottom w:val="none" w:sz="0" w:space="0" w:color="auto"/>
        <w:right w:val="none" w:sz="0" w:space="0" w:color="auto"/>
      </w:divBdr>
    </w:div>
    <w:div w:id="1088115933">
      <w:bodyDiv w:val="1"/>
      <w:marLeft w:val="0"/>
      <w:marRight w:val="0"/>
      <w:marTop w:val="0"/>
      <w:marBottom w:val="0"/>
      <w:divBdr>
        <w:top w:val="none" w:sz="0" w:space="0" w:color="auto"/>
        <w:left w:val="none" w:sz="0" w:space="0" w:color="auto"/>
        <w:bottom w:val="none" w:sz="0" w:space="0" w:color="auto"/>
        <w:right w:val="none" w:sz="0" w:space="0" w:color="auto"/>
      </w:divBdr>
      <w:divsChild>
        <w:div w:id="493183502">
          <w:marLeft w:val="0"/>
          <w:marRight w:val="0"/>
          <w:marTop w:val="0"/>
          <w:marBottom w:val="0"/>
          <w:divBdr>
            <w:top w:val="none" w:sz="0" w:space="0" w:color="auto"/>
            <w:left w:val="none" w:sz="0" w:space="0" w:color="auto"/>
            <w:bottom w:val="none" w:sz="0" w:space="0" w:color="auto"/>
            <w:right w:val="none" w:sz="0" w:space="0" w:color="auto"/>
          </w:divBdr>
        </w:div>
        <w:div w:id="767506974">
          <w:marLeft w:val="0"/>
          <w:marRight w:val="0"/>
          <w:marTop w:val="0"/>
          <w:marBottom w:val="0"/>
          <w:divBdr>
            <w:top w:val="none" w:sz="0" w:space="0" w:color="auto"/>
            <w:left w:val="none" w:sz="0" w:space="0" w:color="auto"/>
            <w:bottom w:val="none" w:sz="0" w:space="0" w:color="auto"/>
            <w:right w:val="none" w:sz="0" w:space="0" w:color="auto"/>
          </w:divBdr>
        </w:div>
        <w:div w:id="1515262775">
          <w:marLeft w:val="0"/>
          <w:marRight w:val="0"/>
          <w:marTop w:val="0"/>
          <w:marBottom w:val="0"/>
          <w:divBdr>
            <w:top w:val="none" w:sz="0" w:space="0" w:color="auto"/>
            <w:left w:val="none" w:sz="0" w:space="0" w:color="auto"/>
            <w:bottom w:val="none" w:sz="0" w:space="0" w:color="auto"/>
            <w:right w:val="none" w:sz="0" w:space="0" w:color="auto"/>
          </w:divBdr>
        </w:div>
      </w:divsChild>
    </w:div>
    <w:div w:id="1148477472">
      <w:bodyDiv w:val="1"/>
      <w:marLeft w:val="0"/>
      <w:marRight w:val="0"/>
      <w:marTop w:val="0"/>
      <w:marBottom w:val="0"/>
      <w:divBdr>
        <w:top w:val="none" w:sz="0" w:space="0" w:color="auto"/>
        <w:left w:val="none" w:sz="0" w:space="0" w:color="auto"/>
        <w:bottom w:val="none" w:sz="0" w:space="0" w:color="auto"/>
        <w:right w:val="none" w:sz="0" w:space="0" w:color="auto"/>
      </w:divBdr>
    </w:div>
    <w:div w:id="1192572426">
      <w:bodyDiv w:val="1"/>
      <w:marLeft w:val="0"/>
      <w:marRight w:val="0"/>
      <w:marTop w:val="0"/>
      <w:marBottom w:val="0"/>
      <w:divBdr>
        <w:top w:val="none" w:sz="0" w:space="0" w:color="auto"/>
        <w:left w:val="none" w:sz="0" w:space="0" w:color="auto"/>
        <w:bottom w:val="none" w:sz="0" w:space="0" w:color="auto"/>
        <w:right w:val="none" w:sz="0" w:space="0" w:color="auto"/>
      </w:divBdr>
    </w:div>
    <w:div w:id="1207379291">
      <w:bodyDiv w:val="1"/>
      <w:marLeft w:val="0"/>
      <w:marRight w:val="0"/>
      <w:marTop w:val="0"/>
      <w:marBottom w:val="0"/>
      <w:divBdr>
        <w:top w:val="none" w:sz="0" w:space="0" w:color="auto"/>
        <w:left w:val="none" w:sz="0" w:space="0" w:color="auto"/>
        <w:bottom w:val="none" w:sz="0" w:space="0" w:color="auto"/>
        <w:right w:val="none" w:sz="0" w:space="0" w:color="auto"/>
      </w:divBdr>
    </w:div>
    <w:div w:id="1325745153">
      <w:bodyDiv w:val="1"/>
      <w:marLeft w:val="0"/>
      <w:marRight w:val="0"/>
      <w:marTop w:val="0"/>
      <w:marBottom w:val="0"/>
      <w:divBdr>
        <w:top w:val="none" w:sz="0" w:space="0" w:color="auto"/>
        <w:left w:val="none" w:sz="0" w:space="0" w:color="auto"/>
        <w:bottom w:val="none" w:sz="0" w:space="0" w:color="auto"/>
        <w:right w:val="none" w:sz="0" w:space="0" w:color="auto"/>
      </w:divBdr>
      <w:divsChild>
        <w:div w:id="139999277">
          <w:marLeft w:val="0"/>
          <w:marRight w:val="0"/>
          <w:marTop w:val="0"/>
          <w:marBottom w:val="0"/>
          <w:divBdr>
            <w:top w:val="none" w:sz="0" w:space="0" w:color="auto"/>
            <w:left w:val="none" w:sz="0" w:space="0" w:color="auto"/>
            <w:bottom w:val="none" w:sz="0" w:space="0" w:color="auto"/>
            <w:right w:val="none" w:sz="0" w:space="0" w:color="auto"/>
          </w:divBdr>
        </w:div>
        <w:div w:id="233667736">
          <w:marLeft w:val="0"/>
          <w:marRight w:val="0"/>
          <w:marTop w:val="0"/>
          <w:marBottom w:val="0"/>
          <w:divBdr>
            <w:top w:val="none" w:sz="0" w:space="0" w:color="auto"/>
            <w:left w:val="none" w:sz="0" w:space="0" w:color="auto"/>
            <w:bottom w:val="none" w:sz="0" w:space="0" w:color="auto"/>
            <w:right w:val="none" w:sz="0" w:space="0" w:color="auto"/>
          </w:divBdr>
        </w:div>
        <w:div w:id="389349935">
          <w:marLeft w:val="0"/>
          <w:marRight w:val="0"/>
          <w:marTop w:val="0"/>
          <w:marBottom w:val="0"/>
          <w:divBdr>
            <w:top w:val="none" w:sz="0" w:space="0" w:color="auto"/>
            <w:left w:val="none" w:sz="0" w:space="0" w:color="auto"/>
            <w:bottom w:val="none" w:sz="0" w:space="0" w:color="auto"/>
            <w:right w:val="none" w:sz="0" w:space="0" w:color="auto"/>
          </w:divBdr>
        </w:div>
        <w:div w:id="463693617">
          <w:marLeft w:val="0"/>
          <w:marRight w:val="0"/>
          <w:marTop w:val="0"/>
          <w:marBottom w:val="0"/>
          <w:divBdr>
            <w:top w:val="none" w:sz="0" w:space="0" w:color="auto"/>
            <w:left w:val="none" w:sz="0" w:space="0" w:color="auto"/>
            <w:bottom w:val="none" w:sz="0" w:space="0" w:color="auto"/>
            <w:right w:val="none" w:sz="0" w:space="0" w:color="auto"/>
          </w:divBdr>
        </w:div>
        <w:div w:id="526255763">
          <w:marLeft w:val="0"/>
          <w:marRight w:val="0"/>
          <w:marTop w:val="0"/>
          <w:marBottom w:val="0"/>
          <w:divBdr>
            <w:top w:val="none" w:sz="0" w:space="0" w:color="auto"/>
            <w:left w:val="none" w:sz="0" w:space="0" w:color="auto"/>
            <w:bottom w:val="none" w:sz="0" w:space="0" w:color="auto"/>
            <w:right w:val="none" w:sz="0" w:space="0" w:color="auto"/>
          </w:divBdr>
        </w:div>
        <w:div w:id="682705192">
          <w:marLeft w:val="0"/>
          <w:marRight w:val="0"/>
          <w:marTop w:val="0"/>
          <w:marBottom w:val="0"/>
          <w:divBdr>
            <w:top w:val="none" w:sz="0" w:space="0" w:color="auto"/>
            <w:left w:val="none" w:sz="0" w:space="0" w:color="auto"/>
            <w:bottom w:val="none" w:sz="0" w:space="0" w:color="auto"/>
            <w:right w:val="none" w:sz="0" w:space="0" w:color="auto"/>
          </w:divBdr>
        </w:div>
        <w:div w:id="844243229">
          <w:marLeft w:val="0"/>
          <w:marRight w:val="0"/>
          <w:marTop w:val="0"/>
          <w:marBottom w:val="0"/>
          <w:divBdr>
            <w:top w:val="none" w:sz="0" w:space="0" w:color="auto"/>
            <w:left w:val="none" w:sz="0" w:space="0" w:color="auto"/>
            <w:bottom w:val="none" w:sz="0" w:space="0" w:color="auto"/>
            <w:right w:val="none" w:sz="0" w:space="0" w:color="auto"/>
          </w:divBdr>
        </w:div>
        <w:div w:id="1083451914">
          <w:marLeft w:val="0"/>
          <w:marRight w:val="0"/>
          <w:marTop w:val="0"/>
          <w:marBottom w:val="0"/>
          <w:divBdr>
            <w:top w:val="none" w:sz="0" w:space="0" w:color="auto"/>
            <w:left w:val="none" w:sz="0" w:space="0" w:color="auto"/>
            <w:bottom w:val="none" w:sz="0" w:space="0" w:color="auto"/>
            <w:right w:val="none" w:sz="0" w:space="0" w:color="auto"/>
          </w:divBdr>
        </w:div>
        <w:div w:id="1139305705">
          <w:marLeft w:val="0"/>
          <w:marRight w:val="0"/>
          <w:marTop w:val="0"/>
          <w:marBottom w:val="0"/>
          <w:divBdr>
            <w:top w:val="none" w:sz="0" w:space="0" w:color="auto"/>
            <w:left w:val="none" w:sz="0" w:space="0" w:color="auto"/>
            <w:bottom w:val="none" w:sz="0" w:space="0" w:color="auto"/>
            <w:right w:val="none" w:sz="0" w:space="0" w:color="auto"/>
          </w:divBdr>
        </w:div>
        <w:div w:id="1183319643">
          <w:marLeft w:val="0"/>
          <w:marRight w:val="0"/>
          <w:marTop w:val="0"/>
          <w:marBottom w:val="0"/>
          <w:divBdr>
            <w:top w:val="none" w:sz="0" w:space="0" w:color="auto"/>
            <w:left w:val="none" w:sz="0" w:space="0" w:color="auto"/>
            <w:bottom w:val="none" w:sz="0" w:space="0" w:color="auto"/>
            <w:right w:val="none" w:sz="0" w:space="0" w:color="auto"/>
          </w:divBdr>
        </w:div>
        <w:div w:id="1199854893">
          <w:marLeft w:val="0"/>
          <w:marRight w:val="0"/>
          <w:marTop w:val="0"/>
          <w:marBottom w:val="0"/>
          <w:divBdr>
            <w:top w:val="none" w:sz="0" w:space="0" w:color="auto"/>
            <w:left w:val="none" w:sz="0" w:space="0" w:color="auto"/>
            <w:bottom w:val="none" w:sz="0" w:space="0" w:color="auto"/>
            <w:right w:val="none" w:sz="0" w:space="0" w:color="auto"/>
          </w:divBdr>
        </w:div>
        <w:div w:id="1209797657">
          <w:marLeft w:val="0"/>
          <w:marRight w:val="0"/>
          <w:marTop w:val="0"/>
          <w:marBottom w:val="0"/>
          <w:divBdr>
            <w:top w:val="none" w:sz="0" w:space="0" w:color="auto"/>
            <w:left w:val="none" w:sz="0" w:space="0" w:color="auto"/>
            <w:bottom w:val="none" w:sz="0" w:space="0" w:color="auto"/>
            <w:right w:val="none" w:sz="0" w:space="0" w:color="auto"/>
          </w:divBdr>
        </w:div>
        <w:div w:id="1379354736">
          <w:marLeft w:val="0"/>
          <w:marRight w:val="0"/>
          <w:marTop w:val="0"/>
          <w:marBottom w:val="0"/>
          <w:divBdr>
            <w:top w:val="none" w:sz="0" w:space="0" w:color="auto"/>
            <w:left w:val="none" w:sz="0" w:space="0" w:color="auto"/>
            <w:bottom w:val="none" w:sz="0" w:space="0" w:color="auto"/>
            <w:right w:val="none" w:sz="0" w:space="0" w:color="auto"/>
          </w:divBdr>
        </w:div>
        <w:div w:id="1410349816">
          <w:marLeft w:val="0"/>
          <w:marRight w:val="0"/>
          <w:marTop w:val="0"/>
          <w:marBottom w:val="0"/>
          <w:divBdr>
            <w:top w:val="none" w:sz="0" w:space="0" w:color="auto"/>
            <w:left w:val="none" w:sz="0" w:space="0" w:color="auto"/>
            <w:bottom w:val="none" w:sz="0" w:space="0" w:color="auto"/>
            <w:right w:val="none" w:sz="0" w:space="0" w:color="auto"/>
          </w:divBdr>
        </w:div>
        <w:div w:id="1445923060">
          <w:marLeft w:val="0"/>
          <w:marRight w:val="0"/>
          <w:marTop w:val="0"/>
          <w:marBottom w:val="0"/>
          <w:divBdr>
            <w:top w:val="none" w:sz="0" w:space="0" w:color="auto"/>
            <w:left w:val="none" w:sz="0" w:space="0" w:color="auto"/>
            <w:bottom w:val="none" w:sz="0" w:space="0" w:color="auto"/>
            <w:right w:val="none" w:sz="0" w:space="0" w:color="auto"/>
          </w:divBdr>
        </w:div>
        <w:div w:id="1447893710">
          <w:marLeft w:val="0"/>
          <w:marRight w:val="0"/>
          <w:marTop w:val="0"/>
          <w:marBottom w:val="0"/>
          <w:divBdr>
            <w:top w:val="none" w:sz="0" w:space="0" w:color="auto"/>
            <w:left w:val="none" w:sz="0" w:space="0" w:color="auto"/>
            <w:bottom w:val="none" w:sz="0" w:space="0" w:color="auto"/>
            <w:right w:val="none" w:sz="0" w:space="0" w:color="auto"/>
          </w:divBdr>
        </w:div>
        <w:div w:id="1469130668">
          <w:marLeft w:val="0"/>
          <w:marRight w:val="0"/>
          <w:marTop w:val="0"/>
          <w:marBottom w:val="0"/>
          <w:divBdr>
            <w:top w:val="none" w:sz="0" w:space="0" w:color="auto"/>
            <w:left w:val="none" w:sz="0" w:space="0" w:color="auto"/>
            <w:bottom w:val="none" w:sz="0" w:space="0" w:color="auto"/>
            <w:right w:val="none" w:sz="0" w:space="0" w:color="auto"/>
          </w:divBdr>
        </w:div>
        <w:div w:id="1498769587">
          <w:marLeft w:val="0"/>
          <w:marRight w:val="0"/>
          <w:marTop w:val="0"/>
          <w:marBottom w:val="0"/>
          <w:divBdr>
            <w:top w:val="none" w:sz="0" w:space="0" w:color="auto"/>
            <w:left w:val="none" w:sz="0" w:space="0" w:color="auto"/>
            <w:bottom w:val="none" w:sz="0" w:space="0" w:color="auto"/>
            <w:right w:val="none" w:sz="0" w:space="0" w:color="auto"/>
          </w:divBdr>
        </w:div>
        <w:div w:id="1510412815">
          <w:marLeft w:val="0"/>
          <w:marRight w:val="0"/>
          <w:marTop w:val="0"/>
          <w:marBottom w:val="0"/>
          <w:divBdr>
            <w:top w:val="none" w:sz="0" w:space="0" w:color="auto"/>
            <w:left w:val="none" w:sz="0" w:space="0" w:color="auto"/>
            <w:bottom w:val="none" w:sz="0" w:space="0" w:color="auto"/>
            <w:right w:val="none" w:sz="0" w:space="0" w:color="auto"/>
          </w:divBdr>
        </w:div>
        <w:div w:id="1659770828">
          <w:marLeft w:val="0"/>
          <w:marRight w:val="0"/>
          <w:marTop w:val="0"/>
          <w:marBottom w:val="0"/>
          <w:divBdr>
            <w:top w:val="none" w:sz="0" w:space="0" w:color="auto"/>
            <w:left w:val="none" w:sz="0" w:space="0" w:color="auto"/>
            <w:bottom w:val="none" w:sz="0" w:space="0" w:color="auto"/>
            <w:right w:val="none" w:sz="0" w:space="0" w:color="auto"/>
          </w:divBdr>
        </w:div>
        <w:div w:id="1795980684">
          <w:marLeft w:val="0"/>
          <w:marRight w:val="0"/>
          <w:marTop w:val="0"/>
          <w:marBottom w:val="0"/>
          <w:divBdr>
            <w:top w:val="none" w:sz="0" w:space="0" w:color="auto"/>
            <w:left w:val="none" w:sz="0" w:space="0" w:color="auto"/>
            <w:bottom w:val="none" w:sz="0" w:space="0" w:color="auto"/>
            <w:right w:val="none" w:sz="0" w:space="0" w:color="auto"/>
          </w:divBdr>
        </w:div>
        <w:div w:id="1810316810">
          <w:marLeft w:val="0"/>
          <w:marRight w:val="0"/>
          <w:marTop w:val="0"/>
          <w:marBottom w:val="0"/>
          <w:divBdr>
            <w:top w:val="none" w:sz="0" w:space="0" w:color="auto"/>
            <w:left w:val="none" w:sz="0" w:space="0" w:color="auto"/>
            <w:bottom w:val="none" w:sz="0" w:space="0" w:color="auto"/>
            <w:right w:val="none" w:sz="0" w:space="0" w:color="auto"/>
          </w:divBdr>
        </w:div>
        <w:div w:id="1830363570">
          <w:marLeft w:val="0"/>
          <w:marRight w:val="0"/>
          <w:marTop w:val="0"/>
          <w:marBottom w:val="0"/>
          <w:divBdr>
            <w:top w:val="none" w:sz="0" w:space="0" w:color="auto"/>
            <w:left w:val="none" w:sz="0" w:space="0" w:color="auto"/>
            <w:bottom w:val="none" w:sz="0" w:space="0" w:color="auto"/>
            <w:right w:val="none" w:sz="0" w:space="0" w:color="auto"/>
          </w:divBdr>
        </w:div>
        <w:div w:id="1973367849">
          <w:marLeft w:val="0"/>
          <w:marRight w:val="0"/>
          <w:marTop w:val="0"/>
          <w:marBottom w:val="0"/>
          <w:divBdr>
            <w:top w:val="none" w:sz="0" w:space="0" w:color="auto"/>
            <w:left w:val="none" w:sz="0" w:space="0" w:color="auto"/>
            <w:bottom w:val="none" w:sz="0" w:space="0" w:color="auto"/>
            <w:right w:val="none" w:sz="0" w:space="0" w:color="auto"/>
          </w:divBdr>
        </w:div>
        <w:div w:id="2078893978">
          <w:marLeft w:val="0"/>
          <w:marRight w:val="0"/>
          <w:marTop w:val="0"/>
          <w:marBottom w:val="0"/>
          <w:divBdr>
            <w:top w:val="none" w:sz="0" w:space="0" w:color="auto"/>
            <w:left w:val="none" w:sz="0" w:space="0" w:color="auto"/>
            <w:bottom w:val="none" w:sz="0" w:space="0" w:color="auto"/>
            <w:right w:val="none" w:sz="0" w:space="0" w:color="auto"/>
          </w:divBdr>
        </w:div>
        <w:div w:id="2103408167">
          <w:marLeft w:val="0"/>
          <w:marRight w:val="0"/>
          <w:marTop w:val="0"/>
          <w:marBottom w:val="0"/>
          <w:divBdr>
            <w:top w:val="none" w:sz="0" w:space="0" w:color="auto"/>
            <w:left w:val="none" w:sz="0" w:space="0" w:color="auto"/>
            <w:bottom w:val="none" w:sz="0" w:space="0" w:color="auto"/>
            <w:right w:val="none" w:sz="0" w:space="0" w:color="auto"/>
          </w:divBdr>
        </w:div>
      </w:divsChild>
    </w:div>
    <w:div w:id="1366639887">
      <w:bodyDiv w:val="1"/>
      <w:marLeft w:val="0"/>
      <w:marRight w:val="0"/>
      <w:marTop w:val="0"/>
      <w:marBottom w:val="0"/>
      <w:divBdr>
        <w:top w:val="none" w:sz="0" w:space="0" w:color="auto"/>
        <w:left w:val="none" w:sz="0" w:space="0" w:color="auto"/>
        <w:bottom w:val="none" w:sz="0" w:space="0" w:color="auto"/>
        <w:right w:val="none" w:sz="0" w:space="0" w:color="auto"/>
      </w:divBdr>
    </w:div>
    <w:div w:id="1382438146">
      <w:bodyDiv w:val="1"/>
      <w:marLeft w:val="0"/>
      <w:marRight w:val="0"/>
      <w:marTop w:val="0"/>
      <w:marBottom w:val="0"/>
      <w:divBdr>
        <w:top w:val="none" w:sz="0" w:space="0" w:color="auto"/>
        <w:left w:val="none" w:sz="0" w:space="0" w:color="auto"/>
        <w:bottom w:val="none" w:sz="0" w:space="0" w:color="auto"/>
        <w:right w:val="none" w:sz="0" w:space="0" w:color="auto"/>
      </w:divBdr>
    </w:div>
    <w:div w:id="1423909837">
      <w:bodyDiv w:val="1"/>
      <w:marLeft w:val="0"/>
      <w:marRight w:val="0"/>
      <w:marTop w:val="0"/>
      <w:marBottom w:val="0"/>
      <w:divBdr>
        <w:top w:val="none" w:sz="0" w:space="0" w:color="auto"/>
        <w:left w:val="none" w:sz="0" w:space="0" w:color="auto"/>
        <w:bottom w:val="none" w:sz="0" w:space="0" w:color="auto"/>
        <w:right w:val="none" w:sz="0" w:space="0" w:color="auto"/>
      </w:divBdr>
    </w:div>
    <w:div w:id="1451898712">
      <w:bodyDiv w:val="1"/>
      <w:marLeft w:val="0"/>
      <w:marRight w:val="0"/>
      <w:marTop w:val="0"/>
      <w:marBottom w:val="0"/>
      <w:divBdr>
        <w:top w:val="none" w:sz="0" w:space="0" w:color="auto"/>
        <w:left w:val="none" w:sz="0" w:space="0" w:color="auto"/>
        <w:bottom w:val="none" w:sz="0" w:space="0" w:color="auto"/>
        <w:right w:val="none" w:sz="0" w:space="0" w:color="auto"/>
      </w:divBdr>
    </w:div>
    <w:div w:id="1512642666">
      <w:bodyDiv w:val="1"/>
      <w:marLeft w:val="0"/>
      <w:marRight w:val="0"/>
      <w:marTop w:val="0"/>
      <w:marBottom w:val="0"/>
      <w:divBdr>
        <w:top w:val="none" w:sz="0" w:space="0" w:color="auto"/>
        <w:left w:val="none" w:sz="0" w:space="0" w:color="auto"/>
        <w:bottom w:val="none" w:sz="0" w:space="0" w:color="auto"/>
        <w:right w:val="none" w:sz="0" w:space="0" w:color="auto"/>
      </w:divBdr>
    </w:div>
    <w:div w:id="1514152426">
      <w:bodyDiv w:val="1"/>
      <w:marLeft w:val="0"/>
      <w:marRight w:val="0"/>
      <w:marTop w:val="0"/>
      <w:marBottom w:val="0"/>
      <w:divBdr>
        <w:top w:val="none" w:sz="0" w:space="0" w:color="auto"/>
        <w:left w:val="none" w:sz="0" w:space="0" w:color="auto"/>
        <w:bottom w:val="none" w:sz="0" w:space="0" w:color="auto"/>
        <w:right w:val="none" w:sz="0" w:space="0" w:color="auto"/>
      </w:divBdr>
    </w:div>
    <w:div w:id="1645769491">
      <w:bodyDiv w:val="1"/>
      <w:marLeft w:val="0"/>
      <w:marRight w:val="0"/>
      <w:marTop w:val="0"/>
      <w:marBottom w:val="0"/>
      <w:divBdr>
        <w:top w:val="none" w:sz="0" w:space="0" w:color="auto"/>
        <w:left w:val="none" w:sz="0" w:space="0" w:color="auto"/>
        <w:bottom w:val="none" w:sz="0" w:space="0" w:color="auto"/>
        <w:right w:val="none" w:sz="0" w:space="0" w:color="auto"/>
      </w:divBdr>
    </w:div>
    <w:div w:id="1654068723">
      <w:bodyDiv w:val="1"/>
      <w:marLeft w:val="0"/>
      <w:marRight w:val="0"/>
      <w:marTop w:val="0"/>
      <w:marBottom w:val="0"/>
      <w:divBdr>
        <w:top w:val="none" w:sz="0" w:space="0" w:color="auto"/>
        <w:left w:val="none" w:sz="0" w:space="0" w:color="auto"/>
        <w:bottom w:val="none" w:sz="0" w:space="0" w:color="auto"/>
        <w:right w:val="none" w:sz="0" w:space="0" w:color="auto"/>
      </w:divBdr>
    </w:div>
    <w:div w:id="1745835450">
      <w:bodyDiv w:val="1"/>
      <w:marLeft w:val="0"/>
      <w:marRight w:val="0"/>
      <w:marTop w:val="0"/>
      <w:marBottom w:val="0"/>
      <w:divBdr>
        <w:top w:val="none" w:sz="0" w:space="0" w:color="auto"/>
        <w:left w:val="none" w:sz="0" w:space="0" w:color="auto"/>
        <w:bottom w:val="none" w:sz="0" w:space="0" w:color="auto"/>
        <w:right w:val="none" w:sz="0" w:space="0" w:color="auto"/>
      </w:divBdr>
    </w:div>
    <w:div w:id="1853451355">
      <w:bodyDiv w:val="1"/>
      <w:marLeft w:val="0"/>
      <w:marRight w:val="0"/>
      <w:marTop w:val="0"/>
      <w:marBottom w:val="0"/>
      <w:divBdr>
        <w:top w:val="none" w:sz="0" w:space="0" w:color="auto"/>
        <w:left w:val="none" w:sz="0" w:space="0" w:color="auto"/>
        <w:bottom w:val="none" w:sz="0" w:space="0" w:color="auto"/>
        <w:right w:val="none" w:sz="0" w:space="0" w:color="auto"/>
      </w:divBdr>
    </w:div>
    <w:div w:id="1856730189">
      <w:bodyDiv w:val="1"/>
      <w:marLeft w:val="0"/>
      <w:marRight w:val="0"/>
      <w:marTop w:val="0"/>
      <w:marBottom w:val="0"/>
      <w:divBdr>
        <w:top w:val="none" w:sz="0" w:space="0" w:color="auto"/>
        <w:left w:val="none" w:sz="0" w:space="0" w:color="auto"/>
        <w:bottom w:val="none" w:sz="0" w:space="0" w:color="auto"/>
        <w:right w:val="none" w:sz="0" w:space="0" w:color="auto"/>
      </w:divBdr>
    </w:div>
    <w:div w:id="1954361124">
      <w:bodyDiv w:val="1"/>
      <w:marLeft w:val="0"/>
      <w:marRight w:val="0"/>
      <w:marTop w:val="0"/>
      <w:marBottom w:val="0"/>
      <w:divBdr>
        <w:top w:val="none" w:sz="0" w:space="0" w:color="auto"/>
        <w:left w:val="none" w:sz="0" w:space="0" w:color="auto"/>
        <w:bottom w:val="none" w:sz="0" w:space="0" w:color="auto"/>
        <w:right w:val="none" w:sz="0" w:space="0" w:color="auto"/>
      </w:divBdr>
    </w:div>
    <w:div w:id="1955360901">
      <w:bodyDiv w:val="1"/>
      <w:marLeft w:val="0"/>
      <w:marRight w:val="0"/>
      <w:marTop w:val="0"/>
      <w:marBottom w:val="0"/>
      <w:divBdr>
        <w:top w:val="none" w:sz="0" w:space="0" w:color="auto"/>
        <w:left w:val="none" w:sz="0" w:space="0" w:color="auto"/>
        <w:bottom w:val="none" w:sz="0" w:space="0" w:color="auto"/>
        <w:right w:val="none" w:sz="0" w:space="0" w:color="auto"/>
      </w:divBdr>
    </w:div>
    <w:div w:id="2062362049">
      <w:bodyDiv w:val="1"/>
      <w:marLeft w:val="0"/>
      <w:marRight w:val="0"/>
      <w:marTop w:val="0"/>
      <w:marBottom w:val="0"/>
      <w:divBdr>
        <w:top w:val="none" w:sz="0" w:space="0" w:color="auto"/>
        <w:left w:val="none" w:sz="0" w:space="0" w:color="auto"/>
        <w:bottom w:val="none" w:sz="0" w:space="0" w:color="auto"/>
        <w:right w:val="none" w:sz="0" w:space="0" w:color="auto"/>
      </w:divBdr>
    </w:div>
    <w:div w:id="2135051290">
      <w:bodyDiv w:val="1"/>
      <w:marLeft w:val="0"/>
      <w:marRight w:val="0"/>
      <w:marTop w:val="0"/>
      <w:marBottom w:val="0"/>
      <w:divBdr>
        <w:top w:val="none" w:sz="0" w:space="0" w:color="auto"/>
        <w:left w:val="none" w:sz="0" w:space="0" w:color="auto"/>
        <w:bottom w:val="none" w:sz="0" w:space="0" w:color="auto"/>
        <w:right w:val="none" w:sz="0" w:space="0" w:color="auto"/>
      </w:divBdr>
    </w:div>
    <w:div w:id="214534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18" Type="http://schemas.openxmlformats.org/officeDocument/2006/relationships/header" Target="header2.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header" Target="header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image" Target="media/image7.emf"/><Relationship Id="rId20" Type="http://schemas.openxmlformats.org/officeDocument/2006/relationships/footer" Target="footer2.xml"/><Relationship Id="rId29"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image" Target="media/image6.emf"/><Relationship Id="rId23" Type="http://schemas.openxmlformats.org/officeDocument/2006/relationships/image" Target="media/image8.emf"/><Relationship Id="rId28" Type="http://schemas.openxmlformats.org/officeDocument/2006/relationships/image" Target="media/image10.emf"/><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emf"/><Relationship Id="rId22" Type="http://schemas.openxmlformats.org/officeDocument/2006/relationships/footer" Target="footer3.xml"/><Relationship Id="rId27" Type="http://schemas.openxmlformats.org/officeDocument/2006/relationships/image" Target="media/image9.emf"/><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mpsv.cz/documents/20142/225513/Zpr%C3%A1va+2019.pdf/6f47700b-66a2-00a1-c86e-28090e8f5c6a" TargetMode="External"/><Relationship Id="rId2" Type="http://schemas.openxmlformats.org/officeDocument/2006/relationships/hyperlink" Target="https://www.usoud.cz/fileadmin/user_upload/ustavni_soud_www/Aktualne_prilohy/2010_04_16.pdf" TargetMode="External"/><Relationship Id="rId1" Type="http://schemas.openxmlformats.org/officeDocument/2006/relationships/hyperlink" Target="https://katalog.vupsv.cz/fulltext/vz_500.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C426477DEFD164FAE75FB6966B6DBD7" ma:contentTypeVersion="" ma:contentTypeDescription="Vytvoří nový dokument" ma:contentTypeScope="" ma:versionID="42605a4d56722fdf5ba9eddcfa37821b">
  <xsd:schema xmlns:xsd="http://www.w3.org/2001/XMLSchema" xmlns:xs="http://www.w3.org/2001/XMLSchema" xmlns:p="http://schemas.microsoft.com/office/2006/metadata/properties" targetNamespace="http://schemas.microsoft.com/office/2006/metadata/properties" ma:root="true" ma:fieldsID="d2fbb27203a592dfb463d854fde8521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A45E0D-0BEC-4795-BD1F-E1E656D34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3310088-78E2-428F-A44B-FB521A25D205}">
  <ds:schemaRefs>
    <ds:schemaRef ds:uri="http://schemas.microsoft.com/sharepoint/v3/contenttype/forms"/>
  </ds:schemaRefs>
</ds:datastoreItem>
</file>

<file path=customXml/itemProps3.xml><?xml version="1.0" encoding="utf-8"?>
<ds:datastoreItem xmlns:ds="http://schemas.openxmlformats.org/officeDocument/2006/customXml" ds:itemID="{3240779D-3BB5-45C1-A101-3897DDA87988}">
  <ds:schemaRefs>
    <ds:schemaRef ds:uri="http://schemas.openxmlformats.org/officeDocument/2006/bibliography"/>
  </ds:schemaRefs>
</ds:datastoreItem>
</file>

<file path=customXml/itemProps4.xml><?xml version="1.0" encoding="utf-8"?>
<ds:datastoreItem xmlns:ds="http://schemas.openxmlformats.org/officeDocument/2006/customXml" ds:itemID="{F2B7D130-0D83-4A85-86F1-44EE0C2E14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8783</Words>
  <Characters>51821</Characters>
  <Application>Microsoft Office Word</Application>
  <DocSecurity>0</DocSecurity>
  <Lines>431</Lines>
  <Paragraphs>120</Paragraphs>
  <ScaleCrop>false</ScaleCrop>
  <HeadingPairs>
    <vt:vector size="2" baseType="variant">
      <vt:variant>
        <vt:lpstr>Název</vt:lpstr>
      </vt:variant>
      <vt:variant>
        <vt:i4>1</vt:i4>
      </vt:variant>
    </vt:vector>
  </HeadingPairs>
  <TitlesOfParts>
    <vt:vector size="1" baseType="lpstr">
      <vt:lpstr/>
    </vt:vector>
  </TitlesOfParts>
  <Company>Ministerstvo vnitra ČR</Company>
  <LinksUpToDate>false</LinksUpToDate>
  <CharactersWithSpaces>60484</CharactersWithSpaces>
  <SharedDoc>false</SharedDoc>
  <HLinks>
    <vt:vector size="18" baseType="variant">
      <vt:variant>
        <vt:i4>4259860</vt:i4>
      </vt:variant>
      <vt:variant>
        <vt:i4>6</vt:i4>
      </vt:variant>
      <vt:variant>
        <vt:i4>0</vt:i4>
      </vt:variant>
      <vt:variant>
        <vt:i4>5</vt:i4>
      </vt:variant>
      <vt:variant>
        <vt:lpwstr>https://www.mpsv.cz/documents/20142/225513/Zpr%C3%A1va+2019.pdf/6f47700b-66a2-00a1-c86e-28090e8f5c6a</vt:lpwstr>
      </vt:variant>
      <vt:variant>
        <vt:lpwstr/>
      </vt:variant>
      <vt:variant>
        <vt:i4>5373975</vt:i4>
      </vt:variant>
      <vt:variant>
        <vt:i4>3</vt:i4>
      </vt:variant>
      <vt:variant>
        <vt:i4>0</vt:i4>
      </vt:variant>
      <vt:variant>
        <vt:i4>5</vt:i4>
      </vt:variant>
      <vt:variant>
        <vt:lpwstr>https://www.usoud.cz/fileadmin/user_upload/ustavni_soud_www/Aktualne_prilohy/2010_04_16.pdf</vt:lpwstr>
      </vt:variant>
      <vt:variant>
        <vt:lpwstr/>
      </vt:variant>
      <vt:variant>
        <vt:i4>4325427</vt:i4>
      </vt:variant>
      <vt:variant>
        <vt:i4>0</vt:i4>
      </vt:variant>
      <vt:variant>
        <vt:i4>0</vt:i4>
      </vt:variant>
      <vt:variant>
        <vt:i4>5</vt:i4>
      </vt:variant>
      <vt:variant>
        <vt:lpwstr>https://katalog.vupsv.cz/fulltext/vz_500.pdf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KLINGEROVÁ Lucie, Mgr.</dc:creator>
  <cp:keywords/>
  <dc:description/>
  <cp:lastModifiedBy>Jan Chudý</cp:lastModifiedBy>
  <cp:revision>2</cp:revision>
  <cp:lastPrinted>2023-04-12T12:35:00Z</cp:lastPrinted>
  <dcterms:created xsi:type="dcterms:W3CDTF">2023-04-18T11:07:00Z</dcterms:created>
  <dcterms:modified xsi:type="dcterms:W3CDTF">2023-04-18T11:07:00Z</dcterms:modified>
</cp:coreProperties>
</file>