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8574" w14:textId="52E2502B" w:rsidR="009B0AE2" w:rsidRDefault="00E31BDE" w:rsidP="001E1BF5">
      <w:pPr>
        <w:pStyle w:val="Bezmezer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</w:t>
      </w:r>
      <w:r w:rsidR="001E1BF5" w:rsidRPr="001E1BF5">
        <w:rPr>
          <w:rFonts w:ascii="Times New Roman" w:hAnsi="Times New Roman"/>
          <w:b/>
          <w:bCs/>
          <w:sz w:val="24"/>
        </w:rPr>
        <w:t>II.</w:t>
      </w:r>
    </w:p>
    <w:p w14:paraId="7BE82B1D" w14:textId="77777777" w:rsidR="001E1BF5" w:rsidRPr="00D57858" w:rsidRDefault="001E1BF5" w:rsidP="001E1BF5">
      <w:pPr>
        <w:pStyle w:val="Bezmezer"/>
        <w:jc w:val="right"/>
        <w:rPr>
          <w:rFonts w:ascii="Times New Roman" w:hAnsi="Times New Roman"/>
          <w:sz w:val="24"/>
        </w:rPr>
      </w:pPr>
    </w:p>
    <w:p w14:paraId="13CE3B2D" w14:textId="585FDF25" w:rsidR="00A01076" w:rsidRPr="00E623EC" w:rsidRDefault="00A01076" w:rsidP="00745C34">
      <w:pPr>
        <w:pStyle w:val="Bezmezer"/>
        <w:jc w:val="center"/>
        <w:rPr>
          <w:rFonts w:ascii="Times New Roman" w:hAnsi="Times New Roman"/>
          <w:b/>
          <w:bCs/>
          <w:i/>
          <w:iCs/>
          <w:color w:val="FF0000"/>
          <w:sz w:val="24"/>
        </w:rPr>
      </w:pPr>
      <w:r w:rsidRPr="00226D7B">
        <w:rPr>
          <w:rFonts w:ascii="Times New Roman" w:hAnsi="Times New Roman"/>
          <w:sz w:val="24"/>
        </w:rPr>
        <w:t>N</w:t>
      </w:r>
      <w:r w:rsidR="00B54BDD" w:rsidRPr="00226D7B">
        <w:rPr>
          <w:rFonts w:ascii="Times New Roman" w:hAnsi="Times New Roman"/>
          <w:sz w:val="24"/>
        </w:rPr>
        <w:t xml:space="preserve"> </w:t>
      </w:r>
      <w:r w:rsidRPr="00226D7B">
        <w:rPr>
          <w:rFonts w:ascii="Times New Roman" w:hAnsi="Times New Roman"/>
          <w:sz w:val="24"/>
        </w:rPr>
        <w:t>á</w:t>
      </w:r>
      <w:r w:rsidR="00B54BDD" w:rsidRPr="00226D7B">
        <w:rPr>
          <w:rFonts w:ascii="Times New Roman" w:hAnsi="Times New Roman"/>
          <w:sz w:val="24"/>
        </w:rPr>
        <w:t xml:space="preserve"> </w:t>
      </w:r>
      <w:r w:rsidRPr="00226D7B">
        <w:rPr>
          <w:rFonts w:ascii="Times New Roman" w:hAnsi="Times New Roman"/>
          <w:sz w:val="24"/>
        </w:rPr>
        <w:t>v</w:t>
      </w:r>
      <w:r w:rsidR="00B54BDD" w:rsidRPr="00226D7B">
        <w:rPr>
          <w:rFonts w:ascii="Times New Roman" w:hAnsi="Times New Roman"/>
          <w:sz w:val="24"/>
        </w:rPr>
        <w:t> </w:t>
      </w:r>
      <w:r w:rsidRPr="00226D7B">
        <w:rPr>
          <w:rFonts w:ascii="Times New Roman" w:hAnsi="Times New Roman"/>
          <w:sz w:val="24"/>
        </w:rPr>
        <w:t>r</w:t>
      </w:r>
      <w:r w:rsidR="00B54BDD" w:rsidRPr="00226D7B">
        <w:rPr>
          <w:rFonts w:ascii="Times New Roman" w:hAnsi="Times New Roman"/>
          <w:sz w:val="24"/>
        </w:rPr>
        <w:t xml:space="preserve"> </w:t>
      </w:r>
      <w:r w:rsidRPr="00226D7B">
        <w:rPr>
          <w:rFonts w:ascii="Times New Roman" w:hAnsi="Times New Roman"/>
          <w:sz w:val="24"/>
        </w:rPr>
        <w:t>h</w:t>
      </w:r>
      <w:r w:rsidR="000C59D4" w:rsidRPr="00226D7B">
        <w:rPr>
          <w:rFonts w:ascii="Times New Roman" w:hAnsi="Times New Roman"/>
          <w:sz w:val="24"/>
        </w:rPr>
        <w:t xml:space="preserve">  </w:t>
      </w:r>
    </w:p>
    <w:p w14:paraId="69C0D68E" w14:textId="77777777" w:rsidR="00A01076" w:rsidRPr="00226D7B" w:rsidRDefault="00A01076" w:rsidP="00B81B61">
      <w:pPr>
        <w:pStyle w:val="Bezmezer"/>
        <w:jc w:val="center"/>
        <w:rPr>
          <w:rFonts w:ascii="Times New Roman" w:hAnsi="Times New Roman"/>
          <w:sz w:val="24"/>
        </w:rPr>
      </w:pPr>
    </w:p>
    <w:p w14:paraId="25F4020B" w14:textId="77777777" w:rsidR="00A01076" w:rsidRPr="00226D7B" w:rsidRDefault="00A01076" w:rsidP="00B81B61">
      <w:pPr>
        <w:pStyle w:val="Bezmezer"/>
        <w:jc w:val="center"/>
        <w:rPr>
          <w:rFonts w:ascii="Times New Roman" w:hAnsi="Times New Roman"/>
          <w:b/>
          <w:sz w:val="24"/>
        </w:rPr>
      </w:pPr>
      <w:r w:rsidRPr="00226D7B">
        <w:rPr>
          <w:rFonts w:ascii="Times New Roman" w:hAnsi="Times New Roman"/>
          <w:b/>
          <w:sz w:val="24"/>
        </w:rPr>
        <w:t>ZÁKON</w:t>
      </w:r>
    </w:p>
    <w:p w14:paraId="1CFF2E86" w14:textId="77777777" w:rsidR="00B54BDD" w:rsidRPr="00D57858" w:rsidRDefault="00B54BDD" w:rsidP="00B81B61">
      <w:pPr>
        <w:pStyle w:val="Bezmezer"/>
        <w:jc w:val="center"/>
        <w:rPr>
          <w:rFonts w:ascii="Times New Roman" w:hAnsi="Times New Roman"/>
          <w:bCs/>
          <w:sz w:val="24"/>
        </w:rPr>
      </w:pPr>
    </w:p>
    <w:p w14:paraId="04A88BF2" w14:textId="0B1577B9" w:rsidR="00B54BDD" w:rsidRPr="00226D7B" w:rsidRDefault="00B54BDD" w:rsidP="00B81B61">
      <w:pPr>
        <w:pStyle w:val="Bezmezer"/>
        <w:jc w:val="center"/>
        <w:rPr>
          <w:rFonts w:ascii="Times New Roman" w:hAnsi="Times New Roman"/>
          <w:sz w:val="24"/>
        </w:rPr>
      </w:pPr>
      <w:r w:rsidRPr="00226D7B">
        <w:rPr>
          <w:rFonts w:ascii="Times New Roman" w:hAnsi="Times New Roman"/>
          <w:sz w:val="24"/>
        </w:rPr>
        <w:t>ze dne ………</w:t>
      </w:r>
      <w:r w:rsidR="00D619CC">
        <w:rPr>
          <w:rFonts w:ascii="Times New Roman" w:hAnsi="Times New Roman"/>
          <w:sz w:val="24"/>
        </w:rPr>
        <w:t>….</w:t>
      </w:r>
      <w:r w:rsidR="007C7AD2">
        <w:rPr>
          <w:rFonts w:ascii="Times New Roman" w:hAnsi="Times New Roman"/>
          <w:sz w:val="24"/>
        </w:rPr>
        <w:t xml:space="preserve"> </w:t>
      </w:r>
      <w:r w:rsidRPr="00226D7B">
        <w:rPr>
          <w:rFonts w:ascii="Times New Roman" w:hAnsi="Times New Roman"/>
          <w:sz w:val="24"/>
        </w:rPr>
        <w:t>202</w:t>
      </w:r>
      <w:r w:rsidR="001C1216">
        <w:rPr>
          <w:rFonts w:ascii="Times New Roman" w:hAnsi="Times New Roman"/>
          <w:sz w:val="24"/>
        </w:rPr>
        <w:t>3</w:t>
      </w:r>
      <w:r w:rsidRPr="00226D7B">
        <w:rPr>
          <w:rFonts w:ascii="Times New Roman" w:hAnsi="Times New Roman"/>
          <w:sz w:val="24"/>
        </w:rPr>
        <w:t>,</w:t>
      </w:r>
    </w:p>
    <w:p w14:paraId="510D7E68" w14:textId="77777777" w:rsidR="00B54BDD" w:rsidRPr="00226D7B" w:rsidRDefault="00B54BDD" w:rsidP="00B81B61">
      <w:pPr>
        <w:pStyle w:val="Bezmezer"/>
        <w:jc w:val="center"/>
        <w:rPr>
          <w:rFonts w:ascii="Times New Roman" w:hAnsi="Times New Roman"/>
          <w:sz w:val="24"/>
        </w:rPr>
      </w:pPr>
    </w:p>
    <w:p w14:paraId="49D897B1" w14:textId="23D63C2D" w:rsidR="00B54BDD" w:rsidRDefault="001C1216" w:rsidP="001C1216">
      <w:pPr>
        <w:pStyle w:val="Bezmezer"/>
        <w:jc w:val="center"/>
        <w:rPr>
          <w:rFonts w:ascii="Times New Roman" w:hAnsi="Times New Roman"/>
          <w:b/>
          <w:sz w:val="24"/>
        </w:rPr>
      </w:pPr>
      <w:r w:rsidRPr="00226D7B">
        <w:rPr>
          <w:rFonts w:ascii="Times New Roman" w:hAnsi="Times New Roman"/>
          <w:b/>
          <w:sz w:val="24"/>
        </w:rPr>
        <w:t>kterým se mění zákon</w:t>
      </w:r>
      <w:r w:rsidR="003B2888">
        <w:rPr>
          <w:rFonts w:ascii="Times New Roman" w:hAnsi="Times New Roman"/>
          <w:b/>
          <w:sz w:val="24"/>
        </w:rPr>
        <w:t> </w:t>
      </w:r>
      <w:r w:rsidRPr="00226D7B">
        <w:rPr>
          <w:rFonts w:ascii="Times New Roman" w:hAnsi="Times New Roman"/>
          <w:b/>
          <w:sz w:val="24"/>
        </w:rPr>
        <w:t>č.</w:t>
      </w:r>
      <w:r w:rsidR="003B2888">
        <w:rPr>
          <w:rFonts w:ascii="Times New Roman" w:hAnsi="Times New Roman"/>
          <w:b/>
          <w:sz w:val="24"/>
        </w:rPr>
        <w:t> </w:t>
      </w:r>
      <w:r w:rsidRPr="00226D7B">
        <w:rPr>
          <w:rFonts w:ascii="Times New Roman" w:hAnsi="Times New Roman"/>
          <w:b/>
          <w:sz w:val="24"/>
        </w:rPr>
        <w:t>155/1995 Sb., o důchodovém pojištění, ve znění pozdějších předpisů</w:t>
      </w:r>
    </w:p>
    <w:p w14:paraId="6CCF5918" w14:textId="77777777" w:rsidR="003831CF" w:rsidRDefault="003831CF" w:rsidP="001C1216">
      <w:pPr>
        <w:pStyle w:val="Bezmezer"/>
        <w:jc w:val="center"/>
        <w:rPr>
          <w:rFonts w:ascii="Times New Roman" w:hAnsi="Times New Roman"/>
          <w:b/>
          <w:sz w:val="24"/>
        </w:rPr>
      </w:pPr>
    </w:p>
    <w:p w14:paraId="15403141" w14:textId="77777777" w:rsidR="00B54BDD" w:rsidRPr="00D57858" w:rsidRDefault="00B54BDD" w:rsidP="001C1216">
      <w:pPr>
        <w:pStyle w:val="Bezmezer"/>
        <w:jc w:val="center"/>
        <w:rPr>
          <w:rFonts w:ascii="Times New Roman" w:hAnsi="Times New Roman"/>
          <w:bCs/>
          <w:sz w:val="24"/>
        </w:rPr>
      </w:pPr>
    </w:p>
    <w:p w14:paraId="5AAE36D2" w14:textId="26D4FA87" w:rsidR="00B54BDD" w:rsidRDefault="00B54BDD" w:rsidP="00455985">
      <w:pPr>
        <w:pStyle w:val="Bezmezer"/>
        <w:ind w:firstLine="708"/>
        <w:rPr>
          <w:rFonts w:ascii="Times New Roman" w:hAnsi="Times New Roman"/>
          <w:sz w:val="24"/>
        </w:rPr>
      </w:pPr>
      <w:r w:rsidRPr="00226D7B">
        <w:rPr>
          <w:rFonts w:ascii="Times New Roman" w:hAnsi="Times New Roman"/>
          <w:sz w:val="24"/>
        </w:rPr>
        <w:t>Parlament se usnesl na tomto zákoně České republiky:</w:t>
      </w:r>
    </w:p>
    <w:p w14:paraId="22E617E0" w14:textId="77777777" w:rsidR="001C1216" w:rsidRDefault="001C1216" w:rsidP="001C1216">
      <w:pPr>
        <w:pStyle w:val="Bezmezer"/>
        <w:jc w:val="center"/>
        <w:rPr>
          <w:rFonts w:ascii="Times New Roman" w:hAnsi="Times New Roman"/>
          <w:b/>
          <w:sz w:val="24"/>
        </w:rPr>
      </w:pPr>
    </w:p>
    <w:p w14:paraId="702EBB1F" w14:textId="7999FF75" w:rsidR="001C1216" w:rsidRDefault="001C1216" w:rsidP="001C1216">
      <w:pPr>
        <w:pStyle w:val="Bezmez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I</w:t>
      </w:r>
    </w:p>
    <w:p w14:paraId="1DCF2681" w14:textId="77777777" w:rsidR="00B54BDD" w:rsidRPr="00226D7B" w:rsidRDefault="00B54BDD" w:rsidP="001243C5">
      <w:pPr>
        <w:pStyle w:val="Bezmezer"/>
        <w:rPr>
          <w:rFonts w:ascii="Times New Roman" w:hAnsi="Times New Roman"/>
          <w:sz w:val="24"/>
        </w:rPr>
      </w:pPr>
    </w:p>
    <w:p w14:paraId="7C132BBD" w14:textId="14AA55CC" w:rsidR="002925A0" w:rsidRDefault="00F973FC" w:rsidP="00F973FC">
      <w:pPr>
        <w:pStyle w:val="Bezmezer"/>
        <w:rPr>
          <w:rFonts w:ascii="Times New Roman" w:eastAsia="Arial" w:hAnsi="Times New Roman"/>
          <w:color w:val="auto"/>
          <w:sz w:val="24"/>
        </w:rPr>
      </w:pPr>
      <w:r>
        <w:rPr>
          <w:rFonts w:ascii="Times New Roman" w:eastAsia="Calibri" w:hAnsi="Times New Roman"/>
          <w:color w:val="auto"/>
          <w:sz w:val="24"/>
          <w:lang w:eastAsia="en-US"/>
        </w:rPr>
        <w:t xml:space="preserve">      </w:t>
      </w:r>
      <w:r w:rsidR="00B54BDD" w:rsidRPr="00226D7B">
        <w:rPr>
          <w:rFonts w:ascii="Times New Roman" w:eastAsia="Calibri" w:hAnsi="Times New Roman"/>
          <w:color w:val="auto"/>
          <w:sz w:val="24"/>
          <w:lang w:eastAsia="en-US"/>
        </w:rPr>
        <w:t>Zákon č. 155/1995 Sb., o důchodovém pojištění, ve znění zákona č. 134/1997 Sb., zákona č. 289/1997 Sb., zákona č. 224/1999 Sb., zákona č. 18/2000 Sb., zákona č. 118/2000 Sb., zákona č. 132/2000 Sb., zákona č. 220/2000 Sb., zákona č. 116/2001 Sb., zákona č. 188/2001 Sb., zákona č. 353/2001 Sb., zák</w:t>
      </w:r>
      <w:r w:rsidR="00A71539" w:rsidRPr="00226D7B">
        <w:rPr>
          <w:rFonts w:ascii="Times New Roman" w:eastAsia="Calibri" w:hAnsi="Times New Roman"/>
          <w:color w:val="auto"/>
          <w:sz w:val="24"/>
          <w:lang w:eastAsia="en-US"/>
        </w:rPr>
        <w:t>ona č. 198/2002 Sb., zákona č. </w:t>
      </w:r>
      <w:r w:rsidR="00B54BDD" w:rsidRPr="00226D7B">
        <w:rPr>
          <w:rFonts w:ascii="Times New Roman" w:eastAsia="Calibri" w:hAnsi="Times New Roman"/>
          <w:color w:val="auto"/>
          <w:sz w:val="24"/>
          <w:lang w:eastAsia="en-US"/>
        </w:rPr>
        <w:t>263/2002 Sb., zákona č. 264/2002 Sb., zákona č. 362/2003 Sb., zákona č. 424/2003 Sb., zákona č. 425/2003 Sb., zákona č. 85/2004 Sb., zákona č. 281/2004 Sb., zákona č. 359/2004 Sb., zákona č. 436/2004 Sb., zákona č. 562/2004 Sb., zákona č. 168/2005 Sb., zákona č. 361/2005 Sb., zákona č. 377/2005 Sb., zákona č. 24/2006 Sb., zákona č. 109/2006 Sb., zákona č. 189/2006 Sb., zákona č. 264/2006 Sb., zákona č.</w:t>
      </w:r>
      <w:r w:rsidR="009C051A">
        <w:rPr>
          <w:rFonts w:ascii="Times New Roman" w:eastAsia="Calibri" w:hAnsi="Times New Roman"/>
          <w:color w:val="auto"/>
          <w:sz w:val="24"/>
          <w:lang w:eastAsia="en-US"/>
        </w:rPr>
        <w:t> </w:t>
      </w:r>
      <w:r w:rsidR="00B54BDD" w:rsidRPr="00226D7B">
        <w:rPr>
          <w:rFonts w:ascii="Times New Roman" w:eastAsia="Calibri" w:hAnsi="Times New Roman"/>
          <w:color w:val="auto"/>
          <w:sz w:val="24"/>
          <w:lang w:eastAsia="en-US"/>
        </w:rPr>
        <w:t>267/2006 Sb., nálezu Ústavního soudu, vyhlášeného pod č. 405/2006 Sb., zákona č. 152/2007 Sb., zákona č. 181/2007 Sb., zákona č. 218/2007 Sb., zákona č. 261/2007 Sb., zákona č. 296/2007 Sb., zákona č. 178/2008 Sb., zákona č. 305/2008 Sb., zákona č. 306/2008 Sb., zákona č. 382/2008 Sb., zákona č. 479/2008 Sb., zákona č. 41/2009 Sb., zákona č. 108/2009 Sb., zákona č. 158/2009 Sb., zákona č. 303/2009 Sb., nálezu Ústavního soudu, vyhlášeného pod č. 135/2010 Sb., zákona č.</w:t>
      </w:r>
      <w:r w:rsidR="00812077">
        <w:rPr>
          <w:rFonts w:ascii="Times New Roman" w:eastAsia="Calibri" w:hAnsi="Times New Roman"/>
          <w:color w:val="auto"/>
          <w:sz w:val="24"/>
          <w:lang w:eastAsia="en-US"/>
        </w:rPr>
        <w:t xml:space="preserve"> </w:t>
      </w:r>
      <w:r w:rsidR="00B54BDD" w:rsidRPr="00226D7B">
        <w:rPr>
          <w:rFonts w:ascii="Times New Roman" w:eastAsia="Calibri" w:hAnsi="Times New Roman"/>
          <w:color w:val="auto"/>
          <w:sz w:val="24"/>
          <w:lang w:eastAsia="en-US"/>
        </w:rPr>
        <w:t>347/2010 Sb., zákona č. 73/2011 Sb., zákona č. 220/2011 Sb., zákona č.</w:t>
      </w:r>
      <w:r w:rsidR="00812077">
        <w:rPr>
          <w:rFonts w:ascii="Times New Roman" w:eastAsia="Calibri" w:hAnsi="Times New Roman"/>
          <w:color w:val="auto"/>
          <w:sz w:val="24"/>
          <w:lang w:eastAsia="en-US"/>
        </w:rPr>
        <w:t> </w:t>
      </w:r>
      <w:r w:rsidR="00B54BDD" w:rsidRPr="00226D7B">
        <w:rPr>
          <w:rFonts w:ascii="Times New Roman" w:eastAsia="Calibri" w:hAnsi="Times New Roman"/>
          <w:color w:val="auto"/>
          <w:sz w:val="24"/>
          <w:lang w:eastAsia="en-US"/>
        </w:rPr>
        <w:t>341/2011</w:t>
      </w:r>
      <w:r w:rsidR="00812077">
        <w:rPr>
          <w:rFonts w:ascii="Times New Roman" w:eastAsia="Calibri" w:hAnsi="Times New Roman"/>
          <w:color w:val="auto"/>
          <w:sz w:val="24"/>
          <w:lang w:eastAsia="en-US"/>
        </w:rPr>
        <w:t> </w:t>
      </w:r>
      <w:r w:rsidR="00B54BDD" w:rsidRPr="00226D7B">
        <w:rPr>
          <w:rFonts w:ascii="Times New Roman" w:eastAsia="Calibri" w:hAnsi="Times New Roman"/>
          <w:color w:val="auto"/>
          <w:sz w:val="24"/>
          <w:lang w:eastAsia="en-US"/>
        </w:rPr>
        <w:t>Sb., zákona č. 348/2011 Sb., zákona č. 364/2011 Sb., zákona č. 365/2011 Sb., zákona č. 428/2011 Sb., zákona č. 458/2011 Sb., zákona č. 470/2011 Sb., zákona č. 314/2012 Sb., zákona č. 401/2012 Sb., zákona č. 403/2012 Sb., zákona č. 463/2012 Sb., zákona č. 267/2013 Sb., zákona č. 274/2013 Sb., zákona č. 303/2013 Sb., zákonného opatření Senátu č. 344/2013 Sb., zákona č. 18</w:t>
      </w:r>
      <w:r w:rsidR="00A71539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2/2014 Sb., zákona č. 183/2014 </w:t>
      </w:r>
      <w:r w:rsidR="00B54BDD" w:rsidRPr="00226D7B">
        <w:rPr>
          <w:rFonts w:ascii="Times New Roman" w:eastAsia="Calibri" w:hAnsi="Times New Roman"/>
          <w:color w:val="auto"/>
          <w:sz w:val="24"/>
          <w:lang w:eastAsia="en-US"/>
        </w:rPr>
        <w:t>Sb., zákona č. 250/2014 Sb., zákona č. 267/2014 Sb., zákona č. 332/2014 Sb., zákona č. 131/2015 Sb., zákona č. 377/2015 Sb., zákona č. 47/2016 Sb., zákona č. 137/2016 Sb., zákona č. 190/2016 Sb., zákona č. 212/2016 Sb., zákona č. 213/2016 Sb., zákona č. 24/2017 Sb., zákona č. 99/2017 Sb., zákona č. 148/2017 Sb., zákona č. 150/2017 Sb., zákona č. 203/2017 Sb., zákona č. 259/2017 Sb., zákona č. 310/2017 Sb., zákona č. 191/2018 Sb., zákona č. 32/2019 Sb.</w:t>
      </w:r>
      <w:r w:rsidR="00080EEA" w:rsidRPr="00226D7B">
        <w:rPr>
          <w:rFonts w:ascii="Times New Roman" w:eastAsia="Calibri" w:hAnsi="Times New Roman"/>
          <w:color w:val="auto"/>
          <w:sz w:val="24"/>
          <w:lang w:eastAsia="en-US"/>
        </w:rPr>
        <w:t>, zákona č.</w:t>
      </w:r>
      <w:r w:rsidR="00B54BDD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</w:t>
      </w:r>
      <w:r w:rsidR="00080EEA" w:rsidRPr="00226D7B">
        <w:rPr>
          <w:rFonts w:ascii="Times New Roman" w:eastAsia="Calibri" w:hAnsi="Times New Roman"/>
          <w:color w:val="auto"/>
          <w:sz w:val="24"/>
          <w:lang w:eastAsia="en-US"/>
        </w:rPr>
        <w:t>244</w:t>
      </w:r>
      <w:r w:rsidR="00B54BDD" w:rsidRPr="00226D7B">
        <w:rPr>
          <w:rFonts w:ascii="Times New Roman" w:eastAsia="Calibri" w:hAnsi="Times New Roman"/>
          <w:color w:val="auto"/>
          <w:sz w:val="24"/>
          <w:lang w:eastAsia="en-US"/>
        </w:rPr>
        <w:t>/2019 Sb.</w:t>
      </w:r>
      <w:r w:rsidR="00780A24" w:rsidRPr="00226D7B">
        <w:rPr>
          <w:rFonts w:ascii="Times New Roman" w:eastAsia="Calibri" w:hAnsi="Times New Roman"/>
          <w:color w:val="auto"/>
          <w:sz w:val="24"/>
          <w:lang w:eastAsia="en-US"/>
        </w:rPr>
        <w:t>,</w:t>
      </w:r>
      <w:r w:rsidR="00080EEA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 zákona č. 315/2019 Sb.</w:t>
      </w:r>
      <w:r w:rsidR="00B54BDD" w:rsidRPr="00226D7B">
        <w:rPr>
          <w:rFonts w:ascii="Times New Roman" w:eastAsia="Calibri" w:hAnsi="Times New Roman"/>
          <w:color w:val="auto"/>
          <w:sz w:val="24"/>
          <w:lang w:eastAsia="en-US"/>
        </w:rPr>
        <w:t>,</w:t>
      </w:r>
      <w:r w:rsidR="00780A24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zákona č. </w:t>
      </w:r>
      <w:r w:rsidR="00521D91" w:rsidRPr="00226D7B">
        <w:rPr>
          <w:rFonts w:ascii="Times New Roman" w:eastAsia="Calibri" w:hAnsi="Times New Roman"/>
          <w:color w:val="auto"/>
          <w:sz w:val="24"/>
          <w:lang w:eastAsia="en-US"/>
        </w:rPr>
        <w:t>469</w:t>
      </w:r>
      <w:r w:rsidR="00780A24" w:rsidRPr="00226D7B">
        <w:rPr>
          <w:rFonts w:ascii="Times New Roman" w:eastAsia="Calibri" w:hAnsi="Times New Roman"/>
          <w:color w:val="auto"/>
          <w:sz w:val="24"/>
          <w:lang w:eastAsia="en-US"/>
        </w:rPr>
        <w:t>/202</w:t>
      </w:r>
      <w:r w:rsidR="00521D91" w:rsidRPr="00226D7B">
        <w:rPr>
          <w:rFonts w:ascii="Times New Roman" w:eastAsia="Calibri" w:hAnsi="Times New Roman"/>
          <w:color w:val="auto"/>
          <w:sz w:val="24"/>
          <w:lang w:eastAsia="en-US"/>
        </w:rPr>
        <w:t>0</w:t>
      </w:r>
      <w:r w:rsidR="00780A24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</w:t>
      </w:r>
      <w:r w:rsidR="005F6148">
        <w:rPr>
          <w:rFonts w:ascii="Times New Roman" w:eastAsia="Calibri" w:hAnsi="Times New Roman"/>
          <w:color w:val="auto"/>
          <w:sz w:val="24"/>
          <w:lang w:eastAsia="en-US"/>
        </w:rPr>
        <w:t>.,</w:t>
      </w:r>
      <w:r w:rsidR="00780A24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zákona č. </w:t>
      </w:r>
      <w:r w:rsidR="00B05DE9">
        <w:rPr>
          <w:rFonts w:ascii="Times New Roman" w:eastAsia="Calibri" w:hAnsi="Times New Roman"/>
          <w:color w:val="auto"/>
          <w:sz w:val="24"/>
          <w:lang w:eastAsia="en-US"/>
        </w:rPr>
        <w:t>54</w:t>
      </w:r>
      <w:r w:rsidR="007534A0">
        <w:rPr>
          <w:rFonts w:ascii="Times New Roman" w:eastAsia="Calibri" w:hAnsi="Times New Roman"/>
          <w:color w:val="auto"/>
          <w:sz w:val="24"/>
          <w:lang w:eastAsia="en-US"/>
        </w:rPr>
        <w:t>0</w:t>
      </w:r>
      <w:r w:rsidR="00780A24" w:rsidRPr="00226D7B">
        <w:rPr>
          <w:rFonts w:ascii="Times New Roman" w:eastAsia="Calibri" w:hAnsi="Times New Roman"/>
          <w:color w:val="auto"/>
          <w:sz w:val="24"/>
          <w:lang w:eastAsia="en-US"/>
        </w:rPr>
        <w:t>/202</w:t>
      </w:r>
      <w:r w:rsidR="00521D91" w:rsidRPr="00226D7B">
        <w:rPr>
          <w:rFonts w:ascii="Times New Roman" w:eastAsia="Calibri" w:hAnsi="Times New Roman"/>
          <w:color w:val="auto"/>
          <w:sz w:val="24"/>
          <w:lang w:eastAsia="en-US"/>
        </w:rPr>
        <w:t>0</w:t>
      </w:r>
      <w:r w:rsidR="00780A24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Sb</w:t>
      </w:r>
      <w:r w:rsidR="00EC4C26" w:rsidRPr="00226D7B">
        <w:rPr>
          <w:rFonts w:ascii="Times New Roman" w:eastAsia="Calibri" w:hAnsi="Times New Roman"/>
          <w:color w:val="auto"/>
          <w:sz w:val="24"/>
          <w:lang w:eastAsia="en-US"/>
        </w:rPr>
        <w:t>.</w:t>
      </w:r>
      <w:r w:rsidR="007534A0">
        <w:rPr>
          <w:rFonts w:ascii="Times New Roman" w:eastAsia="Calibri" w:hAnsi="Times New Roman"/>
          <w:color w:val="auto"/>
          <w:sz w:val="24"/>
          <w:lang w:eastAsia="en-US"/>
        </w:rPr>
        <w:t>,</w:t>
      </w:r>
      <w:r w:rsidR="00EC4C26" w:rsidRPr="00226D7B">
        <w:rPr>
          <w:rFonts w:ascii="Times New Roman" w:eastAsia="Calibri" w:hAnsi="Times New Roman"/>
          <w:color w:val="auto"/>
          <w:sz w:val="24"/>
          <w:lang w:eastAsia="en-US"/>
        </w:rPr>
        <w:t xml:space="preserve"> </w:t>
      </w:r>
      <w:r w:rsidR="005F6148">
        <w:rPr>
          <w:rFonts w:ascii="Times New Roman" w:eastAsia="Calibri" w:hAnsi="Times New Roman"/>
          <w:color w:val="auto"/>
          <w:sz w:val="24"/>
          <w:lang w:eastAsia="en-US"/>
        </w:rPr>
        <w:t>zákona č. 323/2021 Sb.</w:t>
      </w:r>
      <w:r w:rsidR="00EC1E36">
        <w:rPr>
          <w:rFonts w:ascii="Times New Roman" w:eastAsia="Calibri" w:hAnsi="Times New Roman"/>
          <w:color w:val="auto"/>
          <w:sz w:val="24"/>
          <w:lang w:eastAsia="en-US"/>
        </w:rPr>
        <w:t>,</w:t>
      </w:r>
      <w:r w:rsidR="005F6148">
        <w:rPr>
          <w:rFonts w:ascii="Times New Roman" w:eastAsia="Calibri" w:hAnsi="Times New Roman"/>
          <w:color w:val="auto"/>
          <w:sz w:val="24"/>
          <w:lang w:eastAsia="en-US"/>
        </w:rPr>
        <w:t xml:space="preserve"> zákona č. 330/2021 Sb.</w:t>
      </w:r>
      <w:r w:rsidR="006B7A88">
        <w:rPr>
          <w:rFonts w:ascii="Times New Roman" w:eastAsia="Calibri" w:hAnsi="Times New Roman"/>
          <w:color w:val="auto"/>
          <w:sz w:val="24"/>
          <w:lang w:eastAsia="en-US"/>
        </w:rPr>
        <w:t>,</w:t>
      </w:r>
      <w:r w:rsidR="00EC1E36">
        <w:rPr>
          <w:rFonts w:ascii="Times New Roman" w:eastAsia="Calibri" w:hAnsi="Times New Roman"/>
          <w:color w:val="auto"/>
          <w:sz w:val="24"/>
          <w:lang w:eastAsia="en-US"/>
        </w:rPr>
        <w:t xml:space="preserve"> zákona č. 221/2022 Sb.</w:t>
      </w:r>
      <w:r w:rsidR="009D23C3">
        <w:rPr>
          <w:rFonts w:ascii="Times New Roman" w:eastAsia="Calibri" w:hAnsi="Times New Roman"/>
          <w:color w:val="auto"/>
          <w:sz w:val="24"/>
          <w:lang w:eastAsia="en-US"/>
        </w:rPr>
        <w:t>,</w:t>
      </w:r>
      <w:r w:rsidR="006B7A88">
        <w:rPr>
          <w:rFonts w:ascii="Times New Roman" w:eastAsia="Calibri" w:hAnsi="Times New Roman"/>
          <w:color w:val="auto"/>
          <w:sz w:val="24"/>
          <w:lang w:eastAsia="en-US"/>
        </w:rPr>
        <w:t xml:space="preserve"> zákona č. </w:t>
      </w:r>
      <w:r w:rsidR="00D85160">
        <w:rPr>
          <w:rFonts w:ascii="Times New Roman" w:eastAsia="Calibri" w:hAnsi="Times New Roman"/>
          <w:color w:val="auto"/>
          <w:sz w:val="24"/>
          <w:lang w:eastAsia="en-US"/>
        </w:rPr>
        <w:t>455</w:t>
      </w:r>
      <w:r w:rsidR="006B7A88">
        <w:rPr>
          <w:rFonts w:ascii="Times New Roman" w:eastAsia="Calibri" w:hAnsi="Times New Roman"/>
          <w:color w:val="auto"/>
          <w:sz w:val="24"/>
          <w:lang w:eastAsia="en-US"/>
        </w:rPr>
        <w:t>/2022 Sb.</w:t>
      </w:r>
      <w:r w:rsidR="009D23C3">
        <w:rPr>
          <w:rFonts w:ascii="Times New Roman" w:eastAsia="Calibri" w:hAnsi="Times New Roman"/>
          <w:color w:val="auto"/>
          <w:sz w:val="24"/>
          <w:lang w:eastAsia="en-US"/>
        </w:rPr>
        <w:t xml:space="preserve"> a zákona č. 71/2023 Sb.</w:t>
      </w:r>
      <w:r w:rsidR="005F6148">
        <w:rPr>
          <w:rFonts w:ascii="Times New Roman" w:eastAsia="Calibri" w:hAnsi="Times New Roman"/>
          <w:color w:val="auto"/>
          <w:sz w:val="24"/>
          <w:lang w:eastAsia="en-US"/>
        </w:rPr>
        <w:t xml:space="preserve">, </w:t>
      </w:r>
      <w:r w:rsidR="00B54BDD" w:rsidRPr="00226D7B">
        <w:rPr>
          <w:rFonts w:ascii="Times New Roman" w:eastAsia="Calibri" w:hAnsi="Times New Roman"/>
          <w:color w:val="auto"/>
          <w:sz w:val="24"/>
          <w:lang w:eastAsia="en-US"/>
        </w:rPr>
        <w:t>se</w:t>
      </w:r>
      <w:r w:rsidR="00B54BDD" w:rsidRPr="00226D7B">
        <w:rPr>
          <w:rFonts w:ascii="Times New Roman" w:eastAsia="Arial" w:hAnsi="Times New Roman"/>
          <w:color w:val="auto"/>
          <w:sz w:val="24"/>
        </w:rPr>
        <w:t xml:space="preserve"> mění takto:</w:t>
      </w:r>
    </w:p>
    <w:p w14:paraId="63251036" w14:textId="1FEBD278" w:rsidR="00463D88" w:rsidRDefault="00463D88" w:rsidP="009C051A">
      <w:pPr>
        <w:pStyle w:val="Bezmezer"/>
        <w:ind w:firstLine="708"/>
        <w:rPr>
          <w:rFonts w:ascii="Times New Roman" w:eastAsia="Arial" w:hAnsi="Times New Roman"/>
          <w:color w:val="auto"/>
          <w:sz w:val="24"/>
        </w:rPr>
      </w:pPr>
    </w:p>
    <w:p w14:paraId="6323D775" w14:textId="710D89C7" w:rsidR="00A673DB" w:rsidRDefault="00A673DB" w:rsidP="005F6148">
      <w:pPr>
        <w:pStyle w:val="Bezmezer"/>
        <w:rPr>
          <w:rFonts w:ascii="Times New Roman" w:eastAsia="Arial" w:hAnsi="Times New Roman"/>
          <w:color w:val="auto"/>
          <w:sz w:val="24"/>
        </w:rPr>
      </w:pPr>
    </w:p>
    <w:p w14:paraId="7651426B" w14:textId="78671EEA" w:rsidR="00B05171" w:rsidRDefault="00A673DB">
      <w:pPr>
        <w:pStyle w:val="Bezmezer"/>
        <w:numPr>
          <w:ilvl w:val="0"/>
          <w:numId w:val="1"/>
        </w:numPr>
        <w:tabs>
          <w:tab w:val="left" w:pos="142"/>
        </w:tabs>
        <w:ind w:left="284" w:hanging="284"/>
        <w:rPr>
          <w:rFonts w:ascii="Times New Roman" w:hAnsi="Times New Roman"/>
          <w:sz w:val="24"/>
        </w:rPr>
      </w:pPr>
      <w:r w:rsidRPr="00621B83">
        <w:rPr>
          <w:rFonts w:ascii="Times New Roman" w:hAnsi="Times New Roman"/>
          <w:sz w:val="24"/>
        </w:rPr>
        <w:t xml:space="preserve">V § </w:t>
      </w:r>
      <w:r w:rsidR="003C5485">
        <w:rPr>
          <w:rFonts w:ascii="Times New Roman" w:hAnsi="Times New Roman"/>
          <w:sz w:val="24"/>
        </w:rPr>
        <w:t>31 odstavec 1 zní:</w:t>
      </w:r>
    </w:p>
    <w:p w14:paraId="271A005A" w14:textId="2B8C5496" w:rsidR="003C5485" w:rsidRDefault="003C5485" w:rsidP="003C5485">
      <w:pPr>
        <w:pStyle w:val="Bezmezer"/>
        <w:tabs>
          <w:tab w:val="left" w:pos="142"/>
        </w:tabs>
        <w:rPr>
          <w:rFonts w:ascii="Times New Roman" w:hAnsi="Times New Roman"/>
          <w:sz w:val="24"/>
        </w:rPr>
      </w:pPr>
    </w:p>
    <w:p w14:paraId="4195DACE" w14:textId="617A19A4" w:rsidR="003C5485" w:rsidRDefault="003C5485" w:rsidP="003C5485">
      <w:pPr>
        <w:pStyle w:val="Bezmezer"/>
        <w:tabs>
          <w:tab w:val="left" w:pos="142"/>
        </w:tabs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„(1) </w:t>
      </w:r>
      <w:r w:rsidR="00853BC5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ojištěnec má nárok na starobní důchod před dosažením důchodového věku, jestliže získal dobu pojištění </w:t>
      </w:r>
      <w:r w:rsidR="00740F26">
        <w:rPr>
          <w:rFonts w:ascii="Times New Roman" w:hAnsi="Times New Roman"/>
          <w:sz w:val="24"/>
        </w:rPr>
        <w:t xml:space="preserve">stanovenou podle § 29 odst. 1 nebo § 29 odst. 3 písm. a) </w:t>
      </w:r>
      <w:r w:rsidR="009D23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do dosažení důchodového věku mu ode dne, od něhož se starobní důchod přiznává, chybí nejvýše </w:t>
      </w:r>
      <w:r w:rsidR="00740F26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>3</w:t>
      </w:r>
      <w:r w:rsidR="009D23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roky</w:t>
      </w:r>
      <w:r w:rsidR="009D23C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“.</w:t>
      </w:r>
    </w:p>
    <w:p w14:paraId="50BC6EE4" w14:textId="77777777" w:rsidR="003831CF" w:rsidRDefault="003831CF" w:rsidP="003C5485">
      <w:pPr>
        <w:pStyle w:val="Bezmezer"/>
        <w:tabs>
          <w:tab w:val="left" w:pos="142"/>
        </w:tabs>
        <w:ind w:left="426" w:hanging="426"/>
        <w:rPr>
          <w:rFonts w:ascii="Times New Roman" w:hAnsi="Times New Roman"/>
          <w:sz w:val="24"/>
        </w:rPr>
      </w:pPr>
    </w:p>
    <w:p w14:paraId="10C388F5" w14:textId="71CFE011" w:rsidR="00FA674F" w:rsidRDefault="00FA674F">
      <w:pPr>
        <w:pStyle w:val="Bezmezer"/>
        <w:numPr>
          <w:ilvl w:val="0"/>
          <w:numId w:val="1"/>
        </w:numPr>
        <w:tabs>
          <w:tab w:val="left" w:pos="142"/>
          <w:tab w:val="left" w:pos="284"/>
        </w:tabs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§ 34a odst. 2 větě </w:t>
      </w:r>
      <w:r w:rsidR="00740F26">
        <w:rPr>
          <w:rFonts w:ascii="Times New Roman" w:hAnsi="Times New Roman"/>
          <w:sz w:val="24"/>
        </w:rPr>
        <w:t>druhé</w:t>
      </w:r>
      <w:r>
        <w:rPr>
          <w:rFonts w:ascii="Times New Roman" w:hAnsi="Times New Roman"/>
          <w:sz w:val="24"/>
        </w:rPr>
        <w:t xml:space="preserve"> se slova „</w:t>
      </w:r>
      <w:r w:rsidR="0096359B">
        <w:rPr>
          <w:rFonts w:ascii="Times New Roman" w:hAnsi="Times New Roman"/>
          <w:sz w:val="24"/>
        </w:rPr>
        <w:t xml:space="preserve">tolik procent, </w:t>
      </w:r>
      <w:r w:rsidR="00AF259B">
        <w:rPr>
          <w:rFonts w:ascii="Times New Roman" w:hAnsi="Times New Roman"/>
          <w:sz w:val="24"/>
        </w:rPr>
        <w:t>o kolik se zvyšuje procent</w:t>
      </w:r>
      <w:r w:rsidR="00006F11">
        <w:rPr>
          <w:rFonts w:ascii="Times New Roman" w:hAnsi="Times New Roman"/>
          <w:sz w:val="24"/>
        </w:rPr>
        <w:t>n</w:t>
      </w:r>
      <w:r w:rsidR="00AF259B">
        <w:rPr>
          <w:rFonts w:ascii="Times New Roman" w:hAnsi="Times New Roman"/>
          <w:sz w:val="24"/>
        </w:rPr>
        <w:t xml:space="preserve">í výměra vypláceného starobního důchodu podle § 67 </w:t>
      </w:r>
      <w:r w:rsidRPr="00AF259B">
        <w:rPr>
          <w:rFonts w:ascii="Times New Roman" w:hAnsi="Times New Roman"/>
          <w:sz w:val="24"/>
        </w:rPr>
        <w:t>odst. 8 nebo odst. 9</w:t>
      </w:r>
      <w:r>
        <w:rPr>
          <w:rFonts w:ascii="Times New Roman" w:hAnsi="Times New Roman"/>
          <w:sz w:val="24"/>
        </w:rPr>
        <w:t>“ nahrazují slovy „</w:t>
      </w:r>
      <w:r w:rsidR="006005E2">
        <w:rPr>
          <w:rFonts w:ascii="Times New Roman" w:hAnsi="Times New Roman"/>
          <w:sz w:val="24"/>
        </w:rPr>
        <w:t xml:space="preserve">počet procent stanovený podle § 67 odst. 6 věty první nebo podle § 67 odst. 7“.  </w:t>
      </w:r>
    </w:p>
    <w:p w14:paraId="223F665B" w14:textId="7546832D" w:rsidR="00FA674F" w:rsidRDefault="00FA674F" w:rsidP="00FA674F">
      <w:pPr>
        <w:pStyle w:val="Bezmezer"/>
        <w:tabs>
          <w:tab w:val="left" w:pos="142"/>
          <w:tab w:val="left" w:pos="284"/>
        </w:tabs>
        <w:rPr>
          <w:rFonts w:ascii="Times New Roman" w:hAnsi="Times New Roman"/>
          <w:sz w:val="24"/>
        </w:rPr>
      </w:pPr>
    </w:p>
    <w:p w14:paraId="2D23588C" w14:textId="3167F697" w:rsidR="00FA674F" w:rsidRDefault="00892B4B" w:rsidP="00892B4B">
      <w:pPr>
        <w:pStyle w:val="Bezmezer"/>
        <w:tabs>
          <w:tab w:val="left" w:pos="142"/>
          <w:tab w:val="left" w:pos="2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FA674F">
        <w:rPr>
          <w:rFonts w:ascii="Times New Roman" w:hAnsi="Times New Roman"/>
          <w:sz w:val="24"/>
        </w:rPr>
        <w:t xml:space="preserve">V § 34a </w:t>
      </w:r>
      <w:r w:rsidR="00006F11">
        <w:rPr>
          <w:rFonts w:ascii="Times New Roman" w:hAnsi="Times New Roman"/>
          <w:sz w:val="24"/>
        </w:rPr>
        <w:t xml:space="preserve">odst. 2 </w:t>
      </w:r>
      <w:r w:rsidR="00FA674F">
        <w:rPr>
          <w:rFonts w:ascii="Times New Roman" w:hAnsi="Times New Roman"/>
          <w:sz w:val="24"/>
        </w:rPr>
        <w:t xml:space="preserve">se věta </w:t>
      </w:r>
      <w:r w:rsidR="00740F26">
        <w:rPr>
          <w:rFonts w:ascii="Times New Roman" w:hAnsi="Times New Roman"/>
          <w:sz w:val="24"/>
        </w:rPr>
        <w:t>třetí</w:t>
      </w:r>
      <w:r w:rsidR="00FA674F">
        <w:rPr>
          <w:rFonts w:ascii="Times New Roman" w:hAnsi="Times New Roman"/>
          <w:sz w:val="24"/>
        </w:rPr>
        <w:t xml:space="preserve"> zrušuje.</w:t>
      </w:r>
    </w:p>
    <w:p w14:paraId="4D1BBD1B" w14:textId="77777777" w:rsidR="00FA674F" w:rsidRDefault="00FA674F" w:rsidP="00FA674F">
      <w:pPr>
        <w:pStyle w:val="Bezmezer"/>
        <w:tabs>
          <w:tab w:val="left" w:pos="142"/>
          <w:tab w:val="left" w:pos="284"/>
        </w:tabs>
        <w:rPr>
          <w:rFonts w:ascii="Times New Roman" w:hAnsi="Times New Roman"/>
          <w:sz w:val="24"/>
        </w:rPr>
      </w:pPr>
    </w:p>
    <w:p w14:paraId="49B8B9D1" w14:textId="28B8D162" w:rsidR="003C5485" w:rsidRDefault="00892B4B" w:rsidP="00892B4B">
      <w:pPr>
        <w:pStyle w:val="Bezmezer"/>
        <w:tabs>
          <w:tab w:val="left" w:pos="142"/>
          <w:tab w:val="left" w:pos="2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101DC9">
        <w:rPr>
          <w:rFonts w:ascii="Times New Roman" w:hAnsi="Times New Roman"/>
          <w:sz w:val="24"/>
        </w:rPr>
        <w:t>V § 36 odstavec 1 zní:</w:t>
      </w:r>
    </w:p>
    <w:p w14:paraId="669244FA" w14:textId="146D0676" w:rsidR="00101DC9" w:rsidRDefault="00101DC9" w:rsidP="00101DC9">
      <w:pPr>
        <w:pStyle w:val="Bezmezer"/>
        <w:tabs>
          <w:tab w:val="left" w:pos="142"/>
        </w:tabs>
        <w:rPr>
          <w:rFonts w:ascii="Times New Roman" w:hAnsi="Times New Roman"/>
          <w:sz w:val="24"/>
        </w:rPr>
      </w:pPr>
    </w:p>
    <w:p w14:paraId="359D95F7" w14:textId="108C759F" w:rsidR="00101DC9" w:rsidRDefault="00101DC9" w:rsidP="00101DC9">
      <w:pPr>
        <w:pStyle w:val="Bezmezer"/>
        <w:tabs>
          <w:tab w:val="left" w:pos="142"/>
        </w:tabs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„(1) Výše procentní výměry starobního důchodu, na který vznikl nárok podle § 31, se stanoví podle § 34 odst. 1 s tím, že tato výše se snižuje za každých i započatých </w:t>
      </w:r>
      <w:r w:rsidR="003831CF">
        <w:rPr>
          <w:rFonts w:ascii="Times New Roman" w:hAnsi="Times New Roman"/>
          <w:sz w:val="24"/>
        </w:rPr>
        <w:t xml:space="preserve">                            </w:t>
      </w:r>
      <w:r w:rsidR="009D23C3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0</w:t>
      </w:r>
      <w:r w:rsidR="003831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kalendářních dnů z doby ode dne, od kterého se přiznává starobní důchod, do dosažení důchodového věku o </w:t>
      </w:r>
      <w:r w:rsidR="00463D8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,5 % výpočtového základu; výše procentní výměry po </w:t>
      </w:r>
      <w:r w:rsidR="005A1ADE">
        <w:rPr>
          <w:rFonts w:ascii="Times New Roman" w:hAnsi="Times New Roman"/>
          <w:sz w:val="24"/>
        </w:rPr>
        <w:t xml:space="preserve">tomto </w:t>
      </w:r>
      <w:r>
        <w:rPr>
          <w:rFonts w:ascii="Times New Roman" w:hAnsi="Times New Roman"/>
          <w:sz w:val="24"/>
        </w:rPr>
        <w:t>snížení však nesmí být nižší, než je částka uvedená v § 33 odst. 2 větě třetí.“.</w:t>
      </w:r>
    </w:p>
    <w:p w14:paraId="77216A22" w14:textId="77777777" w:rsidR="00452D13" w:rsidRDefault="00452D13" w:rsidP="003831CF">
      <w:pPr>
        <w:pStyle w:val="Bezmezer"/>
        <w:tabs>
          <w:tab w:val="left" w:pos="142"/>
        </w:tabs>
        <w:rPr>
          <w:rFonts w:ascii="Times New Roman" w:hAnsi="Times New Roman"/>
          <w:color w:val="FF0000"/>
          <w:sz w:val="24"/>
        </w:rPr>
      </w:pPr>
    </w:p>
    <w:p w14:paraId="7D32D2E6" w14:textId="31621CBB" w:rsidR="00452D13" w:rsidRDefault="00892B4B" w:rsidP="00892B4B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5. </w:t>
      </w:r>
      <w:r w:rsidR="00452D13">
        <w:rPr>
          <w:rFonts w:ascii="Times New Roman" w:hAnsi="Times New Roman"/>
          <w:color w:val="auto"/>
          <w:sz w:val="24"/>
        </w:rPr>
        <w:t>V § 67 odst. 2 se slova „(dále jen „pravidelný termín“)</w:t>
      </w:r>
      <w:r w:rsidR="00006F11">
        <w:rPr>
          <w:rFonts w:ascii="Times New Roman" w:hAnsi="Times New Roman"/>
          <w:color w:val="auto"/>
          <w:sz w:val="24"/>
        </w:rPr>
        <w:t>“</w:t>
      </w:r>
      <w:r w:rsidR="00452D13">
        <w:rPr>
          <w:rFonts w:ascii="Times New Roman" w:hAnsi="Times New Roman"/>
          <w:color w:val="auto"/>
          <w:sz w:val="24"/>
        </w:rPr>
        <w:t xml:space="preserve"> zrušují.</w:t>
      </w:r>
    </w:p>
    <w:p w14:paraId="42A38092" w14:textId="15882A06" w:rsidR="000F2954" w:rsidRDefault="000F2954" w:rsidP="000F2954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</w:p>
    <w:p w14:paraId="23C0D883" w14:textId="6BFB20FA" w:rsidR="000F2954" w:rsidRDefault="00892B4B" w:rsidP="00892B4B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6. </w:t>
      </w:r>
      <w:r w:rsidR="000F2954">
        <w:rPr>
          <w:rFonts w:ascii="Times New Roman" w:hAnsi="Times New Roman"/>
          <w:color w:val="auto"/>
          <w:sz w:val="24"/>
        </w:rPr>
        <w:t>V § 67 odstav</w:t>
      </w:r>
      <w:r w:rsidR="0022457C">
        <w:rPr>
          <w:rFonts w:ascii="Times New Roman" w:hAnsi="Times New Roman"/>
          <w:color w:val="auto"/>
          <w:sz w:val="24"/>
        </w:rPr>
        <w:t>ec</w:t>
      </w:r>
      <w:r w:rsidR="000F2954">
        <w:rPr>
          <w:rFonts w:ascii="Times New Roman" w:hAnsi="Times New Roman"/>
          <w:color w:val="auto"/>
          <w:sz w:val="24"/>
        </w:rPr>
        <w:t xml:space="preserve"> 3 zní:</w:t>
      </w:r>
    </w:p>
    <w:p w14:paraId="1E8FE440" w14:textId="77777777" w:rsidR="000F2954" w:rsidRDefault="000F2954" w:rsidP="000F2954">
      <w:pPr>
        <w:pStyle w:val="Odstavecseseznamem"/>
        <w:rPr>
          <w:rFonts w:ascii="Times New Roman" w:hAnsi="Times New Roman"/>
          <w:color w:val="auto"/>
          <w:sz w:val="24"/>
        </w:rPr>
      </w:pPr>
    </w:p>
    <w:p w14:paraId="0E47500D" w14:textId="563479B1" w:rsidR="00336D06" w:rsidRDefault="000F2954" w:rsidP="0022457C">
      <w:pPr>
        <w:pStyle w:val="Bezmezer"/>
        <w:tabs>
          <w:tab w:val="left" w:pos="142"/>
        </w:tabs>
        <w:ind w:left="284" w:hanging="284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    „(</w:t>
      </w:r>
      <w:r w:rsidR="0022457C">
        <w:rPr>
          <w:rFonts w:ascii="Times New Roman" w:hAnsi="Times New Roman"/>
          <w:color w:val="auto"/>
          <w:sz w:val="24"/>
        </w:rPr>
        <w:t>3)</w:t>
      </w:r>
      <w:r>
        <w:rPr>
          <w:rFonts w:ascii="Times New Roman" w:hAnsi="Times New Roman"/>
          <w:color w:val="auto"/>
          <w:sz w:val="24"/>
        </w:rPr>
        <w:t xml:space="preserve"> Období pro zjiš</w:t>
      </w:r>
      <w:r w:rsidR="001D3E3E">
        <w:rPr>
          <w:rFonts w:ascii="Times New Roman" w:hAnsi="Times New Roman"/>
          <w:color w:val="auto"/>
          <w:sz w:val="24"/>
        </w:rPr>
        <w:t xml:space="preserve">ťování růstu cen </w:t>
      </w:r>
      <w:r w:rsidR="005A1ADE">
        <w:rPr>
          <w:rFonts w:ascii="Times New Roman" w:hAnsi="Times New Roman"/>
          <w:color w:val="auto"/>
          <w:sz w:val="24"/>
        </w:rPr>
        <w:t xml:space="preserve">se stanoví tak, že </w:t>
      </w:r>
      <w:r w:rsidR="001D3E3E">
        <w:rPr>
          <w:rFonts w:ascii="Times New Roman" w:hAnsi="Times New Roman"/>
          <w:color w:val="auto"/>
          <w:sz w:val="24"/>
        </w:rPr>
        <w:t xml:space="preserve"> prvním měsícem tohoto období je červenec kalendářního roku, který o 2 roky předchází kalendářní</w:t>
      </w:r>
      <w:r w:rsidR="000863B2">
        <w:rPr>
          <w:rFonts w:ascii="Times New Roman" w:hAnsi="Times New Roman"/>
          <w:color w:val="auto"/>
          <w:sz w:val="24"/>
        </w:rPr>
        <w:t>mu</w:t>
      </w:r>
      <w:r w:rsidR="001D3E3E">
        <w:rPr>
          <w:rFonts w:ascii="Times New Roman" w:hAnsi="Times New Roman"/>
          <w:color w:val="auto"/>
          <w:sz w:val="24"/>
        </w:rPr>
        <w:t xml:space="preserve"> rok</w:t>
      </w:r>
      <w:r w:rsidR="000863B2">
        <w:rPr>
          <w:rFonts w:ascii="Times New Roman" w:hAnsi="Times New Roman"/>
          <w:color w:val="auto"/>
          <w:sz w:val="24"/>
        </w:rPr>
        <w:t>u</w:t>
      </w:r>
      <w:r w:rsidR="001D3E3E">
        <w:rPr>
          <w:rFonts w:ascii="Times New Roman" w:hAnsi="Times New Roman"/>
          <w:color w:val="auto"/>
          <w:sz w:val="24"/>
        </w:rPr>
        <w:t>, do něhož spadá den, od něhož se vyplácené důchody zvyšují podle odstavce 2</w:t>
      </w:r>
      <w:r w:rsidR="005A1ADE">
        <w:rPr>
          <w:rFonts w:ascii="Times New Roman" w:hAnsi="Times New Roman"/>
          <w:color w:val="auto"/>
          <w:sz w:val="24"/>
        </w:rPr>
        <w:t xml:space="preserve">, a posledním měsícem </w:t>
      </w:r>
      <w:r w:rsidR="000863B2">
        <w:rPr>
          <w:rFonts w:ascii="Times New Roman" w:hAnsi="Times New Roman"/>
          <w:color w:val="auto"/>
          <w:sz w:val="24"/>
        </w:rPr>
        <w:t xml:space="preserve">tohoto období </w:t>
      </w:r>
      <w:r w:rsidR="005A1ADE">
        <w:rPr>
          <w:rFonts w:ascii="Times New Roman" w:hAnsi="Times New Roman"/>
          <w:color w:val="auto"/>
          <w:sz w:val="24"/>
        </w:rPr>
        <w:t>je červen kalendářního roku, který o 1 rok předchází kalendářní</w:t>
      </w:r>
      <w:r w:rsidR="000863B2">
        <w:rPr>
          <w:rFonts w:ascii="Times New Roman" w:hAnsi="Times New Roman"/>
          <w:color w:val="auto"/>
          <w:sz w:val="24"/>
        </w:rPr>
        <w:t>mu</w:t>
      </w:r>
      <w:r w:rsidR="005A1ADE">
        <w:rPr>
          <w:rFonts w:ascii="Times New Roman" w:hAnsi="Times New Roman"/>
          <w:color w:val="auto"/>
          <w:sz w:val="24"/>
        </w:rPr>
        <w:t xml:space="preserve"> rok</w:t>
      </w:r>
      <w:r w:rsidR="000863B2">
        <w:rPr>
          <w:rFonts w:ascii="Times New Roman" w:hAnsi="Times New Roman"/>
          <w:color w:val="auto"/>
          <w:sz w:val="24"/>
        </w:rPr>
        <w:t>u</w:t>
      </w:r>
      <w:r w:rsidR="005A1ADE">
        <w:rPr>
          <w:rFonts w:ascii="Times New Roman" w:hAnsi="Times New Roman"/>
          <w:color w:val="auto"/>
          <w:sz w:val="24"/>
        </w:rPr>
        <w:t>, do něhož spadá den, od něhož se vyplácené důchody zvyšují podle odstavce 2</w:t>
      </w:r>
      <w:r w:rsidR="000863B2">
        <w:rPr>
          <w:rFonts w:ascii="Times New Roman" w:hAnsi="Times New Roman"/>
          <w:color w:val="auto"/>
          <w:sz w:val="24"/>
        </w:rPr>
        <w:t>.</w:t>
      </w:r>
      <w:r w:rsidR="00C74459">
        <w:rPr>
          <w:rFonts w:ascii="Times New Roman" w:hAnsi="Times New Roman"/>
          <w:color w:val="auto"/>
          <w:sz w:val="24"/>
        </w:rPr>
        <w:t>“.</w:t>
      </w:r>
    </w:p>
    <w:p w14:paraId="2B239127" w14:textId="77777777" w:rsidR="00336D06" w:rsidRDefault="00336D06" w:rsidP="00336D06">
      <w:pPr>
        <w:pStyle w:val="Bezmezer"/>
        <w:tabs>
          <w:tab w:val="left" w:pos="142"/>
        </w:tabs>
        <w:ind w:left="284" w:hanging="284"/>
        <w:rPr>
          <w:rFonts w:ascii="Times New Roman" w:hAnsi="Times New Roman"/>
          <w:color w:val="auto"/>
          <w:sz w:val="24"/>
        </w:rPr>
      </w:pPr>
    </w:p>
    <w:p w14:paraId="77FEC458" w14:textId="483DCF8D" w:rsidR="001D3E3E" w:rsidRDefault="00892B4B" w:rsidP="00892B4B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7. </w:t>
      </w:r>
      <w:r w:rsidR="000F2954">
        <w:rPr>
          <w:rFonts w:ascii="Times New Roman" w:hAnsi="Times New Roman"/>
          <w:color w:val="auto"/>
          <w:sz w:val="24"/>
        </w:rPr>
        <w:t xml:space="preserve">V § 67 </w:t>
      </w:r>
      <w:r w:rsidR="001D3E3E">
        <w:rPr>
          <w:rFonts w:ascii="Times New Roman" w:hAnsi="Times New Roman"/>
          <w:color w:val="auto"/>
          <w:sz w:val="24"/>
        </w:rPr>
        <w:t xml:space="preserve">se </w:t>
      </w:r>
      <w:r w:rsidR="000F2954">
        <w:rPr>
          <w:rFonts w:ascii="Times New Roman" w:hAnsi="Times New Roman"/>
          <w:color w:val="auto"/>
          <w:sz w:val="24"/>
        </w:rPr>
        <w:t>odst</w:t>
      </w:r>
      <w:r w:rsidR="001D3E3E">
        <w:rPr>
          <w:rFonts w:ascii="Times New Roman" w:hAnsi="Times New Roman"/>
          <w:color w:val="auto"/>
          <w:sz w:val="24"/>
        </w:rPr>
        <w:t>av</w:t>
      </w:r>
      <w:r w:rsidR="0022457C">
        <w:rPr>
          <w:rFonts w:ascii="Times New Roman" w:hAnsi="Times New Roman"/>
          <w:color w:val="auto"/>
          <w:sz w:val="24"/>
        </w:rPr>
        <w:t>ce</w:t>
      </w:r>
      <w:r w:rsidR="000F2954">
        <w:rPr>
          <w:rFonts w:ascii="Times New Roman" w:hAnsi="Times New Roman"/>
          <w:color w:val="auto"/>
          <w:sz w:val="24"/>
        </w:rPr>
        <w:t xml:space="preserve"> </w:t>
      </w:r>
      <w:r w:rsidR="0022457C">
        <w:rPr>
          <w:rFonts w:ascii="Times New Roman" w:hAnsi="Times New Roman"/>
          <w:color w:val="auto"/>
          <w:sz w:val="24"/>
        </w:rPr>
        <w:t xml:space="preserve">4 a </w:t>
      </w:r>
      <w:r w:rsidR="001D3E3E">
        <w:rPr>
          <w:rFonts w:ascii="Times New Roman" w:hAnsi="Times New Roman"/>
          <w:color w:val="auto"/>
          <w:sz w:val="24"/>
        </w:rPr>
        <w:t>5 zrušuj</w:t>
      </w:r>
      <w:r w:rsidR="0022457C">
        <w:rPr>
          <w:rFonts w:ascii="Times New Roman" w:hAnsi="Times New Roman"/>
          <w:color w:val="auto"/>
          <w:sz w:val="24"/>
        </w:rPr>
        <w:t>í</w:t>
      </w:r>
      <w:r w:rsidR="001D3E3E">
        <w:rPr>
          <w:rFonts w:ascii="Times New Roman" w:hAnsi="Times New Roman"/>
          <w:color w:val="auto"/>
          <w:sz w:val="24"/>
        </w:rPr>
        <w:t>.</w:t>
      </w:r>
    </w:p>
    <w:p w14:paraId="0468E6C0" w14:textId="3F3C32B9" w:rsidR="000F2954" w:rsidRDefault="009802E1" w:rsidP="001D3E3E">
      <w:pPr>
        <w:pStyle w:val="Bezmezer"/>
        <w:tabs>
          <w:tab w:val="left" w:pos="142"/>
        </w:tabs>
        <w:ind w:left="284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</w:t>
      </w:r>
      <w:r w:rsidR="001D3E3E">
        <w:rPr>
          <w:rFonts w:ascii="Times New Roman" w:hAnsi="Times New Roman"/>
          <w:color w:val="auto"/>
          <w:sz w:val="24"/>
        </w:rPr>
        <w:t xml:space="preserve">Dosavadní odstavce 6 až 16 se označují jako odstavce </w:t>
      </w:r>
      <w:r w:rsidR="00355D94">
        <w:rPr>
          <w:rFonts w:ascii="Times New Roman" w:hAnsi="Times New Roman"/>
          <w:color w:val="auto"/>
          <w:sz w:val="24"/>
        </w:rPr>
        <w:t>4</w:t>
      </w:r>
      <w:r w:rsidR="001D3E3E">
        <w:rPr>
          <w:rFonts w:ascii="Times New Roman" w:hAnsi="Times New Roman"/>
          <w:color w:val="auto"/>
          <w:sz w:val="24"/>
        </w:rPr>
        <w:t xml:space="preserve"> až 1</w:t>
      </w:r>
      <w:r w:rsidR="00355D94">
        <w:rPr>
          <w:rFonts w:ascii="Times New Roman" w:hAnsi="Times New Roman"/>
          <w:color w:val="auto"/>
          <w:sz w:val="24"/>
        </w:rPr>
        <w:t>4</w:t>
      </w:r>
      <w:r w:rsidR="001D3E3E">
        <w:rPr>
          <w:rFonts w:ascii="Times New Roman" w:hAnsi="Times New Roman"/>
          <w:color w:val="auto"/>
          <w:sz w:val="24"/>
        </w:rPr>
        <w:t>.</w:t>
      </w:r>
      <w:r w:rsidR="000F2954">
        <w:rPr>
          <w:rFonts w:ascii="Times New Roman" w:hAnsi="Times New Roman"/>
          <w:color w:val="auto"/>
          <w:sz w:val="24"/>
        </w:rPr>
        <w:t xml:space="preserve"> </w:t>
      </w:r>
    </w:p>
    <w:p w14:paraId="0372B4CF" w14:textId="628F1541" w:rsidR="00355D94" w:rsidRDefault="00355D94" w:rsidP="001D3E3E">
      <w:pPr>
        <w:pStyle w:val="Bezmezer"/>
        <w:tabs>
          <w:tab w:val="left" w:pos="142"/>
        </w:tabs>
        <w:ind w:left="284"/>
        <w:rPr>
          <w:rFonts w:ascii="Times New Roman" w:hAnsi="Times New Roman"/>
          <w:color w:val="auto"/>
          <w:sz w:val="24"/>
        </w:rPr>
      </w:pPr>
    </w:p>
    <w:p w14:paraId="262F5753" w14:textId="5DE14898" w:rsidR="00355D94" w:rsidRDefault="00892B4B" w:rsidP="00892B4B">
      <w:pPr>
        <w:pStyle w:val="Bezmezer"/>
        <w:tabs>
          <w:tab w:val="left" w:pos="142"/>
        </w:tabs>
        <w:ind w:left="284" w:hanging="284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8. </w:t>
      </w:r>
      <w:r w:rsidR="00355D94">
        <w:rPr>
          <w:rFonts w:ascii="Times New Roman" w:hAnsi="Times New Roman"/>
          <w:color w:val="auto"/>
          <w:sz w:val="24"/>
        </w:rPr>
        <w:t>V § 67 odst. 4 větě druhé se slova „z originálních bazických úhrnných indexů spotřebitelských cen (životních nákladů) za domácnosti celkem a“ a slova „, přičemž se</w:t>
      </w:r>
      <w:r w:rsidR="00F800B8">
        <w:rPr>
          <w:rFonts w:ascii="Times New Roman" w:hAnsi="Times New Roman"/>
          <w:color w:val="auto"/>
          <w:sz w:val="24"/>
        </w:rPr>
        <w:t xml:space="preserve"> </w:t>
      </w:r>
      <w:r w:rsidR="00355D94">
        <w:rPr>
          <w:rFonts w:ascii="Times New Roman" w:hAnsi="Times New Roman"/>
          <w:color w:val="auto"/>
          <w:sz w:val="24"/>
        </w:rPr>
        <w:t>použije ten růst ce</w:t>
      </w:r>
      <w:r w:rsidR="00F800B8">
        <w:rPr>
          <w:rFonts w:ascii="Times New Roman" w:hAnsi="Times New Roman"/>
          <w:color w:val="auto"/>
          <w:sz w:val="24"/>
        </w:rPr>
        <w:t>n</w:t>
      </w:r>
      <w:r w:rsidR="00355D94">
        <w:rPr>
          <w:rFonts w:ascii="Times New Roman" w:hAnsi="Times New Roman"/>
          <w:color w:val="auto"/>
          <w:sz w:val="24"/>
        </w:rPr>
        <w:t>, který je vyšší“ zrušují.</w:t>
      </w:r>
    </w:p>
    <w:p w14:paraId="15F0C458" w14:textId="50A9132C" w:rsidR="00336D06" w:rsidRDefault="00336D06" w:rsidP="001D3E3E">
      <w:pPr>
        <w:pStyle w:val="Bezmezer"/>
        <w:tabs>
          <w:tab w:val="left" w:pos="142"/>
        </w:tabs>
        <w:ind w:left="284"/>
        <w:rPr>
          <w:rFonts w:ascii="Times New Roman" w:hAnsi="Times New Roman"/>
          <w:color w:val="auto"/>
          <w:sz w:val="24"/>
        </w:rPr>
      </w:pPr>
    </w:p>
    <w:p w14:paraId="16FFCB84" w14:textId="2560053E" w:rsidR="000D0737" w:rsidRDefault="00892B4B" w:rsidP="00892B4B">
      <w:pPr>
        <w:pStyle w:val="Bezmezer"/>
        <w:tabs>
          <w:tab w:val="left" w:pos="142"/>
        </w:tabs>
        <w:ind w:left="284" w:hanging="284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9. </w:t>
      </w:r>
      <w:r w:rsidR="00336D06">
        <w:rPr>
          <w:rFonts w:ascii="Times New Roman" w:hAnsi="Times New Roman"/>
          <w:color w:val="auto"/>
          <w:sz w:val="24"/>
        </w:rPr>
        <w:t xml:space="preserve">V § 67 odst. </w:t>
      </w:r>
      <w:r w:rsidR="00355D94">
        <w:rPr>
          <w:rFonts w:ascii="Times New Roman" w:hAnsi="Times New Roman"/>
          <w:color w:val="auto"/>
          <w:sz w:val="24"/>
        </w:rPr>
        <w:t>6</w:t>
      </w:r>
      <w:r w:rsidR="00336D06">
        <w:rPr>
          <w:rFonts w:ascii="Times New Roman" w:hAnsi="Times New Roman"/>
          <w:color w:val="auto"/>
          <w:sz w:val="24"/>
        </w:rPr>
        <w:t xml:space="preserve"> větě první se slova „při zvýšení důchodů v pravidelném termínu“ zrušují</w:t>
      </w:r>
      <w:r w:rsidR="00355D94">
        <w:rPr>
          <w:rFonts w:ascii="Times New Roman" w:hAnsi="Times New Roman"/>
          <w:color w:val="auto"/>
          <w:sz w:val="24"/>
        </w:rPr>
        <w:t>, číslo „6“ se nahrazuje číslem „4“</w:t>
      </w:r>
      <w:r w:rsidR="00C35566">
        <w:rPr>
          <w:rFonts w:ascii="Times New Roman" w:hAnsi="Times New Roman"/>
          <w:color w:val="auto"/>
          <w:sz w:val="24"/>
        </w:rPr>
        <w:t xml:space="preserve"> a</w:t>
      </w:r>
      <w:r w:rsidR="00336D06">
        <w:rPr>
          <w:rFonts w:ascii="Times New Roman" w:hAnsi="Times New Roman"/>
          <w:color w:val="auto"/>
          <w:sz w:val="24"/>
        </w:rPr>
        <w:t xml:space="preserve"> slovo „poloviny“ se nahrazuje slovem „třetiny“</w:t>
      </w:r>
      <w:r w:rsidR="00C35566">
        <w:rPr>
          <w:rFonts w:ascii="Times New Roman" w:hAnsi="Times New Roman"/>
          <w:color w:val="auto"/>
          <w:sz w:val="24"/>
        </w:rPr>
        <w:t xml:space="preserve">.  </w:t>
      </w:r>
      <w:r w:rsidR="00740F26">
        <w:rPr>
          <w:rFonts w:ascii="Times New Roman" w:hAnsi="Times New Roman"/>
          <w:color w:val="auto"/>
          <w:sz w:val="24"/>
        </w:rPr>
        <w:t xml:space="preserve"> </w:t>
      </w:r>
    </w:p>
    <w:p w14:paraId="5D6CFF08" w14:textId="77777777" w:rsidR="00355D94" w:rsidRDefault="00355D94" w:rsidP="00355D94">
      <w:pPr>
        <w:pStyle w:val="Odstavecseseznamem"/>
        <w:rPr>
          <w:rFonts w:ascii="Times New Roman" w:hAnsi="Times New Roman"/>
          <w:color w:val="auto"/>
          <w:sz w:val="24"/>
        </w:rPr>
      </w:pPr>
    </w:p>
    <w:p w14:paraId="16051E6D" w14:textId="53B2CDAE" w:rsidR="00355D94" w:rsidRDefault="00892B4B" w:rsidP="00892B4B">
      <w:pPr>
        <w:pStyle w:val="Bezmezer"/>
        <w:tabs>
          <w:tab w:val="left" w:pos="142"/>
        </w:tabs>
        <w:ind w:left="426" w:hanging="426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10. </w:t>
      </w:r>
      <w:r w:rsidR="00355D94">
        <w:rPr>
          <w:rFonts w:ascii="Times New Roman" w:hAnsi="Times New Roman"/>
          <w:color w:val="auto"/>
          <w:sz w:val="24"/>
        </w:rPr>
        <w:t>V § 67 odst. 6 se za větu první vkládá věta „</w:t>
      </w:r>
      <w:r w:rsidR="00FE11B5">
        <w:rPr>
          <w:rFonts w:ascii="Times New Roman" w:hAnsi="Times New Roman"/>
          <w:color w:val="auto"/>
          <w:sz w:val="24"/>
        </w:rPr>
        <w:t xml:space="preserve">Byly-li procentní výměry vyplácených důchodů zvýšeny v předchozím kalendářním roce podle § </w:t>
      </w:r>
      <w:r w:rsidR="00835503">
        <w:rPr>
          <w:rFonts w:ascii="Times New Roman" w:hAnsi="Times New Roman"/>
          <w:color w:val="auto"/>
          <w:sz w:val="24"/>
        </w:rPr>
        <w:t>67</w:t>
      </w:r>
      <w:r w:rsidR="00FE11B5">
        <w:rPr>
          <w:rFonts w:ascii="Times New Roman" w:hAnsi="Times New Roman"/>
          <w:color w:val="auto"/>
          <w:sz w:val="24"/>
        </w:rPr>
        <w:t>a, sníží se p</w:t>
      </w:r>
      <w:r w:rsidR="00AF259B">
        <w:rPr>
          <w:rFonts w:ascii="Times New Roman" w:hAnsi="Times New Roman"/>
          <w:color w:val="auto"/>
          <w:sz w:val="24"/>
        </w:rPr>
        <w:t>o</w:t>
      </w:r>
      <w:r w:rsidR="00FE11B5">
        <w:rPr>
          <w:rFonts w:ascii="Times New Roman" w:hAnsi="Times New Roman"/>
          <w:color w:val="auto"/>
          <w:sz w:val="24"/>
        </w:rPr>
        <w:t>čet procent stanovený podle věty první o tolik procent, o kolik byly zvýšeny procentní výměry v předchozím kalendářním roce podle § 6</w:t>
      </w:r>
      <w:r w:rsidR="00F800B8">
        <w:rPr>
          <w:rFonts w:ascii="Times New Roman" w:hAnsi="Times New Roman"/>
          <w:color w:val="auto"/>
          <w:sz w:val="24"/>
        </w:rPr>
        <w:t>7</w:t>
      </w:r>
      <w:r w:rsidR="00FE11B5">
        <w:rPr>
          <w:rFonts w:ascii="Times New Roman" w:hAnsi="Times New Roman"/>
          <w:color w:val="auto"/>
          <w:sz w:val="24"/>
        </w:rPr>
        <w:t>a.“</w:t>
      </w:r>
      <w:r>
        <w:rPr>
          <w:rFonts w:ascii="Times New Roman" w:hAnsi="Times New Roman"/>
          <w:color w:val="auto"/>
          <w:sz w:val="24"/>
        </w:rPr>
        <w:t>.</w:t>
      </w:r>
    </w:p>
    <w:p w14:paraId="546F8A7B" w14:textId="77777777" w:rsidR="00355D94" w:rsidRDefault="00355D94" w:rsidP="00FD5427">
      <w:pPr>
        <w:pStyle w:val="Odstavecseseznamem"/>
        <w:ind w:hanging="578"/>
        <w:rPr>
          <w:rFonts w:ascii="Times New Roman" w:hAnsi="Times New Roman"/>
          <w:color w:val="auto"/>
          <w:sz w:val="24"/>
        </w:rPr>
      </w:pPr>
    </w:p>
    <w:p w14:paraId="6293A00A" w14:textId="37510186" w:rsidR="00355D94" w:rsidRDefault="00892B4B" w:rsidP="00892B4B">
      <w:pPr>
        <w:pStyle w:val="Bezmezer"/>
        <w:tabs>
          <w:tab w:val="left" w:pos="142"/>
        </w:tabs>
        <w:ind w:left="284" w:hanging="284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11. </w:t>
      </w:r>
      <w:r w:rsidR="00355D94">
        <w:rPr>
          <w:rFonts w:ascii="Times New Roman" w:hAnsi="Times New Roman"/>
          <w:color w:val="auto"/>
          <w:sz w:val="24"/>
        </w:rPr>
        <w:t xml:space="preserve">V § 67 odst. </w:t>
      </w:r>
      <w:r w:rsidR="00FE11B5">
        <w:rPr>
          <w:rFonts w:ascii="Times New Roman" w:hAnsi="Times New Roman"/>
          <w:color w:val="auto"/>
          <w:sz w:val="24"/>
        </w:rPr>
        <w:t>6</w:t>
      </w:r>
      <w:r w:rsidR="00355D94">
        <w:rPr>
          <w:rFonts w:ascii="Times New Roman" w:hAnsi="Times New Roman"/>
          <w:color w:val="auto"/>
          <w:sz w:val="24"/>
        </w:rPr>
        <w:t xml:space="preserve"> </w:t>
      </w:r>
      <w:r w:rsidR="000863B2">
        <w:rPr>
          <w:rFonts w:ascii="Times New Roman" w:hAnsi="Times New Roman"/>
          <w:color w:val="auto"/>
          <w:sz w:val="24"/>
        </w:rPr>
        <w:t xml:space="preserve">se ve </w:t>
      </w:r>
      <w:r w:rsidR="00355D94">
        <w:rPr>
          <w:rFonts w:ascii="Times New Roman" w:hAnsi="Times New Roman"/>
          <w:color w:val="auto"/>
          <w:sz w:val="24"/>
        </w:rPr>
        <w:t>větě třetí číslo „</w:t>
      </w:r>
      <w:r w:rsidR="00FE11B5">
        <w:rPr>
          <w:rFonts w:ascii="Times New Roman" w:hAnsi="Times New Roman"/>
          <w:color w:val="auto"/>
          <w:sz w:val="24"/>
        </w:rPr>
        <w:t>7</w:t>
      </w:r>
      <w:r w:rsidR="00355D94">
        <w:rPr>
          <w:rFonts w:ascii="Times New Roman" w:hAnsi="Times New Roman"/>
          <w:color w:val="auto"/>
          <w:sz w:val="24"/>
        </w:rPr>
        <w:t>“ nahrazuje číslem „</w:t>
      </w:r>
      <w:r w:rsidR="00F800B8">
        <w:rPr>
          <w:rFonts w:ascii="Times New Roman" w:hAnsi="Times New Roman"/>
          <w:color w:val="auto"/>
          <w:sz w:val="24"/>
        </w:rPr>
        <w:t>5</w:t>
      </w:r>
      <w:r w:rsidR="00355D94">
        <w:rPr>
          <w:rFonts w:ascii="Times New Roman" w:hAnsi="Times New Roman"/>
          <w:color w:val="auto"/>
          <w:sz w:val="24"/>
        </w:rPr>
        <w:t>“</w:t>
      </w:r>
      <w:r w:rsidR="000863B2" w:rsidRPr="000863B2">
        <w:rPr>
          <w:rFonts w:ascii="Times New Roman" w:hAnsi="Times New Roman"/>
          <w:color w:val="auto"/>
          <w:sz w:val="24"/>
        </w:rPr>
        <w:t xml:space="preserve"> </w:t>
      </w:r>
      <w:r w:rsidR="000863B2">
        <w:rPr>
          <w:rFonts w:ascii="Times New Roman" w:hAnsi="Times New Roman"/>
          <w:color w:val="auto"/>
          <w:sz w:val="24"/>
        </w:rPr>
        <w:t xml:space="preserve">a na konci věty </w:t>
      </w:r>
      <w:r w:rsidR="00E26A89">
        <w:rPr>
          <w:rFonts w:ascii="Times New Roman" w:hAnsi="Times New Roman"/>
          <w:color w:val="auto"/>
          <w:sz w:val="24"/>
        </w:rPr>
        <w:t xml:space="preserve">třetí </w:t>
      </w:r>
      <w:r w:rsidR="000863B2">
        <w:rPr>
          <w:rFonts w:ascii="Times New Roman" w:hAnsi="Times New Roman"/>
          <w:color w:val="auto"/>
          <w:sz w:val="24"/>
        </w:rPr>
        <w:t>se doplňují slova „a druhé“.</w:t>
      </w:r>
    </w:p>
    <w:p w14:paraId="10124E8E" w14:textId="295C5AA7" w:rsidR="000D0737" w:rsidRDefault="000D0737" w:rsidP="00892B4B">
      <w:pPr>
        <w:pStyle w:val="Bezmezer"/>
        <w:tabs>
          <w:tab w:val="left" w:pos="142"/>
        </w:tabs>
        <w:ind w:left="284" w:hanging="284"/>
        <w:rPr>
          <w:rFonts w:ascii="Times New Roman" w:hAnsi="Times New Roman"/>
          <w:color w:val="auto"/>
          <w:sz w:val="24"/>
        </w:rPr>
      </w:pPr>
    </w:p>
    <w:p w14:paraId="42A5B907" w14:textId="3344C5CF" w:rsidR="000D0737" w:rsidRPr="00FE11B5" w:rsidRDefault="00892B4B" w:rsidP="00892B4B">
      <w:pPr>
        <w:pStyle w:val="Bezmezer"/>
        <w:tabs>
          <w:tab w:val="left" w:pos="142"/>
        </w:tabs>
        <w:ind w:left="426" w:hanging="426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12. </w:t>
      </w:r>
      <w:r w:rsidR="000D0737">
        <w:rPr>
          <w:rFonts w:ascii="Times New Roman" w:hAnsi="Times New Roman"/>
          <w:color w:val="auto"/>
          <w:sz w:val="24"/>
        </w:rPr>
        <w:t xml:space="preserve">V § 67 odst. </w:t>
      </w:r>
      <w:r w:rsidR="003831CF">
        <w:rPr>
          <w:rFonts w:ascii="Times New Roman" w:hAnsi="Times New Roman"/>
          <w:color w:val="auto"/>
          <w:sz w:val="24"/>
        </w:rPr>
        <w:t>7</w:t>
      </w:r>
      <w:r w:rsidR="000D0737">
        <w:rPr>
          <w:rFonts w:ascii="Times New Roman" w:hAnsi="Times New Roman"/>
          <w:color w:val="auto"/>
          <w:sz w:val="24"/>
        </w:rPr>
        <w:t xml:space="preserve"> </w:t>
      </w:r>
      <w:r w:rsidR="000863B2">
        <w:rPr>
          <w:rFonts w:ascii="Times New Roman" w:hAnsi="Times New Roman"/>
          <w:color w:val="auto"/>
          <w:sz w:val="24"/>
        </w:rPr>
        <w:t xml:space="preserve">se </w:t>
      </w:r>
      <w:r>
        <w:rPr>
          <w:rFonts w:ascii="Times New Roman" w:hAnsi="Times New Roman"/>
          <w:color w:val="auto"/>
          <w:sz w:val="24"/>
        </w:rPr>
        <w:t xml:space="preserve">ve </w:t>
      </w:r>
      <w:r w:rsidR="000D0737">
        <w:rPr>
          <w:rFonts w:ascii="Times New Roman" w:hAnsi="Times New Roman"/>
          <w:color w:val="auto"/>
          <w:sz w:val="24"/>
        </w:rPr>
        <w:t>vět</w:t>
      </w:r>
      <w:r w:rsidR="00FE11B5">
        <w:rPr>
          <w:rFonts w:ascii="Times New Roman" w:hAnsi="Times New Roman"/>
          <w:color w:val="auto"/>
          <w:sz w:val="24"/>
        </w:rPr>
        <w:t>ě</w:t>
      </w:r>
      <w:r w:rsidR="000D0737">
        <w:rPr>
          <w:rFonts w:ascii="Times New Roman" w:hAnsi="Times New Roman"/>
          <w:color w:val="auto"/>
          <w:sz w:val="24"/>
        </w:rPr>
        <w:t xml:space="preserve"> první</w:t>
      </w:r>
      <w:r w:rsidR="00FE11B5">
        <w:rPr>
          <w:rFonts w:ascii="Times New Roman" w:hAnsi="Times New Roman"/>
          <w:color w:val="auto"/>
          <w:sz w:val="24"/>
        </w:rPr>
        <w:t xml:space="preserve"> číslo „</w:t>
      </w:r>
      <w:r w:rsidR="00F800B8">
        <w:rPr>
          <w:rFonts w:ascii="Times New Roman" w:hAnsi="Times New Roman"/>
          <w:color w:val="auto"/>
          <w:sz w:val="24"/>
        </w:rPr>
        <w:t>8</w:t>
      </w:r>
      <w:r w:rsidR="00FE11B5">
        <w:rPr>
          <w:rFonts w:ascii="Times New Roman" w:hAnsi="Times New Roman"/>
          <w:color w:val="auto"/>
          <w:sz w:val="24"/>
        </w:rPr>
        <w:t>“ nahrazuje číslem „6“</w:t>
      </w:r>
      <w:r w:rsidR="007A604C">
        <w:rPr>
          <w:rFonts w:ascii="Times New Roman" w:hAnsi="Times New Roman"/>
          <w:color w:val="auto"/>
          <w:sz w:val="24"/>
        </w:rPr>
        <w:t xml:space="preserve"> a ve větě poslední se slova </w:t>
      </w:r>
      <w:r w:rsidR="00DB599D">
        <w:rPr>
          <w:rFonts w:ascii="Times New Roman" w:hAnsi="Times New Roman"/>
          <w:color w:val="auto"/>
          <w:sz w:val="24"/>
        </w:rPr>
        <w:t xml:space="preserve">             </w:t>
      </w:r>
      <w:r w:rsidR="007A604C">
        <w:rPr>
          <w:rFonts w:ascii="Times New Roman" w:hAnsi="Times New Roman"/>
          <w:color w:val="auto"/>
          <w:sz w:val="24"/>
        </w:rPr>
        <w:t xml:space="preserve">„v pravidelném termínu“ zrušují a slova „i v mimořádném termínu“ se nahrazují slovy </w:t>
      </w:r>
      <w:r w:rsidR="000863B2">
        <w:rPr>
          <w:rFonts w:ascii="Times New Roman" w:hAnsi="Times New Roman"/>
          <w:color w:val="auto"/>
          <w:sz w:val="24"/>
        </w:rPr>
        <w:t>„</w:t>
      </w:r>
      <w:r w:rsidR="007A604C">
        <w:rPr>
          <w:rFonts w:ascii="Times New Roman" w:hAnsi="Times New Roman"/>
          <w:color w:val="auto"/>
          <w:sz w:val="24"/>
        </w:rPr>
        <w:t xml:space="preserve">podle § 67a“ </w:t>
      </w:r>
      <w:r w:rsidR="00FE11B5">
        <w:rPr>
          <w:rFonts w:ascii="Times New Roman" w:hAnsi="Times New Roman"/>
          <w:color w:val="auto"/>
          <w:sz w:val="24"/>
        </w:rPr>
        <w:t xml:space="preserve">. </w:t>
      </w:r>
    </w:p>
    <w:p w14:paraId="5A554498" w14:textId="77777777" w:rsidR="00FE11B5" w:rsidRPr="000D0737" w:rsidRDefault="00FE11B5" w:rsidP="003F0DE3">
      <w:pPr>
        <w:pStyle w:val="Bezmezer"/>
        <w:tabs>
          <w:tab w:val="left" w:pos="142"/>
        </w:tabs>
        <w:rPr>
          <w:rFonts w:ascii="Times New Roman" w:hAnsi="Times New Roman"/>
          <w:color w:val="FF0000"/>
          <w:sz w:val="24"/>
        </w:rPr>
      </w:pPr>
    </w:p>
    <w:p w14:paraId="146B8CFE" w14:textId="3C17A8E9" w:rsidR="003C5485" w:rsidRDefault="00892B4B" w:rsidP="00892B4B">
      <w:pPr>
        <w:pStyle w:val="Bezmez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13. </w:t>
      </w:r>
      <w:r w:rsidR="000D0737">
        <w:rPr>
          <w:rFonts w:ascii="Times New Roman" w:hAnsi="Times New Roman"/>
          <w:color w:val="auto"/>
          <w:sz w:val="24"/>
        </w:rPr>
        <w:t xml:space="preserve">V § 67 </w:t>
      </w:r>
      <w:r w:rsidR="004E13E9">
        <w:rPr>
          <w:rFonts w:ascii="Times New Roman" w:hAnsi="Times New Roman"/>
          <w:color w:val="auto"/>
          <w:sz w:val="24"/>
        </w:rPr>
        <w:t xml:space="preserve">se </w:t>
      </w:r>
      <w:r w:rsidR="000D0737">
        <w:rPr>
          <w:rFonts w:ascii="Times New Roman" w:hAnsi="Times New Roman"/>
          <w:color w:val="auto"/>
          <w:sz w:val="24"/>
        </w:rPr>
        <w:t xml:space="preserve">odstavec </w:t>
      </w:r>
      <w:r w:rsidR="003F0DE3">
        <w:rPr>
          <w:rFonts w:ascii="Times New Roman" w:hAnsi="Times New Roman"/>
          <w:color w:val="auto"/>
          <w:sz w:val="24"/>
        </w:rPr>
        <w:t>8</w:t>
      </w:r>
      <w:r w:rsidR="000D0737">
        <w:rPr>
          <w:rFonts w:ascii="Times New Roman" w:hAnsi="Times New Roman"/>
          <w:color w:val="auto"/>
          <w:sz w:val="24"/>
        </w:rPr>
        <w:t xml:space="preserve"> </w:t>
      </w:r>
      <w:r w:rsidR="004E13E9">
        <w:rPr>
          <w:rFonts w:ascii="Times New Roman" w:hAnsi="Times New Roman"/>
          <w:color w:val="auto"/>
          <w:sz w:val="24"/>
        </w:rPr>
        <w:t>zrušuje.</w:t>
      </w:r>
    </w:p>
    <w:p w14:paraId="5CCE22EE" w14:textId="6FC660D6" w:rsidR="004E13E9" w:rsidRDefault="00FA674F" w:rsidP="004E13E9">
      <w:pPr>
        <w:pStyle w:val="Bezmezer"/>
        <w:ind w:left="284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</w:t>
      </w:r>
      <w:r w:rsidR="004E13E9">
        <w:rPr>
          <w:rFonts w:ascii="Times New Roman" w:hAnsi="Times New Roman"/>
          <w:color w:val="auto"/>
          <w:sz w:val="24"/>
        </w:rPr>
        <w:t xml:space="preserve">Dosavadní odstavce </w:t>
      </w:r>
      <w:r w:rsidR="003F0DE3">
        <w:rPr>
          <w:rFonts w:ascii="Times New Roman" w:hAnsi="Times New Roman"/>
          <w:color w:val="auto"/>
          <w:sz w:val="24"/>
        </w:rPr>
        <w:t>9</w:t>
      </w:r>
      <w:r w:rsidR="004E13E9">
        <w:rPr>
          <w:rFonts w:ascii="Times New Roman" w:hAnsi="Times New Roman"/>
          <w:color w:val="auto"/>
          <w:sz w:val="24"/>
        </w:rPr>
        <w:t xml:space="preserve"> až 1</w:t>
      </w:r>
      <w:r w:rsidR="003F0DE3">
        <w:rPr>
          <w:rFonts w:ascii="Times New Roman" w:hAnsi="Times New Roman"/>
          <w:color w:val="auto"/>
          <w:sz w:val="24"/>
        </w:rPr>
        <w:t>4</w:t>
      </w:r>
      <w:r w:rsidR="004E13E9">
        <w:rPr>
          <w:rFonts w:ascii="Times New Roman" w:hAnsi="Times New Roman"/>
          <w:color w:val="auto"/>
          <w:sz w:val="24"/>
        </w:rPr>
        <w:t xml:space="preserve"> se označují jako odstavce </w:t>
      </w:r>
      <w:r w:rsidR="003F0DE3">
        <w:rPr>
          <w:rFonts w:ascii="Times New Roman" w:hAnsi="Times New Roman"/>
          <w:color w:val="auto"/>
          <w:sz w:val="24"/>
        </w:rPr>
        <w:t>8</w:t>
      </w:r>
      <w:r w:rsidR="004E13E9">
        <w:rPr>
          <w:rFonts w:ascii="Times New Roman" w:hAnsi="Times New Roman"/>
          <w:color w:val="auto"/>
          <w:sz w:val="24"/>
        </w:rPr>
        <w:t xml:space="preserve"> až 1</w:t>
      </w:r>
      <w:r w:rsidR="003F0DE3">
        <w:rPr>
          <w:rFonts w:ascii="Times New Roman" w:hAnsi="Times New Roman"/>
          <w:color w:val="auto"/>
          <w:sz w:val="24"/>
        </w:rPr>
        <w:t>3</w:t>
      </w:r>
      <w:r w:rsidR="004E13E9">
        <w:rPr>
          <w:rFonts w:ascii="Times New Roman" w:hAnsi="Times New Roman"/>
          <w:color w:val="auto"/>
          <w:sz w:val="24"/>
        </w:rPr>
        <w:t>.</w:t>
      </w:r>
    </w:p>
    <w:p w14:paraId="287DEBCD" w14:textId="01CBED45" w:rsidR="003F0DE3" w:rsidRDefault="003F0DE3" w:rsidP="004E13E9">
      <w:pPr>
        <w:pStyle w:val="Bezmezer"/>
        <w:ind w:left="284"/>
        <w:rPr>
          <w:rFonts w:ascii="Times New Roman" w:hAnsi="Times New Roman"/>
          <w:color w:val="auto"/>
          <w:sz w:val="24"/>
        </w:rPr>
      </w:pPr>
    </w:p>
    <w:p w14:paraId="075A22B9" w14:textId="11C941EC" w:rsidR="003F0DE3" w:rsidRDefault="003F0DE3">
      <w:pPr>
        <w:pStyle w:val="Bezmezer"/>
        <w:numPr>
          <w:ilvl w:val="0"/>
          <w:numId w:val="2"/>
        </w:numPr>
        <w:ind w:left="426" w:hanging="426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lastRenderedPageBreak/>
        <w:t xml:space="preserve">V § 67 odst. 9 se </w:t>
      </w:r>
      <w:r w:rsidR="00F33892">
        <w:rPr>
          <w:rFonts w:ascii="Times New Roman" w:hAnsi="Times New Roman"/>
          <w:color w:val="auto"/>
          <w:sz w:val="24"/>
        </w:rPr>
        <w:t>slova „podle odstavce 4“ zrušují</w:t>
      </w:r>
      <w:r>
        <w:rPr>
          <w:rFonts w:ascii="Times New Roman" w:hAnsi="Times New Roman"/>
          <w:color w:val="auto"/>
          <w:sz w:val="24"/>
        </w:rPr>
        <w:t>.</w:t>
      </w:r>
    </w:p>
    <w:p w14:paraId="5024B7D4" w14:textId="2BAD11D7" w:rsidR="004E13E9" w:rsidRDefault="004E13E9" w:rsidP="000D0737">
      <w:pPr>
        <w:pStyle w:val="Bezmezer"/>
        <w:rPr>
          <w:rFonts w:ascii="Times New Roman" w:hAnsi="Times New Roman"/>
          <w:color w:val="auto"/>
          <w:sz w:val="24"/>
        </w:rPr>
      </w:pPr>
    </w:p>
    <w:p w14:paraId="29922612" w14:textId="29B57AB0" w:rsidR="004E13E9" w:rsidRDefault="004E13E9">
      <w:pPr>
        <w:pStyle w:val="Bezmezer"/>
        <w:numPr>
          <w:ilvl w:val="0"/>
          <w:numId w:val="2"/>
        </w:numPr>
        <w:tabs>
          <w:tab w:val="left" w:pos="284"/>
        </w:tabs>
        <w:ind w:left="426" w:hanging="426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V § 67 odst. 1</w:t>
      </w:r>
      <w:r w:rsidR="003F0DE3">
        <w:rPr>
          <w:rFonts w:ascii="Times New Roman" w:hAnsi="Times New Roman"/>
          <w:color w:val="auto"/>
          <w:sz w:val="24"/>
        </w:rPr>
        <w:t>0</w:t>
      </w:r>
      <w:r>
        <w:rPr>
          <w:rFonts w:ascii="Times New Roman" w:hAnsi="Times New Roman"/>
          <w:color w:val="auto"/>
          <w:sz w:val="24"/>
        </w:rPr>
        <w:t xml:space="preserve"> větě druhé se číslo „14“ nahrazuje číslem „1</w:t>
      </w:r>
      <w:r w:rsidR="003F0DE3">
        <w:rPr>
          <w:rFonts w:ascii="Times New Roman" w:hAnsi="Times New Roman"/>
          <w:color w:val="auto"/>
          <w:sz w:val="24"/>
        </w:rPr>
        <w:t>1</w:t>
      </w:r>
      <w:r>
        <w:rPr>
          <w:rFonts w:ascii="Times New Roman" w:hAnsi="Times New Roman"/>
          <w:color w:val="auto"/>
          <w:sz w:val="24"/>
        </w:rPr>
        <w:t>“.</w:t>
      </w:r>
    </w:p>
    <w:p w14:paraId="7891A441" w14:textId="77777777" w:rsidR="003831CF" w:rsidRPr="003F0DE3" w:rsidRDefault="003831CF" w:rsidP="003F0DE3">
      <w:pPr>
        <w:rPr>
          <w:rFonts w:ascii="Times New Roman" w:hAnsi="Times New Roman"/>
          <w:color w:val="auto"/>
          <w:sz w:val="24"/>
        </w:rPr>
      </w:pPr>
    </w:p>
    <w:p w14:paraId="1A3EDC2F" w14:textId="6EEF7B85" w:rsidR="003831CF" w:rsidRDefault="003831CF">
      <w:pPr>
        <w:pStyle w:val="Bezmezer"/>
        <w:numPr>
          <w:ilvl w:val="0"/>
          <w:numId w:val="2"/>
        </w:numPr>
        <w:ind w:left="426" w:hanging="426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V § 67 odstavec 1</w:t>
      </w:r>
      <w:r w:rsidR="003F0DE3">
        <w:rPr>
          <w:rFonts w:ascii="Times New Roman" w:hAnsi="Times New Roman"/>
          <w:color w:val="auto"/>
          <w:sz w:val="24"/>
        </w:rPr>
        <w:t>2</w:t>
      </w:r>
      <w:r>
        <w:rPr>
          <w:rFonts w:ascii="Times New Roman" w:hAnsi="Times New Roman"/>
          <w:color w:val="auto"/>
          <w:sz w:val="24"/>
        </w:rPr>
        <w:t xml:space="preserve"> </w:t>
      </w:r>
      <w:r w:rsidR="006005E2">
        <w:rPr>
          <w:rFonts w:ascii="Times New Roman" w:hAnsi="Times New Roman"/>
          <w:color w:val="auto"/>
          <w:sz w:val="24"/>
        </w:rPr>
        <w:t>zní:</w:t>
      </w:r>
    </w:p>
    <w:p w14:paraId="06F1211A" w14:textId="77777777" w:rsidR="006005E2" w:rsidRDefault="006005E2" w:rsidP="006005E2">
      <w:pPr>
        <w:pStyle w:val="Odstavecseseznamem"/>
        <w:rPr>
          <w:rFonts w:ascii="Times New Roman" w:hAnsi="Times New Roman"/>
          <w:color w:val="auto"/>
          <w:sz w:val="24"/>
        </w:rPr>
      </w:pPr>
    </w:p>
    <w:p w14:paraId="36F7D3DD" w14:textId="0CB49C29" w:rsidR="00C512A5" w:rsidRDefault="006005E2" w:rsidP="00C512A5">
      <w:pPr>
        <w:pStyle w:val="Bezmezer"/>
        <w:ind w:left="426" w:hanging="426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    „(12)</w:t>
      </w:r>
      <w:r w:rsidR="00660ECC">
        <w:rPr>
          <w:rFonts w:ascii="Times New Roman" w:hAnsi="Times New Roman"/>
          <w:color w:val="auto"/>
          <w:sz w:val="24"/>
        </w:rPr>
        <w:t xml:space="preserve"> Procentní výměry s</w:t>
      </w:r>
      <w:r w:rsidR="00C512A5">
        <w:rPr>
          <w:rFonts w:ascii="Times New Roman" w:hAnsi="Times New Roman"/>
          <w:color w:val="auto"/>
          <w:sz w:val="24"/>
        </w:rPr>
        <w:t>tarobní</w:t>
      </w:r>
      <w:r w:rsidR="00660ECC">
        <w:rPr>
          <w:rFonts w:ascii="Times New Roman" w:hAnsi="Times New Roman"/>
          <w:color w:val="auto"/>
          <w:sz w:val="24"/>
        </w:rPr>
        <w:t>ch</w:t>
      </w:r>
      <w:r w:rsidR="00C512A5">
        <w:rPr>
          <w:rFonts w:ascii="Times New Roman" w:hAnsi="Times New Roman"/>
          <w:color w:val="auto"/>
          <w:sz w:val="24"/>
        </w:rPr>
        <w:t xml:space="preserve"> důchod</w:t>
      </w:r>
      <w:r w:rsidR="00660ECC">
        <w:rPr>
          <w:rFonts w:ascii="Times New Roman" w:hAnsi="Times New Roman"/>
          <w:color w:val="auto"/>
          <w:sz w:val="24"/>
        </w:rPr>
        <w:t>ů</w:t>
      </w:r>
      <w:r w:rsidR="00C512A5">
        <w:rPr>
          <w:rFonts w:ascii="Times New Roman" w:hAnsi="Times New Roman"/>
          <w:color w:val="auto"/>
          <w:sz w:val="24"/>
        </w:rPr>
        <w:t xml:space="preserve">, na které vznikl nárok podle § 31, se nezvyšují, pokud poživatel tohoto důchodu nedosáhl </w:t>
      </w:r>
      <w:r w:rsidR="00453901">
        <w:rPr>
          <w:rFonts w:ascii="Times New Roman" w:hAnsi="Times New Roman"/>
          <w:color w:val="auto"/>
          <w:sz w:val="24"/>
        </w:rPr>
        <w:t>důchodového věku</w:t>
      </w:r>
      <w:r w:rsidR="00DB599D">
        <w:rPr>
          <w:rFonts w:ascii="Times New Roman" w:hAnsi="Times New Roman"/>
          <w:color w:val="auto"/>
          <w:sz w:val="24"/>
        </w:rPr>
        <w:t xml:space="preserve"> </w:t>
      </w:r>
      <w:r w:rsidR="00B6168B">
        <w:rPr>
          <w:rFonts w:ascii="Times New Roman" w:hAnsi="Times New Roman"/>
          <w:color w:val="auto"/>
          <w:sz w:val="24"/>
        </w:rPr>
        <w:t xml:space="preserve">v období před kalendářním měsícem, do něhož spadá den, od něhož se </w:t>
      </w:r>
      <w:r w:rsidR="000863B2">
        <w:rPr>
          <w:rFonts w:ascii="Times New Roman" w:hAnsi="Times New Roman"/>
          <w:color w:val="auto"/>
          <w:sz w:val="24"/>
        </w:rPr>
        <w:t xml:space="preserve">vyplácené </w:t>
      </w:r>
      <w:r w:rsidR="00B6168B">
        <w:rPr>
          <w:rFonts w:ascii="Times New Roman" w:hAnsi="Times New Roman"/>
          <w:color w:val="auto"/>
          <w:sz w:val="24"/>
        </w:rPr>
        <w:t>důchody zvyšují</w:t>
      </w:r>
      <w:r w:rsidR="00453901">
        <w:rPr>
          <w:rFonts w:ascii="Times New Roman" w:hAnsi="Times New Roman"/>
          <w:color w:val="auto"/>
          <w:sz w:val="24"/>
        </w:rPr>
        <w:t>.“.</w:t>
      </w:r>
    </w:p>
    <w:p w14:paraId="674C8707" w14:textId="7D8E29A9" w:rsidR="008725A8" w:rsidRDefault="008725A8" w:rsidP="00C512A5">
      <w:pPr>
        <w:pStyle w:val="Bezmezer"/>
        <w:ind w:left="426" w:hanging="426"/>
        <w:rPr>
          <w:rFonts w:ascii="Times New Roman" w:hAnsi="Times New Roman"/>
          <w:color w:val="auto"/>
          <w:sz w:val="24"/>
        </w:rPr>
      </w:pPr>
    </w:p>
    <w:p w14:paraId="2871E363" w14:textId="58431018" w:rsidR="001B754F" w:rsidRDefault="008725A8" w:rsidP="00453901">
      <w:pPr>
        <w:pStyle w:val="Bezmezer"/>
        <w:numPr>
          <w:ilvl w:val="0"/>
          <w:numId w:val="2"/>
        </w:num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V § 67 se za odstavec 12 vkládá nový odstavec 13, který zní:</w:t>
      </w:r>
    </w:p>
    <w:p w14:paraId="2E99AB08" w14:textId="77777777" w:rsidR="00453901" w:rsidRDefault="00453901" w:rsidP="00453901">
      <w:pPr>
        <w:pStyle w:val="Bezmezer"/>
        <w:ind w:left="360"/>
        <w:rPr>
          <w:rFonts w:ascii="Times New Roman" w:hAnsi="Times New Roman"/>
          <w:color w:val="auto"/>
          <w:sz w:val="24"/>
        </w:rPr>
      </w:pPr>
    </w:p>
    <w:p w14:paraId="09CDFDD5" w14:textId="443C6247" w:rsidR="008725A8" w:rsidRDefault="00D01CF2" w:rsidP="00453901">
      <w:pPr>
        <w:pStyle w:val="Bezmezer"/>
        <w:ind w:left="426" w:hanging="426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  </w:t>
      </w:r>
      <w:r w:rsidR="00453901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 </w:t>
      </w:r>
      <w:r w:rsidR="008725A8">
        <w:rPr>
          <w:rFonts w:ascii="Times New Roman" w:hAnsi="Times New Roman"/>
          <w:color w:val="auto"/>
          <w:sz w:val="24"/>
        </w:rPr>
        <w:t xml:space="preserve">„(13) </w:t>
      </w:r>
      <w:r>
        <w:rPr>
          <w:rFonts w:ascii="Times New Roman" w:hAnsi="Times New Roman"/>
          <w:color w:val="auto"/>
          <w:sz w:val="24"/>
        </w:rPr>
        <w:t>Pokud</w:t>
      </w:r>
      <w:r w:rsidR="008725A8">
        <w:rPr>
          <w:rFonts w:ascii="Times New Roman" w:hAnsi="Times New Roman"/>
          <w:color w:val="auto"/>
          <w:sz w:val="24"/>
        </w:rPr>
        <w:t xml:space="preserve"> úhrn zvýšení </w:t>
      </w:r>
      <w:r>
        <w:rPr>
          <w:rFonts w:ascii="Times New Roman" w:hAnsi="Times New Roman"/>
          <w:color w:val="auto"/>
          <w:sz w:val="24"/>
        </w:rPr>
        <w:t xml:space="preserve">základní výměry důchodu a zvýšení procentní výměry důchodu </w:t>
      </w:r>
      <w:r w:rsidR="00810AE0">
        <w:rPr>
          <w:rFonts w:ascii="Times New Roman" w:hAnsi="Times New Roman"/>
          <w:color w:val="auto"/>
          <w:sz w:val="24"/>
        </w:rPr>
        <w:t xml:space="preserve">u všech důchodů </w:t>
      </w:r>
      <w:r w:rsidR="00DE43A1">
        <w:rPr>
          <w:rFonts w:ascii="Times New Roman" w:hAnsi="Times New Roman"/>
          <w:color w:val="auto"/>
          <w:sz w:val="24"/>
        </w:rPr>
        <w:t xml:space="preserve">vyplácených témuž poživateli </w:t>
      </w:r>
      <w:r>
        <w:rPr>
          <w:rFonts w:ascii="Times New Roman" w:hAnsi="Times New Roman"/>
          <w:color w:val="auto"/>
          <w:sz w:val="24"/>
        </w:rPr>
        <w:t xml:space="preserve">je nižší než </w:t>
      </w:r>
      <w:r w:rsidR="00DB599D">
        <w:rPr>
          <w:rFonts w:ascii="Times New Roman" w:hAnsi="Times New Roman"/>
          <w:color w:val="auto"/>
          <w:sz w:val="24"/>
        </w:rPr>
        <w:t xml:space="preserve">výše </w:t>
      </w:r>
      <w:r>
        <w:rPr>
          <w:rFonts w:ascii="Times New Roman" w:hAnsi="Times New Roman"/>
          <w:color w:val="auto"/>
          <w:sz w:val="24"/>
        </w:rPr>
        <w:t>dočas</w:t>
      </w:r>
      <w:r w:rsidR="00DB599D">
        <w:rPr>
          <w:rFonts w:ascii="Times New Roman" w:hAnsi="Times New Roman"/>
          <w:color w:val="auto"/>
          <w:sz w:val="24"/>
        </w:rPr>
        <w:t>ného</w:t>
      </w:r>
      <w:r>
        <w:rPr>
          <w:rFonts w:ascii="Times New Roman" w:hAnsi="Times New Roman"/>
          <w:color w:val="auto"/>
          <w:sz w:val="24"/>
        </w:rPr>
        <w:t xml:space="preserve"> přídav</w:t>
      </w:r>
      <w:r w:rsidR="00DB599D">
        <w:rPr>
          <w:rFonts w:ascii="Times New Roman" w:hAnsi="Times New Roman"/>
          <w:color w:val="auto"/>
          <w:sz w:val="24"/>
        </w:rPr>
        <w:t>ku</w:t>
      </w:r>
      <w:r>
        <w:rPr>
          <w:rFonts w:ascii="Times New Roman" w:hAnsi="Times New Roman"/>
          <w:color w:val="auto"/>
          <w:sz w:val="24"/>
        </w:rPr>
        <w:t xml:space="preserve"> podle § 67a</w:t>
      </w:r>
      <w:r w:rsidR="00D41C04">
        <w:rPr>
          <w:rFonts w:ascii="Times New Roman" w:hAnsi="Times New Roman"/>
          <w:color w:val="auto"/>
          <w:sz w:val="24"/>
        </w:rPr>
        <w:t>a</w:t>
      </w:r>
      <w:r>
        <w:rPr>
          <w:rFonts w:ascii="Times New Roman" w:hAnsi="Times New Roman"/>
          <w:color w:val="auto"/>
          <w:sz w:val="24"/>
        </w:rPr>
        <w:t>, který byl vyplacen se splátkou důchodu splatnou v kalendářním měsíci, který předchází kalendářnímu měsíci, do něhož spadá den, od něhož se vyplácené důchody zvyšují podle odstavce 2, zv</w:t>
      </w:r>
      <w:r w:rsidR="00453901">
        <w:rPr>
          <w:rFonts w:ascii="Times New Roman" w:hAnsi="Times New Roman"/>
          <w:color w:val="auto"/>
          <w:sz w:val="24"/>
        </w:rPr>
        <w:t>y</w:t>
      </w:r>
      <w:r>
        <w:rPr>
          <w:rFonts w:ascii="Times New Roman" w:hAnsi="Times New Roman"/>
          <w:color w:val="auto"/>
          <w:sz w:val="24"/>
        </w:rPr>
        <w:t>š</w:t>
      </w:r>
      <w:r w:rsidR="00453901">
        <w:rPr>
          <w:rFonts w:ascii="Times New Roman" w:hAnsi="Times New Roman"/>
          <w:color w:val="auto"/>
          <w:sz w:val="24"/>
        </w:rPr>
        <w:t>uj</w:t>
      </w:r>
      <w:r w:rsidR="00810AE0">
        <w:rPr>
          <w:rFonts w:ascii="Times New Roman" w:hAnsi="Times New Roman"/>
          <w:color w:val="auto"/>
          <w:sz w:val="24"/>
        </w:rPr>
        <w:t>í</w:t>
      </w:r>
      <w:r>
        <w:rPr>
          <w:rFonts w:ascii="Times New Roman" w:hAnsi="Times New Roman"/>
          <w:color w:val="auto"/>
          <w:sz w:val="24"/>
        </w:rPr>
        <w:t xml:space="preserve"> se vyplácen</w:t>
      </w:r>
      <w:r w:rsidR="00810AE0">
        <w:rPr>
          <w:rFonts w:ascii="Times New Roman" w:hAnsi="Times New Roman"/>
          <w:color w:val="auto"/>
          <w:sz w:val="24"/>
        </w:rPr>
        <w:t>é</w:t>
      </w:r>
      <w:r>
        <w:rPr>
          <w:rFonts w:ascii="Times New Roman" w:hAnsi="Times New Roman"/>
          <w:color w:val="auto"/>
          <w:sz w:val="24"/>
        </w:rPr>
        <w:t xml:space="preserve"> důchod</w:t>
      </w:r>
      <w:r w:rsidR="00810AE0">
        <w:rPr>
          <w:rFonts w:ascii="Times New Roman" w:hAnsi="Times New Roman"/>
          <w:color w:val="auto"/>
          <w:sz w:val="24"/>
        </w:rPr>
        <w:t>y</w:t>
      </w:r>
      <w:r>
        <w:rPr>
          <w:rFonts w:ascii="Times New Roman" w:hAnsi="Times New Roman"/>
          <w:color w:val="auto"/>
          <w:sz w:val="24"/>
        </w:rPr>
        <w:t xml:space="preserve"> od splátky důchodu splatné v lednu kalendářního roku, ve kterém dochází ke zvýšení.“.</w:t>
      </w:r>
    </w:p>
    <w:p w14:paraId="7EF39024" w14:textId="77777777" w:rsidR="00892B4B" w:rsidRDefault="00892B4B" w:rsidP="00453901">
      <w:pPr>
        <w:pStyle w:val="Bezmezer"/>
        <w:ind w:left="426" w:hanging="426"/>
        <w:rPr>
          <w:rFonts w:ascii="Times New Roman" w:hAnsi="Times New Roman"/>
          <w:color w:val="auto"/>
          <w:sz w:val="24"/>
        </w:rPr>
      </w:pPr>
    </w:p>
    <w:p w14:paraId="458C3AF8" w14:textId="72BD893F" w:rsidR="00DB599D" w:rsidRDefault="00DB599D" w:rsidP="00453901">
      <w:pPr>
        <w:pStyle w:val="Bezmezer"/>
        <w:ind w:left="426" w:hanging="426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Dosavadní odstavec 13 se</w:t>
      </w:r>
      <w:r w:rsidR="00892B4B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označuje jako odstavec 14.</w:t>
      </w:r>
    </w:p>
    <w:p w14:paraId="55059A21" w14:textId="77777777" w:rsidR="00D01CF2" w:rsidRPr="005E31EE" w:rsidRDefault="00D01CF2" w:rsidP="00453901">
      <w:pPr>
        <w:pStyle w:val="Bezmezer"/>
        <w:rPr>
          <w:rFonts w:ascii="Times New Roman" w:hAnsi="Times New Roman"/>
          <w:color w:val="auto"/>
          <w:sz w:val="24"/>
        </w:rPr>
      </w:pPr>
    </w:p>
    <w:p w14:paraId="3CA887E3" w14:textId="310B0B4D" w:rsidR="001B754F" w:rsidRDefault="001B754F">
      <w:pPr>
        <w:pStyle w:val="Bezmezer"/>
        <w:numPr>
          <w:ilvl w:val="0"/>
          <w:numId w:val="2"/>
        </w:numPr>
        <w:ind w:left="426" w:hanging="426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V § 67 odstavec </w:t>
      </w:r>
      <w:r w:rsidR="00D01CF2">
        <w:rPr>
          <w:rFonts w:ascii="Times New Roman" w:hAnsi="Times New Roman"/>
          <w:color w:val="auto"/>
          <w:sz w:val="24"/>
        </w:rPr>
        <w:t>14</w:t>
      </w:r>
      <w:r>
        <w:rPr>
          <w:rFonts w:ascii="Times New Roman" w:hAnsi="Times New Roman"/>
          <w:color w:val="auto"/>
          <w:sz w:val="24"/>
        </w:rPr>
        <w:t xml:space="preserve"> zní:</w:t>
      </w:r>
    </w:p>
    <w:p w14:paraId="66A5C306" w14:textId="77777777" w:rsidR="001B754F" w:rsidRDefault="001B754F" w:rsidP="001B754F">
      <w:pPr>
        <w:pStyle w:val="Odstavecseseznamem"/>
        <w:rPr>
          <w:rFonts w:ascii="Times New Roman" w:hAnsi="Times New Roman"/>
          <w:color w:val="auto"/>
          <w:sz w:val="24"/>
        </w:rPr>
      </w:pPr>
    </w:p>
    <w:p w14:paraId="2486E902" w14:textId="6892FEB0" w:rsidR="001B754F" w:rsidRDefault="001B754F" w:rsidP="001B754F">
      <w:pPr>
        <w:pStyle w:val="Bezmezer"/>
        <w:ind w:left="426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„(</w:t>
      </w:r>
      <w:r w:rsidR="00D01CF2">
        <w:rPr>
          <w:rFonts w:ascii="Times New Roman" w:hAnsi="Times New Roman"/>
          <w:color w:val="auto"/>
          <w:sz w:val="24"/>
        </w:rPr>
        <w:t>14</w:t>
      </w:r>
      <w:r>
        <w:rPr>
          <w:rFonts w:ascii="Times New Roman" w:hAnsi="Times New Roman"/>
          <w:color w:val="auto"/>
          <w:sz w:val="24"/>
        </w:rPr>
        <w:t>) Zvýšení důchodů stanoví prováděcí právní předpis do 30. září kalendářního roku</w:t>
      </w:r>
      <w:r w:rsidR="00006F11">
        <w:rPr>
          <w:rFonts w:ascii="Times New Roman" w:hAnsi="Times New Roman"/>
          <w:color w:val="auto"/>
          <w:sz w:val="24"/>
        </w:rPr>
        <w:t>, který o jeden rok předchází kalendářnímu roku</w:t>
      </w:r>
      <w:r w:rsidR="00C512A5">
        <w:rPr>
          <w:rFonts w:ascii="Times New Roman" w:hAnsi="Times New Roman"/>
          <w:color w:val="auto"/>
          <w:sz w:val="24"/>
        </w:rPr>
        <w:t>, do něhož spadá termín zvýšení důchodů</w:t>
      </w:r>
      <w:r w:rsidR="00E763FF">
        <w:rPr>
          <w:rFonts w:ascii="Times New Roman" w:hAnsi="Times New Roman"/>
          <w:color w:val="auto"/>
          <w:sz w:val="24"/>
        </w:rPr>
        <w:t>.“.</w:t>
      </w:r>
    </w:p>
    <w:p w14:paraId="748C6FB7" w14:textId="0AFC2F84" w:rsidR="00E87769" w:rsidRDefault="00E87769" w:rsidP="00453901">
      <w:pPr>
        <w:pStyle w:val="Bezmezer"/>
        <w:rPr>
          <w:rFonts w:ascii="Times New Roman" w:hAnsi="Times New Roman"/>
          <w:color w:val="auto"/>
          <w:sz w:val="24"/>
        </w:rPr>
      </w:pPr>
    </w:p>
    <w:p w14:paraId="78475ADC" w14:textId="03346796" w:rsidR="00835503" w:rsidRDefault="00835503">
      <w:pPr>
        <w:pStyle w:val="Bezmezer"/>
        <w:numPr>
          <w:ilvl w:val="0"/>
          <w:numId w:val="2"/>
        </w:numPr>
        <w:ind w:left="426" w:hanging="426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§ 67a zní:</w:t>
      </w:r>
    </w:p>
    <w:p w14:paraId="0C76A3B0" w14:textId="3E724146" w:rsidR="00835503" w:rsidRDefault="00835503" w:rsidP="00835503">
      <w:pPr>
        <w:pStyle w:val="Bezmezer"/>
        <w:rPr>
          <w:rFonts w:ascii="Times New Roman" w:hAnsi="Times New Roman"/>
          <w:color w:val="auto"/>
          <w:sz w:val="24"/>
        </w:rPr>
      </w:pPr>
    </w:p>
    <w:p w14:paraId="403EFCF4" w14:textId="2C9A6B82" w:rsidR="00835503" w:rsidRDefault="00835503" w:rsidP="00835503">
      <w:pPr>
        <w:pStyle w:val="Bezmez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                                                            „§ 67a</w:t>
      </w:r>
    </w:p>
    <w:p w14:paraId="3B1B1A84" w14:textId="19D50DF3" w:rsidR="00835503" w:rsidRDefault="00835503" w:rsidP="00835503">
      <w:pPr>
        <w:pStyle w:val="Bezmezer"/>
        <w:rPr>
          <w:rFonts w:ascii="Times New Roman" w:hAnsi="Times New Roman"/>
          <w:color w:val="auto"/>
          <w:sz w:val="24"/>
        </w:rPr>
      </w:pPr>
    </w:p>
    <w:p w14:paraId="1D84EE82" w14:textId="70CB0064" w:rsidR="00835503" w:rsidRDefault="001704F4" w:rsidP="005E31EE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(1) </w:t>
      </w:r>
      <w:r w:rsidR="008D5840">
        <w:rPr>
          <w:rFonts w:ascii="Times New Roman" w:hAnsi="Times New Roman"/>
          <w:color w:val="auto"/>
          <w:sz w:val="24"/>
        </w:rPr>
        <w:t>Dosáhl-li růst cen v období stanoveném podle odstavce 2 aspoň 5 %, zvýší se procentní výměry vyplácených důchodů</w:t>
      </w:r>
      <w:r w:rsidR="000C2641">
        <w:rPr>
          <w:rFonts w:ascii="Times New Roman" w:hAnsi="Times New Roman"/>
          <w:color w:val="auto"/>
          <w:sz w:val="24"/>
        </w:rPr>
        <w:t>.</w:t>
      </w:r>
      <w:r w:rsidR="00493930">
        <w:rPr>
          <w:rFonts w:ascii="Times New Roman" w:hAnsi="Times New Roman"/>
          <w:color w:val="auto"/>
          <w:sz w:val="24"/>
        </w:rPr>
        <w:t xml:space="preserve"> Růst cen se</w:t>
      </w:r>
      <w:r w:rsidR="00D6167D">
        <w:rPr>
          <w:rFonts w:ascii="Times New Roman" w:hAnsi="Times New Roman"/>
          <w:color w:val="auto"/>
          <w:sz w:val="24"/>
        </w:rPr>
        <w:t xml:space="preserve"> </w:t>
      </w:r>
      <w:r w:rsidR="00493930">
        <w:rPr>
          <w:rFonts w:ascii="Times New Roman" w:hAnsi="Times New Roman"/>
          <w:color w:val="auto"/>
          <w:sz w:val="24"/>
        </w:rPr>
        <w:t>zjišťuje podle § 67 odst. 4.</w:t>
      </w:r>
    </w:p>
    <w:p w14:paraId="6C5BF8AF" w14:textId="77777777" w:rsidR="00493930" w:rsidRDefault="00493930" w:rsidP="00493930">
      <w:pPr>
        <w:pStyle w:val="Bezmezer"/>
        <w:ind w:left="426"/>
        <w:rPr>
          <w:rFonts w:ascii="Times New Roman" w:hAnsi="Times New Roman"/>
          <w:color w:val="auto"/>
          <w:sz w:val="24"/>
        </w:rPr>
      </w:pPr>
    </w:p>
    <w:p w14:paraId="65481F2C" w14:textId="5DE44087" w:rsidR="00493930" w:rsidRDefault="005E31EE" w:rsidP="005E31EE">
      <w:pPr>
        <w:pStyle w:val="Bezmezer"/>
        <w:ind w:left="426" w:hanging="426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    (2) </w:t>
      </w:r>
      <w:r w:rsidR="00D6167D">
        <w:rPr>
          <w:rFonts w:ascii="Times New Roman" w:hAnsi="Times New Roman"/>
          <w:color w:val="auto"/>
          <w:sz w:val="24"/>
        </w:rPr>
        <w:t xml:space="preserve">Období pro zjišťování růstu cen se stanoví tak, že </w:t>
      </w:r>
      <w:r w:rsidR="00E3180A">
        <w:rPr>
          <w:rFonts w:ascii="Times New Roman" w:hAnsi="Times New Roman"/>
          <w:color w:val="auto"/>
          <w:sz w:val="24"/>
        </w:rPr>
        <w:t xml:space="preserve">první měsíc </w:t>
      </w:r>
      <w:r w:rsidR="00D6167D">
        <w:rPr>
          <w:rFonts w:ascii="Times New Roman" w:hAnsi="Times New Roman"/>
          <w:color w:val="auto"/>
          <w:sz w:val="24"/>
        </w:rPr>
        <w:t xml:space="preserve">tohoto období </w:t>
      </w:r>
      <w:r w:rsidR="006A7D79">
        <w:rPr>
          <w:rFonts w:ascii="Times New Roman" w:hAnsi="Times New Roman"/>
          <w:color w:val="auto"/>
          <w:sz w:val="24"/>
        </w:rPr>
        <w:t xml:space="preserve">se stanoví podle § 67 odst. 3 </w:t>
      </w:r>
      <w:r w:rsidR="00D6167D">
        <w:rPr>
          <w:rFonts w:ascii="Times New Roman" w:hAnsi="Times New Roman"/>
          <w:color w:val="auto"/>
          <w:sz w:val="24"/>
        </w:rPr>
        <w:t xml:space="preserve">a posledním měsícem tohoto období je kalendářní měsíc, v němž růst cen dosáhl aspoň 5 %, nejpozději však </w:t>
      </w:r>
      <w:r w:rsidR="00D52B51">
        <w:rPr>
          <w:rFonts w:ascii="Times New Roman" w:hAnsi="Times New Roman"/>
          <w:color w:val="auto"/>
          <w:sz w:val="24"/>
        </w:rPr>
        <w:t xml:space="preserve">poslední měsíc stanovený podle § 67 odst. 3.  </w:t>
      </w:r>
    </w:p>
    <w:p w14:paraId="6DF2BC35" w14:textId="77777777" w:rsidR="00D6167D" w:rsidRDefault="00D6167D" w:rsidP="005E31EE">
      <w:pPr>
        <w:pStyle w:val="Odstavecseseznamem"/>
        <w:ind w:left="426" w:hanging="426"/>
        <w:rPr>
          <w:rFonts w:ascii="Times New Roman" w:hAnsi="Times New Roman"/>
          <w:color w:val="auto"/>
          <w:sz w:val="24"/>
        </w:rPr>
      </w:pPr>
    </w:p>
    <w:p w14:paraId="615AA82D" w14:textId="31B5AFC8" w:rsidR="00D6167D" w:rsidRDefault="005E31EE" w:rsidP="005E31EE">
      <w:pPr>
        <w:pStyle w:val="Bezmezer"/>
        <w:ind w:left="426" w:hanging="426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   (3) </w:t>
      </w:r>
      <w:r w:rsidR="00686F45">
        <w:rPr>
          <w:rFonts w:ascii="Times New Roman" w:hAnsi="Times New Roman"/>
          <w:color w:val="auto"/>
          <w:sz w:val="24"/>
        </w:rPr>
        <w:t xml:space="preserve">Procentní výměry vyplácených důchodů </w:t>
      </w:r>
      <w:r w:rsidR="00D6167D">
        <w:rPr>
          <w:rFonts w:ascii="Times New Roman" w:hAnsi="Times New Roman"/>
          <w:color w:val="auto"/>
          <w:sz w:val="24"/>
        </w:rPr>
        <w:t xml:space="preserve">se zvyšují od splátky důchodu splatné </w:t>
      </w:r>
      <w:r w:rsidR="00686F45">
        <w:rPr>
          <w:rFonts w:ascii="Times New Roman" w:hAnsi="Times New Roman"/>
          <w:color w:val="auto"/>
          <w:sz w:val="24"/>
        </w:rPr>
        <w:t>v červenci kalendářního roku</w:t>
      </w:r>
      <w:r w:rsidR="000C2641">
        <w:rPr>
          <w:rFonts w:ascii="Times New Roman" w:hAnsi="Times New Roman"/>
          <w:color w:val="auto"/>
          <w:sz w:val="24"/>
        </w:rPr>
        <w:t>, pokud růst cen dosáhl v období stanoveném podle odstavce 2 aspoň 5 % nejpozději v březnu</w:t>
      </w:r>
      <w:r w:rsidR="00686F45">
        <w:rPr>
          <w:rFonts w:ascii="Times New Roman" w:hAnsi="Times New Roman"/>
          <w:color w:val="auto"/>
          <w:sz w:val="24"/>
        </w:rPr>
        <w:t xml:space="preserve">; je-li kalendářním měsícem, v němž růst cen dosáhl </w:t>
      </w:r>
      <w:r w:rsidR="00986056">
        <w:rPr>
          <w:rFonts w:ascii="Times New Roman" w:hAnsi="Times New Roman"/>
          <w:color w:val="auto"/>
          <w:sz w:val="24"/>
        </w:rPr>
        <w:t xml:space="preserve">aspoň </w:t>
      </w:r>
      <w:r w:rsidR="00892B4B">
        <w:rPr>
          <w:rFonts w:ascii="Times New Roman" w:hAnsi="Times New Roman"/>
          <w:color w:val="auto"/>
          <w:sz w:val="24"/>
        </w:rPr>
        <w:t xml:space="preserve">  </w:t>
      </w:r>
      <w:r w:rsidR="006D3979">
        <w:rPr>
          <w:rFonts w:ascii="Times New Roman" w:hAnsi="Times New Roman"/>
          <w:color w:val="auto"/>
          <w:sz w:val="24"/>
        </w:rPr>
        <w:t xml:space="preserve">  </w:t>
      </w:r>
      <w:r w:rsidR="00986056">
        <w:rPr>
          <w:rFonts w:ascii="Times New Roman" w:hAnsi="Times New Roman"/>
          <w:color w:val="auto"/>
          <w:sz w:val="24"/>
        </w:rPr>
        <w:t>5 %, duben</w:t>
      </w:r>
      <w:r w:rsidR="000C2641">
        <w:rPr>
          <w:rFonts w:ascii="Times New Roman" w:hAnsi="Times New Roman"/>
          <w:color w:val="auto"/>
          <w:sz w:val="24"/>
        </w:rPr>
        <w:t xml:space="preserve"> až</w:t>
      </w:r>
      <w:r w:rsidR="00986056">
        <w:rPr>
          <w:rFonts w:ascii="Times New Roman" w:hAnsi="Times New Roman"/>
          <w:color w:val="auto"/>
          <w:sz w:val="24"/>
        </w:rPr>
        <w:t xml:space="preserve"> červen, zvyšují se procentní výměry vyplácených důchodů od splátky důchod</w:t>
      </w:r>
      <w:r w:rsidR="006D3979">
        <w:rPr>
          <w:rFonts w:ascii="Times New Roman" w:hAnsi="Times New Roman"/>
          <w:color w:val="auto"/>
          <w:sz w:val="24"/>
        </w:rPr>
        <w:t xml:space="preserve">   </w:t>
      </w:r>
      <w:r w:rsidR="00986056">
        <w:rPr>
          <w:rFonts w:ascii="Times New Roman" w:hAnsi="Times New Roman"/>
          <w:color w:val="auto"/>
          <w:sz w:val="24"/>
        </w:rPr>
        <w:t xml:space="preserve">u splatné </w:t>
      </w:r>
      <w:r w:rsidR="00D6167D">
        <w:rPr>
          <w:rFonts w:ascii="Times New Roman" w:hAnsi="Times New Roman"/>
          <w:color w:val="auto"/>
          <w:sz w:val="24"/>
        </w:rPr>
        <w:t xml:space="preserve">ve čtvrtém kalendářním měsíci následujícím po </w:t>
      </w:r>
      <w:r w:rsidR="00986056">
        <w:rPr>
          <w:rFonts w:ascii="Times New Roman" w:hAnsi="Times New Roman"/>
          <w:color w:val="auto"/>
          <w:sz w:val="24"/>
        </w:rPr>
        <w:t xml:space="preserve">tomto </w:t>
      </w:r>
      <w:r w:rsidR="00D6167D">
        <w:rPr>
          <w:rFonts w:ascii="Times New Roman" w:hAnsi="Times New Roman"/>
          <w:color w:val="auto"/>
          <w:sz w:val="24"/>
        </w:rPr>
        <w:t>kalendářním měsíci</w:t>
      </w:r>
      <w:r w:rsidR="00986056">
        <w:rPr>
          <w:rFonts w:ascii="Times New Roman" w:hAnsi="Times New Roman"/>
          <w:color w:val="auto"/>
          <w:sz w:val="24"/>
        </w:rPr>
        <w:t>.</w:t>
      </w:r>
    </w:p>
    <w:p w14:paraId="67F3654A" w14:textId="77777777" w:rsidR="00F33892" w:rsidRPr="00453901" w:rsidRDefault="00F33892" w:rsidP="00453901">
      <w:pPr>
        <w:rPr>
          <w:rFonts w:ascii="Times New Roman" w:hAnsi="Times New Roman"/>
          <w:color w:val="auto"/>
          <w:sz w:val="24"/>
        </w:rPr>
      </w:pPr>
    </w:p>
    <w:p w14:paraId="5C6FF48C" w14:textId="6EA2C7A7" w:rsidR="00F33892" w:rsidRDefault="005E31EE" w:rsidP="005E31EE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(</w:t>
      </w:r>
      <w:r w:rsidR="00986056">
        <w:rPr>
          <w:rFonts w:ascii="Times New Roman" w:hAnsi="Times New Roman"/>
          <w:color w:val="auto"/>
          <w:sz w:val="24"/>
        </w:rPr>
        <w:t>4</w:t>
      </w:r>
      <w:r>
        <w:rPr>
          <w:rFonts w:ascii="Times New Roman" w:hAnsi="Times New Roman"/>
          <w:color w:val="auto"/>
          <w:sz w:val="24"/>
        </w:rPr>
        <w:t xml:space="preserve">) </w:t>
      </w:r>
      <w:r w:rsidR="00D33802">
        <w:rPr>
          <w:rFonts w:ascii="Times New Roman" w:hAnsi="Times New Roman"/>
          <w:color w:val="auto"/>
          <w:sz w:val="24"/>
        </w:rPr>
        <w:t>Procentní výměry vyplácených důchodů se zvýší o tolik procent zaokrouhlených s přesností na jedno des</w:t>
      </w:r>
      <w:r w:rsidR="006D3979">
        <w:rPr>
          <w:rFonts w:ascii="Times New Roman" w:hAnsi="Times New Roman"/>
          <w:color w:val="auto"/>
          <w:sz w:val="24"/>
        </w:rPr>
        <w:t>e</w:t>
      </w:r>
      <w:r w:rsidR="00D33802">
        <w:rPr>
          <w:rFonts w:ascii="Times New Roman" w:hAnsi="Times New Roman"/>
          <w:color w:val="auto"/>
          <w:sz w:val="24"/>
        </w:rPr>
        <w:t>tinné místo nahoru, aby u průměrného starobního důchodu toto zvýšení odpovídalo 30 % růstu cen.</w:t>
      </w:r>
      <w:r w:rsidR="00DB599D">
        <w:rPr>
          <w:rFonts w:ascii="Times New Roman" w:hAnsi="Times New Roman"/>
          <w:color w:val="auto"/>
          <w:sz w:val="24"/>
        </w:rPr>
        <w:t xml:space="preserve"> Průměrný starobní důchod se stanoví</w:t>
      </w:r>
      <w:r w:rsidR="00DB599D" w:rsidRPr="00DB599D">
        <w:rPr>
          <w:rFonts w:ascii="Times New Roman" w:hAnsi="Times New Roman"/>
          <w:color w:val="auto"/>
          <w:sz w:val="24"/>
        </w:rPr>
        <w:t xml:space="preserve"> </w:t>
      </w:r>
      <w:r w:rsidR="00DB599D">
        <w:rPr>
          <w:rFonts w:ascii="Times New Roman" w:hAnsi="Times New Roman"/>
          <w:color w:val="auto"/>
          <w:sz w:val="24"/>
        </w:rPr>
        <w:t>podle § 67          odst. 9.</w:t>
      </w:r>
    </w:p>
    <w:p w14:paraId="07118205" w14:textId="45B5B6CF" w:rsidR="00D41C04" w:rsidRDefault="00D41C04" w:rsidP="005E31EE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</w:p>
    <w:p w14:paraId="6732F77E" w14:textId="14D5DA25" w:rsidR="00D41C04" w:rsidRDefault="00D41C04" w:rsidP="005E31EE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(5) Zvýšení procentní výměry důchodu se zaokrouhluje na celé koruny nahoru.</w:t>
      </w:r>
    </w:p>
    <w:p w14:paraId="36608A61" w14:textId="77777777" w:rsidR="00D33802" w:rsidRDefault="00D33802" w:rsidP="00D33802">
      <w:pPr>
        <w:pStyle w:val="Odstavecseseznamem"/>
        <w:rPr>
          <w:rFonts w:ascii="Times New Roman" w:hAnsi="Times New Roman"/>
          <w:color w:val="auto"/>
          <w:sz w:val="24"/>
        </w:rPr>
      </w:pPr>
    </w:p>
    <w:p w14:paraId="30EC8C93" w14:textId="77777777" w:rsidR="00DB599D" w:rsidRDefault="00DB599D" w:rsidP="005E31EE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</w:p>
    <w:p w14:paraId="1B64B788" w14:textId="77777777" w:rsidR="003D665B" w:rsidRPr="003D665B" w:rsidRDefault="003D665B" w:rsidP="003D665B">
      <w:pPr>
        <w:rPr>
          <w:rFonts w:ascii="Times New Roman" w:hAnsi="Times New Roman"/>
          <w:color w:val="auto"/>
          <w:sz w:val="24"/>
        </w:rPr>
      </w:pPr>
    </w:p>
    <w:p w14:paraId="2CC4306F" w14:textId="170AB46F" w:rsidR="003D665B" w:rsidRDefault="005E31EE" w:rsidP="00453901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(</w:t>
      </w:r>
      <w:r w:rsidR="000C2641">
        <w:rPr>
          <w:rFonts w:ascii="Times New Roman" w:hAnsi="Times New Roman"/>
          <w:color w:val="auto"/>
          <w:sz w:val="24"/>
        </w:rPr>
        <w:t>6</w:t>
      </w:r>
      <w:r>
        <w:rPr>
          <w:rFonts w:ascii="Times New Roman" w:hAnsi="Times New Roman"/>
          <w:color w:val="auto"/>
          <w:sz w:val="24"/>
        </w:rPr>
        <w:t xml:space="preserve">) </w:t>
      </w:r>
      <w:r w:rsidR="003D665B">
        <w:rPr>
          <w:rFonts w:ascii="Times New Roman" w:hAnsi="Times New Roman"/>
          <w:color w:val="auto"/>
          <w:sz w:val="24"/>
        </w:rPr>
        <w:t xml:space="preserve">Zvýšení </w:t>
      </w:r>
      <w:r w:rsidR="007A6B19">
        <w:rPr>
          <w:rFonts w:ascii="Times New Roman" w:hAnsi="Times New Roman"/>
          <w:color w:val="auto"/>
          <w:sz w:val="24"/>
        </w:rPr>
        <w:t xml:space="preserve">procentních výměr </w:t>
      </w:r>
      <w:r w:rsidR="003D665B">
        <w:rPr>
          <w:rFonts w:ascii="Times New Roman" w:hAnsi="Times New Roman"/>
          <w:color w:val="auto"/>
          <w:sz w:val="24"/>
        </w:rPr>
        <w:t>důchodů nále</w:t>
      </w:r>
      <w:r w:rsidR="00892B4B">
        <w:rPr>
          <w:rFonts w:ascii="Times New Roman" w:hAnsi="Times New Roman"/>
          <w:color w:val="auto"/>
          <w:sz w:val="24"/>
        </w:rPr>
        <w:t>ží</w:t>
      </w:r>
      <w:r w:rsidR="00DB599D">
        <w:rPr>
          <w:rFonts w:ascii="Times New Roman" w:hAnsi="Times New Roman"/>
          <w:color w:val="auto"/>
          <w:sz w:val="24"/>
        </w:rPr>
        <w:t xml:space="preserve"> </w:t>
      </w:r>
      <w:r w:rsidR="003D665B">
        <w:rPr>
          <w:rFonts w:ascii="Times New Roman" w:hAnsi="Times New Roman"/>
          <w:color w:val="auto"/>
          <w:sz w:val="24"/>
        </w:rPr>
        <w:t xml:space="preserve">i k důchodům přiznávaným v tom kalendářním roce, </w:t>
      </w:r>
      <w:r w:rsidR="00F44140">
        <w:rPr>
          <w:rFonts w:ascii="Times New Roman" w:hAnsi="Times New Roman"/>
          <w:color w:val="auto"/>
          <w:sz w:val="24"/>
        </w:rPr>
        <w:t>do něhož spadá kalendářní měsíc podle odstavce 3</w:t>
      </w:r>
      <w:r w:rsidR="003D665B">
        <w:rPr>
          <w:rFonts w:ascii="Times New Roman" w:hAnsi="Times New Roman"/>
          <w:color w:val="auto"/>
          <w:sz w:val="24"/>
        </w:rPr>
        <w:t>.</w:t>
      </w:r>
    </w:p>
    <w:p w14:paraId="684739B8" w14:textId="77777777" w:rsidR="00453901" w:rsidRPr="00453901" w:rsidRDefault="00453901" w:rsidP="00453901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</w:p>
    <w:p w14:paraId="24ADA34D" w14:textId="75D23A57" w:rsidR="00EA01B2" w:rsidRDefault="005E31EE" w:rsidP="00453901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  <w:bookmarkStart w:id="0" w:name="_Hlk130913084"/>
      <w:r>
        <w:rPr>
          <w:rFonts w:ascii="Times New Roman" w:hAnsi="Times New Roman"/>
          <w:color w:val="auto"/>
          <w:sz w:val="24"/>
        </w:rPr>
        <w:t>(</w:t>
      </w:r>
      <w:r w:rsidR="000C2641">
        <w:rPr>
          <w:rFonts w:ascii="Times New Roman" w:hAnsi="Times New Roman"/>
          <w:color w:val="auto"/>
          <w:sz w:val="24"/>
        </w:rPr>
        <w:t>7</w:t>
      </w:r>
      <w:r>
        <w:rPr>
          <w:rFonts w:ascii="Times New Roman" w:hAnsi="Times New Roman"/>
          <w:color w:val="auto"/>
          <w:sz w:val="24"/>
        </w:rPr>
        <w:t xml:space="preserve">) </w:t>
      </w:r>
      <w:r w:rsidR="00F44140">
        <w:rPr>
          <w:rFonts w:ascii="Times New Roman" w:hAnsi="Times New Roman"/>
          <w:color w:val="auto"/>
          <w:sz w:val="24"/>
        </w:rPr>
        <w:t>Procentní výměry starobních důchodů</w:t>
      </w:r>
      <w:r w:rsidR="003D665B">
        <w:rPr>
          <w:rFonts w:ascii="Times New Roman" w:hAnsi="Times New Roman"/>
          <w:color w:val="auto"/>
          <w:sz w:val="24"/>
        </w:rPr>
        <w:t xml:space="preserve">, na které vznikl nárok podle § 31, se </w:t>
      </w:r>
      <w:r w:rsidR="000E1A20">
        <w:rPr>
          <w:rFonts w:ascii="Times New Roman" w:hAnsi="Times New Roman"/>
          <w:color w:val="auto"/>
          <w:sz w:val="24"/>
        </w:rPr>
        <w:t>podle odstavc</w:t>
      </w:r>
      <w:r w:rsidR="00D52B51">
        <w:rPr>
          <w:rFonts w:ascii="Times New Roman" w:hAnsi="Times New Roman"/>
          <w:color w:val="auto"/>
          <w:sz w:val="24"/>
        </w:rPr>
        <w:t>ů</w:t>
      </w:r>
      <w:r w:rsidR="000E1A20">
        <w:rPr>
          <w:rFonts w:ascii="Times New Roman" w:hAnsi="Times New Roman"/>
          <w:color w:val="auto"/>
          <w:sz w:val="24"/>
        </w:rPr>
        <w:t xml:space="preserve"> </w:t>
      </w:r>
      <w:r w:rsidR="00D52B51">
        <w:rPr>
          <w:rFonts w:ascii="Times New Roman" w:hAnsi="Times New Roman"/>
          <w:color w:val="auto"/>
          <w:sz w:val="24"/>
        </w:rPr>
        <w:t xml:space="preserve">1 až </w:t>
      </w:r>
      <w:r w:rsidR="000E1A20">
        <w:rPr>
          <w:rFonts w:ascii="Times New Roman" w:hAnsi="Times New Roman"/>
          <w:color w:val="auto"/>
          <w:sz w:val="24"/>
        </w:rPr>
        <w:t xml:space="preserve"> </w:t>
      </w:r>
      <w:r w:rsidR="00810AE0">
        <w:rPr>
          <w:rFonts w:ascii="Times New Roman" w:hAnsi="Times New Roman"/>
          <w:color w:val="auto"/>
          <w:sz w:val="24"/>
        </w:rPr>
        <w:t xml:space="preserve">6 </w:t>
      </w:r>
      <w:r w:rsidR="000E1A20">
        <w:rPr>
          <w:rFonts w:ascii="Times New Roman" w:hAnsi="Times New Roman"/>
          <w:color w:val="auto"/>
          <w:sz w:val="24"/>
        </w:rPr>
        <w:t xml:space="preserve">nezvyšují, pokud poživatel tohoto důchodu nedosáhl </w:t>
      </w:r>
      <w:r w:rsidR="00DE43A1">
        <w:rPr>
          <w:rFonts w:ascii="Times New Roman" w:hAnsi="Times New Roman"/>
          <w:color w:val="auto"/>
          <w:sz w:val="24"/>
        </w:rPr>
        <w:t xml:space="preserve">důchodového věku </w:t>
      </w:r>
      <w:r w:rsidR="000E1A20">
        <w:rPr>
          <w:rFonts w:ascii="Times New Roman" w:hAnsi="Times New Roman"/>
          <w:color w:val="auto"/>
          <w:sz w:val="24"/>
        </w:rPr>
        <w:t>v období před</w:t>
      </w:r>
      <w:r w:rsidR="00DE43A1">
        <w:rPr>
          <w:rFonts w:ascii="Times New Roman" w:hAnsi="Times New Roman"/>
          <w:color w:val="auto"/>
          <w:sz w:val="24"/>
        </w:rPr>
        <w:t xml:space="preserve"> </w:t>
      </w:r>
      <w:r w:rsidR="00892B4B">
        <w:rPr>
          <w:rFonts w:ascii="Times New Roman" w:hAnsi="Times New Roman"/>
          <w:color w:val="auto"/>
          <w:sz w:val="24"/>
        </w:rPr>
        <w:t xml:space="preserve"> </w:t>
      </w:r>
      <w:r w:rsidR="000E1A20">
        <w:rPr>
          <w:rFonts w:ascii="Times New Roman" w:hAnsi="Times New Roman"/>
          <w:color w:val="auto"/>
          <w:sz w:val="24"/>
        </w:rPr>
        <w:t xml:space="preserve">1. lednem kalendářního roku, </w:t>
      </w:r>
      <w:r w:rsidR="00DE43A1">
        <w:rPr>
          <w:rFonts w:ascii="Times New Roman" w:hAnsi="Times New Roman"/>
          <w:color w:val="auto"/>
          <w:sz w:val="24"/>
        </w:rPr>
        <w:t>v němž se vyplácené důchody zvyšují podle odstavců 1 až 6</w:t>
      </w:r>
      <w:r w:rsidR="000E1A20">
        <w:rPr>
          <w:rFonts w:ascii="Times New Roman" w:hAnsi="Times New Roman"/>
          <w:color w:val="auto"/>
          <w:sz w:val="24"/>
        </w:rPr>
        <w:t xml:space="preserve">. </w:t>
      </w:r>
      <w:bookmarkEnd w:id="0"/>
    </w:p>
    <w:p w14:paraId="0FA5A113" w14:textId="77777777" w:rsidR="00453901" w:rsidRPr="003D665B" w:rsidRDefault="00453901" w:rsidP="00453901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</w:p>
    <w:p w14:paraId="560F5145" w14:textId="11663207" w:rsidR="00EA01B2" w:rsidRDefault="005E31EE" w:rsidP="005E31EE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(</w:t>
      </w:r>
      <w:r w:rsidR="000C2641">
        <w:rPr>
          <w:rFonts w:ascii="Times New Roman" w:hAnsi="Times New Roman"/>
          <w:color w:val="auto"/>
          <w:sz w:val="24"/>
        </w:rPr>
        <w:t>8</w:t>
      </w:r>
      <w:r>
        <w:rPr>
          <w:rFonts w:ascii="Times New Roman" w:hAnsi="Times New Roman"/>
          <w:color w:val="auto"/>
          <w:sz w:val="24"/>
        </w:rPr>
        <w:t xml:space="preserve">) </w:t>
      </w:r>
      <w:r w:rsidR="00EA01B2">
        <w:rPr>
          <w:rFonts w:ascii="Times New Roman" w:hAnsi="Times New Roman"/>
          <w:color w:val="auto"/>
          <w:sz w:val="24"/>
        </w:rPr>
        <w:t>Zvýšení důchodů stanoví prováděcí právní předpis do</w:t>
      </w:r>
      <w:r w:rsidR="00892B4B">
        <w:rPr>
          <w:rFonts w:ascii="Times New Roman" w:hAnsi="Times New Roman"/>
          <w:color w:val="auto"/>
          <w:sz w:val="24"/>
        </w:rPr>
        <w:t xml:space="preserve"> </w:t>
      </w:r>
      <w:r w:rsidR="00EA01B2">
        <w:rPr>
          <w:rFonts w:ascii="Times New Roman" w:hAnsi="Times New Roman"/>
          <w:color w:val="auto"/>
          <w:sz w:val="24"/>
        </w:rPr>
        <w:t>30 dnů od posledního dne kalendářního měsíce, v ně</w:t>
      </w:r>
      <w:r w:rsidR="00F800B8">
        <w:rPr>
          <w:rFonts w:ascii="Times New Roman" w:hAnsi="Times New Roman"/>
          <w:color w:val="auto"/>
          <w:sz w:val="24"/>
        </w:rPr>
        <w:t>m</w:t>
      </w:r>
      <w:r w:rsidR="00EA01B2">
        <w:rPr>
          <w:rFonts w:ascii="Times New Roman" w:hAnsi="Times New Roman"/>
          <w:color w:val="auto"/>
          <w:sz w:val="24"/>
        </w:rPr>
        <w:t xml:space="preserve">ž růst cen dosáhl </w:t>
      </w:r>
      <w:r w:rsidR="00AF259B">
        <w:rPr>
          <w:rFonts w:ascii="Times New Roman" w:hAnsi="Times New Roman"/>
          <w:color w:val="auto"/>
          <w:sz w:val="24"/>
        </w:rPr>
        <w:t>aspo</w:t>
      </w:r>
      <w:r w:rsidR="00F800B8">
        <w:rPr>
          <w:rFonts w:ascii="Times New Roman" w:hAnsi="Times New Roman"/>
          <w:color w:val="auto"/>
          <w:sz w:val="24"/>
        </w:rPr>
        <w:t>ň</w:t>
      </w:r>
      <w:r w:rsidR="00AF259B">
        <w:rPr>
          <w:rFonts w:ascii="Times New Roman" w:hAnsi="Times New Roman"/>
          <w:color w:val="auto"/>
          <w:sz w:val="24"/>
        </w:rPr>
        <w:t xml:space="preserve"> 5 %.“.</w:t>
      </w:r>
    </w:p>
    <w:p w14:paraId="2880E9EF" w14:textId="749B4C70" w:rsidR="00E763FF" w:rsidRDefault="00E763FF" w:rsidP="00D6167D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</w:p>
    <w:p w14:paraId="04D063FF" w14:textId="09AFB2CB" w:rsidR="00E763FF" w:rsidRDefault="00E763FF">
      <w:pPr>
        <w:pStyle w:val="Bezmezer"/>
        <w:numPr>
          <w:ilvl w:val="0"/>
          <w:numId w:val="2"/>
        </w:numPr>
        <w:tabs>
          <w:tab w:val="left" w:pos="142"/>
        </w:tabs>
        <w:ind w:left="426" w:hanging="426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Za § 67</w:t>
      </w:r>
      <w:r w:rsidR="003F0DE3">
        <w:rPr>
          <w:rFonts w:ascii="Times New Roman" w:hAnsi="Times New Roman"/>
          <w:color w:val="auto"/>
          <w:sz w:val="24"/>
        </w:rPr>
        <w:t>a</w:t>
      </w:r>
      <w:r>
        <w:rPr>
          <w:rFonts w:ascii="Times New Roman" w:hAnsi="Times New Roman"/>
          <w:color w:val="auto"/>
          <w:sz w:val="24"/>
        </w:rPr>
        <w:t xml:space="preserve"> se vklád</w:t>
      </w:r>
      <w:r w:rsidR="00892B4B">
        <w:rPr>
          <w:rFonts w:ascii="Times New Roman" w:hAnsi="Times New Roman"/>
          <w:color w:val="auto"/>
          <w:sz w:val="24"/>
        </w:rPr>
        <w:t>ají</w:t>
      </w:r>
      <w:r>
        <w:rPr>
          <w:rFonts w:ascii="Times New Roman" w:hAnsi="Times New Roman"/>
          <w:color w:val="auto"/>
          <w:sz w:val="24"/>
        </w:rPr>
        <w:t xml:space="preserve"> nov</w:t>
      </w:r>
      <w:r w:rsidR="00892B4B">
        <w:rPr>
          <w:rFonts w:ascii="Times New Roman" w:hAnsi="Times New Roman"/>
          <w:color w:val="auto"/>
          <w:sz w:val="24"/>
        </w:rPr>
        <w:t>é</w:t>
      </w:r>
      <w:r>
        <w:rPr>
          <w:rFonts w:ascii="Times New Roman" w:hAnsi="Times New Roman"/>
          <w:color w:val="auto"/>
          <w:sz w:val="24"/>
        </w:rPr>
        <w:t xml:space="preserve"> § 67</w:t>
      </w:r>
      <w:r w:rsidR="003F0DE3">
        <w:rPr>
          <w:rFonts w:ascii="Times New Roman" w:hAnsi="Times New Roman"/>
          <w:color w:val="auto"/>
          <w:sz w:val="24"/>
        </w:rPr>
        <w:t>aa</w:t>
      </w:r>
      <w:r w:rsidR="00892B4B">
        <w:rPr>
          <w:rFonts w:ascii="Times New Roman" w:hAnsi="Times New Roman"/>
          <w:color w:val="auto"/>
          <w:sz w:val="24"/>
        </w:rPr>
        <w:t xml:space="preserve"> a § 67ab</w:t>
      </w:r>
      <w:r>
        <w:rPr>
          <w:rFonts w:ascii="Times New Roman" w:hAnsi="Times New Roman"/>
          <w:color w:val="auto"/>
          <w:sz w:val="24"/>
        </w:rPr>
        <w:t>, kter</w:t>
      </w:r>
      <w:r w:rsidR="00892B4B">
        <w:rPr>
          <w:rFonts w:ascii="Times New Roman" w:hAnsi="Times New Roman"/>
          <w:color w:val="auto"/>
          <w:sz w:val="24"/>
        </w:rPr>
        <w:t>é</w:t>
      </w:r>
      <w:r>
        <w:rPr>
          <w:rFonts w:ascii="Times New Roman" w:hAnsi="Times New Roman"/>
          <w:color w:val="auto"/>
          <w:sz w:val="24"/>
        </w:rPr>
        <w:t xml:space="preserve"> zn</w:t>
      </w:r>
      <w:r w:rsidR="00892B4B">
        <w:rPr>
          <w:rFonts w:ascii="Times New Roman" w:hAnsi="Times New Roman"/>
          <w:color w:val="auto"/>
          <w:sz w:val="24"/>
        </w:rPr>
        <w:t>ějí</w:t>
      </w:r>
      <w:r>
        <w:rPr>
          <w:rFonts w:ascii="Times New Roman" w:hAnsi="Times New Roman"/>
          <w:color w:val="auto"/>
          <w:sz w:val="24"/>
        </w:rPr>
        <w:t>:</w:t>
      </w:r>
    </w:p>
    <w:p w14:paraId="346ACD6B" w14:textId="00575A24" w:rsidR="00892B4B" w:rsidRDefault="00892B4B" w:rsidP="00892B4B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</w:p>
    <w:p w14:paraId="3229C982" w14:textId="7F812BEE" w:rsidR="00892B4B" w:rsidRDefault="00892B4B" w:rsidP="00892B4B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                                                           „§ 67aa</w:t>
      </w:r>
    </w:p>
    <w:p w14:paraId="197F52CF" w14:textId="449880BA" w:rsidR="00892B4B" w:rsidRDefault="00892B4B" w:rsidP="00892B4B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</w:p>
    <w:p w14:paraId="7D4E541A" w14:textId="1D15125F" w:rsidR="00892B4B" w:rsidRDefault="00892B4B" w:rsidP="0023695F">
      <w:pPr>
        <w:pStyle w:val="Bezmezer"/>
        <w:tabs>
          <w:tab w:val="left" w:pos="142"/>
        </w:tabs>
        <w:ind w:left="426" w:hanging="426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     (1)</w:t>
      </w:r>
      <w:r w:rsidR="0023695F">
        <w:rPr>
          <w:rFonts w:ascii="Times New Roman" w:hAnsi="Times New Roman"/>
          <w:color w:val="auto"/>
          <w:sz w:val="24"/>
        </w:rPr>
        <w:t xml:space="preserve"> Byly-li v kalendářním roce zvýšeny procentní výměry vyplácených důchodů podle  § 67a, náleží </w:t>
      </w:r>
      <w:r w:rsidR="00FB3116">
        <w:rPr>
          <w:rFonts w:ascii="Times New Roman" w:hAnsi="Times New Roman"/>
          <w:color w:val="auto"/>
          <w:sz w:val="24"/>
        </w:rPr>
        <w:t xml:space="preserve">v tomto kalendářním roce </w:t>
      </w:r>
      <w:r w:rsidR="0000372B">
        <w:rPr>
          <w:rFonts w:ascii="Times New Roman" w:hAnsi="Times New Roman"/>
          <w:color w:val="auto"/>
          <w:sz w:val="24"/>
        </w:rPr>
        <w:t xml:space="preserve">k </w:t>
      </w:r>
      <w:r w:rsidR="0023695F">
        <w:rPr>
          <w:rFonts w:ascii="Times New Roman" w:hAnsi="Times New Roman"/>
          <w:color w:val="auto"/>
          <w:sz w:val="24"/>
        </w:rPr>
        <w:t>důchodu dočasný přídavek</w:t>
      </w:r>
      <w:r w:rsidR="00FB3116">
        <w:rPr>
          <w:rFonts w:ascii="Times New Roman" w:hAnsi="Times New Roman"/>
          <w:color w:val="auto"/>
          <w:sz w:val="24"/>
        </w:rPr>
        <w:t>, a to nejdříve od kalendářního měsíce, v němž se zvyšují vyplácené důchody podle § 67a odst. 3</w:t>
      </w:r>
      <w:r w:rsidR="0023695F">
        <w:rPr>
          <w:rFonts w:ascii="Times New Roman" w:hAnsi="Times New Roman"/>
          <w:color w:val="auto"/>
          <w:sz w:val="24"/>
        </w:rPr>
        <w:t>.</w:t>
      </w:r>
      <w:r w:rsidR="0023695F" w:rsidRPr="0023695F">
        <w:rPr>
          <w:rFonts w:ascii="Times New Roman" w:hAnsi="Times New Roman"/>
          <w:color w:val="auto"/>
          <w:sz w:val="24"/>
        </w:rPr>
        <w:t xml:space="preserve"> </w:t>
      </w:r>
    </w:p>
    <w:p w14:paraId="298F3BE2" w14:textId="2394B6C3" w:rsidR="00892B4B" w:rsidRDefault="00892B4B" w:rsidP="00892B4B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</w:p>
    <w:p w14:paraId="3F8BB42B" w14:textId="07D79276" w:rsidR="00892B4B" w:rsidRDefault="00892B4B" w:rsidP="00892B4B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(</w:t>
      </w:r>
      <w:r w:rsidR="0023695F">
        <w:rPr>
          <w:rFonts w:ascii="Times New Roman" w:hAnsi="Times New Roman"/>
          <w:color w:val="auto"/>
          <w:sz w:val="24"/>
        </w:rPr>
        <w:t>2</w:t>
      </w:r>
      <w:r>
        <w:rPr>
          <w:rFonts w:ascii="Times New Roman" w:hAnsi="Times New Roman"/>
          <w:color w:val="auto"/>
          <w:sz w:val="24"/>
        </w:rPr>
        <w:t>) Dočasný přídavek se stanoví jednotnou částkou</w:t>
      </w:r>
      <w:r w:rsidR="00711FB6">
        <w:rPr>
          <w:rFonts w:ascii="Times New Roman" w:hAnsi="Times New Roman"/>
          <w:color w:val="auto"/>
          <w:sz w:val="24"/>
        </w:rPr>
        <w:t>,</w:t>
      </w:r>
      <w:r w:rsidR="0023695F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která odpovídá zvýšení průměrného starobního důchodu podle </w:t>
      </w:r>
      <w:r w:rsidR="0023695F">
        <w:rPr>
          <w:rFonts w:ascii="Times New Roman" w:hAnsi="Times New Roman"/>
          <w:color w:val="auto"/>
          <w:sz w:val="24"/>
        </w:rPr>
        <w:t xml:space="preserve">§ 67a </w:t>
      </w:r>
      <w:r>
        <w:rPr>
          <w:rFonts w:ascii="Times New Roman" w:hAnsi="Times New Roman"/>
          <w:color w:val="auto"/>
          <w:sz w:val="24"/>
        </w:rPr>
        <w:t>odst</w:t>
      </w:r>
      <w:r w:rsidR="0023695F">
        <w:rPr>
          <w:rFonts w:ascii="Times New Roman" w:hAnsi="Times New Roman"/>
          <w:color w:val="auto"/>
          <w:sz w:val="24"/>
        </w:rPr>
        <w:t>.</w:t>
      </w:r>
      <w:r>
        <w:rPr>
          <w:rFonts w:ascii="Times New Roman" w:hAnsi="Times New Roman"/>
          <w:color w:val="auto"/>
          <w:sz w:val="24"/>
        </w:rPr>
        <w:t xml:space="preserve"> 4. Výše dočasného přídavku se zaokrouhluje na celé koruny směrem nahoru. </w:t>
      </w:r>
    </w:p>
    <w:p w14:paraId="5B1DFC87" w14:textId="286DBA82" w:rsidR="0023695F" w:rsidRDefault="0023695F" w:rsidP="00892B4B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</w:p>
    <w:p w14:paraId="1498E38C" w14:textId="442CF0F2" w:rsidR="0023695F" w:rsidRDefault="0023695F" w:rsidP="00892B4B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(3) </w:t>
      </w:r>
      <w:r w:rsidR="006A7D79">
        <w:rPr>
          <w:rFonts w:ascii="Times New Roman" w:hAnsi="Times New Roman"/>
          <w:color w:val="auto"/>
          <w:sz w:val="24"/>
        </w:rPr>
        <w:t>J</w:t>
      </w:r>
      <w:r>
        <w:rPr>
          <w:rFonts w:ascii="Times New Roman" w:hAnsi="Times New Roman"/>
          <w:color w:val="auto"/>
          <w:sz w:val="24"/>
        </w:rPr>
        <w:t xml:space="preserve">sou-li splněny podmínky nároku na výplatu více důchodů, náleží </w:t>
      </w:r>
      <w:r w:rsidR="006A7D79">
        <w:rPr>
          <w:rFonts w:ascii="Times New Roman" w:hAnsi="Times New Roman"/>
          <w:color w:val="auto"/>
          <w:sz w:val="24"/>
        </w:rPr>
        <w:t>dočasný přídavek k tomu důchodu, který se vyplácí v plné výši (§ 4 odst. 2 věta první).</w:t>
      </w:r>
    </w:p>
    <w:p w14:paraId="0B243CE6" w14:textId="45938D57" w:rsidR="00A23061" w:rsidRDefault="00A23061" w:rsidP="00892B4B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</w:p>
    <w:p w14:paraId="48A2218A" w14:textId="0FDDB047" w:rsidR="00A23061" w:rsidRDefault="00A23061" w:rsidP="00892B4B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(4) Dočasný přídavek náleží i k důchodům přiznávaným v tom kalendářním roce, do něhož spadá kalendářní měsíc uvedený v § 67a odst. 3. Dočasný přídavek náleží i ke starobním důchodům, na které vznikl nárok podle § 31. </w:t>
      </w:r>
    </w:p>
    <w:p w14:paraId="6D4D5EBD" w14:textId="77777777" w:rsidR="001D52DF" w:rsidRDefault="001D52DF" w:rsidP="00711FB6">
      <w:pPr>
        <w:pStyle w:val="Bezmezer"/>
        <w:rPr>
          <w:rFonts w:ascii="Times New Roman" w:hAnsi="Times New Roman"/>
          <w:color w:val="auto"/>
          <w:sz w:val="24"/>
        </w:rPr>
      </w:pPr>
    </w:p>
    <w:p w14:paraId="60B8BE7B" w14:textId="12A186CD" w:rsidR="006A7D79" w:rsidRDefault="001D52DF" w:rsidP="00892B4B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(</w:t>
      </w:r>
      <w:r w:rsidR="00186EB6">
        <w:rPr>
          <w:rFonts w:ascii="Times New Roman" w:hAnsi="Times New Roman"/>
          <w:color w:val="auto"/>
          <w:sz w:val="24"/>
        </w:rPr>
        <w:t>5</w:t>
      </w:r>
      <w:r>
        <w:rPr>
          <w:rFonts w:ascii="Times New Roman" w:hAnsi="Times New Roman"/>
          <w:color w:val="auto"/>
          <w:sz w:val="24"/>
        </w:rPr>
        <w:t xml:space="preserve">) Dočasný přídavek se vyplácí bez žádosti spolu s důchodem, a to stejným způsobem, jakým se vyplácí důchod. </w:t>
      </w:r>
      <w:r w:rsidR="00186EB6">
        <w:rPr>
          <w:rFonts w:ascii="Times New Roman" w:hAnsi="Times New Roman"/>
          <w:color w:val="auto"/>
          <w:sz w:val="24"/>
        </w:rPr>
        <w:t>Dočasný přídavek se vyplatí poprvé se splátkou  důchodu splatnou v kalendářním měsíci, v němž se zvyšují vyplácené důchody podle § 67a odst. 3 nebo 6 , a naposledy se splátkou důchodu splatnou v prosinci kalendářního roku, v němž dočasný přídavek náleží.</w:t>
      </w:r>
    </w:p>
    <w:p w14:paraId="59BD2496" w14:textId="77777777" w:rsidR="00186EB6" w:rsidRDefault="00186EB6" w:rsidP="00892B4B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</w:p>
    <w:p w14:paraId="37B387AA" w14:textId="61077464" w:rsidR="00186EB6" w:rsidRDefault="00186EB6" w:rsidP="00186EB6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(6) Na dočasný přídavek se pro účely § 55, § 56 odst</w:t>
      </w:r>
      <w:r w:rsidR="00032DD8">
        <w:rPr>
          <w:rFonts w:ascii="Times New Roman" w:hAnsi="Times New Roman"/>
          <w:color w:val="auto"/>
          <w:sz w:val="24"/>
        </w:rPr>
        <w:t>.</w:t>
      </w:r>
      <w:r>
        <w:rPr>
          <w:rFonts w:ascii="Times New Roman" w:hAnsi="Times New Roman"/>
          <w:color w:val="auto"/>
          <w:sz w:val="24"/>
        </w:rPr>
        <w:t xml:space="preserve"> 1, § 58 až 61, § 62 a 63 a pro účely jiných právních předpisů hledí, jako by byl součástí základní výměry důchodu. </w:t>
      </w:r>
    </w:p>
    <w:p w14:paraId="687B7374" w14:textId="63092332" w:rsidR="0000372B" w:rsidRDefault="0000372B" w:rsidP="00892B4B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</w:p>
    <w:p w14:paraId="7098313E" w14:textId="0C5218AE" w:rsidR="0000372B" w:rsidRDefault="0000372B" w:rsidP="00892B4B">
      <w:pPr>
        <w:pStyle w:val="Bezmezer"/>
        <w:ind w:left="426" w:firstLine="425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(</w:t>
      </w:r>
      <w:r w:rsidR="005366AD">
        <w:rPr>
          <w:rFonts w:ascii="Times New Roman" w:hAnsi="Times New Roman"/>
          <w:color w:val="auto"/>
          <w:sz w:val="24"/>
        </w:rPr>
        <w:t>7</w:t>
      </w:r>
      <w:r>
        <w:rPr>
          <w:rFonts w:ascii="Times New Roman" w:hAnsi="Times New Roman"/>
          <w:color w:val="auto"/>
          <w:sz w:val="24"/>
        </w:rPr>
        <w:t>) Výši dočasného přídavku stanoví prováděcí právní předpis do 30 dnů od posledního dne kalendářního měsíce, v němž růst cen podle § 67a odst. 1 a 2 dosáhl aspoň 5 %.</w:t>
      </w:r>
    </w:p>
    <w:p w14:paraId="40387207" w14:textId="20974A4A" w:rsidR="00E763FF" w:rsidRDefault="0023695F" w:rsidP="00E763FF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</w:t>
      </w:r>
    </w:p>
    <w:p w14:paraId="22F051FF" w14:textId="21994B3C" w:rsidR="00E763FF" w:rsidRDefault="00E763FF" w:rsidP="00E763FF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                                                            § 67</w:t>
      </w:r>
      <w:r w:rsidR="003F0DE3">
        <w:rPr>
          <w:rFonts w:ascii="Times New Roman" w:hAnsi="Times New Roman"/>
          <w:color w:val="auto"/>
          <w:sz w:val="24"/>
        </w:rPr>
        <w:t>a</w:t>
      </w:r>
      <w:r w:rsidR="00892B4B">
        <w:rPr>
          <w:rFonts w:ascii="Times New Roman" w:hAnsi="Times New Roman"/>
          <w:color w:val="auto"/>
          <w:sz w:val="24"/>
        </w:rPr>
        <w:t>b</w:t>
      </w:r>
    </w:p>
    <w:p w14:paraId="5DE7390A" w14:textId="0A842AF3" w:rsidR="00E763FF" w:rsidRDefault="00E763FF" w:rsidP="00E763FF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</w:p>
    <w:p w14:paraId="0B70587D" w14:textId="0F765CD2" w:rsidR="00E763FF" w:rsidRDefault="00E763FF" w:rsidP="003F0DE3">
      <w:pPr>
        <w:pStyle w:val="Bezmezer"/>
        <w:tabs>
          <w:tab w:val="left" w:pos="142"/>
        </w:tabs>
        <w:ind w:left="426" w:hanging="426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</w:t>
      </w:r>
      <w:r w:rsidR="00FA674F">
        <w:rPr>
          <w:rFonts w:ascii="Times New Roman" w:hAnsi="Times New Roman"/>
          <w:color w:val="auto"/>
          <w:sz w:val="24"/>
        </w:rPr>
        <w:t xml:space="preserve">   </w:t>
      </w:r>
      <w:r>
        <w:rPr>
          <w:rFonts w:ascii="Times New Roman" w:hAnsi="Times New Roman"/>
          <w:color w:val="auto"/>
          <w:sz w:val="24"/>
        </w:rPr>
        <w:t xml:space="preserve"> </w:t>
      </w:r>
      <w:r w:rsidR="00FA674F">
        <w:rPr>
          <w:rFonts w:ascii="Times New Roman" w:hAnsi="Times New Roman"/>
          <w:color w:val="auto"/>
          <w:sz w:val="24"/>
        </w:rPr>
        <w:t xml:space="preserve"> </w:t>
      </w:r>
      <w:r w:rsidR="003F0DE3">
        <w:rPr>
          <w:rFonts w:ascii="Times New Roman" w:hAnsi="Times New Roman"/>
          <w:color w:val="auto"/>
          <w:sz w:val="24"/>
        </w:rPr>
        <w:t xml:space="preserve">(1) </w:t>
      </w:r>
      <w:r w:rsidR="00835503">
        <w:rPr>
          <w:rFonts w:ascii="Times New Roman" w:hAnsi="Times New Roman"/>
          <w:color w:val="auto"/>
          <w:sz w:val="24"/>
        </w:rPr>
        <w:t>Procent</w:t>
      </w:r>
      <w:r w:rsidR="000F6B97">
        <w:rPr>
          <w:rFonts w:ascii="Times New Roman" w:hAnsi="Times New Roman"/>
          <w:color w:val="auto"/>
          <w:sz w:val="24"/>
        </w:rPr>
        <w:t>n</w:t>
      </w:r>
      <w:r w:rsidR="00835503">
        <w:rPr>
          <w:rFonts w:ascii="Times New Roman" w:hAnsi="Times New Roman"/>
          <w:color w:val="auto"/>
          <w:sz w:val="24"/>
        </w:rPr>
        <w:t>í výměra vypláceného důchodu se zvyšuje o</w:t>
      </w:r>
    </w:p>
    <w:p w14:paraId="32F0B3A4" w14:textId="5728638F" w:rsidR="00835503" w:rsidRDefault="00835503" w:rsidP="003F0DE3">
      <w:pPr>
        <w:pStyle w:val="Bezmezer"/>
        <w:tabs>
          <w:tab w:val="left" w:pos="142"/>
        </w:tabs>
        <w:ind w:left="426" w:hanging="426"/>
        <w:rPr>
          <w:rFonts w:ascii="Times New Roman" w:hAnsi="Times New Roman"/>
          <w:color w:val="auto"/>
          <w:sz w:val="24"/>
        </w:rPr>
      </w:pPr>
    </w:p>
    <w:p w14:paraId="43803BA4" w14:textId="401C9858" w:rsidR="00835503" w:rsidRDefault="00835503">
      <w:pPr>
        <w:pStyle w:val="Bezmezer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1 000 Kč měsíčně od splátky důchodu splatné v kalendářním měsíci, v němž poživatel důchodu dosáhl věku 85 let,</w:t>
      </w:r>
    </w:p>
    <w:p w14:paraId="240D3991" w14:textId="2A664219" w:rsidR="00835503" w:rsidRDefault="00835503" w:rsidP="00835503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</w:p>
    <w:p w14:paraId="30028B6E" w14:textId="0843C510" w:rsidR="00835503" w:rsidRDefault="00835503">
      <w:pPr>
        <w:pStyle w:val="Bezmezer"/>
        <w:numPr>
          <w:ilvl w:val="0"/>
          <w:numId w:val="3"/>
        </w:numPr>
        <w:tabs>
          <w:tab w:val="left" w:pos="142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2 000 Kč měsíčně ode dne, v němž poživatel důchodu dosáhl věku 100 let.</w:t>
      </w:r>
    </w:p>
    <w:p w14:paraId="30A56B63" w14:textId="77777777" w:rsidR="00835503" w:rsidRDefault="00835503" w:rsidP="00835503">
      <w:pPr>
        <w:pStyle w:val="Odstavecseseznamem"/>
        <w:rPr>
          <w:rFonts w:ascii="Times New Roman" w:hAnsi="Times New Roman"/>
          <w:color w:val="auto"/>
          <w:sz w:val="24"/>
        </w:rPr>
      </w:pPr>
    </w:p>
    <w:p w14:paraId="2AEBBC59" w14:textId="20E72C34" w:rsidR="00835503" w:rsidRDefault="00835503" w:rsidP="00835503">
      <w:pPr>
        <w:pStyle w:val="Bezmezer"/>
        <w:tabs>
          <w:tab w:val="left" w:pos="142"/>
        </w:tabs>
        <w:ind w:left="426" w:firstLine="283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(2) Jsou-li splněny podmínky nároku na výplatu více důchodů, zvyšuje se podle odstavce</w:t>
      </w:r>
      <w:r w:rsidR="00C512A5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1 procent</w:t>
      </w:r>
      <w:r w:rsidR="00C512A5">
        <w:rPr>
          <w:rFonts w:ascii="Times New Roman" w:hAnsi="Times New Roman"/>
          <w:color w:val="auto"/>
          <w:sz w:val="24"/>
        </w:rPr>
        <w:t>n</w:t>
      </w:r>
      <w:r>
        <w:rPr>
          <w:rFonts w:ascii="Times New Roman" w:hAnsi="Times New Roman"/>
          <w:color w:val="auto"/>
          <w:sz w:val="24"/>
        </w:rPr>
        <w:t>í</w:t>
      </w:r>
      <w:r w:rsidR="00F800B8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výměra starobního důchodu. Dosáhl-li poživatel důchodu věku</w:t>
      </w:r>
      <w:r w:rsidR="00F800B8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85 let v kalendářním měsíci, v němž se zvyšují důchody podle § 67 nebo </w:t>
      </w:r>
      <w:r w:rsidR="00892B4B">
        <w:rPr>
          <w:rFonts w:ascii="Times New Roman" w:hAnsi="Times New Roman"/>
          <w:color w:val="auto"/>
          <w:sz w:val="24"/>
        </w:rPr>
        <w:t xml:space="preserve">§ </w:t>
      </w:r>
      <w:r>
        <w:rPr>
          <w:rFonts w:ascii="Times New Roman" w:hAnsi="Times New Roman"/>
          <w:color w:val="auto"/>
          <w:sz w:val="24"/>
        </w:rPr>
        <w:t>67a, náleží</w:t>
      </w:r>
      <w:r w:rsidR="00F800B8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zvýšení podle odstavce 1 písm. a</w:t>
      </w:r>
      <w:r w:rsidR="00F800B8">
        <w:rPr>
          <w:rFonts w:ascii="Times New Roman" w:hAnsi="Times New Roman"/>
          <w:color w:val="auto"/>
          <w:sz w:val="24"/>
        </w:rPr>
        <w:t>)</w:t>
      </w:r>
      <w:r>
        <w:rPr>
          <w:rFonts w:ascii="Times New Roman" w:hAnsi="Times New Roman"/>
          <w:color w:val="auto"/>
          <w:sz w:val="24"/>
        </w:rPr>
        <w:t xml:space="preserve"> k procent</w:t>
      </w:r>
      <w:r w:rsidR="00F800B8">
        <w:rPr>
          <w:rFonts w:ascii="Times New Roman" w:hAnsi="Times New Roman"/>
          <w:color w:val="auto"/>
          <w:sz w:val="24"/>
        </w:rPr>
        <w:t>n</w:t>
      </w:r>
      <w:r>
        <w:rPr>
          <w:rFonts w:ascii="Times New Roman" w:hAnsi="Times New Roman"/>
          <w:color w:val="auto"/>
          <w:sz w:val="24"/>
        </w:rPr>
        <w:t xml:space="preserve">í výměře zvýšené podle § 67 nebo </w:t>
      </w:r>
      <w:r w:rsidR="00892B4B">
        <w:rPr>
          <w:rFonts w:ascii="Times New Roman" w:hAnsi="Times New Roman"/>
          <w:color w:val="auto"/>
          <w:sz w:val="24"/>
        </w:rPr>
        <w:t xml:space="preserve">§ </w:t>
      </w:r>
      <w:r>
        <w:rPr>
          <w:rFonts w:ascii="Times New Roman" w:hAnsi="Times New Roman"/>
          <w:color w:val="auto"/>
          <w:sz w:val="24"/>
        </w:rPr>
        <w:t>67a.“.</w:t>
      </w:r>
    </w:p>
    <w:p w14:paraId="34F8CEC7" w14:textId="77777777" w:rsidR="001D52DF" w:rsidRDefault="001D52DF" w:rsidP="001D52DF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</w:p>
    <w:p w14:paraId="71E2EA6E" w14:textId="20BEBD3A" w:rsidR="00082E28" w:rsidRDefault="00082E28" w:rsidP="00453901">
      <w:pPr>
        <w:pStyle w:val="Bezmezer"/>
        <w:tabs>
          <w:tab w:val="left" w:pos="142"/>
        </w:tabs>
        <w:ind w:left="426" w:hanging="426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2</w:t>
      </w:r>
      <w:r w:rsidR="00B31CF5">
        <w:rPr>
          <w:rFonts w:ascii="Times New Roman" w:hAnsi="Times New Roman"/>
          <w:color w:val="auto"/>
          <w:sz w:val="24"/>
        </w:rPr>
        <w:t>1</w:t>
      </w:r>
      <w:r w:rsidR="00453901">
        <w:rPr>
          <w:rFonts w:ascii="Times New Roman" w:hAnsi="Times New Roman"/>
          <w:color w:val="auto"/>
          <w:sz w:val="24"/>
        </w:rPr>
        <w:t>.</w:t>
      </w:r>
      <w:r>
        <w:rPr>
          <w:rFonts w:ascii="Times New Roman" w:hAnsi="Times New Roman"/>
          <w:color w:val="auto"/>
          <w:sz w:val="24"/>
        </w:rPr>
        <w:t xml:space="preserve"> V § 67e odst. 3 větě třetí a </w:t>
      </w:r>
      <w:r w:rsidR="00862F81">
        <w:rPr>
          <w:rFonts w:ascii="Times New Roman" w:hAnsi="Times New Roman"/>
          <w:color w:val="auto"/>
          <w:sz w:val="24"/>
        </w:rPr>
        <w:t xml:space="preserve">v </w:t>
      </w:r>
      <w:r>
        <w:rPr>
          <w:rFonts w:ascii="Times New Roman" w:hAnsi="Times New Roman"/>
          <w:color w:val="auto"/>
          <w:sz w:val="24"/>
        </w:rPr>
        <w:t xml:space="preserve">§ 67f odst. 4 se slova „v mimořádném termínu" nahrazují slovy „podle § 67a“. </w:t>
      </w:r>
    </w:p>
    <w:p w14:paraId="1AFC7F0C" w14:textId="63A2AE72" w:rsidR="003F2380" w:rsidRDefault="003F2380" w:rsidP="00740F26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</w:p>
    <w:p w14:paraId="730B495E" w14:textId="2E0F82BA" w:rsidR="003F2380" w:rsidRDefault="00DB599D" w:rsidP="00DB599D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2</w:t>
      </w:r>
      <w:r w:rsidR="00B31CF5">
        <w:rPr>
          <w:rFonts w:ascii="Times New Roman" w:hAnsi="Times New Roman"/>
          <w:color w:val="auto"/>
          <w:sz w:val="24"/>
        </w:rPr>
        <w:t>2</w:t>
      </w:r>
      <w:r>
        <w:rPr>
          <w:rFonts w:ascii="Times New Roman" w:hAnsi="Times New Roman"/>
          <w:color w:val="auto"/>
          <w:sz w:val="24"/>
        </w:rPr>
        <w:t xml:space="preserve">. </w:t>
      </w:r>
      <w:r w:rsidR="003F2380">
        <w:rPr>
          <w:rFonts w:ascii="Times New Roman" w:hAnsi="Times New Roman"/>
          <w:color w:val="auto"/>
          <w:sz w:val="24"/>
        </w:rPr>
        <w:t>V § 107</w:t>
      </w:r>
      <w:r w:rsidR="00726CE5">
        <w:rPr>
          <w:rFonts w:ascii="Times New Roman" w:hAnsi="Times New Roman"/>
          <w:color w:val="auto"/>
          <w:sz w:val="24"/>
        </w:rPr>
        <w:t xml:space="preserve"> odst. 1 písm. e) se číslo „16“ nahrazuje číslem „</w:t>
      </w:r>
      <w:r w:rsidR="00D01CF2">
        <w:rPr>
          <w:rFonts w:ascii="Times New Roman" w:hAnsi="Times New Roman"/>
          <w:color w:val="auto"/>
          <w:sz w:val="24"/>
        </w:rPr>
        <w:t>14</w:t>
      </w:r>
      <w:r w:rsidR="00726CE5">
        <w:rPr>
          <w:rFonts w:ascii="Times New Roman" w:hAnsi="Times New Roman"/>
          <w:color w:val="auto"/>
          <w:sz w:val="24"/>
        </w:rPr>
        <w:t>“.</w:t>
      </w:r>
    </w:p>
    <w:p w14:paraId="59614AC0" w14:textId="77777777" w:rsidR="00AF259B" w:rsidRDefault="00AF259B" w:rsidP="00AF259B">
      <w:pPr>
        <w:pStyle w:val="Odstavecseseznamem"/>
        <w:rPr>
          <w:rFonts w:ascii="Times New Roman" w:hAnsi="Times New Roman"/>
          <w:color w:val="auto"/>
          <w:sz w:val="24"/>
        </w:rPr>
      </w:pPr>
    </w:p>
    <w:p w14:paraId="415AF477" w14:textId="68FC210C" w:rsidR="00AF259B" w:rsidRDefault="00DB599D" w:rsidP="00DB599D">
      <w:pPr>
        <w:pStyle w:val="Bezmezer"/>
        <w:tabs>
          <w:tab w:val="left" w:pos="142"/>
        </w:tabs>
        <w:ind w:left="426" w:hanging="426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2</w:t>
      </w:r>
      <w:r w:rsidR="00B31CF5">
        <w:rPr>
          <w:rFonts w:ascii="Times New Roman" w:hAnsi="Times New Roman"/>
          <w:color w:val="auto"/>
          <w:sz w:val="24"/>
        </w:rPr>
        <w:t>3</w:t>
      </w:r>
      <w:r>
        <w:rPr>
          <w:rFonts w:ascii="Times New Roman" w:hAnsi="Times New Roman"/>
          <w:color w:val="auto"/>
          <w:sz w:val="24"/>
        </w:rPr>
        <w:t xml:space="preserve">. </w:t>
      </w:r>
      <w:r w:rsidR="00AF259B">
        <w:rPr>
          <w:rFonts w:ascii="Times New Roman" w:hAnsi="Times New Roman"/>
          <w:color w:val="auto"/>
          <w:sz w:val="24"/>
        </w:rPr>
        <w:t>V § 108 se na konci odstavce</w:t>
      </w:r>
      <w:r w:rsidR="000615C3">
        <w:rPr>
          <w:rFonts w:ascii="Times New Roman" w:hAnsi="Times New Roman"/>
          <w:color w:val="auto"/>
          <w:sz w:val="24"/>
        </w:rPr>
        <w:t xml:space="preserve"> </w:t>
      </w:r>
      <w:r w:rsidR="00AF259B">
        <w:rPr>
          <w:rFonts w:ascii="Times New Roman" w:hAnsi="Times New Roman"/>
          <w:color w:val="auto"/>
          <w:sz w:val="24"/>
        </w:rPr>
        <w:t>1 tečka nahrazuje čárkou a doplňuje se písmeno d), které zní:</w:t>
      </w:r>
      <w:r w:rsidR="00AF259B">
        <w:rPr>
          <w:rFonts w:ascii="Times New Roman" w:hAnsi="Times New Roman"/>
          <w:color w:val="auto"/>
          <w:sz w:val="24"/>
        </w:rPr>
        <w:br/>
      </w:r>
      <w:r w:rsidR="00AF259B">
        <w:rPr>
          <w:rFonts w:ascii="Times New Roman" w:hAnsi="Times New Roman"/>
          <w:color w:val="auto"/>
          <w:sz w:val="24"/>
        </w:rPr>
        <w:br/>
        <w:t>„d) zvýšení důchodů podle § 67a odst.</w:t>
      </w:r>
      <w:r w:rsidR="00892B4B">
        <w:rPr>
          <w:rFonts w:ascii="Times New Roman" w:hAnsi="Times New Roman"/>
          <w:color w:val="auto"/>
          <w:sz w:val="24"/>
        </w:rPr>
        <w:t xml:space="preserve">8 a </w:t>
      </w:r>
      <w:r w:rsidR="0023695F">
        <w:rPr>
          <w:rFonts w:ascii="Times New Roman" w:hAnsi="Times New Roman"/>
          <w:color w:val="auto"/>
          <w:sz w:val="24"/>
        </w:rPr>
        <w:t xml:space="preserve">výši </w:t>
      </w:r>
      <w:r w:rsidR="00892B4B">
        <w:rPr>
          <w:rFonts w:ascii="Times New Roman" w:hAnsi="Times New Roman"/>
          <w:color w:val="auto"/>
          <w:sz w:val="24"/>
        </w:rPr>
        <w:t>dočasn</w:t>
      </w:r>
      <w:r w:rsidR="0023695F">
        <w:rPr>
          <w:rFonts w:ascii="Times New Roman" w:hAnsi="Times New Roman"/>
          <w:color w:val="auto"/>
          <w:sz w:val="24"/>
        </w:rPr>
        <w:t>ého</w:t>
      </w:r>
      <w:r w:rsidR="00892B4B">
        <w:rPr>
          <w:rFonts w:ascii="Times New Roman" w:hAnsi="Times New Roman"/>
          <w:color w:val="auto"/>
          <w:sz w:val="24"/>
        </w:rPr>
        <w:t xml:space="preserve"> přídav</w:t>
      </w:r>
      <w:r w:rsidR="0023695F">
        <w:rPr>
          <w:rFonts w:ascii="Times New Roman" w:hAnsi="Times New Roman"/>
          <w:color w:val="auto"/>
          <w:sz w:val="24"/>
        </w:rPr>
        <w:t>ku</w:t>
      </w:r>
      <w:r w:rsidR="00892B4B">
        <w:rPr>
          <w:rFonts w:ascii="Times New Roman" w:hAnsi="Times New Roman"/>
          <w:color w:val="auto"/>
          <w:sz w:val="24"/>
        </w:rPr>
        <w:t xml:space="preserve"> podle § 67aa</w:t>
      </w:r>
      <w:r w:rsidR="0023695F">
        <w:rPr>
          <w:rFonts w:ascii="Times New Roman" w:hAnsi="Times New Roman"/>
          <w:color w:val="auto"/>
          <w:sz w:val="24"/>
        </w:rPr>
        <w:t xml:space="preserve"> odst.</w:t>
      </w:r>
      <w:r w:rsidR="009049DB">
        <w:rPr>
          <w:rFonts w:ascii="Times New Roman" w:hAnsi="Times New Roman"/>
          <w:color w:val="auto"/>
          <w:sz w:val="24"/>
        </w:rPr>
        <w:t>7</w:t>
      </w:r>
      <w:r w:rsidR="00AF259B">
        <w:rPr>
          <w:rFonts w:ascii="Times New Roman" w:hAnsi="Times New Roman"/>
          <w:color w:val="auto"/>
          <w:sz w:val="24"/>
        </w:rPr>
        <w:t>.“.</w:t>
      </w:r>
    </w:p>
    <w:p w14:paraId="629748BF" w14:textId="6E388DAA" w:rsidR="00E763FF" w:rsidRDefault="00E763FF" w:rsidP="00E763FF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</w:p>
    <w:p w14:paraId="489F8DA5" w14:textId="04A69631" w:rsidR="003C5485" w:rsidRPr="001E246E" w:rsidRDefault="003C5485" w:rsidP="00726CE5">
      <w:pPr>
        <w:pStyle w:val="Bezmezer"/>
        <w:tabs>
          <w:tab w:val="left" w:pos="142"/>
        </w:tabs>
        <w:rPr>
          <w:rFonts w:ascii="Times New Roman" w:hAnsi="Times New Roman"/>
          <w:color w:val="auto"/>
          <w:sz w:val="24"/>
        </w:rPr>
      </w:pPr>
    </w:p>
    <w:p w14:paraId="4AB693FD" w14:textId="453F7F51" w:rsidR="009A733B" w:rsidRPr="004637C8" w:rsidRDefault="00DE24DA" w:rsidP="00DE24DA">
      <w:pPr>
        <w:pStyle w:val="Bezmezer"/>
        <w:jc w:val="center"/>
        <w:rPr>
          <w:rFonts w:ascii="Times New Roman" w:hAnsi="Times New Roman"/>
          <w:sz w:val="24"/>
        </w:rPr>
      </w:pPr>
      <w:r w:rsidRPr="004637C8">
        <w:rPr>
          <w:rFonts w:ascii="Times New Roman" w:hAnsi="Times New Roman"/>
          <w:sz w:val="24"/>
        </w:rPr>
        <w:t xml:space="preserve">Čl. </w:t>
      </w:r>
      <w:r w:rsidR="00452D13">
        <w:rPr>
          <w:rFonts w:ascii="Times New Roman" w:hAnsi="Times New Roman"/>
          <w:sz w:val="24"/>
        </w:rPr>
        <w:t>I</w:t>
      </w:r>
      <w:r w:rsidR="008800C7" w:rsidRPr="004637C8">
        <w:rPr>
          <w:rFonts w:ascii="Times New Roman" w:hAnsi="Times New Roman"/>
          <w:sz w:val="24"/>
        </w:rPr>
        <w:t>I</w:t>
      </w:r>
    </w:p>
    <w:p w14:paraId="0770A523" w14:textId="77777777" w:rsidR="00DE24DA" w:rsidRPr="004637C8" w:rsidRDefault="00DE24DA" w:rsidP="00DE24DA">
      <w:pPr>
        <w:pStyle w:val="Bezmezer"/>
        <w:jc w:val="center"/>
        <w:rPr>
          <w:rFonts w:ascii="Times New Roman" w:hAnsi="Times New Roman"/>
          <w:sz w:val="24"/>
        </w:rPr>
      </w:pPr>
    </w:p>
    <w:p w14:paraId="2F6452BA" w14:textId="35C5624C" w:rsidR="00DE24DA" w:rsidRDefault="00DE24DA" w:rsidP="00DE24DA">
      <w:pPr>
        <w:pStyle w:val="Bezmezer"/>
        <w:jc w:val="center"/>
        <w:rPr>
          <w:rFonts w:ascii="Times New Roman" w:hAnsi="Times New Roman"/>
          <w:b/>
          <w:bCs/>
          <w:sz w:val="24"/>
        </w:rPr>
      </w:pPr>
      <w:r w:rsidRPr="004637C8">
        <w:rPr>
          <w:rFonts w:ascii="Times New Roman" w:hAnsi="Times New Roman"/>
          <w:b/>
          <w:bCs/>
          <w:sz w:val="24"/>
        </w:rPr>
        <w:t>Přechodn</w:t>
      </w:r>
      <w:r w:rsidR="00D667F7" w:rsidRPr="004637C8">
        <w:rPr>
          <w:rFonts w:ascii="Times New Roman" w:hAnsi="Times New Roman"/>
          <w:b/>
          <w:bCs/>
          <w:sz w:val="24"/>
        </w:rPr>
        <w:t>á</w:t>
      </w:r>
      <w:r w:rsidRPr="004637C8">
        <w:rPr>
          <w:rFonts w:ascii="Times New Roman" w:hAnsi="Times New Roman"/>
          <w:b/>
          <w:bCs/>
          <w:sz w:val="24"/>
        </w:rPr>
        <w:t xml:space="preserve"> ustanovení</w:t>
      </w:r>
    </w:p>
    <w:p w14:paraId="7058D460" w14:textId="77777777" w:rsidR="00862F81" w:rsidRDefault="00862F81" w:rsidP="00453901">
      <w:pPr>
        <w:pStyle w:val="Bezmezer"/>
        <w:jc w:val="left"/>
        <w:rPr>
          <w:rFonts w:ascii="Times New Roman" w:hAnsi="Times New Roman"/>
          <w:b/>
          <w:bCs/>
          <w:sz w:val="24"/>
        </w:rPr>
      </w:pPr>
    </w:p>
    <w:p w14:paraId="0E735BF4" w14:textId="66CBD84F" w:rsidR="00862F81" w:rsidRDefault="00862F81" w:rsidP="00453901">
      <w:pPr>
        <w:pStyle w:val="Bezmezer"/>
        <w:numPr>
          <w:ilvl w:val="0"/>
          <w:numId w:val="6"/>
        </w:numPr>
        <w:ind w:left="284" w:hanging="29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O nárocích na důchody, které vznikly přede dnem nabytí účinnosti tohoto zákona a o nichž nebylo do tohoto dne pravomocně rozhodnuto, a o přiznání, odnětí nebo změně výše těchto důchodů za do</w:t>
      </w:r>
      <w:r w:rsidR="00DB599D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u před tímto dnem, i když o nich již bylo pravomocně rozhodnuto, se rozhodne podle právních předpisů účinných před tímto dnem.</w:t>
      </w:r>
    </w:p>
    <w:p w14:paraId="4AFE72E3" w14:textId="35CEA78C" w:rsidR="00D12680" w:rsidRPr="00DB599D" w:rsidRDefault="00862F81" w:rsidP="00DB599D">
      <w:pPr>
        <w:pStyle w:val="Bezmezer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</w:t>
      </w:r>
    </w:p>
    <w:p w14:paraId="3BD6550F" w14:textId="001F4800" w:rsidR="00D12680" w:rsidRPr="004637C8" w:rsidRDefault="00862F81" w:rsidP="004637C8">
      <w:pPr>
        <w:pStyle w:val="Bezmezer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15CB" w:rsidRPr="004637C8">
        <w:rPr>
          <w:rFonts w:ascii="Times New Roman" w:hAnsi="Times New Roman"/>
          <w:sz w:val="24"/>
        </w:rPr>
        <w:t xml:space="preserve">. </w:t>
      </w:r>
      <w:r w:rsidR="00452D13">
        <w:rPr>
          <w:rFonts w:ascii="Times New Roman" w:hAnsi="Times New Roman"/>
          <w:sz w:val="24"/>
        </w:rPr>
        <w:t xml:space="preserve">Byl-li starobní důchod </w:t>
      </w:r>
      <w:r w:rsidR="001F2EA7">
        <w:rPr>
          <w:rFonts w:ascii="Times New Roman" w:hAnsi="Times New Roman"/>
          <w:sz w:val="24"/>
        </w:rPr>
        <w:t xml:space="preserve">přiznán </w:t>
      </w:r>
      <w:r w:rsidR="00452D13">
        <w:rPr>
          <w:rFonts w:ascii="Times New Roman" w:hAnsi="Times New Roman"/>
          <w:sz w:val="24"/>
        </w:rPr>
        <w:t xml:space="preserve">podle § 31 zákona č. 155/1995 Sb., ve znění účinném přede dnem nabytí účinnosti tohoto zákona, a tento důchod se přepočítává podle § 36 odst. 2 zákona č. 155/1995 Sb., ve znění účinném ode dne nabytí účinnosti tohoto zákona, za dobu výdělečné činnosti vykonávané před dosažením důchodového věku, stanoví se výše procentní výměry starobního důchodu </w:t>
      </w:r>
      <w:r w:rsidR="00726CE5">
        <w:rPr>
          <w:rFonts w:ascii="Times New Roman" w:hAnsi="Times New Roman"/>
          <w:sz w:val="24"/>
        </w:rPr>
        <w:t xml:space="preserve">při tomto přepočtu </w:t>
      </w:r>
      <w:r w:rsidR="00452D13">
        <w:rPr>
          <w:rFonts w:ascii="Times New Roman" w:hAnsi="Times New Roman"/>
          <w:sz w:val="24"/>
        </w:rPr>
        <w:t>podle zákona č. 155/1995 Sb., ve znění účinném přede dnem nabytí tohoto zákona.</w:t>
      </w:r>
    </w:p>
    <w:p w14:paraId="7BEB4253" w14:textId="0B5C52AE" w:rsidR="00D477A0" w:rsidRDefault="00D477A0" w:rsidP="001704F4">
      <w:pPr>
        <w:pStyle w:val="Bezmezer"/>
        <w:rPr>
          <w:rFonts w:ascii="Times New Roman" w:hAnsi="Times New Roman"/>
          <w:sz w:val="24"/>
        </w:rPr>
      </w:pPr>
    </w:p>
    <w:p w14:paraId="6FDC9FAB" w14:textId="4B19E5AA" w:rsidR="00D477A0" w:rsidRDefault="00862F81" w:rsidP="00C2684E">
      <w:pPr>
        <w:pStyle w:val="Bezmezer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D477A0">
        <w:rPr>
          <w:rFonts w:ascii="Times New Roman" w:hAnsi="Times New Roman"/>
          <w:sz w:val="24"/>
        </w:rPr>
        <w:t xml:space="preserve">. Procentní výměry důchodů, které byly </w:t>
      </w:r>
      <w:r w:rsidR="001704F4">
        <w:rPr>
          <w:rFonts w:ascii="Times New Roman" w:hAnsi="Times New Roman"/>
          <w:sz w:val="24"/>
        </w:rPr>
        <w:t>přiznány ode dne, který spadá do období ode dne nabytí účinnosti tohoto zákona do 31. prosince 2023</w:t>
      </w:r>
      <w:r w:rsidR="00D477A0">
        <w:rPr>
          <w:rFonts w:ascii="Times New Roman" w:hAnsi="Times New Roman"/>
          <w:sz w:val="24"/>
        </w:rPr>
        <w:t>, se v roce 2023 zvyšují podle § 67 odst. 1</w:t>
      </w:r>
      <w:r w:rsidR="001F2EA7">
        <w:rPr>
          <w:rFonts w:ascii="Times New Roman" w:hAnsi="Times New Roman"/>
          <w:sz w:val="24"/>
        </w:rPr>
        <w:t>5</w:t>
      </w:r>
      <w:r w:rsidR="00D477A0">
        <w:rPr>
          <w:rFonts w:ascii="Times New Roman" w:hAnsi="Times New Roman"/>
          <w:sz w:val="24"/>
        </w:rPr>
        <w:t xml:space="preserve"> zákona </w:t>
      </w:r>
      <w:r w:rsidR="001704F4">
        <w:rPr>
          <w:rFonts w:ascii="Times New Roman" w:hAnsi="Times New Roman"/>
          <w:sz w:val="24"/>
        </w:rPr>
        <w:t xml:space="preserve"> </w:t>
      </w:r>
      <w:r w:rsidR="00D477A0">
        <w:rPr>
          <w:rFonts w:ascii="Times New Roman" w:hAnsi="Times New Roman"/>
          <w:sz w:val="24"/>
        </w:rPr>
        <w:t>č. 155/1995 Sb., ve znění účinném přede dnem nabytí účinnosti tohoto zákona. Věta první neplatí</w:t>
      </w:r>
      <w:r w:rsidR="001F2EA7">
        <w:rPr>
          <w:rFonts w:ascii="Times New Roman" w:hAnsi="Times New Roman"/>
          <w:sz w:val="24"/>
        </w:rPr>
        <w:t>,</w:t>
      </w:r>
      <w:r w:rsidR="00D477A0">
        <w:rPr>
          <w:rFonts w:ascii="Times New Roman" w:hAnsi="Times New Roman"/>
          <w:sz w:val="24"/>
        </w:rPr>
        <w:t xml:space="preserve"> jde-li o starobní důchody přiznané podle § 31 zákona č. 155/1995 Sb., ve znění účinném ode dne nabytí účinnosti tohoto zákona.</w:t>
      </w:r>
    </w:p>
    <w:p w14:paraId="0B0BF1BE" w14:textId="77777777" w:rsidR="00356DE0" w:rsidRDefault="00356DE0" w:rsidP="003C5485">
      <w:pPr>
        <w:pStyle w:val="Bezmezer"/>
        <w:ind w:left="284" w:hanging="284"/>
        <w:rPr>
          <w:rFonts w:ascii="Times New Roman" w:hAnsi="Times New Roman"/>
          <w:sz w:val="24"/>
        </w:rPr>
      </w:pPr>
    </w:p>
    <w:p w14:paraId="52B9696C" w14:textId="48217B2A" w:rsidR="00DE7E9F" w:rsidRDefault="00862F81" w:rsidP="003C5485">
      <w:pPr>
        <w:pStyle w:val="Bezmezer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DE7E9F">
        <w:rPr>
          <w:rFonts w:ascii="Times New Roman" w:hAnsi="Times New Roman"/>
          <w:sz w:val="24"/>
        </w:rPr>
        <w:t>. Při zvýšení vyplácených důchodů od 1. ledna 2024 se období pro zji</w:t>
      </w:r>
      <w:r w:rsidR="00974415">
        <w:rPr>
          <w:rFonts w:ascii="Times New Roman" w:hAnsi="Times New Roman"/>
          <w:sz w:val="24"/>
        </w:rPr>
        <w:t>š</w:t>
      </w:r>
      <w:r w:rsidR="00DE7E9F">
        <w:rPr>
          <w:rFonts w:ascii="Times New Roman" w:hAnsi="Times New Roman"/>
          <w:sz w:val="24"/>
        </w:rPr>
        <w:t>ťování růstu cen stanoví tak, že prvním měsícem tohoto období je kalendářní měsíc následující po posledním kalendářním měsíci období pro zjišťování růstu cen použitého při předchozím zvýšení procentní výměry důchodů a posledním měsícem tohoto období je červen 2023</w:t>
      </w:r>
      <w:r w:rsidR="00770FBE">
        <w:rPr>
          <w:rFonts w:ascii="Times New Roman" w:hAnsi="Times New Roman"/>
          <w:sz w:val="24"/>
        </w:rPr>
        <w:t>.</w:t>
      </w:r>
      <w:r w:rsidR="00974415">
        <w:rPr>
          <w:rFonts w:ascii="Times New Roman" w:hAnsi="Times New Roman"/>
          <w:sz w:val="24"/>
        </w:rPr>
        <w:t xml:space="preserve"> </w:t>
      </w:r>
      <w:r w:rsidR="00770FBE">
        <w:rPr>
          <w:rFonts w:ascii="Times New Roman" w:hAnsi="Times New Roman"/>
          <w:sz w:val="24"/>
        </w:rPr>
        <w:t>S</w:t>
      </w:r>
      <w:r w:rsidR="00974415">
        <w:rPr>
          <w:rFonts w:ascii="Times New Roman" w:hAnsi="Times New Roman"/>
          <w:sz w:val="24"/>
        </w:rPr>
        <w:t>plnila-li se podle § 67 odst. 5 zákona č. 155/12995 Sb., ve znění účinném přede dnem nabytí účinnosti tohoto zákona, podmínka pro zvýšení důchodů v mimořádném termínu v červenci nebo v srpnu 2023</w:t>
      </w:r>
      <w:r w:rsidR="00770FBE">
        <w:rPr>
          <w:rFonts w:ascii="Times New Roman" w:hAnsi="Times New Roman"/>
          <w:sz w:val="24"/>
        </w:rPr>
        <w:t>,</w:t>
      </w:r>
      <w:r w:rsidR="00974415">
        <w:rPr>
          <w:rFonts w:ascii="Times New Roman" w:hAnsi="Times New Roman"/>
          <w:sz w:val="24"/>
        </w:rPr>
        <w:t xml:space="preserve"> je </w:t>
      </w:r>
      <w:r w:rsidR="006C2157">
        <w:rPr>
          <w:rFonts w:ascii="Times New Roman" w:hAnsi="Times New Roman"/>
          <w:sz w:val="24"/>
        </w:rPr>
        <w:t xml:space="preserve">při zvýšení vyplácených důchodů </w:t>
      </w:r>
      <w:r w:rsidR="00A02CB7">
        <w:rPr>
          <w:rFonts w:ascii="Times New Roman" w:hAnsi="Times New Roman"/>
          <w:sz w:val="24"/>
        </w:rPr>
        <w:t xml:space="preserve">podle § 67 v termínu </w:t>
      </w:r>
      <w:r w:rsidR="006C2157">
        <w:rPr>
          <w:rFonts w:ascii="Times New Roman" w:hAnsi="Times New Roman"/>
          <w:sz w:val="24"/>
        </w:rPr>
        <w:t xml:space="preserve">od 1. ledna 2024 </w:t>
      </w:r>
      <w:r w:rsidR="00974415">
        <w:rPr>
          <w:rFonts w:ascii="Times New Roman" w:hAnsi="Times New Roman"/>
          <w:sz w:val="24"/>
        </w:rPr>
        <w:t xml:space="preserve">posledním měsícem období </w:t>
      </w:r>
      <w:r w:rsidR="00770FBE">
        <w:rPr>
          <w:rFonts w:ascii="Times New Roman" w:hAnsi="Times New Roman"/>
          <w:sz w:val="24"/>
        </w:rPr>
        <w:t xml:space="preserve">pro zjišťování růstu cen </w:t>
      </w:r>
      <w:r w:rsidR="006C2157">
        <w:rPr>
          <w:rFonts w:ascii="Times New Roman" w:hAnsi="Times New Roman"/>
          <w:sz w:val="24"/>
        </w:rPr>
        <w:t xml:space="preserve">srpen 2023 </w:t>
      </w:r>
      <w:r w:rsidR="00770FBE">
        <w:rPr>
          <w:rFonts w:ascii="Times New Roman" w:hAnsi="Times New Roman"/>
          <w:sz w:val="24"/>
        </w:rPr>
        <w:t>a</w:t>
      </w:r>
      <w:r w:rsidR="00974415">
        <w:rPr>
          <w:rFonts w:ascii="Times New Roman" w:hAnsi="Times New Roman"/>
          <w:sz w:val="24"/>
        </w:rPr>
        <w:t xml:space="preserve"> </w:t>
      </w:r>
      <w:r w:rsidR="00A02CB7">
        <w:rPr>
          <w:rFonts w:ascii="Times New Roman" w:hAnsi="Times New Roman"/>
          <w:sz w:val="24"/>
        </w:rPr>
        <w:t xml:space="preserve">v termínu </w:t>
      </w:r>
      <w:r w:rsidR="006C2157">
        <w:rPr>
          <w:rFonts w:ascii="Times New Roman" w:hAnsi="Times New Roman"/>
          <w:sz w:val="24"/>
        </w:rPr>
        <w:t xml:space="preserve">od 1. ledna 2025 je </w:t>
      </w:r>
      <w:r w:rsidR="00770FBE">
        <w:rPr>
          <w:rFonts w:ascii="Times New Roman" w:hAnsi="Times New Roman"/>
          <w:sz w:val="24"/>
        </w:rPr>
        <w:t xml:space="preserve">prvním měsícem </w:t>
      </w:r>
      <w:r w:rsidR="006C2157">
        <w:rPr>
          <w:rFonts w:ascii="Times New Roman" w:hAnsi="Times New Roman"/>
          <w:sz w:val="24"/>
        </w:rPr>
        <w:t xml:space="preserve">tohoto </w:t>
      </w:r>
      <w:r w:rsidR="00770FBE">
        <w:rPr>
          <w:rFonts w:ascii="Times New Roman" w:hAnsi="Times New Roman"/>
          <w:sz w:val="24"/>
        </w:rPr>
        <w:t>období</w:t>
      </w:r>
      <w:r w:rsidR="006C2157">
        <w:rPr>
          <w:rFonts w:ascii="Times New Roman" w:hAnsi="Times New Roman"/>
          <w:sz w:val="24"/>
        </w:rPr>
        <w:t xml:space="preserve"> září 2023</w:t>
      </w:r>
      <w:r w:rsidR="00A02CB7">
        <w:rPr>
          <w:rFonts w:ascii="Times New Roman" w:hAnsi="Times New Roman"/>
          <w:sz w:val="24"/>
        </w:rPr>
        <w:t xml:space="preserve"> a při zvýšení vyplácených důchodů podle § 67a v roce 2024 je prvním měsícem tohoto období září 2023.   </w:t>
      </w:r>
    </w:p>
    <w:p w14:paraId="26D5609D" w14:textId="62E82FA4" w:rsidR="00B316BB" w:rsidRDefault="00B316BB" w:rsidP="00186EB6">
      <w:pPr>
        <w:pStyle w:val="Bezmezer"/>
        <w:rPr>
          <w:rFonts w:ascii="Times New Roman" w:hAnsi="Times New Roman"/>
          <w:sz w:val="24"/>
        </w:rPr>
      </w:pPr>
    </w:p>
    <w:p w14:paraId="7A8F9486" w14:textId="77777777" w:rsidR="00B81B61" w:rsidRPr="00226D7B" w:rsidRDefault="00B81B61" w:rsidP="00DF4E62">
      <w:pPr>
        <w:pStyle w:val="Bezmezer"/>
        <w:rPr>
          <w:rFonts w:ascii="Times New Roman" w:hAnsi="Times New Roman"/>
          <w:sz w:val="24"/>
        </w:rPr>
      </w:pPr>
    </w:p>
    <w:p w14:paraId="6F990AFB" w14:textId="03B7051B" w:rsidR="00B54BDD" w:rsidRDefault="00D964DC" w:rsidP="001D52DF">
      <w:pPr>
        <w:pStyle w:val="Bezmezer"/>
        <w:jc w:val="center"/>
        <w:rPr>
          <w:rFonts w:ascii="Times New Roman" w:hAnsi="Times New Roman"/>
          <w:sz w:val="24"/>
        </w:rPr>
      </w:pPr>
      <w:r w:rsidRPr="00226D7B">
        <w:rPr>
          <w:rFonts w:ascii="Times New Roman" w:hAnsi="Times New Roman"/>
          <w:sz w:val="24"/>
        </w:rPr>
        <w:t xml:space="preserve">Čl. </w:t>
      </w:r>
      <w:r w:rsidR="003C5485">
        <w:rPr>
          <w:rFonts w:ascii="Times New Roman" w:hAnsi="Times New Roman"/>
          <w:sz w:val="24"/>
        </w:rPr>
        <w:t>III</w:t>
      </w:r>
    </w:p>
    <w:p w14:paraId="5462C555" w14:textId="77777777" w:rsidR="003C5485" w:rsidRPr="00226D7B" w:rsidRDefault="003C5485" w:rsidP="00E03D40">
      <w:pPr>
        <w:pStyle w:val="Bezmezer"/>
        <w:jc w:val="center"/>
        <w:rPr>
          <w:rFonts w:ascii="Times New Roman" w:hAnsi="Times New Roman"/>
          <w:sz w:val="24"/>
        </w:rPr>
      </w:pPr>
    </w:p>
    <w:p w14:paraId="648EAA0A" w14:textId="5F64538B" w:rsidR="003C5485" w:rsidRDefault="003C5485" w:rsidP="003C5485">
      <w:pPr>
        <w:pStyle w:val="Bezmezer"/>
        <w:jc w:val="center"/>
        <w:rPr>
          <w:rFonts w:ascii="Times New Roman" w:hAnsi="Times New Roman"/>
          <w:b/>
          <w:sz w:val="24"/>
        </w:rPr>
      </w:pPr>
      <w:r w:rsidRPr="00226D7B">
        <w:rPr>
          <w:rFonts w:ascii="Times New Roman" w:hAnsi="Times New Roman"/>
          <w:b/>
          <w:sz w:val="24"/>
        </w:rPr>
        <w:t>Ú</w:t>
      </w:r>
      <w:r w:rsidR="00452D13">
        <w:rPr>
          <w:rFonts w:ascii="Times New Roman" w:hAnsi="Times New Roman"/>
          <w:b/>
          <w:sz w:val="24"/>
        </w:rPr>
        <w:t>činnost</w:t>
      </w:r>
    </w:p>
    <w:p w14:paraId="5D472756" w14:textId="77777777" w:rsidR="00080EEA" w:rsidRPr="00226D7B" w:rsidRDefault="00080EEA" w:rsidP="00941D81">
      <w:pPr>
        <w:pStyle w:val="Bezmezer"/>
        <w:rPr>
          <w:rFonts w:ascii="Times New Roman" w:hAnsi="Times New Roman"/>
          <w:sz w:val="24"/>
        </w:rPr>
      </w:pPr>
    </w:p>
    <w:p w14:paraId="1C2D60C0" w14:textId="0A9491E0" w:rsidR="00FA674F" w:rsidRPr="00726CE5" w:rsidRDefault="001F2EA7" w:rsidP="00A02CB7">
      <w:pPr>
        <w:pStyle w:val="Bezmezer"/>
        <w:rPr>
          <w:rFonts w:ascii="Times New Roman" w:hAnsi="Times New Roman"/>
          <w:i/>
          <w:iCs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080EEA" w:rsidRPr="00226D7B">
        <w:rPr>
          <w:rFonts w:ascii="Times New Roman" w:hAnsi="Times New Roman"/>
          <w:sz w:val="24"/>
        </w:rPr>
        <w:t>Tento zákon n</w:t>
      </w:r>
      <w:r w:rsidR="00DF7479" w:rsidRPr="00226D7B">
        <w:rPr>
          <w:rFonts w:ascii="Times New Roman" w:hAnsi="Times New Roman"/>
          <w:sz w:val="24"/>
        </w:rPr>
        <w:t>ab</w:t>
      </w:r>
      <w:r w:rsidR="002F48D8" w:rsidRPr="00226D7B">
        <w:rPr>
          <w:rFonts w:ascii="Times New Roman" w:hAnsi="Times New Roman"/>
          <w:sz w:val="24"/>
        </w:rPr>
        <w:t xml:space="preserve">ývá účinnosti </w:t>
      </w:r>
      <w:r w:rsidR="000F192C">
        <w:rPr>
          <w:rFonts w:ascii="Times New Roman" w:hAnsi="Times New Roman"/>
          <w:sz w:val="24"/>
        </w:rPr>
        <w:t xml:space="preserve">prvním </w:t>
      </w:r>
      <w:r w:rsidR="00C2684E">
        <w:rPr>
          <w:rFonts w:ascii="Times New Roman" w:hAnsi="Times New Roman"/>
          <w:sz w:val="24"/>
        </w:rPr>
        <w:t>dnem</w:t>
      </w:r>
      <w:r w:rsidR="002F48D8" w:rsidRPr="00226D7B">
        <w:rPr>
          <w:rFonts w:ascii="Times New Roman" w:hAnsi="Times New Roman"/>
          <w:sz w:val="24"/>
        </w:rPr>
        <w:t xml:space="preserve"> </w:t>
      </w:r>
      <w:r w:rsidR="000F192C">
        <w:rPr>
          <w:rFonts w:ascii="Times New Roman" w:hAnsi="Times New Roman"/>
          <w:sz w:val="24"/>
        </w:rPr>
        <w:t xml:space="preserve">kalendářního měsíce </w:t>
      </w:r>
      <w:r w:rsidR="00B316BB">
        <w:rPr>
          <w:rFonts w:ascii="Times New Roman" w:hAnsi="Times New Roman"/>
          <w:sz w:val="24"/>
        </w:rPr>
        <w:t>následující</w:t>
      </w:r>
      <w:r w:rsidR="000F192C">
        <w:rPr>
          <w:rFonts w:ascii="Times New Roman" w:hAnsi="Times New Roman"/>
          <w:sz w:val="24"/>
        </w:rPr>
        <w:t>ho</w:t>
      </w:r>
      <w:r w:rsidR="00B316BB">
        <w:rPr>
          <w:rFonts w:ascii="Times New Roman" w:hAnsi="Times New Roman"/>
          <w:sz w:val="24"/>
        </w:rPr>
        <w:t xml:space="preserve"> p</w:t>
      </w:r>
      <w:r w:rsidR="000F192C">
        <w:rPr>
          <w:rFonts w:ascii="Times New Roman" w:hAnsi="Times New Roman"/>
          <w:sz w:val="24"/>
        </w:rPr>
        <w:t>o</w:t>
      </w:r>
      <w:r w:rsidR="00B316BB">
        <w:rPr>
          <w:rFonts w:ascii="Times New Roman" w:hAnsi="Times New Roman"/>
          <w:sz w:val="24"/>
        </w:rPr>
        <w:t xml:space="preserve"> jeho vyhlášení</w:t>
      </w:r>
      <w:r w:rsidR="000F192C">
        <w:rPr>
          <w:rFonts w:ascii="Times New Roman" w:hAnsi="Times New Roman"/>
          <w:sz w:val="24"/>
        </w:rPr>
        <w:t>.</w:t>
      </w:r>
    </w:p>
    <w:sectPr w:rsidR="00FA674F" w:rsidRPr="00726CE5" w:rsidSect="00C0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240B" w14:textId="77777777" w:rsidR="00E778B8" w:rsidRDefault="00E778B8" w:rsidP="009A09D0">
      <w:pPr>
        <w:spacing w:line="240" w:lineRule="auto"/>
      </w:pPr>
      <w:r>
        <w:separator/>
      </w:r>
    </w:p>
  </w:endnote>
  <w:endnote w:type="continuationSeparator" w:id="0">
    <w:p w14:paraId="41C1FAD3" w14:textId="77777777" w:rsidR="00E778B8" w:rsidRDefault="00E778B8" w:rsidP="009A0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3D41" w14:textId="77777777" w:rsidR="001D52DF" w:rsidRDefault="001D52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600576212"/>
      <w:docPartObj>
        <w:docPartGallery w:val="Page Numbers (Bottom of Page)"/>
        <w:docPartUnique/>
      </w:docPartObj>
    </w:sdtPr>
    <w:sdtContent>
      <w:p w14:paraId="0036B8D9" w14:textId="5065B5F8" w:rsidR="000126EF" w:rsidRPr="003B2888" w:rsidRDefault="003B2888" w:rsidP="003B2888">
        <w:pPr>
          <w:pStyle w:val="Zpat"/>
          <w:jc w:val="center"/>
          <w:rPr>
            <w:rFonts w:ascii="Times New Roman" w:hAnsi="Times New Roman"/>
            <w:sz w:val="20"/>
            <w:szCs w:val="20"/>
          </w:rPr>
        </w:pPr>
        <w:r w:rsidRPr="003B2888">
          <w:rPr>
            <w:rFonts w:ascii="Times New Roman" w:hAnsi="Times New Roman"/>
            <w:sz w:val="20"/>
            <w:szCs w:val="20"/>
          </w:rPr>
          <w:fldChar w:fldCharType="begin"/>
        </w:r>
        <w:r w:rsidRPr="003B28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B2888">
          <w:rPr>
            <w:rFonts w:ascii="Times New Roman" w:hAnsi="Times New Roman"/>
            <w:sz w:val="20"/>
            <w:szCs w:val="20"/>
          </w:rPr>
          <w:fldChar w:fldCharType="separate"/>
        </w:r>
        <w:r w:rsidRPr="003B2888">
          <w:rPr>
            <w:rFonts w:ascii="Times New Roman" w:hAnsi="Times New Roman"/>
            <w:sz w:val="20"/>
            <w:szCs w:val="20"/>
          </w:rPr>
          <w:t>2</w:t>
        </w:r>
        <w:r w:rsidRPr="003B28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119B" w14:textId="77777777" w:rsidR="001D52DF" w:rsidRDefault="001D52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DFF7" w14:textId="77777777" w:rsidR="00E778B8" w:rsidRDefault="00E778B8" w:rsidP="009A09D0">
      <w:pPr>
        <w:spacing w:line="240" w:lineRule="auto"/>
      </w:pPr>
      <w:r>
        <w:separator/>
      </w:r>
    </w:p>
  </w:footnote>
  <w:footnote w:type="continuationSeparator" w:id="0">
    <w:p w14:paraId="3C43226B" w14:textId="77777777" w:rsidR="00E778B8" w:rsidRDefault="00E778B8" w:rsidP="009A0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D75D" w14:textId="77777777" w:rsidR="001D52DF" w:rsidRDefault="001D52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034B" w14:textId="77777777" w:rsidR="001D52DF" w:rsidRDefault="001D52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0EA8" w14:textId="77777777" w:rsidR="001D52DF" w:rsidRDefault="001D52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152"/>
    <w:multiLevelType w:val="hybridMultilevel"/>
    <w:tmpl w:val="BF7C7FFE"/>
    <w:lvl w:ilvl="0" w:tplc="40B26DE0">
      <w:start w:val="1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6C526B"/>
    <w:multiLevelType w:val="hybridMultilevel"/>
    <w:tmpl w:val="985C8DE0"/>
    <w:lvl w:ilvl="0" w:tplc="77C8B8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2305ED0"/>
    <w:multiLevelType w:val="hybridMultilevel"/>
    <w:tmpl w:val="111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B2688"/>
    <w:multiLevelType w:val="hybridMultilevel"/>
    <w:tmpl w:val="5B0A16E2"/>
    <w:lvl w:ilvl="0" w:tplc="39886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D4F6D"/>
    <w:multiLevelType w:val="hybridMultilevel"/>
    <w:tmpl w:val="36FCB252"/>
    <w:lvl w:ilvl="0" w:tplc="040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7433B"/>
    <w:multiLevelType w:val="hybridMultilevel"/>
    <w:tmpl w:val="284EB88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41CA8"/>
    <w:multiLevelType w:val="hybridMultilevel"/>
    <w:tmpl w:val="4028CB1C"/>
    <w:lvl w:ilvl="0" w:tplc="803AB9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706FD"/>
    <w:multiLevelType w:val="hybridMultilevel"/>
    <w:tmpl w:val="43A0D82A"/>
    <w:lvl w:ilvl="0" w:tplc="7F2086DC">
      <w:start w:val="212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04E6F"/>
    <w:multiLevelType w:val="hybridMultilevel"/>
    <w:tmpl w:val="9DB22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520991">
    <w:abstractNumId w:val="6"/>
  </w:num>
  <w:num w:numId="2" w16cid:durableId="1575310368">
    <w:abstractNumId w:val="0"/>
  </w:num>
  <w:num w:numId="3" w16cid:durableId="339353506">
    <w:abstractNumId w:val="1"/>
  </w:num>
  <w:num w:numId="4" w16cid:durableId="1165510073">
    <w:abstractNumId w:val="2"/>
  </w:num>
  <w:num w:numId="5" w16cid:durableId="965426407">
    <w:abstractNumId w:val="3"/>
  </w:num>
  <w:num w:numId="6" w16cid:durableId="2073652990">
    <w:abstractNumId w:val="8"/>
  </w:num>
  <w:num w:numId="7" w16cid:durableId="105081196">
    <w:abstractNumId w:val="5"/>
  </w:num>
  <w:num w:numId="8" w16cid:durableId="1197163321">
    <w:abstractNumId w:val="4"/>
  </w:num>
  <w:num w:numId="9" w16cid:durableId="172517813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70"/>
    <w:rsid w:val="00000F12"/>
    <w:rsid w:val="0000181A"/>
    <w:rsid w:val="0000372B"/>
    <w:rsid w:val="00004011"/>
    <w:rsid w:val="0000562E"/>
    <w:rsid w:val="00005695"/>
    <w:rsid w:val="000056FF"/>
    <w:rsid w:val="00006F11"/>
    <w:rsid w:val="00010B3A"/>
    <w:rsid w:val="00010D47"/>
    <w:rsid w:val="00011181"/>
    <w:rsid w:val="00011E23"/>
    <w:rsid w:val="000126EF"/>
    <w:rsid w:val="000148F4"/>
    <w:rsid w:val="00022583"/>
    <w:rsid w:val="00023DC3"/>
    <w:rsid w:val="00024020"/>
    <w:rsid w:val="00025545"/>
    <w:rsid w:val="00026A92"/>
    <w:rsid w:val="00027FB4"/>
    <w:rsid w:val="0003097E"/>
    <w:rsid w:val="00031438"/>
    <w:rsid w:val="00032B21"/>
    <w:rsid w:val="00032CF7"/>
    <w:rsid w:val="00032DD8"/>
    <w:rsid w:val="000352EC"/>
    <w:rsid w:val="0003657F"/>
    <w:rsid w:val="000373B1"/>
    <w:rsid w:val="00042442"/>
    <w:rsid w:val="0004253D"/>
    <w:rsid w:val="00042568"/>
    <w:rsid w:val="00042796"/>
    <w:rsid w:val="00042CB3"/>
    <w:rsid w:val="000452F9"/>
    <w:rsid w:val="00045ECD"/>
    <w:rsid w:val="00047B25"/>
    <w:rsid w:val="00050574"/>
    <w:rsid w:val="00053FDD"/>
    <w:rsid w:val="00056B04"/>
    <w:rsid w:val="000615C3"/>
    <w:rsid w:val="00061C11"/>
    <w:rsid w:val="00066E60"/>
    <w:rsid w:val="0006712C"/>
    <w:rsid w:val="00071789"/>
    <w:rsid w:val="000724B6"/>
    <w:rsid w:val="00073D09"/>
    <w:rsid w:val="0007579B"/>
    <w:rsid w:val="00080EEA"/>
    <w:rsid w:val="00082CDA"/>
    <w:rsid w:val="00082E28"/>
    <w:rsid w:val="000863B2"/>
    <w:rsid w:val="00087903"/>
    <w:rsid w:val="00087AFF"/>
    <w:rsid w:val="00087F91"/>
    <w:rsid w:val="0009074F"/>
    <w:rsid w:val="000954B4"/>
    <w:rsid w:val="00097A6B"/>
    <w:rsid w:val="000A0C0D"/>
    <w:rsid w:val="000A19FC"/>
    <w:rsid w:val="000A20A5"/>
    <w:rsid w:val="000A3625"/>
    <w:rsid w:val="000A658F"/>
    <w:rsid w:val="000A6E21"/>
    <w:rsid w:val="000B0ED3"/>
    <w:rsid w:val="000B3E78"/>
    <w:rsid w:val="000B5755"/>
    <w:rsid w:val="000B668B"/>
    <w:rsid w:val="000B68CF"/>
    <w:rsid w:val="000B6989"/>
    <w:rsid w:val="000C2641"/>
    <w:rsid w:val="000C2FBC"/>
    <w:rsid w:val="000C37CF"/>
    <w:rsid w:val="000C4012"/>
    <w:rsid w:val="000C4DDB"/>
    <w:rsid w:val="000C59D4"/>
    <w:rsid w:val="000D0737"/>
    <w:rsid w:val="000D10AA"/>
    <w:rsid w:val="000D35BA"/>
    <w:rsid w:val="000D3E2A"/>
    <w:rsid w:val="000D4A10"/>
    <w:rsid w:val="000E0902"/>
    <w:rsid w:val="000E1A20"/>
    <w:rsid w:val="000E3265"/>
    <w:rsid w:val="000E3438"/>
    <w:rsid w:val="000E4C23"/>
    <w:rsid w:val="000E5387"/>
    <w:rsid w:val="000E6739"/>
    <w:rsid w:val="000E6A9C"/>
    <w:rsid w:val="000F192C"/>
    <w:rsid w:val="000F1E56"/>
    <w:rsid w:val="000F2954"/>
    <w:rsid w:val="000F3C01"/>
    <w:rsid w:val="000F6B97"/>
    <w:rsid w:val="00101DC9"/>
    <w:rsid w:val="001023BF"/>
    <w:rsid w:val="001027D2"/>
    <w:rsid w:val="0010320F"/>
    <w:rsid w:val="0010583C"/>
    <w:rsid w:val="00112B3D"/>
    <w:rsid w:val="00113F92"/>
    <w:rsid w:val="001153F7"/>
    <w:rsid w:val="00117188"/>
    <w:rsid w:val="00121626"/>
    <w:rsid w:val="001220AC"/>
    <w:rsid w:val="00123317"/>
    <w:rsid w:val="00123738"/>
    <w:rsid w:val="00123920"/>
    <w:rsid w:val="001243C5"/>
    <w:rsid w:val="00124A49"/>
    <w:rsid w:val="00125C4D"/>
    <w:rsid w:val="00125D48"/>
    <w:rsid w:val="001274D8"/>
    <w:rsid w:val="001275B8"/>
    <w:rsid w:val="00131E5D"/>
    <w:rsid w:val="0013253C"/>
    <w:rsid w:val="00132FB7"/>
    <w:rsid w:val="00134F26"/>
    <w:rsid w:val="0013544E"/>
    <w:rsid w:val="00135A0B"/>
    <w:rsid w:val="001362C3"/>
    <w:rsid w:val="00137942"/>
    <w:rsid w:val="001402F4"/>
    <w:rsid w:val="00143C14"/>
    <w:rsid w:val="0014476F"/>
    <w:rsid w:val="00144CC8"/>
    <w:rsid w:val="00145A36"/>
    <w:rsid w:val="001460B4"/>
    <w:rsid w:val="00146C1B"/>
    <w:rsid w:val="00146FE1"/>
    <w:rsid w:val="00151181"/>
    <w:rsid w:val="00152263"/>
    <w:rsid w:val="0015351E"/>
    <w:rsid w:val="00157479"/>
    <w:rsid w:val="00157F29"/>
    <w:rsid w:val="001625DF"/>
    <w:rsid w:val="00163F6C"/>
    <w:rsid w:val="001643A4"/>
    <w:rsid w:val="00164D98"/>
    <w:rsid w:val="00167C0E"/>
    <w:rsid w:val="00170325"/>
    <w:rsid w:val="001704F4"/>
    <w:rsid w:val="00171252"/>
    <w:rsid w:val="00171588"/>
    <w:rsid w:val="00172C5B"/>
    <w:rsid w:val="00174282"/>
    <w:rsid w:val="001751C8"/>
    <w:rsid w:val="00176739"/>
    <w:rsid w:val="00185C3D"/>
    <w:rsid w:val="00185F2A"/>
    <w:rsid w:val="00186048"/>
    <w:rsid w:val="00186EB6"/>
    <w:rsid w:val="00191787"/>
    <w:rsid w:val="00191CFC"/>
    <w:rsid w:val="001927D7"/>
    <w:rsid w:val="001942BB"/>
    <w:rsid w:val="00195EE4"/>
    <w:rsid w:val="00197594"/>
    <w:rsid w:val="001A2916"/>
    <w:rsid w:val="001A363D"/>
    <w:rsid w:val="001A537D"/>
    <w:rsid w:val="001A61BE"/>
    <w:rsid w:val="001A68F8"/>
    <w:rsid w:val="001A7A09"/>
    <w:rsid w:val="001B0B2A"/>
    <w:rsid w:val="001B18B5"/>
    <w:rsid w:val="001B218F"/>
    <w:rsid w:val="001B6620"/>
    <w:rsid w:val="001B754F"/>
    <w:rsid w:val="001C0B55"/>
    <w:rsid w:val="001C1216"/>
    <w:rsid w:val="001C1F2C"/>
    <w:rsid w:val="001C22B7"/>
    <w:rsid w:val="001C35FD"/>
    <w:rsid w:val="001C5A00"/>
    <w:rsid w:val="001D3D14"/>
    <w:rsid w:val="001D3E3E"/>
    <w:rsid w:val="001D52DF"/>
    <w:rsid w:val="001D70D3"/>
    <w:rsid w:val="001E07F9"/>
    <w:rsid w:val="001E148B"/>
    <w:rsid w:val="001E1498"/>
    <w:rsid w:val="001E1BF5"/>
    <w:rsid w:val="001E246E"/>
    <w:rsid w:val="001E3234"/>
    <w:rsid w:val="001E3E03"/>
    <w:rsid w:val="001E4947"/>
    <w:rsid w:val="001F0481"/>
    <w:rsid w:val="001F204A"/>
    <w:rsid w:val="001F2EA7"/>
    <w:rsid w:val="001F3FAE"/>
    <w:rsid w:val="001F5A24"/>
    <w:rsid w:val="001F5E34"/>
    <w:rsid w:val="001F5E35"/>
    <w:rsid w:val="001F621B"/>
    <w:rsid w:val="001F680B"/>
    <w:rsid w:val="001F6E5A"/>
    <w:rsid w:val="00200973"/>
    <w:rsid w:val="002048A7"/>
    <w:rsid w:val="00204E52"/>
    <w:rsid w:val="00206F2B"/>
    <w:rsid w:val="002105E2"/>
    <w:rsid w:val="002110F3"/>
    <w:rsid w:val="002119AE"/>
    <w:rsid w:val="002152E2"/>
    <w:rsid w:val="00216D64"/>
    <w:rsid w:val="002210AD"/>
    <w:rsid w:val="002225C1"/>
    <w:rsid w:val="00222D46"/>
    <w:rsid w:val="002241D2"/>
    <w:rsid w:val="002243CA"/>
    <w:rsid w:val="0022457C"/>
    <w:rsid w:val="00224D16"/>
    <w:rsid w:val="00226AF8"/>
    <w:rsid w:val="00226D7B"/>
    <w:rsid w:val="00231786"/>
    <w:rsid w:val="002339F9"/>
    <w:rsid w:val="002357E7"/>
    <w:rsid w:val="0023642D"/>
    <w:rsid w:val="0023695F"/>
    <w:rsid w:val="0023779F"/>
    <w:rsid w:val="00243FC5"/>
    <w:rsid w:val="002440E9"/>
    <w:rsid w:val="00245ECA"/>
    <w:rsid w:val="00247774"/>
    <w:rsid w:val="00247C64"/>
    <w:rsid w:val="00250396"/>
    <w:rsid w:val="00251A98"/>
    <w:rsid w:val="00253D76"/>
    <w:rsid w:val="0025403B"/>
    <w:rsid w:val="0025436A"/>
    <w:rsid w:val="00254FDD"/>
    <w:rsid w:val="00256E24"/>
    <w:rsid w:val="00257366"/>
    <w:rsid w:val="0025783A"/>
    <w:rsid w:val="00260432"/>
    <w:rsid w:val="0026356F"/>
    <w:rsid w:val="002667D1"/>
    <w:rsid w:val="0026701D"/>
    <w:rsid w:val="00267028"/>
    <w:rsid w:val="002727E8"/>
    <w:rsid w:val="002736A2"/>
    <w:rsid w:val="00276527"/>
    <w:rsid w:val="00280D2F"/>
    <w:rsid w:val="00280D84"/>
    <w:rsid w:val="00282B8E"/>
    <w:rsid w:val="00283D7D"/>
    <w:rsid w:val="0028567E"/>
    <w:rsid w:val="002925A0"/>
    <w:rsid w:val="0029295E"/>
    <w:rsid w:val="00293403"/>
    <w:rsid w:val="00294F92"/>
    <w:rsid w:val="00295232"/>
    <w:rsid w:val="00296ECD"/>
    <w:rsid w:val="00297A18"/>
    <w:rsid w:val="002A0681"/>
    <w:rsid w:val="002A09EE"/>
    <w:rsid w:val="002A1AB3"/>
    <w:rsid w:val="002A32C9"/>
    <w:rsid w:val="002A486B"/>
    <w:rsid w:val="002A7503"/>
    <w:rsid w:val="002B0BA8"/>
    <w:rsid w:val="002B1C0C"/>
    <w:rsid w:val="002B2128"/>
    <w:rsid w:val="002B24E1"/>
    <w:rsid w:val="002B277A"/>
    <w:rsid w:val="002B3385"/>
    <w:rsid w:val="002B731D"/>
    <w:rsid w:val="002B787A"/>
    <w:rsid w:val="002C3165"/>
    <w:rsid w:val="002C3D0A"/>
    <w:rsid w:val="002C484A"/>
    <w:rsid w:val="002C4878"/>
    <w:rsid w:val="002C649C"/>
    <w:rsid w:val="002C695E"/>
    <w:rsid w:val="002C7006"/>
    <w:rsid w:val="002D0D6E"/>
    <w:rsid w:val="002D12A1"/>
    <w:rsid w:val="002D26C1"/>
    <w:rsid w:val="002D4F36"/>
    <w:rsid w:val="002D6098"/>
    <w:rsid w:val="002D6269"/>
    <w:rsid w:val="002D64A1"/>
    <w:rsid w:val="002D6FD2"/>
    <w:rsid w:val="002E050E"/>
    <w:rsid w:val="002E3133"/>
    <w:rsid w:val="002E35FD"/>
    <w:rsid w:val="002F1A67"/>
    <w:rsid w:val="002F1F23"/>
    <w:rsid w:val="002F48D8"/>
    <w:rsid w:val="002F6164"/>
    <w:rsid w:val="00301882"/>
    <w:rsid w:val="00302207"/>
    <w:rsid w:val="00304592"/>
    <w:rsid w:val="00304738"/>
    <w:rsid w:val="00304791"/>
    <w:rsid w:val="00306889"/>
    <w:rsid w:val="00310BCB"/>
    <w:rsid w:val="0031358D"/>
    <w:rsid w:val="00315642"/>
    <w:rsid w:val="0031575E"/>
    <w:rsid w:val="00320701"/>
    <w:rsid w:val="00321780"/>
    <w:rsid w:val="00321B93"/>
    <w:rsid w:val="00323513"/>
    <w:rsid w:val="00323C80"/>
    <w:rsid w:val="003254A4"/>
    <w:rsid w:val="00325691"/>
    <w:rsid w:val="00325D5C"/>
    <w:rsid w:val="00327A8E"/>
    <w:rsid w:val="0033075B"/>
    <w:rsid w:val="003317C5"/>
    <w:rsid w:val="003327C1"/>
    <w:rsid w:val="00335FF5"/>
    <w:rsid w:val="00336D06"/>
    <w:rsid w:val="00340B3E"/>
    <w:rsid w:val="00342278"/>
    <w:rsid w:val="00345EE0"/>
    <w:rsid w:val="0034670A"/>
    <w:rsid w:val="003468C2"/>
    <w:rsid w:val="0035218B"/>
    <w:rsid w:val="0035254B"/>
    <w:rsid w:val="00354716"/>
    <w:rsid w:val="00355D94"/>
    <w:rsid w:val="00356DE0"/>
    <w:rsid w:val="00356F28"/>
    <w:rsid w:val="00362038"/>
    <w:rsid w:val="00363A9C"/>
    <w:rsid w:val="00365BA3"/>
    <w:rsid w:val="00367954"/>
    <w:rsid w:val="00372CFD"/>
    <w:rsid w:val="00372F05"/>
    <w:rsid w:val="003738F2"/>
    <w:rsid w:val="00374613"/>
    <w:rsid w:val="00380DAC"/>
    <w:rsid w:val="00381A82"/>
    <w:rsid w:val="003831CF"/>
    <w:rsid w:val="00383D69"/>
    <w:rsid w:val="00384F07"/>
    <w:rsid w:val="003910A1"/>
    <w:rsid w:val="00391C85"/>
    <w:rsid w:val="00392AD5"/>
    <w:rsid w:val="003970CC"/>
    <w:rsid w:val="003A032E"/>
    <w:rsid w:val="003A198D"/>
    <w:rsid w:val="003A1B6F"/>
    <w:rsid w:val="003A315B"/>
    <w:rsid w:val="003A3D13"/>
    <w:rsid w:val="003A41BF"/>
    <w:rsid w:val="003A7759"/>
    <w:rsid w:val="003B1350"/>
    <w:rsid w:val="003B26B3"/>
    <w:rsid w:val="003B2888"/>
    <w:rsid w:val="003C032A"/>
    <w:rsid w:val="003C15AA"/>
    <w:rsid w:val="003C1FB8"/>
    <w:rsid w:val="003C45BA"/>
    <w:rsid w:val="003C4F23"/>
    <w:rsid w:val="003C529E"/>
    <w:rsid w:val="003C5485"/>
    <w:rsid w:val="003C62B3"/>
    <w:rsid w:val="003D0CCB"/>
    <w:rsid w:val="003D161D"/>
    <w:rsid w:val="003D1F92"/>
    <w:rsid w:val="003D25A6"/>
    <w:rsid w:val="003D53E5"/>
    <w:rsid w:val="003D665B"/>
    <w:rsid w:val="003E0D33"/>
    <w:rsid w:val="003E0FEC"/>
    <w:rsid w:val="003E134C"/>
    <w:rsid w:val="003E3033"/>
    <w:rsid w:val="003E4022"/>
    <w:rsid w:val="003E46CB"/>
    <w:rsid w:val="003E4A51"/>
    <w:rsid w:val="003E5814"/>
    <w:rsid w:val="003E5A84"/>
    <w:rsid w:val="003E5BF6"/>
    <w:rsid w:val="003E5DDF"/>
    <w:rsid w:val="003E738D"/>
    <w:rsid w:val="003F040A"/>
    <w:rsid w:val="003F0DE3"/>
    <w:rsid w:val="003F115B"/>
    <w:rsid w:val="003F133B"/>
    <w:rsid w:val="003F16EA"/>
    <w:rsid w:val="003F2380"/>
    <w:rsid w:val="003F2A04"/>
    <w:rsid w:val="003F3279"/>
    <w:rsid w:val="003F35C6"/>
    <w:rsid w:val="003F59FE"/>
    <w:rsid w:val="003F6BB2"/>
    <w:rsid w:val="00400860"/>
    <w:rsid w:val="00400E87"/>
    <w:rsid w:val="00402FF9"/>
    <w:rsid w:val="00406621"/>
    <w:rsid w:val="00407464"/>
    <w:rsid w:val="00410062"/>
    <w:rsid w:val="00411051"/>
    <w:rsid w:val="00411540"/>
    <w:rsid w:val="00417CA4"/>
    <w:rsid w:val="00417E38"/>
    <w:rsid w:val="0042307B"/>
    <w:rsid w:val="00423399"/>
    <w:rsid w:val="004246DC"/>
    <w:rsid w:val="00430291"/>
    <w:rsid w:val="00430A9A"/>
    <w:rsid w:val="0043103E"/>
    <w:rsid w:val="0043396A"/>
    <w:rsid w:val="00433E90"/>
    <w:rsid w:val="00433F65"/>
    <w:rsid w:val="004407FF"/>
    <w:rsid w:val="00442F85"/>
    <w:rsid w:val="004460A1"/>
    <w:rsid w:val="004479CD"/>
    <w:rsid w:val="004507AD"/>
    <w:rsid w:val="00451876"/>
    <w:rsid w:val="004528E8"/>
    <w:rsid w:val="00452D13"/>
    <w:rsid w:val="00453901"/>
    <w:rsid w:val="004546C7"/>
    <w:rsid w:val="004553DE"/>
    <w:rsid w:val="00455985"/>
    <w:rsid w:val="0045675F"/>
    <w:rsid w:val="00460521"/>
    <w:rsid w:val="00460D74"/>
    <w:rsid w:val="004624A7"/>
    <w:rsid w:val="004637C8"/>
    <w:rsid w:val="00463D88"/>
    <w:rsid w:val="004656BB"/>
    <w:rsid w:val="004657F6"/>
    <w:rsid w:val="004773E0"/>
    <w:rsid w:val="00477537"/>
    <w:rsid w:val="00480101"/>
    <w:rsid w:val="00480821"/>
    <w:rsid w:val="00480AC7"/>
    <w:rsid w:val="00480FB8"/>
    <w:rsid w:val="00480FBD"/>
    <w:rsid w:val="00481463"/>
    <w:rsid w:val="00481531"/>
    <w:rsid w:val="004832A9"/>
    <w:rsid w:val="00484D87"/>
    <w:rsid w:val="00484F7A"/>
    <w:rsid w:val="00485788"/>
    <w:rsid w:val="00485E07"/>
    <w:rsid w:val="0049071A"/>
    <w:rsid w:val="00490E88"/>
    <w:rsid w:val="00491AA1"/>
    <w:rsid w:val="004937C4"/>
    <w:rsid w:val="00493930"/>
    <w:rsid w:val="00496520"/>
    <w:rsid w:val="004969FD"/>
    <w:rsid w:val="004A0EAB"/>
    <w:rsid w:val="004A51E5"/>
    <w:rsid w:val="004B12F9"/>
    <w:rsid w:val="004B2444"/>
    <w:rsid w:val="004B3464"/>
    <w:rsid w:val="004B3DA3"/>
    <w:rsid w:val="004B4112"/>
    <w:rsid w:val="004B4799"/>
    <w:rsid w:val="004B5968"/>
    <w:rsid w:val="004B61AB"/>
    <w:rsid w:val="004B7D8B"/>
    <w:rsid w:val="004C17D9"/>
    <w:rsid w:val="004C341B"/>
    <w:rsid w:val="004C6FF9"/>
    <w:rsid w:val="004D18DA"/>
    <w:rsid w:val="004D3761"/>
    <w:rsid w:val="004D3840"/>
    <w:rsid w:val="004D398C"/>
    <w:rsid w:val="004D50AD"/>
    <w:rsid w:val="004D7DC3"/>
    <w:rsid w:val="004E0A9A"/>
    <w:rsid w:val="004E13E9"/>
    <w:rsid w:val="004E2E39"/>
    <w:rsid w:val="004E3A60"/>
    <w:rsid w:val="004F1532"/>
    <w:rsid w:val="004F3249"/>
    <w:rsid w:val="004F45ED"/>
    <w:rsid w:val="004F6CAB"/>
    <w:rsid w:val="005006C9"/>
    <w:rsid w:val="00505A25"/>
    <w:rsid w:val="0051021A"/>
    <w:rsid w:val="00510B70"/>
    <w:rsid w:val="00512F7B"/>
    <w:rsid w:val="005145D8"/>
    <w:rsid w:val="00515534"/>
    <w:rsid w:val="00520336"/>
    <w:rsid w:val="00521D91"/>
    <w:rsid w:val="005224BB"/>
    <w:rsid w:val="0052266D"/>
    <w:rsid w:val="005238AE"/>
    <w:rsid w:val="00531D66"/>
    <w:rsid w:val="005324F8"/>
    <w:rsid w:val="00535AE0"/>
    <w:rsid w:val="005366AD"/>
    <w:rsid w:val="0053713E"/>
    <w:rsid w:val="005374C6"/>
    <w:rsid w:val="00543D74"/>
    <w:rsid w:val="00544B70"/>
    <w:rsid w:val="005453AF"/>
    <w:rsid w:val="00546455"/>
    <w:rsid w:val="0054679F"/>
    <w:rsid w:val="005469E2"/>
    <w:rsid w:val="005470F4"/>
    <w:rsid w:val="0055389D"/>
    <w:rsid w:val="0055421A"/>
    <w:rsid w:val="005545C0"/>
    <w:rsid w:val="00557960"/>
    <w:rsid w:val="005634DB"/>
    <w:rsid w:val="0056470E"/>
    <w:rsid w:val="005653A1"/>
    <w:rsid w:val="00565508"/>
    <w:rsid w:val="005660F3"/>
    <w:rsid w:val="00571FFD"/>
    <w:rsid w:val="00572331"/>
    <w:rsid w:val="005750BD"/>
    <w:rsid w:val="005819C6"/>
    <w:rsid w:val="00581BC2"/>
    <w:rsid w:val="00583837"/>
    <w:rsid w:val="00584E2C"/>
    <w:rsid w:val="005902D0"/>
    <w:rsid w:val="005904D0"/>
    <w:rsid w:val="00590692"/>
    <w:rsid w:val="00595FDE"/>
    <w:rsid w:val="00596935"/>
    <w:rsid w:val="005971FA"/>
    <w:rsid w:val="00597D8C"/>
    <w:rsid w:val="005A1ADE"/>
    <w:rsid w:val="005A5194"/>
    <w:rsid w:val="005A56C0"/>
    <w:rsid w:val="005A5BBF"/>
    <w:rsid w:val="005A631D"/>
    <w:rsid w:val="005A6847"/>
    <w:rsid w:val="005A6CC9"/>
    <w:rsid w:val="005B009D"/>
    <w:rsid w:val="005B00C5"/>
    <w:rsid w:val="005B0DBF"/>
    <w:rsid w:val="005B674F"/>
    <w:rsid w:val="005B740A"/>
    <w:rsid w:val="005C21E0"/>
    <w:rsid w:val="005C5C08"/>
    <w:rsid w:val="005C614D"/>
    <w:rsid w:val="005D321F"/>
    <w:rsid w:val="005D4D20"/>
    <w:rsid w:val="005D54A6"/>
    <w:rsid w:val="005D6444"/>
    <w:rsid w:val="005E0F61"/>
    <w:rsid w:val="005E164A"/>
    <w:rsid w:val="005E1E46"/>
    <w:rsid w:val="005E306F"/>
    <w:rsid w:val="005E31EE"/>
    <w:rsid w:val="005E45F5"/>
    <w:rsid w:val="005E5F4E"/>
    <w:rsid w:val="005E62C4"/>
    <w:rsid w:val="005F26CA"/>
    <w:rsid w:val="005F58FD"/>
    <w:rsid w:val="005F6148"/>
    <w:rsid w:val="005F7BC8"/>
    <w:rsid w:val="006005E2"/>
    <w:rsid w:val="00601192"/>
    <w:rsid w:val="00601F9D"/>
    <w:rsid w:val="00603F20"/>
    <w:rsid w:val="00607269"/>
    <w:rsid w:val="00607F06"/>
    <w:rsid w:val="00610543"/>
    <w:rsid w:val="00610B2B"/>
    <w:rsid w:val="00612128"/>
    <w:rsid w:val="00612AB9"/>
    <w:rsid w:val="00612DE1"/>
    <w:rsid w:val="006137C8"/>
    <w:rsid w:val="006176AB"/>
    <w:rsid w:val="00617E29"/>
    <w:rsid w:val="00621B83"/>
    <w:rsid w:val="00624E28"/>
    <w:rsid w:val="00625B1E"/>
    <w:rsid w:val="006349C9"/>
    <w:rsid w:val="006376FF"/>
    <w:rsid w:val="00637A50"/>
    <w:rsid w:val="00640546"/>
    <w:rsid w:val="0064068C"/>
    <w:rsid w:val="00640791"/>
    <w:rsid w:val="00643078"/>
    <w:rsid w:val="00644E9E"/>
    <w:rsid w:val="00645AB9"/>
    <w:rsid w:val="00645EC0"/>
    <w:rsid w:val="00647B4F"/>
    <w:rsid w:val="006512FE"/>
    <w:rsid w:val="006516D9"/>
    <w:rsid w:val="006539E9"/>
    <w:rsid w:val="0065465C"/>
    <w:rsid w:val="00654C0B"/>
    <w:rsid w:val="00657F53"/>
    <w:rsid w:val="006606BC"/>
    <w:rsid w:val="00660ECC"/>
    <w:rsid w:val="0066394F"/>
    <w:rsid w:val="0066587A"/>
    <w:rsid w:val="00666A84"/>
    <w:rsid w:val="00672F4A"/>
    <w:rsid w:val="006752B8"/>
    <w:rsid w:val="0067542A"/>
    <w:rsid w:val="00677462"/>
    <w:rsid w:val="00682891"/>
    <w:rsid w:val="00682CB8"/>
    <w:rsid w:val="006831E6"/>
    <w:rsid w:val="006832CB"/>
    <w:rsid w:val="00683C16"/>
    <w:rsid w:val="00686F45"/>
    <w:rsid w:val="00687528"/>
    <w:rsid w:val="00690AC5"/>
    <w:rsid w:val="00690B3F"/>
    <w:rsid w:val="006910B7"/>
    <w:rsid w:val="00695615"/>
    <w:rsid w:val="00697E7B"/>
    <w:rsid w:val="006A0065"/>
    <w:rsid w:val="006A56E0"/>
    <w:rsid w:val="006A6A85"/>
    <w:rsid w:val="006A7D79"/>
    <w:rsid w:val="006B039C"/>
    <w:rsid w:val="006B4EE6"/>
    <w:rsid w:val="006B50D6"/>
    <w:rsid w:val="006B55F6"/>
    <w:rsid w:val="006B7A88"/>
    <w:rsid w:val="006C0A1B"/>
    <w:rsid w:val="006C0C85"/>
    <w:rsid w:val="006C1DCE"/>
    <w:rsid w:val="006C2157"/>
    <w:rsid w:val="006C2FFC"/>
    <w:rsid w:val="006C3A33"/>
    <w:rsid w:val="006C3AF0"/>
    <w:rsid w:val="006C793A"/>
    <w:rsid w:val="006D0D36"/>
    <w:rsid w:val="006D3979"/>
    <w:rsid w:val="006D3A9C"/>
    <w:rsid w:val="006D5AA5"/>
    <w:rsid w:val="006D5FBF"/>
    <w:rsid w:val="006D69C2"/>
    <w:rsid w:val="006D7645"/>
    <w:rsid w:val="006D7B8D"/>
    <w:rsid w:val="006D7BA1"/>
    <w:rsid w:val="006D7F54"/>
    <w:rsid w:val="006E049C"/>
    <w:rsid w:val="006E1762"/>
    <w:rsid w:val="006E186F"/>
    <w:rsid w:val="006E4141"/>
    <w:rsid w:val="006E474A"/>
    <w:rsid w:val="006E5A80"/>
    <w:rsid w:val="006E66BD"/>
    <w:rsid w:val="006F06F1"/>
    <w:rsid w:val="006F1F1D"/>
    <w:rsid w:val="006F392A"/>
    <w:rsid w:val="006F3FF3"/>
    <w:rsid w:val="006F64F9"/>
    <w:rsid w:val="0070060D"/>
    <w:rsid w:val="00700A8F"/>
    <w:rsid w:val="00702456"/>
    <w:rsid w:val="00702CD7"/>
    <w:rsid w:val="00702CEB"/>
    <w:rsid w:val="007034FA"/>
    <w:rsid w:val="007106F9"/>
    <w:rsid w:val="00711FB6"/>
    <w:rsid w:val="007125DA"/>
    <w:rsid w:val="00712D8E"/>
    <w:rsid w:val="00713926"/>
    <w:rsid w:val="00713A99"/>
    <w:rsid w:val="0071449C"/>
    <w:rsid w:val="00716338"/>
    <w:rsid w:val="007227D2"/>
    <w:rsid w:val="00722EB4"/>
    <w:rsid w:val="007238B2"/>
    <w:rsid w:val="007254CA"/>
    <w:rsid w:val="00726CE5"/>
    <w:rsid w:val="00727FF1"/>
    <w:rsid w:val="00731D98"/>
    <w:rsid w:val="007327D2"/>
    <w:rsid w:val="00732F2A"/>
    <w:rsid w:val="00733D77"/>
    <w:rsid w:val="0073408B"/>
    <w:rsid w:val="00734639"/>
    <w:rsid w:val="00735314"/>
    <w:rsid w:val="00735963"/>
    <w:rsid w:val="007362A8"/>
    <w:rsid w:val="00737A38"/>
    <w:rsid w:val="00737E5D"/>
    <w:rsid w:val="00740888"/>
    <w:rsid w:val="00740F26"/>
    <w:rsid w:val="00744601"/>
    <w:rsid w:val="00745C34"/>
    <w:rsid w:val="00746D04"/>
    <w:rsid w:val="00752256"/>
    <w:rsid w:val="007534A0"/>
    <w:rsid w:val="007538D0"/>
    <w:rsid w:val="00753C42"/>
    <w:rsid w:val="00757849"/>
    <w:rsid w:val="00757C66"/>
    <w:rsid w:val="00757F68"/>
    <w:rsid w:val="007604DC"/>
    <w:rsid w:val="0076104F"/>
    <w:rsid w:val="007629C3"/>
    <w:rsid w:val="00762A8D"/>
    <w:rsid w:val="007634F2"/>
    <w:rsid w:val="007637A3"/>
    <w:rsid w:val="00763BCE"/>
    <w:rsid w:val="007659DD"/>
    <w:rsid w:val="00765FD1"/>
    <w:rsid w:val="00770FBE"/>
    <w:rsid w:val="00772B97"/>
    <w:rsid w:val="00773558"/>
    <w:rsid w:val="00773B21"/>
    <w:rsid w:val="007752AC"/>
    <w:rsid w:val="00775442"/>
    <w:rsid w:val="00775AA3"/>
    <w:rsid w:val="00780A24"/>
    <w:rsid w:val="00780CD6"/>
    <w:rsid w:val="00780CE2"/>
    <w:rsid w:val="00786566"/>
    <w:rsid w:val="00786BA5"/>
    <w:rsid w:val="007903EE"/>
    <w:rsid w:val="00790850"/>
    <w:rsid w:val="00794B7D"/>
    <w:rsid w:val="00795A3F"/>
    <w:rsid w:val="007A10E3"/>
    <w:rsid w:val="007A23A9"/>
    <w:rsid w:val="007A32C8"/>
    <w:rsid w:val="007A4B52"/>
    <w:rsid w:val="007A4D92"/>
    <w:rsid w:val="007A604C"/>
    <w:rsid w:val="007A6B19"/>
    <w:rsid w:val="007A7CD3"/>
    <w:rsid w:val="007B41C2"/>
    <w:rsid w:val="007B6158"/>
    <w:rsid w:val="007B620C"/>
    <w:rsid w:val="007B7C6F"/>
    <w:rsid w:val="007C339D"/>
    <w:rsid w:val="007C3476"/>
    <w:rsid w:val="007C3675"/>
    <w:rsid w:val="007C4396"/>
    <w:rsid w:val="007C5039"/>
    <w:rsid w:val="007C56C7"/>
    <w:rsid w:val="007C5CEE"/>
    <w:rsid w:val="007C6BFD"/>
    <w:rsid w:val="007C7AD2"/>
    <w:rsid w:val="007C7B35"/>
    <w:rsid w:val="007D2E79"/>
    <w:rsid w:val="007D453C"/>
    <w:rsid w:val="007D5882"/>
    <w:rsid w:val="007D75BB"/>
    <w:rsid w:val="007E0108"/>
    <w:rsid w:val="007E231E"/>
    <w:rsid w:val="007E36E9"/>
    <w:rsid w:val="007E67E3"/>
    <w:rsid w:val="007F00B8"/>
    <w:rsid w:val="007F0604"/>
    <w:rsid w:val="007F1EDE"/>
    <w:rsid w:val="007F771E"/>
    <w:rsid w:val="00801F96"/>
    <w:rsid w:val="008052BE"/>
    <w:rsid w:val="0080780F"/>
    <w:rsid w:val="00810AE0"/>
    <w:rsid w:val="00811223"/>
    <w:rsid w:val="00812077"/>
    <w:rsid w:val="00812267"/>
    <w:rsid w:val="00813D58"/>
    <w:rsid w:val="00814151"/>
    <w:rsid w:val="00814749"/>
    <w:rsid w:val="0081660F"/>
    <w:rsid w:val="00820044"/>
    <w:rsid w:val="00820589"/>
    <w:rsid w:val="00823163"/>
    <w:rsid w:val="008246D9"/>
    <w:rsid w:val="00827CA3"/>
    <w:rsid w:val="008319D5"/>
    <w:rsid w:val="00833192"/>
    <w:rsid w:val="0083363B"/>
    <w:rsid w:val="00835503"/>
    <w:rsid w:val="00837C8B"/>
    <w:rsid w:val="00840407"/>
    <w:rsid w:val="00840FBA"/>
    <w:rsid w:val="008429D1"/>
    <w:rsid w:val="00842E2E"/>
    <w:rsid w:val="00845609"/>
    <w:rsid w:val="008463B7"/>
    <w:rsid w:val="008474AF"/>
    <w:rsid w:val="00847D58"/>
    <w:rsid w:val="0085148F"/>
    <w:rsid w:val="00851CB1"/>
    <w:rsid w:val="00853BC5"/>
    <w:rsid w:val="00853F50"/>
    <w:rsid w:val="00854E06"/>
    <w:rsid w:val="00857B13"/>
    <w:rsid w:val="00857F01"/>
    <w:rsid w:val="00860D63"/>
    <w:rsid w:val="00862F81"/>
    <w:rsid w:val="00863F62"/>
    <w:rsid w:val="00865AC5"/>
    <w:rsid w:val="008667E7"/>
    <w:rsid w:val="00866C21"/>
    <w:rsid w:val="00866F27"/>
    <w:rsid w:val="00870323"/>
    <w:rsid w:val="008725A8"/>
    <w:rsid w:val="00872B37"/>
    <w:rsid w:val="008732F7"/>
    <w:rsid w:val="00873D71"/>
    <w:rsid w:val="0087434E"/>
    <w:rsid w:val="00875BE6"/>
    <w:rsid w:val="00876488"/>
    <w:rsid w:val="008800C7"/>
    <w:rsid w:val="008808D3"/>
    <w:rsid w:val="00880DA3"/>
    <w:rsid w:val="00880F42"/>
    <w:rsid w:val="008814E9"/>
    <w:rsid w:val="00882E22"/>
    <w:rsid w:val="00884941"/>
    <w:rsid w:val="00886A21"/>
    <w:rsid w:val="00886B62"/>
    <w:rsid w:val="00887BBD"/>
    <w:rsid w:val="00890D22"/>
    <w:rsid w:val="00892B4B"/>
    <w:rsid w:val="008935C9"/>
    <w:rsid w:val="00893A4D"/>
    <w:rsid w:val="00893E92"/>
    <w:rsid w:val="00895C85"/>
    <w:rsid w:val="008965A8"/>
    <w:rsid w:val="008A2217"/>
    <w:rsid w:val="008A3420"/>
    <w:rsid w:val="008A69AF"/>
    <w:rsid w:val="008A7AC4"/>
    <w:rsid w:val="008B2001"/>
    <w:rsid w:val="008B3EAF"/>
    <w:rsid w:val="008B5153"/>
    <w:rsid w:val="008B6DB1"/>
    <w:rsid w:val="008B7246"/>
    <w:rsid w:val="008B7827"/>
    <w:rsid w:val="008C18B3"/>
    <w:rsid w:val="008C204B"/>
    <w:rsid w:val="008C3F75"/>
    <w:rsid w:val="008C4615"/>
    <w:rsid w:val="008C567A"/>
    <w:rsid w:val="008D12A4"/>
    <w:rsid w:val="008D44AE"/>
    <w:rsid w:val="008D5840"/>
    <w:rsid w:val="008E019F"/>
    <w:rsid w:val="008E06D4"/>
    <w:rsid w:val="008E1C42"/>
    <w:rsid w:val="008E3307"/>
    <w:rsid w:val="008E4015"/>
    <w:rsid w:val="008E442A"/>
    <w:rsid w:val="008F15CB"/>
    <w:rsid w:val="008F1FA2"/>
    <w:rsid w:val="008F4858"/>
    <w:rsid w:val="008F4971"/>
    <w:rsid w:val="008F544B"/>
    <w:rsid w:val="008F5F60"/>
    <w:rsid w:val="008F69BE"/>
    <w:rsid w:val="008F72AC"/>
    <w:rsid w:val="00901EBE"/>
    <w:rsid w:val="009020A3"/>
    <w:rsid w:val="009031BE"/>
    <w:rsid w:val="00904195"/>
    <w:rsid w:val="009049DB"/>
    <w:rsid w:val="009059BC"/>
    <w:rsid w:val="00905E1F"/>
    <w:rsid w:val="00906341"/>
    <w:rsid w:val="009138D1"/>
    <w:rsid w:val="00913B12"/>
    <w:rsid w:val="009150E9"/>
    <w:rsid w:val="009208DA"/>
    <w:rsid w:val="00921072"/>
    <w:rsid w:val="00921C4D"/>
    <w:rsid w:val="0092250A"/>
    <w:rsid w:val="00923C4E"/>
    <w:rsid w:val="00925AE5"/>
    <w:rsid w:val="00931A90"/>
    <w:rsid w:val="00935867"/>
    <w:rsid w:val="009364DA"/>
    <w:rsid w:val="009402D3"/>
    <w:rsid w:val="009409E9"/>
    <w:rsid w:val="00940F3F"/>
    <w:rsid w:val="00941D81"/>
    <w:rsid w:val="0094249C"/>
    <w:rsid w:val="00951534"/>
    <w:rsid w:val="00952DD2"/>
    <w:rsid w:val="00953E0E"/>
    <w:rsid w:val="009542C3"/>
    <w:rsid w:val="009563C6"/>
    <w:rsid w:val="00962C7D"/>
    <w:rsid w:val="0096350B"/>
    <w:rsid w:val="0096359B"/>
    <w:rsid w:val="0096573D"/>
    <w:rsid w:val="00970745"/>
    <w:rsid w:val="00972A7D"/>
    <w:rsid w:val="00974415"/>
    <w:rsid w:val="009802E1"/>
    <w:rsid w:val="00982E85"/>
    <w:rsid w:val="009835FC"/>
    <w:rsid w:val="00985009"/>
    <w:rsid w:val="00985132"/>
    <w:rsid w:val="00986056"/>
    <w:rsid w:val="009867EF"/>
    <w:rsid w:val="009876F1"/>
    <w:rsid w:val="0099020A"/>
    <w:rsid w:val="0099284B"/>
    <w:rsid w:val="00994024"/>
    <w:rsid w:val="00994255"/>
    <w:rsid w:val="009A09D0"/>
    <w:rsid w:val="009A16A8"/>
    <w:rsid w:val="009A1BD1"/>
    <w:rsid w:val="009A4671"/>
    <w:rsid w:val="009A63B9"/>
    <w:rsid w:val="009A6ACD"/>
    <w:rsid w:val="009A733B"/>
    <w:rsid w:val="009B0AB0"/>
    <w:rsid w:val="009B0AE2"/>
    <w:rsid w:val="009B1615"/>
    <w:rsid w:val="009B2C04"/>
    <w:rsid w:val="009B4A0A"/>
    <w:rsid w:val="009B5E9A"/>
    <w:rsid w:val="009B7157"/>
    <w:rsid w:val="009B7347"/>
    <w:rsid w:val="009C051A"/>
    <w:rsid w:val="009C10AE"/>
    <w:rsid w:val="009C2278"/>
    <w:rsid w:val="009C25B7"/>
    <w:rsid w:val="009C458E"/>
    <w:rsid w:val="009C6196"/>
    <w:rsid w:val="009C709D"/>
    <w:rsid w:val="009D1502"/>
    <w:rsid w:val="009D23C3"/>
    <w:rsid w:val="009D3C0B"/>
    <w:rsid w:val="009D54F1"/>
    <w:rsid w:val="009D5E54"/>
    <w:rsid w:val="009D6648"/>
    <w:rsid w:val="009D686E"/>
    <w:rsid w:val="009E05EA"/>
    <w:rsid w:val="009E0E0E"/>
    <w:rsid w:val="009E62B7"/>
    <w:rsid w:val="009F15E2"/>
    <w:rsid w:val="009F3255"/>
    <w:rsid w:val="009F458A"/>
    <w:rsid w:val="009F6863"/>
    <w:rsid w:val="00A01076"/>
    <w:rsid w:val="00A02CB7"/>
    <w:rsid w:val="00A06D1F"/>
    <w:rsid w:val="00A07FE1"/>
    <w:rsid w:val="00A11A49"/>
    <w:rsid w:val="00A120A6"/>
    <w:rsid w:val="00A13FA9"/>
    <w:rsid w:val="00A158BC"/>
    <w:rsid w:val="00A172B9"/>
    <w:rsid w:val="00A2123C"/>
    <w:rsid w:val="00A21E6C"/>
    <w:rsid w:val="00A22976"/>
    <w:rsid w:val="00A23061"/>
    <w:rsid w:val="00A31723"/>
    <w:rsid w:val="00A31C17"/>
    <w:rsid w:val="00A348AD"/>
    <w:rsid w:val="00A36B92"/>
    <w:rsid w:val="00A412DF"/>
    <w:rsid w:val="00A41AA3"/>
    <w:rsid w:val="00A422BC"/>
    <w:rsid w:val="00A43599"/>
    <w:rsid w:val="00A45589"/>
    <w:rsid w:val="00A507BB"/>
    <w:rsid w:val="00A51DCD"/>
    <w:rsid w:val="00A53387"/>
    <w:rsid w:val="00A53984"/>
    <w:rsid w:val="00A557D8"/>
    <w:rsid w:val="00A56183"/>
    <w:rsid w:val="00A57CBF"/>
    <w:rsid w:val="00A6059A"/>
    <w:rsid w:val="00A60D8C"/>
    <w:rsid w:val="00A62281"/>
    <w:rsid w:val="00A63C77"/>
    <w:rsid w:val="00A643DD"/>
    <w:rsid w:val="00A65282"/>
    <w:rsid w:val="00A65524"/>
    <w:rsid w:val="00A67220"/>
    <w:rsid w:val="00A673DB"/>
    <w:rsid w:val="00A71539"/>
    <w:rsid w:val="00A71C3F"/>
    <w:rsid w:val="00A72A5C"/>
    <w:rsid w:val="00A73C2E"/>
    <w:rsid w:val="00A76718"/>
    <w:rsid w:val="00A82161"/>
    <w:rsid w:val="00A842E5"/>
    <w:rsid w:val="00A84E42"/>
    <w:rsid w:val="00A8694C"/>
    <w:rsid w:val="00A91CAC"/>
    <w:rsid w:val="00A91D6C"/>
    <w:rsid w:val="00A928FA"/>
    <w:rsid w:val="00A93BEF"/>
    <w:rsid w:val="00A95411"/>
    <w:rsid w:val="00A96BDF"/>
    <w:rsid w:val="00A977D8"/>
    <w:rsid w:val="00A97D33"/>
    <w:rsid w:val="00AA1D4E"/>
    <w:rsid w:val="00AB500B"/>
    <w:rsid w:val="00AB58C3"/>
    <w:rsid w:val="00AC1FB4"/>
    <w:rsid w:val="00AC3383"/>
    <w:rsid w:val="00AC355B"/>
    <w:rsid w:val="00AC4672"/>
    <w:rsid w:val="00AC4E80"/>
    <w:rsid w:val="00AC5451"/>
    <w:rsid w:val="00AC5866"/>
    <w:rsid w:val="00AC6AD7"/>
    <w:rsid w:val="00AD00B6"/>
    <w:rsid w:val="00AD3AF1"/>
    <w:rsid w:val="00AE39F5"/>
    <w:rsid w:val="00AE3AC8"/>
    <w:rsid w:val="00AE45F6"/>
    <w:rsid w:val="00AF1696"/>
    <w:rsid w:val="00AF2262"/>
    <w:rsid w:val="00AF259B"/>
    <w:rsid w:val="00AF27C8"/>
    <w:rsid w:val="00AF4BE0"/>
    <w:rsid w:val="00AF59F6"/>
    <w:rsid w:val="00AF7623"/>
    <w:rsid w:val="00B009FA"/>
    <w:rsid w:val="00B01206"/>
    <w:rsid w:val="00B01DB8"/>
    <w:rsid w:val="00B02BD8"/>
    <w:rsid w:val="00B04756"/>
    <w:rsid w:val="00B05171"/>
    <w:rsid w:val="00B05DE9"/>
    <w:rsid w:val="00B11398"/>
    <w:rsid w:val="00B11D9F"/>
    <w:rsid w:val="00B120B1"/>
    <w:rsid w:val="00B13062"/>
    <w:rsid w:val="00B17BBA"/>
    <w:rsid w:val="00B20716"/>
    <w:rsid w:val="00B20C76"/>
    <w:rsid w:val="00B2378A"/>
    <w:rsid w:val="00B24B37"/>
    <w:rsid w:val="00B25268"/>
    <w:rsid w:val="00B276B5"/>
    <w:rsid w:val="00B316BB"/>
    <w:rsid w:val="00B31CF5"/>
    <w:rsid w:val="00B337ED"/>
    <w:rsid w:val="00B352CC"/>
    <w:rsid w:val="00B35DAD"/>
    <w:rsid w:val="00B35F59"/>
    <w:rsid w:val="00B4085D"/>
    <w:rsid w:val="00B41DA0"/>
    <w:rsid w:val="00B42A91"/>
    <w:rsid w:val="00B4589C"/>
    <w:rsid w:val="00B46E28"/>
    <w:rsid w:val="00B50B93"/>
    <w:rsid w:val="00B53201"/>
    <w:rsid w:val="00B53366"/>
    <w:rsid w:val="00B54710"/>
    <w:rsid w:val="00B54BAA"/>
    <w:rsid w:val="00B54BDD"/>
    <w:rsid w:val="00B56613"/>
    <w:rsid w:val="00B56B90"/>
    <w:rsid w:val="00B574FE"/>
    <w:rsid w:val="00B6168B"/>
    <w:rsid w:val="00B637B6"/>
    <w:rsid w:val="00B74321"/>
    <w:rsid w:val="00B74B43"/>
    <w:rsid w:val="00B80396"/>
    <w:rsid w:val="00B80EE1"/>
    <w:rsid w:val="00B81B61"/>
    <w:rsid w:val="00B83ED1"/>
    <w:rsid w:val="00B92A27"/>
    <w:rsid w:val="00B958B2"/>
    <w:rsid w:val="00BA0CA5"/>
    <w:rsid w:val="00BA11D2"/>
    <w:rsid w:val="00BA1230"/>
    <w:rsid w:val="00BA426B"/>
    <w:rsid w:val="00BA7078"/>
    <w:rsid w:val="00BB03D6"/>
    <w:rsid w:val="00BB49FD"/>
    <w:rsid w:val="00BB559C"/>
    <w:rsid w:val="00BB6466"/>
    <w:rsid w:val="00BC360E"/>
    <w:rsid w:val="00BC4D31"/>
    <w:rsid w:val="00BC6AA8"/>
    <w:rsid w:val="00BD207F"/>
    <w:rsid w:val="00BD28C8"/>
    <w:rsid w:val="00BD31C4"/>
    <w:rsid w:val="00BD42A2"/>
    <w:rsid w:val="00BE3CB4"/>
    <w:rsid w:val="00BE4BD0"/>
    <w:rsid w:val="00BE70FC"/>
    <w:rsid w:val="00BF132B"/>
    <w:rsid w:val="00BF259D"/>
    <w:rsid w:val="00BF3312"/>
    <w:rsid w:val="00BF34F7"/>
    <w:rsid w:val="00BF366C"/>
    <w:rsid w:val="00BF6728"/>
    <w:rsid w:val="00BF7368"/>
    <w:rsid w:val="00C03CC2"/>
    <w:rsid w:val="00C051A6"/>
    <w:rsid w:val="00C0618C"/>
    <w:rsid w:val="00C0791F"/>
    <w:rsid w:val="00C07AF5"/>
    <w:rsid w:val="00C10617"/>
    <w:rsid w:val="00C12580"/>
    <w:rsid w:val="00C129D2"/>
    <w:rsid w:val="00C13AE2"/>
    <w:rsid w:val="00C13C6A"/>
    <w:rsid w:val="00C16811"/>
    <w:rsid w:val="00C16D6C"/>
    <w:rsid w:val="00C176B9"/>
    <w:rsid w:val="00C17A0E"/>
    <w:rsid w:val="00C21212"/>
    <w:rsid w:val="00C212A2"/>
    <w:rsid w:val="00C214D6"/>
    <w:rsid w:val="00C24407"/>
    <w:rsid w:val="00C26555"/>
    <w:rsid w:val="00C2684E"/>
    <w:rsid w:val="00C31284"/>
    <w:rsid w:val="00C333F6"/>
    <w:rsid w:val="00C33C6B"/>
    <w:rsid w:val="00C3493E"/>
    <w:rsid w:val="00C349FB"/>
    <w:rsid w:val="00C352F7"/>
    <w:rsid w:val="00C35566"/>
    <w:rsid w:val="00C40CA4"/>
    <w:rsid w:val="00C44230"/>
    <w:rsid w:val="00C446CD"/>
    <w:rsid w:val="00C46E20"/>
    <w:rsid w:val="00C47F87"/>
    <w:rsid w:val="00C512A5"/>
    <w:rsid w:val="00C537BC"/>
    <w:rsid w:val="00C56236"/>
    <w:rsid w:val="00C565BE"/>
    <w:rsid w:val="00C56899"/>
    <w:rsid w:val="00C57644"/>
    <w:rsid w:val="00C57811"/>
    <w:rsid w:val="00C608C0"/>
    <w:rsid w:val="00C61300"/>
    <w:rsid w:val="00C618C8"/>
    <w:rsid w:val="00C61B6F"/>
    <w:rsid w:val="00C62C9D"/>
    <w:rsid w:val="00C645B1"/>
    <w:rsid w:val="00C6488A"/>
    <w:rsid w:val="00C7010F"/>
    <w:rsid w:val="00C71E17"/>
    <w:rsid w:val="00C727E6"/>
    <w:rsid w:val="00C73B29"/>
    <w:rsid w:val="00C74113"/>
    <w:rsid w:val="00C7423F"/>
    <w:rsid w:val="00C74459"/>
    <w:rsid w:val="00C753B3"/>
    <w:rsid w:val="00C76DCC"/>
    <w:rsid w:val="00C80F72"/>
    <w:rsid w:val="00C82912"/>
    <w:rsid w:val="00C84522"/>
    <w:rsid w:val="00C84B17"/>
    <w:rsid w:val="00C85B82"/>
    <w:rsid w:val="00C86D4A"/>
    <w:rsid w:val="00C910D0"/>
    <w:rsid w:val="00C9200B"/>
    <w:rsid w:val="00C94D96"/>
    <w:rsid w:val="00C96775"/>
    <w:rsid w:val="00C97C09"/>
    <w:rsid w:val="00CA2218"/>
    <w:rsid w:val="00CB4C45"/>
    <w:rsid w:val="00CC0359"/>
    <w:rsid w:val="00CC068F"/>
    <w:rsid w:val="00CC099B"/>
    <w:rsid w:val="00CC17C4"/>
    <w:rsid w:val="00CC2F39"/>
    <w:rsid w:val="00CC3889"/>
    <w:rsid w:val="00CC569B"/>
    <w:rsid w:val="00CC6FAC"/>
    <w:rsid w:val="00CD0912"/>
    <w:rsid w:val="00CD09F8"/>
    <w:rsid w:val="00CD0AC9"/>
    <w:rsid w:val="00CD1AF4"/>
    <w:rsid w:val="00CD43FE"/>
    <w:rsid w:val="00CD452E"/>
    <w:rsid w:val="00CD5F95"/>
    <w:rsid w:val="00CE05B4"/>
    <w:rsid w:val="00CE0E9D"/>
    <w:rsid w:val="00CE1CAC"/>
    <w:rsid w:val="00CE3A99"/>
    <w:rsid w:val="00CE49D4"/>
    <w:rsid w:val="00CE5ABE"/>
    <w:rsid w:val="00CF05FD"/>
    <w:rsid w:val="00CF29E2"/>
    <w:rsid w:val="00CF73CA"/>
    <w:rsid w:val="00CF7704"/>
    <w:rsid w:val="00D01913"/>
    <w:rsid w:val="00D01CF2"/>
    <w:rsid w:val="00D05149"/>
    <w:rsid w:val="00D070CB"/>
    <w:rsid w:val="00D10865"/>
    <w:rsid w:val="00D108A7"/>
    <w:rsid w:val="00D12680"/>
    <w:rsid w:val="00D13F27"/>
    <w:rsid w:val="00D152B9"/>
    <w:rsid w:val="00D15683"/>
    <w:rsid w:val="00D16138"/>
    <w:rsid w:val="00D2046C"/>
    <w:rsid w:val="00D21CEC"/>
    <w:rsid w:val="00D23B78"/>
    <w:rsid w:val="00D25149"/>
    <w:rsid w:val="00D2659A"/>
    <w:rsid w:val="00D303A0"/>
    <w:rsid w:val="00D3187F"/>
    <w:rsid w:val="00D318DC"/>
    <w:rsid w:val="00D319E0"/>
    <w:rsid w:val="00D31CB6"/>
    <w:rsid w:val="00D32B48"/>
    <w:rsid w:val="00D33802"/>
    <w:rsid w:val="00D3415C"/>
    <w:rsid w:val="00D3695C"/>
    <w:rsid w:val="00D40F9F"/>
    <w:rsid w:val="00D41033"/>
    <w:rsid w:val="00D41C04"/>
    <w:rsid w:val="00D430D9"/>
    <w:rsid w:val="00D4676D"/>
    <w:rsid w:val="00D46AC9"/>
    <w:rsid w:val="00D477A0"/>
    <w:rsid w:val="00D47DEA"/>
    <w:rsid w:val="00D47E11"/>
    <w:rsid w:val="00D503D8"/>
    <w:rsid w:val="00D51ADD"/>
    <w:rsid w:val="00D5237D"/>
    <w:rsid w:val="00D52B51"/>
    <w:rsid w:val="00D56F88"/>
    <w:rsid w:val="00D57651"/>
    <w:rsid w:val="00D57858"/>
    <w:rsid w:val="00D57C87"/>
    <w:rsid w:val="00D60989"/>
    <w:rsid w:val="00D6167D"/>
    <w:rsid w:val="00D619CC"/>
    <w:rsid w:val="00D63311"/>
    <w:rsid w:val="00D648C8"/>
    <w:rsid w:val="00D65381"/>
    <w:rsid w:val="00D653CE"/>
    <w:rsid w:val="00D65688"/>
    <w:rsid w:val="00D667F7"/>
    <w:rsid w:val="00D66FD1"/>
    <w:rsid w:val="00D679D4"/>
    <w:rsid w:val="00D67D96"/>
    <w:rsid w:val="00D7167D"/>
    <w:rsid w:val="00D72344"/>
    <w:rsid w:val="00D727BC"/>
    <w:rsid w:val="00D72D42"/>
    <w:rsid w:val="00D73432"/>
    <w:rsid w:val="00D7490F"/>
    <w:rsid w:val="00D74B23"/>
    <w:rsid w:val="00D8186E"/>
    <w:rsid w:val="00D82C08"/>
    <w:rsid w:val="00D85160"/>
    <w:rsid w:val="00D8586B"/>
    <w:rsid w:val="00D86A3E"/>
    <w:rsid w:val="00D87D5A"/>
    <w:rsid w:val="00D92950"/>
    <w:rsid w:val="00D92A18"/>
    <w:rsid w:val="00D940EC"/>
    <w:rsid w:val="00D94F8D"/>
    <w:rsid w:val="00D954F2"/>
    <w:rsid w:val="00D964DC"/>
    <w:rsid w:val="00D97DE3"/>
    <w:rsid w:val="00DA176A"/>
    <w:rsid w:val="00DA17BB"/>
    <w:rsid w:val="00DA22BB"/>
    <w:rsid w:val="00DA2EF9"/>
    <w:rsid w:val="00DA3F18"/>
    <w:rsid w:val="00DA410C"/>
    <w:rsid w:val="00DA4BE5"/>
    <w:rsid w:val="00DA56D1"/>
    <w:rsid w:val="00DA5B21"/>
    <w:rsid w:val="00DA5B99"/>
    <w:rsid w:val="00DB18B9"/>
    <w:rsid w:val="00DB262E"/>
    <w:rsid w:val="00DB2B52"/>
    <w:rsid w:val="00DB3C63"/>
    <w:rsid w:val="00DB599D"/>
    <w:rsid w:val="00DB5B28"/>
    <w:rsid w:val="00DB7F3B"/>
    <w:rsid w:val="00DC0025"/>
    <w:rsid w:val="00DC15EE"/>
    <w:rsid w:val="00DC2CB3"/>
    <w:rsid w:val="00DC32F4"/>
    <w:rsid w:val="00DC4CDD"/>
    <w:rsid w:val="00DC4EE7"/>
    <w:rsid w:val="00DC50F6"/>
    <w:rsid w:val="00DC67E8"/>
    <w:rsid w:val="00DD14EC"/>
    <w:rsid w:val="00DD4820"/>
    <w:rsid w:val="00DE24DA"/>
    <w:rsid w:val="00DE37E5"/>
    <w:rsid w:val="00DE3ABB"/>
    <w:rsid w:val="00DE43A1"/>
    <w:rsid w:val="00DE4D7C"/>
    <w:rsid w:val="00DE7C7E"/>
    <w:rsid w:val="00DE7E9F"/>
    <w:rsid w:val="00DF014B"/>
    <w:rsid w:val="00DF06E7"/>
    <w:rsid w:val="00DF0848"/>
    <w:rsid w:val="00DF4E62"/>
    <w:rsid w:val="00DF62A4"/>
    <w:rsid w:val="00DF7479"/>
    <w:rsid w:val="00DF7E32"/>
    <w:rsid w:val="00E01A88"/>
    <w:rsid w:val="00E02920"/>
    <w:rsid w:val="00E033A7"/>
    <w:rsid w:val="00E03D40"/>
    <w:rsid w:val="00E05698"/>
    <w:rsid w:val="00E1314B"/>
    <w:rsid w:val="00E14B45"/>
    <w:rsid w:val="00E169B0"/>
    <w:rsid w:val="00E21D9D"/>
    <w:rsid w:val="00E22773"/>
    <w:rsid w:val="00E24574"/>
    <w:rsid w:val="00E252F0"/>
    <w:rsid w:val="00E26038"/>
    <w:rsid w:val="00E26A89"/>
    <w:rsid w:val="00E27C9D"/>
    <w:rsid w:val="00E307EF"/>
    <w:rsid w:val="00E3180A"/>
    <w:rsid w:val="00E31BDE"/>
    <w:rsid w:val="00E402AA"/>
    <w:rsid w:val="00E42554"/>
    <w:rsid w:val="00E441DA"/>
    <w:rsid w:val="00E45571"/>
    <w:rsid w:val="00E45894"/>
    <w:rsid w:val="00E46571"/>
    <w:rsid w:val="00E5062F"/>
    <w:rsid w:val="00E509C7"/>
    <w:rsid w:val="00E51307"/>
    <w:rsid w:val="00E51BBF"/>
    <w:rsid w:val="00E532E9"/>
    <w:rsid w:val="00E542CB"/>
    <w:rsid w:val="00E5640C"/>
    <w:rsid w:val="00E6012A"/>
    <w:rsid w:val="00E623EC"/>
    <w:rsid w:val="00E64F68"/>
    <w:rsid w:val="00E65717"/>
    <w:rsid w:val="00E65E16"/>
    <w:rsid w:val="00E666F8"/>
    <w:rsid w:val="00E66946"/>
    <w:rsid w:val="00E6724D"/>
    <w:rsid w:val="00E70DB4"/>
    <w:rsid w:val="00E74134"/>
    <w:rsid w:val="00E74FA3"/>
    <w:rsid w:val="00E763FF"/>
    <w:rsid w:val="00E77806"/>
    <w:rsid w:val="00E778B8"/>
    <w:rsid w:val="00E80565"/>
    <w:rsid w:val="00E80968"/>
    <w:rsid w:val="00E812A8"/>
    <w:rsid w:val="00E8130B"/>
    <w:rsid w:val="00E84AD0"/>
    <w:rsid w:val="00E86FD6"/>
    <w:rsid w:val="00E871D0"/>
    <w:rsid w:val="00E87769"/>
    <w:rsid w:val="00E87AD0"/>
    <w:rsid w:val="00E96DF3"/>
    <w:rsid w:val="00E97BCE"/>
    <w:rsid w:val="00EA01B2"/>
    <w:rsid w:val="00EA0BBA"/>
    <w:rsid w:val="00EA0FA0"/>
    <w:rsid w:val="00EA15AF"/>
    <w:rsid w:val="00EA15D6"/>
    <w:rsid w:val="00EA21F0"/>
    <w:rsid w:val="00EA255D"/>
    <w:rsid w:val="00EA79AC"/>
    <w:rsid w:val="00EA7CDF"/>
    <w:rsid w:val="00EB0AF1"/>
    <w:rsid w:val="00EB297F"/>
    <w:rsid w:val="00EB442F"/>
    <w:rsid w:val="00EB7CED"/>
    <w:rsid w:val="00EC1C99"/>
    <w:rsid w:val="00EC1E36"/>
    <w:rsid w:val="00EC3E01"/>
    <w:rsid w:val="00EC4A74"/>
    <w:rsid w:val="00EC4C26"/>
    <w:rsid w:val="00EC5D73"/>
    <w:rsid w:val="00ED2CF8"/>
    <w:rsid w:val="00ED414D"/>
    <w:rsid w:val="00EE3BF0"/>
    <w:rsid w:val="00EE47F8"/>
    <w:rsid w:val="00EF0547"/>
    <w:rsid w:val="00EF17FB"/>
    <w:rsid w:val="00EF1FBA"/>
    <w:rsid w:val="00EF20A4"/>
    <w:rsid w:val="00EF5024"/>
    <w:rsid w:val="00EF5732"/>
    <w:rsid w:val="00EF5C46"/>
    <w:rsid w:val="00EF5DBC"/>
    <w:rsid w:val="00F0114B"/>
    <w:rsid w:val="00F011A4"/>
    <w:rsid w:val="00F02CA3"/>
    <w:rsid w:val="00F02F0A"/>
    <w:rsid w:val="00F047D2"/>
    <w:rsid w:val="00F0543C"/>
    <w:rsid w:val="00F1228D"/>
    <w:rsid w:val="00F12503"/>
    <w:rsid w:val="00F12E1F"/>
    <w:rsid w:val="00F14DA4"/>
    <w:rsid w:val="00F20B64"/>
    <w:rsid w:val="00F32AC9"/>
    <w:rsid w:val="00F32F65"/>
    <w:rsid w:val="00F3352F"/>
    <w:rsid w:val="00F33892"/>
    <w:rsid w:val="00F3675A"/>
    <w:rsid w:val="00F3763A"/>
    <w:rsid w:val="00F42113"/>
    <w:rsid w:val="00F42B46"/>
    <w:rsid w:val="00F43724"/>
    <w:rsid w:val="00F4401B"/>
    <w:rsid w:val="00F44140"/>
    <w:rsid w:val="00F44607"/>
    <w:rsid w:val="00F45548"/>
    <w:rsid w:val="00F46C51"/>
    <w:rsid w:val="00F46C90"/>
    <w:rsid w:val="00F47137"/>
    <w:rsid w:val="00F516EF"/>
    <w:rsid w:val="00F52FEA"/>
    <w:rsid w:val="00F5335C"/>
    <w:rsid w:val="00F536F7"/>
    <w:rsid w:val="00F547CC"/>
    <w:rsid w:val="00F5753B"/>
    <w:rsid w:val="00F57949"/>
    <w:rsid w:val="00F60B39"/>
    <w:rsid w:val="00F62795"/>
    <w:rsid w:val="00F63D64"/>
    <w:rsid w:val="00F641E4"/>
    <w:rsid w:val="00F656FE"/>
    <w:rsid w:val="00F67153"/>
    <w:rsid w:val="00F7220C"/>
    <w:rsid w:val="00F7298B"/>
    <w:rsid w:val="00F76ADA"/>
    <w:rsid w:val="00F778CE"/>
    <w:rsid w:val="00F800B8"/>
    <w:rsid w:val="00F83E68"/>
    <w:rsid w:val="00F85690"/>
    <w:rsid w:val="00F860D9"/>
    <w:rsid w:val="00F86E86"/>
    <w:rsid w:val="00F90536"/>
    <w:rsid w:val="00F91D84"/>
    <w:rsid w:val="00F9338B"/>
    <w:rsid w:val="00F973FC"/>
    <w:rsid w:val="00F97931"/>
    <w:rsid w:val="00FA0B14"/>
    <w:rsid w:val="00FA26E7"/>
    <w:rsid w:val="00FA3A69"/>
    <w:rsid w:val="00FA6670"/>
    <w:rsid w:val="00FA674F"/>
    <w:rsid w:val="00FA7358"/>
    <w:rsid w:val="00FA7554"/>
    <w:rsid w:val="00FB0252"/>
    <w:rsid w:val="00FB11F5"/>
    <w:rsid w:val="00FB3116"/>
    <w:rsid w:val="00FB324D"/>
    <w:rsid w:val="00FB3F75"/>
    <w:rsid w:val="00FB7A15"/>
    <w:rsid w:val="00FC0276"/>
    <w:rsid w:val="00FC03B3"/>
    <w:rsid w:val="00FC280B"/>
    <w:rsid w:val="00FC657F"/>
    <w:rsid w:val="00FC7F72"/>
    <w:rsid w:val="00FD2FC4"/>
    <w:rsid w:val="00FD4C42"/>
    <w:rsid w:val="00FD5427"/>
    <w:rsid w:val="00FD731F"/>
    <w:rsid w:val="00FD73C9"/>
    <w:rsid w:val="00FE04A8"/>
    <w:rsid w:val="00FE11B5"/>
    <w:rsid w:val="00FE1208"/>
    <w:rsid w:val="00FE6661"/>
    <w:rsid w:val="00FE72C4"/>
    <w:rsid w:val="00FF25CA"/>
    <w:rsid w:val="00FF4C71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0837B"/>
  <w15:docId w15:val="{F3102560-39D5-4613-8BC5-46C4173B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5634DB"/>
    <w:pPr>
      <w:spacing w:line="300" w:lineRule="exact"/>
      <w:jc w:val="both"/>
    </w:pPr>
    <w:rPr>
      <w:rFonts w:ascii="Arial" w:hAnsi="Arial"/>
      <w:color w:val="000000"/>
      <w:sz w:val="22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10583C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23513"/>
    <w:pPr>
      <w:jc w:val="both"/>
    </w:pPr>
    <w:rPr>
      <w:rFonts w:ascii="Arial" w:hAnsi="Arial"/>
      <w:noProof/>
      <w:color w:val="000000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09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9D0"/>
    <w:rPr>
      <w:rFonts w:ascii="Arial" w:hAnsi="Arial"/>
      <w:color w:val="000000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09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9D0"/>
    <w:rPr>
      <w:rFonts w:ascii="Arial" w:hAnsi="Arial"/>
      <w:color w:val="000000"/>
      <w:sz w:val="2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1D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8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8B2"/>
    <w:rPr>
      <w:rFonts w:ascii="Segoe UI" w:hAnsi="Segoe UI" w:cs="Segoe UI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70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0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006"/>
    <w:rPr>
      <w:rFonts w:ascii="Arial" w:hAnsi="Arial"/>
      <w:color w:val="00000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0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006"/>
    <w:rPr>
      <w:rFonts w:ascii="Arial" w:hAnsi="Arial"/>
      <w:b/>
      <w:bCs/>
      <w:color w:val="000000"/>
      <w:lang w:eastAsia="cs-CZ"/>
    </w:rPr>
  </w:style>
  <w:style w:type="paragraph" w:styleId="Revize">
    <w:name w:val="Revision"/>
    <w:hidden/>
    <w:uiPriority w:val="99"/>
    <w:semiHidden/>
    <w:rsid w:val="002C7006"/>
    <w:rPr>
      <w:rFonts w:ascii="Arial" w:hAnsi="Arial"/>
      <w:color w:val="000000"/>
      <w:sz w:val="2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583C"/>
    <w:rPr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58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AF16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6E474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locked/>
    <w:rsid w:val="00B92A27"/>
    <w:rPr>
      <w:rFonts w:ascii="Arial" w:hAnsi="Arial"/>
      <w:noProof/>
      <w:color w:val="000000"/>
      <w:sz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6406C-1283-4F63-BA01-EF3BBAB2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1952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(MPSV)</dc:creator>
  <cp:lastModifiedBy>Přib Jan JUDr., CSc. (MPSV)</cp:lastModifiedBy>
  <cp:revision>3</cp:revision>
  <cp:lastPrinted>2023-03-29T12:14:00Z</cp:lastPrinted>
  <dcterms:created xsi:type="dcterms:W3CDTF">2023-04-17T11:21:00Z</dcterms:created>
  <dcterms:modified xsi:type="dcterms:W3CDTF">2023-04-17T11:21:00Z</dcterms:modified>
</cp:coreProperties>
</file>