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BF88F" w14:textId="3DF838AB" w:rsidR="004A55DB" w:rsidRPr="007422C6" w:rsidRDefault="00BA1975" w:rsidP="00BA1975">
      <w:pPr>
        <w:pStyle w:val="Normln-tun"/>
        <w:jc w:val="right"/>
      </w:pPr>
      <w:bookmarkStart w:id="0" w:name="_Toc237322671"/>
      <w:r w:rsidRPr="007422C6">
        <w:t>V.</w:t>
      </w:r>
    </w:p>
    <w:p w14:paraId="4100A50E" w14:textId="77777777" w:rsidR="005309DC" w:rsidRDefault="005309DC" w:rsidP="00FA6A09">
      <w:pPr>
        <w:pStyle w:val="Normln-tun"/>
        <w:jc w:val="center"/>
        <w:rPr>
          <w:b/>
          <w:smallCaps/>
          <w:sz w:val="40"/>
          <w:szCs w:val="40"/>
        </w:rPr>
      </w:pPr>
    </w:p>
    <w:p w14:paraId="5ABFBA05" w14:textId="77777777" w:rsidR="008953B5" w:rsidRDefault="008953B5" w:rsidP="00D46E2A">
      <w:pPr>
        <w:pStyle w:val="Normln-tun"/>
        <w:jc w:val="center"/>
        <w:rPr>
          <w:b/>
          <w:smallCaps/>
          <w:sz w:val="40"/>
          <w:szCs w:val="40"/>
        </w:rPr>
      </w:pPr>
    </w:p>
    <w:p w14:paraId="0B36A933" w14:textId="77777777" w:rsidR="008953B5" w:rsidRDefault="008953B5" w:rsidP="00D46E2A">
      <w:pPr>
        <w:pStyle w:val="Normln-tun"/>
        <w:jc w:val="center"/>
        <w:rPr>
          <w:b/>
          <w:smallCaps/>
          <w:sz w:val="40"/>
          <w:szCs w:val="40"/>
        </w:rPr>
      </w:pPr>
    </w:p>
    <w:p w14:paraId="38588835" w14:textId="77777777" w:rsidR="008953B5" w:rsidRDefault="008953B5" w:rsidP="00D46E2A">
      <w:pPr>
        <w:pStyle w:val="Normln-tun"/>
        <w:jc w:val="center"/>
        <w:rPr>
          <w:b/>
          <w:smallCaps/>
          <w:sz w:val="40"/>
          <w:szCs w:val="40"/>
        </w:rPr>
      </w:pPr>
    </w:p>
    <w:p w14:paraId="0CD8D8F8" w14:textId="77777777" w:rsidR="008953B5" w:rsidRDefault="008953B5" w:rsidP="00D46E2A">
      <w:pPr>
        <w:pStyle w:val="Normln-tun"/>
        <w:jc w:val="center"/>
        <w:rPr>
          <w:b/>
          <w:smallCaps/>
          <w:sz w:val="40"/>
          <w:szCs w:val="40"/>
        </w:rPr>
      </w:pPr>
    </w:p>
    <w:p w14:paraId="1BA454AB" w14:textId="77777777" w:rsidR="00B0094F" w:rsidRDefault="00B0094F" w:rsidP="00D46E2A">
      <w:pPr>
        <w:pStyle w:val="Normln-tun"/>
        <w:jc w:val="center"/>
        <w:rPr>
          <w:b/>
          <w:smallCaps/>
          <w:sz w:val="40"/>
          <w:szCs w:val="40"/>
        </w:rPr>
      </w:pPr>
    </w:p>
    <w:p w14:paraId="5CC1BF5A" w14:textId="77777777" w:rsidR="00B0094F" w:rsidRDefault="00B0094F" w:rsidP="00D46E2A">
      <w:pPr>
        <w:pStyle w:val="Normln-tun"/>
        <w:jc w:val="center"/>
        <w:rPr>
          <w:b/>
          <w:smallCaps/>
          <w:sz w:val="40"/>
          <w:szCs w:val="40"/>
        </w:rPr>
      </w:pPr>
    </w:p>
    <w:p w14:paraId="4EF3EDED" w14:textId="0B41017C" w:rsidR="00B933A0" w:rsidRPr="00795817" w:rsidRDefault="004A55DB" w:rsidP="00D46E2A">
      <w:pPr>
        <w:pStyle w:val="Normln-tun"/>
        <w:jc w:val="center"/>
        <w:rPr>
          <w:b/>
          <w:smallCaps/>
          <w:sz w:val="40"/>
          <w:szCs w:val="40"/>
        </w:rPr>
      </w:pPr>
      <w:r w:rsidRPr="00795817">
        <w:rPr>
          <w:b/>
          <w:smallCaps/>
          <w:sz w:val="40"/>
          <w:szCs w:val="40"/>
        </w:rPr>
        <w:t>Hodnocení dopad</w:t>
      </w:r>
      <w:r w:rsidR="00A27E85">
        <w:rPr>
          <w:b/>
          <w:smallCaps/>
          <w:sz w:val="40"/>
          <w:szCs w:val="40"/>
        </w:rPr>
        <w:t>ů</w:t>
      </w:r>
      <w:r w:rsidRPr="00795817">
        <w:rPr>
          <w:b/>
          <w:smallCaps/>
          <w:sz w:val="40"/>
          <w:szCs w:val="40"/>
        </w:rPr>
        <w:t xml:space="preserve"> regulace (RIA) k</w:t>
      </w:r>
      <w:r w:rsidR="00AD74E8">
        <w:rPr>
          <w:b/>
          <w:smallCaps/>
          <w:sz w:val="40"/>
          <w:szCs w:val="40"/>
        </w:rPr>
        <w:t> </w:t>
      </w:r>
      <w:r w:rsidR="00AF3391">
        <w:rPr>
          <w:b/>
          <w:smallCaps/>
          <w:sz w:val="40"/>
          <w:szCs w:val="40"/>
        </w:rPr>
        <w:t>návrhu</w:t>
      </w:r>
      <w:r w:rsidR="00FA6A09">
        <w:rPr>
          <w:b/>
          <w:smallCaps/>
          <w:sz w:val="40"/>
          <w:szCs w:val="40"/>
        </w:rPr>
        <w:t xml:space="preserve"> </w:t>
      </w:r>
      <w:r w:rsidR="004B0591">
        <w:rPr>
          <w:b/>
          <w:smallCaps/>
          <w:sz w:val="40"/>
          <w:szCs w:val="40"/>
        </w:rPr>
        <w:t xml:space="preserve">zákona, </w:t>
      </w:r>
      <w:bookmarkStart w:id="1" w:name="_GoBack"/>
      <w:bookmarkEnd w:id="1"/>
      <w:r w:rsidR="004B0591" w:rsidRPr="004B0591">
        <w:rPr>
          <w:b/>
          <w:smallCaps/>
          <w:sz w:val="40"/>
          <w:szCs w:val="40"/>
        </w:rPr>
        <w:t>kterým se mění zákon č. 283/2021 Sb., stavební zákon, a některé další související zákony</w:t>
      </w:r>
    </w:p>
    <w:p w14:paraId="74641315" w14:textId="77777777" w:rsidR="00460FDC" w:rsidRPr="00795817" w:rsidRDefault="00460FDC" w:rsidP="002357D7">
      <w:pPr>
        <w:widowControl w:val="0"/>
        <w:rPr>
          <w:rFonts w:ascii="Cambria" w:eastAsia="Times New Roman" w:hAnsi="Cambria"/>
          <w:b/>
          <w:bCs/>
          <w:color w:val="B6B002"/>
          <w:sz w:val="28"/>
          <w:szCs w:val="28"/>
        </w:rPr>
      </w:pPr>
    </w:p>
    <w:p w14:paraId="5DB31962" w14:textId="0FFE2E3B" w:rsidR="00765532" w:rsidRDefault="00765532">
      <w:pPr>
        <w:spacing w:before="0" w:after="0"/>
        <w:jc w:val="left"/>
        <w:rPr>
          <w:rFonts w:ascii="Cambria" w:eastAsia="Times New Roman" w:hAnsi="Cambria"/>
          <w:b/>
          <w:bCs/>
          <w:color w:val="B6B002"/>
          <w:sz w:val="28"/>
          <w:szCs w:val="28"/>
        </w:rPr>
      </w:pPr>
    </w:p>
    <w:p w14:paraId="25403D3D" w14:textId="2C7A22A8" w:rsidR="005309DC" w:rsidRDefault="005309DC">
      <w:pPr>
        <w:spacing w:before="0" w:after="0"/>
        <w:jc w:val="left"/>
        <w:rPr>
          <w:rFonts w:ascii="Cambria" w:eastAsia="Times New Roman" w:hAnsi="Cambria"/>
          <w:b/>
          <w:bCs/>
          <w:color w:val="B6B002"/>
          <w:sz w:val="28"/>
          <w:szCs w:val="28"/>
        </w:rPr>
      </w:pPr>
    </w:p>
    <w:p w14:paraId="6490442C" w14:textId="77777777" w:rsidR="005309DC" w:rsidRPr="00795817" w:rsidRDefault="005309DC">
      <w:pPr>
        <w:spacing w:before="0" w:after="0"/>
        <w:jc w:val="left"/>
        <w:rPr>
          <w:rFonts w:ascii="Cambria" w:eastAsia="Times New Roman" w:hAnsi="Cambria"/>
          <w:b/>
          <w:bCs/>
          <w:color w:val="B6B002"/>
          <w:sz w:val="28"/>
          <w:szCs w:val="28"/>
        </w:rPr>
      </w:pPr>
    </w:p>
    <w:p w14:paraId="3AE1A3D6" w14:textId="77777777" w:rsidR="00765532" w:rsidRPr="00795817" w:rsidRDefault="00765532">
      <w:pPr>
        <w:spacing w:before="0" w:after="0"/>
        <w:jc w:val="left"/>
        <w:rPr>
          <w:rFonts w:ascii="Cambria" w:eastAsia="Times New Roman" w:hAnsi="Cambria"/>
          <w:b/>
          <w:bCs/>
          <w:color w:val="B6B002"/>
          <w:sz w:val="28"/>
          <w:szCs w:val="28"/>
        </w:rPr>
      </w:pPr>
    </w:p>
    <w:p w14:paraId="7D571D68" w14:textId="77777777" w:rsidR="00765532" w:rsidRPr="00795817" w:rsidRDefault="00765532">
      <w:pPr>
        <w:spacing w:before="0" w:after="0"/>
        <w:jc w:val="left"/>
        <w:rPr>
          <w:rFonts w:ascii="Cambria" w:eastAsia="Times New Roman" w:hAnsi="Cambria"/>
          <w:b/>
          <w:bCs/>
          <w:color w:val="B6B002"/>
          <w:sz w:val="28"/>
          <w:szCs w:val="28"/>
        </w:rPr>
      </w:pPr>
    </w:p>
    <w:p w14:paraId="121028BA" w14:textId="77777777" w:rsidR="00765532" w:rsidRPr="00795817" w:rsidRDefault="00765532">
      <w:pPr>
        <w:spacing w:before="0" w:after="0"/>
        <w:jc w:val="left"/>
        <w:rPr>
          <w:rFonts w:ascii="Cambria" w:eastAsia="Times New Roman" w:hAnsi="Cambria"/>
          <w:b/>
          <w:bCs/>
          <w:color w:val="B6B002"/>
          <w:sz w:val="28"/>
          <w:szCs w:val="28"/>
        </w:rPr>
      </w:pPr>
    </w:p>
    <w:p w14:paraId="32C534BB" w14:textId="77777777" w:rsidR="00765532" w:rsidRPr="00795817" w:rsidRDefault="00765532">
      <w:pPr>
        <w:spacing w:before="0" w:after="0"/>
        <w:jc w:val="left"/>
        <w:rPr>
          <w:rFonts w:ascii="Cambria" w:eastAsia="Times New Roman" w:hAnsi="Cambria"/>
          <w:b/>
          <w:bCs/>
          <w:color w:val="B6B002"/>
          <w:sz w:val="28"/>
          <w:szCs w:val="28"/>
        </w:rPr>
      </w:pPr>
    </w:p>
    <w:p w14:paraId="78D9D368" w14:textId="77777777" w:rsidR="00B0094F" w:rsidRDefault="00B0094F">
      <w:pPr>
        <w:spacing w:before="0" w:after="0"/>
        <w:jc w:val="left"/>
        <w:rPr>
          <w:b/>
          <w:bCs/>
        </w:rPr>
      </w:pPr>
      <w:r>
        <w:rPr>
          <w:b/>
          <w:bCs/>
        </w:rPr>
        <w:br w:type="page"/>
      </w:r>
    </w:p>
    <w:p w14:paraId="1FA0498F" w14:textId="06F179C9" w:rsidR="00B0094F" w:rsidRPr="00637DB5" w:rsidRDefault="00B0094F" w:rsidP="00B0094F">
      <w:pPr>
        <w:widowControl w:val="0"/>
        <w:tabs>
          <w:tab w:val="left" w:pos="6660"/>
        </w:tabs>
        <w:jc w:val="center"/>
        <w:rPr>
          <w:b/>
          <w:bCs/>
        </w:rPr>
      </w:pPr>
      <w:r w:rsidRPr="00637DB5">
        <w:rPr>
          <w:b/>
          <w:bCs/>
        </w:rPr>
        <w:lastRenderedPageBreak/>
        <w:t>SHRNUTÍ ZÁVĚREČNÉ ZPRÁVY RIA</w:t>
      </w:r>
    </w:p>
    <w:p w14:paraId="6332BDF3" w14:textId="77777777" w:rsidR="00B0094F" w:rsidRDefault="00B0094F" w:rsidP="00B0094F">
      <w:pPr>
        <w:widowControl w:val="0"/>
        <w:tabs>
          <w:tab w:val="left" w:pos="6660"/>
        </w:tabs>
        <w:jc w:val="center"/>
        <w:rPr>
          <w:b/>
          <w:bC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5"/>
      </w:tblGrid>
      <w:tr w:rsidR="00B0094F" w:rsidRPr="00B0094F" w14:paraId="2C289320" w14:textId="77777777" w:rsidTr="00197E1E">
        <w:trPr>
          <w:trHeight w:val="187"/>
          <w:jc w:val="center"/>
        </w:trPr>
        <w:tc>
          <w:tcPr>
            <w:tcW w:w="9645"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2CAE0CAA" w14:textId="77777777" w:rsidR="00B0094F" w:rsidRPr="00D623D8" w:rsidRDefault="00B0094F" w:rsidP="00197E1E">
            <w:pPr>
              <w:widowControl w:val="0"/>
              <w:tabs>
                <w:tab w:val="left" w:pos="6660"/>
              </w:tabs>
              <w:rPr>
                <w:bCs/>
                <w:i/>
                <w:iCs/>
                <w:sz w:val="22"/>
              </w:rPr>
            </w:pPr>
            <w:r w:rsidRPr="00D623D8">
              <w:rPr>
                <w:bCs/>
                <w:sz w:val="22"/>
              </w:rPr>
              <w:t>1. Základní identifikační údaje</w:t>
            </w:r>
          </w:p>
        </w:tc>
      </w:tr>
      <w:tr w:rsidR="00B0094F" w:rsidRPr="00B0094F" w14:paraId="5B0C328D" w14:textId="77777777" w:rsidTr="00197E1E">
        <w:trPr>
          <w:trHeight w:val="979"/>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14:paraId="2BA10366" w14:textId="039DFBF5" w:rsidR="00B0094F" w:rsidRPr="00D623D8" w:rsidRDefault="00B0094F" w:rsidP="00197E1E">
            <w:pPr>
              <w:widowControl w:val="0"/>
              <w:tabs>
                <w:tab w:val="left" w:pos="6660"/>
              </w:tabs>
              <w:spacing w:after="0"/>
              <w:jc w:val="center"/>
              <w:rPr>
                <w:bCs/>
                <w:szCs w:val="24"/>
              </w:rPr>
            </w:pPr>
            <w:r w:rsidRPr="00D623D8">
              <w:rPr>
                <w:bCs/>
                <w:szCs w:val="24"/>
              </w:rPr>
              <w:t xml:space="preserve">Název: </w:t>
            </w:r>
            <w:r w:rsidR="00D623D8" w:rsidRPr="00D623D8">
              <w:rPr>
                <w:szCs w:val="24"/>
              </w:rPr>
              <w:t>Návrh</w:t>
            </w:r>
            <w:r w:rsidR="004B0591">
              <w:rPr>
                <w:szCs w:val="24"/>
              </w:rPr>
              <w:t xml:space="preserve"> zákona,</w:t>
            </w:r>
            <w:r w:rsidR="00D623D8" w:rsidRPr="00D623D8">
              <w:rPr>
                <w:szCs w:val="24"/>
              </w:rPr>
              <w:t xml:space="preserve"> </w:t>
            </w:r>
            <w:r w:rsidR="004B0591" w:rsidRPr="004B0591">
              <w:rPr>
                <w:szCs w:val="24"/>
              </w:rPr>
              <w:t>kterým se mění zákon č. 283/2021 Sb., stavební zákon, a některé další související zákony</w:t>
            </w:r>
          </w:p>
        </w:tc>
      </w:tr>
      <w:tr w:rsidR="00B0094F" w:rsidRPr="00B0094F" w14:paraId="7E2B235C" w14:textId="77777777" w:rsidTr="00197E1E">
        <w:trPr>
          <w:trHeight w:val="1080"/>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14:paraId="7DFC2489" w14:textId="77777777" w:rsidR="00B0094F" w:rsidRPr="00D623D8" w:rsidRDefault="00B0094F" w:rsidP="00197E1E">
            <w:pPr>
              <w:widowControl w:val="0"/>
              <w:tabs>
                <w:tab w:val="left" w:pos="6660"/>
              </w:tabs>
              <w:spacing w:before="100" w:beforeAutospacing="1" w:after="0"/>
              <w:rPr>
                <w:bCs/>
                <w:sz w:val="22"/>
              </w:rPr>
            </w:pPr>
            <w:r w:rsidRPr="00D623D8">
              <w:rPr>
                <w:bCs/>
                <w:sz w:val="22"/>
              </w:rPr>
              <w:t xml:space="preserve">Implementace práva EU: </w:t>
            </w:r>
            <w:r w:rsidRPr="00B45BF0">
              <w:rPr>
                <w:bCs/>
                <w:iCs/>
                <w:sz w:val="22"/>
              </w:rPr>
              <w:t>Ne</w:t>
            </w:r>
            <w:r w:rsidRPr="00B45BF0">
              <w:rPr>
                <w:iCs/>
                <w:sz w:val="22"/>
              </w:rPr>
              <w:t xml:space="preserve"> </w:t>
            </w:r>
            <w:r w:rsidRPr="00D623D8">
              <w:rPr>
                <w:sz w:val="22"/>
              </w:rPr>
              <w:t>(p</w:t>
            </w:r>
            <w:r w:rsidRPr="00D623D8">
              <w:rPr>
                <w:bCs/>
                <w:sz w:val="22"/>
              </w:rPr>
              <w:t>okud zvolíte Ano):</w:t>
            </w:r>
          </w:p>
          <w:p w14:paraId="4D128964" w14:textId="77777777" w:rsidR="00B0094F" w:rsidRPr="00D623D8" w:rsidRDefault="00B0094F" w:rsidP="00197E1E">
            <w:pPr>
              <w:widowControl w:val="0"/>
              <w:tabs>
                <w:tab w:val="left" w:pos="6660"/>
              </w:tabs>
              <w:rPr>
                <w:i/>
                <w:iCs/>
                <w:sz w:val="22"/>
              </w:rPr>
            </w:pPr>
            <w:r w:rsidRPr="00D623D8">
              <w:rPr>
                <w:bCs/>
                <w:sz w:val="22"/>
              </w:rPr>
              <w:t xml:space="preserve">- uveďte termín stanovený pro implementaci: </w:t>
            </w:r>
            <w:r w:rsidRPr="00D623D8">
              <w:rPr>
                <w:bCs/>
                <w:i/>
                <w:iCs/>
                <w:sz w:val="22"/>
              </w:rPr>
              <w:t>---</w:t>
            </w:r>
          </w:p>
          <w:p w14:paraId="5B2D9146" w14:textId="77777777" w:rsidR="00B0094F" w:rsidRPr="00D623D8" w:rsidRDefault="00B0094F" w:rsidP="00197E1E">
            <w:pPr>
              <w:widowControl w:val="0"/>
              <w:tabs>
                <w:tab w:val="left" w:pos="6660"/>
              </w:tabs>
              <w:rPr>
                <w:i/>
                <w:iCs/>
                <w:sz w:val="22"/>
                <w:u w:val="single"/>
              </w:rPr>
            </w:pPr>
            <w:r w:rsidRPr="00D623D8">
              <w:rPr>
                <w:bCs/>
                <w:sz w:val="22"/>
              </w:rPr>
              <w:t xml:space="preserve">- uveďte, zda jde návrh nad rámec požadavků stanovených předpisem EU: </w:t>
            </w:r>
            <w:r w:rsidRPr="00D623D8">
              <w:rPr>
                <w:bCs/>
                <w:i/>
                <w:sz w:val="22"/>
              </w:rPr>
              <w:t>---</w:t>
            </w:r>
          </w:p>
        </w:tc>
      </w:tr>
      <w:tr w:rsidR="00B0094F" w:rsidRPr="00B0094F" w14:paraId="746280BF"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57F88711" w14:textId="77777777" w:rsidR="00B0094F" w:rsidRPr="005B167C" w:rsidRDefault="00B0094F" w:rsidP="00197E1E">
            <w:pPr>
              <w:widowControl w:val="0"/>
              <w:tabs>
                <w:tab w:val="left" w:pos="6660"/>
              </w:tabs>
              <w:rPr>
                <w:bCs/>
                <w:sz w:val="22"/>
              </w:rPr>
            </w:pPr>
            <w:r w:rsidRPr="005B167C">
              <w:rPr>
                <w:bCs/>
                <w:sz w:val="22"/>
              </w:rPr>
              <w:t xml:space="preserve">2. Cíl návrhu </w:t>
            </w:r>
          </w:p>
        </w:tc>
      </w:tr>
      <w:tr w:rsidR="00B0094F" w:rsidRPr="00B0094F" w14:paraId="404E1A0E"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hideMark/>
          </w:tcPr>
          <w:p w14:paraId="0E12B706" w14:textId="53C38275" w:rsidR="005B167C" w:rsidRPr="005B167C" w:rsidRDefault="005B167C" w:rsidP="005B167C">
            <w:pPr>
              <w:widowControl w:val="0"/>
              <w:tabs>
                <w:tab w:val="left" w:pos="1037"/>
              </w:tabs>
              <w:rPr>
                <w:bCs/>
                <w:sz w:val="22"/>
              </w:rPr>
            </w:pPr>
            <w:r w:rsidRPr="005B167C">
              <w:rPr>
                <w:bCs/>
                <w:sz w:val="22"/>
              </w:rPr>
              <w:t xml:space="preserve">Cíle </w:t>
            </w:r>
            <w:r>
              <w:rPr>
                <w:bCs/>
                <w:sz w:val="22"/>
              </w:rPr>
              <w:t>návrhu</w:t>
            </w:r>
            <w:r w:rsidRPr="005B167C">
              <w:rPr>
                <w:bCs/>
                <w:sz w:val="22"/>
              </w:rPr>
              <w:t>:</w:t>
            </w:r>
          </w:p>
          <w:p w14:paraId="7F0424B0" w14:textId="565A4831" w:rsidR="005B167C" w:rsidRPr="005B167C" w:rsidRDefault="005B167C" w:rsidP="00613EB8">
            <w:pPr>
              <w:pStyle w:val="Odstavecseseznamem"/>
              <w:widowControl w:val="0"/>
              <w:numPr>
                <w:ilvl w:val="0"/>
                <w:numId w:val="90"/>
              </w:numPr>
              <w:tabs>
                <w:tab w:val="left" w:pos="1037"/>
              </w:tabs>
              <w:ind w:left="318" w:hanging="284"/>
              <w:rPr>
                <w:bCs/>
                <w:sz w:val="22"/>
              </w:rPr>
            </w:pPr>
            <w:r w:rsidRPr="005B167C">
              <w:rPr>
                <w:bCs/>
                <w:sz w:val="22"/>
              </w:rPr>
              <w:t>Zásadní zrychlení stavebního řízení ve spolupráci se samosprávami a při zachování ochrany ostatních zájmů;</w:t>
            </w:r>
          </w:p>
          <w:p w14:paraId="5D006707" w14:textId="609054FE" w:rsidR="005B167C" w:rsidRPr="005B167C" w:rsidRDefault="005B167C" w:rsidP="00613EB8">
            <w:pPr>
              <w:pStyle w:val="Odstavecseseznamem"/>
              <w:widowControl w:val="0"/>
              <w:numPr>
                <w:ilvl w:val="0"/>
                <w:numId w:val="90"/>
              </w:numPr>
              <w:tabs>
                <w:tab w:val="left" w:pos="1037"/>
              </w:tabs>
              <w:ind w:left="318" w:hanging="284"/>
              <w:rPr>
                <w:bCs/>
                <w:sz w:val="22"/>
              </w:rPr>
            </w:pPr>
            <w:r w:rsidRPr="005B167C">
              <w:rPr>
                <w:bCs/>
                <w:sz w:val="22"/>
              </w:rPr>
              <w:t>Rychlé, transparentní, digitální a občanovi blízké stavební řízení;</w:t>
            </w:r>
          </w:p>
          <w:p w14:paraId="737D5161" w14:textId="1C198245" w:rsidR="005B167C" w:rsidRPr="005B167C" w:rsidRDefault="005B167C" w:rsidP="00613EB8">
            <w:pPr>
              <w:pStyle w:val="Odstavecseseznamem"/>
              <w:widowControl w:val="0"/>
              <w:numPr>
                <w:ilvl w:val="0"/>
                <w:numId w:val="90"/>
              </w:numPr>
              <w:tabs>
                <w:tab w:val="left" w:pos="1037"/>
              </w:tabs>
              <w:ind w:left="318" w:hanging="284"/>
              <w:rPr>
                <w:bCs/>
                <w:sz w:val="22"/>
              </w:rPr>
            </w:pPr>
            <w:r w:rsidRPr="005B167C">
              <w:rPr>
                <w:bCs/>
                <w:sz w:val="22"/>
              </w:rPr>
              <w:t xml:space="preserve">Předvídatelné stavební řízení, přizpůsobené různým typům staveb a vyvažující veřejné a soukromé zájmy; </w:t>
            </w:r>
          </w:p>
          <w:p w14:paraId="29A7EE46" w14:textId="19A75D6C" w:rsidR="005B167C" w:rsidRPr="005B167C" w:rsidRDefault="005B167C" w:rsidP="00613EB8">
            <w:pPr>
              <w:pStyle w:val="Odstavecseseznamem"/>
              <w:widowControl w:val="0"/>
              <w:numPr>
                <w:ilvl w:val="0"/>
                <w:numId w:val="90"/>
              </w:numPr>
              <w:tabs>
                <w:tab w:val="left" w:pos="1037"/>
              </w:tabs>
              <w:ind w:left="318" w:hanging="284"/>
              <w:rPr>
                <w:bCs/>
                <w:sz w:val="22"/>
              </w:rPr>
            </w:pPr>
            <w:r w:rsidRPr="005B167C">
              <w:rPr>
                <w:bCs/>
                <w:sz w:val="22"/>
              </w:rPr>
              <w:t>Stavebník bude jednat jen s jedním úřadem a ten si sám zajistí další podklady;</w:t>
            </w:r>
          </w:p>
          <w:p w14:paraId="12BD1B8A" w14:textId="77777777" w:rsidR="00B0094F" w:rsidRDefault="005B167C" w:rsidP="00613EB8">
            <w:pPr>
              <w:pStyle w:val="Odstavecseseznamem"/>
              <w:widowControl w:val="0"/>
              <w:numPr>
                <w:ilvl w:val="0"/>
                <w:numId w:val="90"/>
              </w:numPr>
              <w:tabs>
                <w:tab w:val="left" w:pos="1037"/>
              </w:tabs>
              <w:ind w:left="318" w:hanging="284"/>
              <w:rPr>
                <w:bCs/>
                <w:sz w:val="22"/>
              </w:rPr>
            </w:pPr>
            <w:r w:rsidRPr="005B167C">
              <w:rPr>
                <w:bCs/>
                <w:sz w:val="22"/>
              </w:rPr>
              <w:t>Zapojení veřejnosti a její seznámení s investorskými záměry, aniž by to řízení zdržovalo.</w:t>
            </w:r>
          </w:p>
          <w:p w14:paraId="01F21CF8" w14:textId="63860321" w:rsidR="005B167C" w:rsidRPr="005B167C" w:rsidRDefault="005B167C" w:rsidP="005B167C">
            <w:pPr>
              <w:widowControl w:val="0"/>
              <w:tabs>
                <w:tab w:val="left" w:pos="1037"/>
              </w:tabs>
              <w:ind w:left="34"/>
              <w:rPr>
                <w:bCs/>
                <w:sz w:val="22"/>
              </w:rPr>
            </w:pPr>
            <w:r>
              <w:rPr>
                <w:bCs/>
                <w:sz w:val="22"/>
              </w:rPr>
              <w:t>C</w:t>
            </w:r>
            <w:r w:rsidRPr="005B167C">
              <w:rPr>
                <w:bCs/>
                <w:sz w:val="22"/>
              </w:rPr>
              <w:t xml:space="preserve">íle </w:t>
            </w:r>
            <w:r>
              <w:rPr>
                <w:bCs/>
                <w:sz w:val="22"/>
              </w:rPr>
              <w:t xml:space="preserve">jsou stejné, jako byly cíle </w:t>
            </w:r>
            <w:r w:rsidRPr="005B167C">
              <w:rPr>
                <w:bCs/>
                <w:sz w:val="22"/>
              </w:rPr>
              <w:t xml:space="preserve">nového stavebního zákona. Rozdíl je </w:t>
            </w:r>
            <w:r>
              <w:rPr>
                <w:bCs/>
                <w:sz w:val="22"/>
              </w:rPr>
              <w:t xml:space="preserve">především </w:t>
            </w:r>
            <w:r w:rsidRPr="005B167C">
              <w:rPr>
                <w:bCs/>
                <w:sz w:val="22"/>
              </w:rPr>
              <w:t xml:space="preserve">v </w:t>
            </w:r>
            <w:r>
              <w:rPr>
                <w:bCs/>
                <w:sz w:val="22"/>
              </w:rPr>
              <w:t>názoru</w:t>
            </w:r>
            <w:r w:rsidRPr="005B167C">
              <w:rPr>
                <w:bCs/>
                <w:sz w:val="22"/>
              </w:rPr>
              <w:t xml:space="preserve">, jak </w:t>
            </w:r>
            <w:r>
              <w:rPr>
                <w:bCs/>
                <w:sz w:val="22"/>
              </w:rPr>
              <w:t xml:space="preserve">lze </w:t>
            </w:r>
            <w:r w:rsidRPr="005B167C">
              <w:rPr>
                <w:bCs/>
                <w:sz w:val="22"/>
              </w:rPr>
              <w:t>stanovených cílů dosáhnout.</w:t>
            </w:r>
          </w:p>
        </w:tc>
      </w:tr>
      <w:tr w:rsidR="00B0094F" w:rsidRPr="00B0094F" w14:paraId="329BF175"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0F4A5B44" w14:textId="77777777" w:rsidR="00B0094F" w:rsidRPr="0086266B" w:rsidRDefault="00B0094F" w:rsidP="00197E1E">
            <w:pPr>
              <w:widowControl w:val="0"/>
              <w:tabs>
                <w:tab w:val="left" w:pos="1037"/>
              </w:tabs>
              <w:rPr>
                <w:bCs/>
                <w:sz w:val="22"/>
              </w:rPr>
            </w:pPr>
            <w:r w:rsidRPr="0086266B">
              <w:rPr>
                <w:bCs/>
                <w:sz w:val="22"/>
              </w:rPr>
              <w:t xml:space="preserve">3. </w:t>
            </w:r>
            <w:r w:rsidRPr="0086266B">
              <w:rPr>
                <w:sz w:val="22"/>
              </w:rPr>
              <w:t>Agregované</w:t>
            </w:r>
            <w:r w:rsidRPr="0086266B">
              <w:rPr>
                <w:bCs/>
                <w:sz w:val="22"/>
              </w:rPr>
              <w:t xml:space="preserve"> dopady návrhu zákona</w:t>
            </w:r>
          </w:p>
        </w:tc>
      </w:tr>
      <w:tr w:rsidR="00B0094F" w:rsidRPr="00B0094F" w14:paraId="21CDEE82"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238AE05C" w14:textId="77777777" w:rsidR="00B0094F" w:rsidRPr="0086266B" w:rsidRDefault="00B0094F" w:rsidP="00197E1E">
            <w:pPr>
              <w:widowControl w:val="0"/>
              <w:tabs>
                <w:tab w:val="left" w:pos="1037"/>
              </w:tabs>
              <w:rPr>
                <w:bCs/>
                <w:sz w:val="22"/>
              </w:rPr>
            </w:pPr>
            <w:r w:rsidRPr="0086266B">
              <w:rPr>
                <w:bCs/>
                <w:sz w:val="22"/>
              </w:rPr>
              <w:t xml:space="preserve">3.1 Dopady na státní rozpočet a ostatní veřejné rozpočty: </w:t>
            </w:r>
            <w:r w:rsidRPr="0086266B">
              <w:rPr>
                <w:bCs/>
                <w:sz w:val="22"/>
              </w:rPr>
              <w:fldChar w:fldCharType="begin">
                <w:ffData>
                  <w:name w:val=""/>
                  <w:enabled/>
                  <w:calcOnExit w:val="0"/>
                  <w:ddList>
                    <w:listEntry w:val="Ano"/>
                    <w:listEntry w:val="Vyberte Ano / Ne"/>
                    <w:listEntry w:val="Ne"/>
                  </w:ddList>
                </w:ffData>
              </w:fldChar>
            </w:r>
            <w:r w:rsidRPr="0086266B">
              <w:rPr>
                <w:bCs/>
                <w:sz w:val="22"/>
              </w:rPr>
              <w:instrText xml:space="preserve"> FORMDROPDOWN </w:instrText>
            </w:r>
            <w:r w:rsidR="004B0591">
              <w:rPr>
                <w:bCs/>
                <w:sz w:val="22"/>
              </w:rPr>
            </w:r>
            <w:r w:rsidR="004B0591">
              <w:rPr>
                <w:bCs/>
                <w:sz w:val="22"/>
              </w:rPr>
              <w:fldChar w:fldCharType="separate"/>
            </w:r>
            <w:r w:rsidRPr="0086266B">
              <w:rPr>
                <w:bCs/>
                <w:sz w:val="22"/>
              </w:rPr>
              <w:fldChar w:fldCharType="end"/>
            </w:r>
            <w:r w:rsidRPr="0086266B">
              <w:rPr>
                <w:bCs/>
                <w:sz w:val="22"/>
              </w:rPr>
              <w:t xml:space="preserve"> </w:t>
            </w:r>
          </w:p>
        </w:tc>
      </w:tr>
      <w:tr w:rsidR="00B0094F" w:rsidRPr="00B0094F" w14:paraId="43F2DF01"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tcPr>
          <w:p w14:paraId="7443B6D5" w14:textId="77777777" w:rsidR="00B0094F" w:rsidRPr="0086266B" w:rsidRDefault="00B0094F" w:rsidP="00197E1E">
            <w:pPr>
              <w:widowControl w:val="0"/>
              <w:tabs>
                <w:tab w:val="left" w:pos="1037"/>
              </w:tabs>
              <w:rPr>
                <w:bCs/>
                <w:sz w:val="22"/>
              </w:rPr>
            </w:pPr>
            <w:bookmarkStart w:id="2" w:name="_Hlk100142923"/>
            <w:r w:rsidRPr="0086266B">
              <w:rPr>
                <w:bCs/>
                <w:sz w:val="22"/>
              </w:rPr>
              <w:t>Dopady na státní rozpočet a ostatní veřejné rozpočty je třeba rozdělit na náklady jednorázové a náklady pravidelné/roční.</w:t>
            </w:r>
          </w:p>
          <w:p w14:paraId="64C9FFC4" w14:textId="216AFA68" w:rsidR="00B0094F" w:rsidRPr="0086266B" w:rsidRDefault="00B0094F" w:rsidP="00197E1E">
            <w:pPr>
              <w:widowControl w:val="0"/>
              <w:tabs>
                <w:tab w:val="left" w:pos="1037"/>
              </w:tabs>
              <w:rPr>
                <w:bCs/>
                <w:sz w:val="22"/>
              </w:rPr>
            </w:pPr>
            <w:r w:rsidRPr="0086266B">
              <w:rPr>
                <w:b/>
                <w:sz w:val="22"/>
              </w:rPr>
              <w:t>Jednorázové náklady</w:t>
            </w:r>
            <w:r w:rsidRPr="0086266B">
              <w:rPr>
                <w:bCs/>
                <w:sz w:val="22"/>
              </w:rPr>
              <w:t xml:space="preserve"> budou spojeny s vytvořením nové institucionální struktury. </w:t>
            </w:r>
            <w:r w:rsidR="005B167C" w:rsidRPr="0086266B">
              <w:rPr>
                <w:bCs/>
                <w:sz w:val="22"/>
              </w:rPr>
              <w:t xml:space="preserve">V porovnání s náklady potřebnými na změnu institucionální struktury dle nového stavebního zákona budou </w:t>
            </w:r>
            <w:r w:rsidR="0086266B" w:rsidRPr="0086266B">
              <w:rPr>
                <w:bCs/>
                <w:sz w:val="22"/>
              </w:rPr>
              <w:t xml:space="preserve">jednorázové náklady </w:t>
            </w:r>
            <w:r w:rsidR="005B167C" w:rsidRPr="0086266B">
              <w:rPr>
                <w:bCs/>
                <w:sz w:val="22"/>
              </w:rPr>
              <w:t xml:space="preserve">v případě </w:t>
            </w:r>
            <w:r w:rsidR="0086266B">
              <w:rPr>
                <w:bCs/>
                <w:sz w:val="22"/>
              </w:rPr>
              <w:t xml:space="preserve">přijetí novely </w:t>
            </w:r>
            <w:r w:rsidR="005B167C" w:rsidRPr="0086266B">
              <w:rPr>
                <w:bCs/>
                <w:sz w:val="22"/>
              </w:rPr>
              <w:t xml:space="preserve">indukovány potřebou </w:t>
            </w:r>
            <w:r w:rsidR="0086266B" w:rsidRPr="0086266B">
              <w:rPr>
                <w:bCs/>
                <w:sz w:val="22"/>
              </w:rPr>
              <w:t>transformace</w:t>
            </w:r>
            <w:r w:rsidR="005B167C" w:rsidRPr="0086266B">
              <w:rPr>
                <w:bCs/>
                <w:sz w:val="22"/>
              </w:rPr>
              <w:t xml:space="preserve"> pouhých 372</w:t>
            </w:r>
            <w:r w:rsidR="0086266B" w:rsidRPr="0086266B">
              <w:rPr>
                <w:bCs/>
                <w:sz w:val="22"/>
              </w:rPr>
              <w:t xml:space="preserve"> </w:t>
            </w:r>
            <w:r w:rsidR="005B167C" w:rsidRPr="0086266B">
              <w:rPr>
                <w:bCs/>
                <w:sz w:val="22"/>
              </w:rPr>
              <w:t>pracovních úvazků</w:t>
            </w:r>
            <w:r w:rsidR="0086266B" w:rsidRPr="0086266B">
              <w:rPr>
                <w:bCs/>
                <w:sz w:val="22"/>
              </w:rPr>
              <w:t xml:space="preserve"> (u nového stavebního zákona se jednalo řádově o tisíce pracovních úvazků)</w:t>
            </w:r>
            <w:r w:rsidR="005B167C" w:rsidRPr="0086266B">
              <w:rPr>
                <w:bCs/>
                <w:sz w:val="22"/>
              </w:rPr>
              <w:t xml:space="preserve">. </w:t>
            </w:r>
            <w:r w:rsidR="00516A35">
              <w:rPr>
                <w:bCs/>
                <w:sz w:val="22"/>
              </w:rPr>
              <w:t>Odhad činí do 100 mil. Kč.</w:t>
            </w:r>
          </w:p>
          <w:p w14:paraId="7B707C17" w14:textId="05E1D9CF" w:rsidR="0086266B" w:rsidRPr="0086266B" w:rsidRDefault="00B0094F" w:rsidP="0086266B">
            <w:pPr>
              <w:widowControl w:val="0"/>
              <w:tabs>
                <w:tab w:val="left" w:pos="1037"/>
              </w:tabs>
              <w:rPr>
                <w:bCs/>
                <w:sz w:val="22"/>
              </w:rPr>
            </w:pPr>
            <w:r w:rsidRPr="0086266B">
              <w:rPr>
                <w:b/>
                <w:sz w:val="22"/>
              </w:rPr>
              <w:t>Mzdové a ostatní provozní náklady</w:t>
            </w:r>
            <w:r w:rsidRPr="0086266B">
              <w:rPr>
                <w:bCs/>
                <w:sz w:val="22"/>
              </w:rPr>
              <w:t xml:space="preserve"> jsou odhadovány na </w:t>
            </w:r>
            <w:r w:rsidR="0086266B" w:rsidRPr="0086266B">
              <w:rPr>
                <w:bCs/>
                <w:sz w:val="22"/>
              </w:rPr>
              <w:t xml:space="preserve">obdobné </w:t>
            </w:r>
            <w:r w:rsidR="00B45BF0">
              <w:rPr>
                <w:bCs/>
                <w:sz w:val="22"/>
              </w:rPr>
              <w:t>výši</w:t>
            </w:r>
            <w:r w:rsidR="0086266B" w:rsidRPr="0086266B">
              <w:rPr>
                <w:bCs/>
                <w:sz w:val="22"/>
              </w:rPr>
              <w:t xml:space="preserve"> jako v </w:t>
            </w:r>
            <w:r w:rsidR="00B45BF0">
              <w:rPr>
                <w:bCs/>
                <w:sz w:val="22"/>
              </w:rPr>
              <w:t>současnosti (neboť k věcné implementaci nového stavebního zákona v oblasti institucionální struktury ještě nedošlo)</w:t>
            </w:r>
            <w:r w:rsidR="0086266B" w:rsidRPr="0086266B">
              <w:rPr>
                <w:bCs/>
                <w:sz w:val="22"/>
              </w:rPr>
              <w:t>. Nepředpokládá se změna výše</w:t>
            </w:r>
            <w:r w:rsidRPr="0086266B">
              <w:rPr>
                <w:bCs/>
                <w:sz w:val="22"/>
              </w:rPr>
              <w:t xml:space="preserve"> příspěvku poskytované</w:t>
            </w:r>
            <w:r w:rsidR="0086266B" w:rsidRPr="0086266B">
              <w:rPr>
                <w:bCs/>
                <w:sz w:val="22"/>
              </w:rPr>
              <w:t>ho</w:t>
            </w:r>
            <w:r w:rsidRPr="0086266B">
              <w:rPr>
                <w:bCs/>
                <w:sz w:val="22"/>
              </w:rPr>
              <w:t xml:space="preserve"> na výkon přenesené působnosti</w:t>
            </w:r>
            <w:r w:rsidR="0086266B" w:rsidRPr="0086266B">
              <w:rPr>
                <w:bCs/>
                <w:sz w:val="22"/>
              </w:rPr>
              <w:t xml:space="preserve"> v důsledku </w:t>
            </w:r>
            <w:r w:rsidR="00B45BF0">
              <w:rPr>
                <w:bCs/>
                <w:sz w:val="22"/>
              </w:rPr>
              <w:t xml:space="preserve">přijetí </w:t>
            </w:r>
            <w:r w:rsidR="0086266B" w:rsidRPr="0086266B">
              <w:rPr>
                <w:bCs/>
                <w:sz w:val="22"/>
              </w:rPr>
              <w:t xml:space="preserve">novely oproti </w:t>
            </w:r>
            <w:r w:rsidR="00B45BF0">
              <w:rPr>
                <w:bCs/>
                <w:sz w:val="22"/>
              </w:rPr>
              <w:t xml:space="preserve">faktickému </w:t>
            </w:r>
            <w:r w:rsidR="0086266B" w:rsidRPr="0086266B">
              <w:rPr>
                <w:bCs/>
                <w:sz w:val="22"/>
              </w:rPr>
              <w:t>současnému stavu</w:t>
            </w:r>
            <w:r w:rsidRPr="0086266B">
              <w:rPr>
                <w:bCs/>
                <w:sz w:val="22"/>
              </w:rPr>
              <w:t xml:space="preserve">. </w:t>
            </w:r>
          </w:p>
          <w:p w14:paraId="575DC8F2" w14:textId="090631C1" w:rsidR="00B0094F" w:rsidRPr="0086266B" w:rsidRDefault="00B0094F" w:rsidP="0086266B">
            <w:pPr>
              <w:widowControl w:val="0"/>
              <w:tabs>
                <w:tab w:val="left" w:pos="1037"/>
              </w:tabs>
              <w:rPr>
                <w:bCs/>
                <w:sz w:val="22"/>
              </w:rPr>
            </w:pPr>
            <w:r w:rsidRPr="0086266B">
              <w:rPr>
                <w:bCs/>
                <w:sz w:val="22"/>
              </w:rPr>
              <w:t xml:space="preserve">Obecně je z pohledu veřejných rozpočtů možné očekávat efektivnější přípravu a realizaci veřejných stavebních zakázek. </w:t>
            </w:r>
            <w:bookmarkEnd w:id="2"/>
          </w:p>
        </w:tc>
      </w:tr>
      <w:tr w:rsidR="00B0094F" w:rsidRPr="00B0094F" w14:paraId="6621B38F"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57620334" w14:textId="77777777" w:rsidR="00B0094F" w:rsidRPr="00D623D8" w:rsidRDefault="00B0094F" w:rsidP="00197E1E">
            <w:pPr>
              <w:widowControl w:val="0"/>
              <w:tabs>
                <w:tab w:val="left" w:pos="1037"/>
              </w:tabs>
              <w:rPr>
                <w:bCs/>
                <w:sz w:val="22"/>
              </w:rPr>
            </w:pPr>
            <w:r w:rsidRPr="00D623D8">
              <w:rPr>
                <w:bCs/>
                <w:sz w:val="22"/>
              </w:rPr>
              <w:t xml:space="preserve">3.2 Dopady na mezinárodní konkurenceschopnost ČR: </w:t>
            </w:r>
            <w:r w:rsidRPr="00D623D8">
              <w:rPr>
                <w:bCs/>
                <w:sz w:val="22"/>
              </w:rPr>
              <w:fldChar w:fldCharType="begin">
                <w:ffData>
                  <w:name w:val=""/>
                  <w:enabled/>
                  <w:calcOnExit w:val="0"/>
                  <w:ddList>
                    <w:listEntry w:val="Ano"/>
                    <w:listEntry w:val="Vyberte Ano / Ne"/>
                    <w:listEntry w:val="Ne"/>
                  </w:ddList>
                </w:ffData>
              </w:fldChar>
            </w:r>
            <w:r w:rsidRPr="00D623D8">
              <w:rPr>
                <w:bCs/>
                <w:sz w:val="22"/>
              </w:rPr>
              <w:instrText xml:space="preserve"> FORMDROPDOWN </w:instrText>
            </w:r>
            <w:r w:rsidR="004B0591">
              <w:rPr>
                <w:bCs/>
                <w:sz w:val="22"/>
              </w:rPr>
            </w:r>
            <w:r w:rsidR="004B0591">
              <w:rPr>
                <w:bCs/>
                <w:sz w:val="22"/>
              </w:rPr>
              <w:fldChar w:fldCharType="separate"/>
            </w:r>
            <w:r w:rsidRPr="00D623D8">
              <w:rPr>
                <w:bCs/>
                <w:sz w:val="22"/>
              </w:rPr>
              <w:fldChar w:fldCharType="end"/>
            </w:r>
          </w:p>
        </w:tc>
      </w:tr>
      <w:tr w:rsidR="00B0094F" w:rsidRPr="00B0094F" w14:paraId="3173EB9E"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hideMark/>
          </w:tcPr>
          <w:p w14:paraId="35F274B4" w14:textId="0E52BB4C" w:rsidR="00B0094F" w:rsidRPr="00D623D8" w:rsidRDefault="00B0094F" w:rsidP="00197E1E">
            <w:pPr>
              <w:widowControl w:val="0"/>
              <w:tabs>
                <w:tab w:val="left" w:pos="1037"/>
              </w:tabs>
              <w:rPr>
                <w:bCs/>
                <w:sz w:val="22"/>
              </w:rPr>
            </w:pPr>
            <w:r w:rsidRPr="00D623D8">
              <w:rPr>
                <w:bCs/>
                <w:sz w:val="22"/>
              </w:rPr>
              <w:t xml:space="preserve">Zvýšení právní jistoty v oblasti územního plánování, povolování staveb, jejich realizace a stavebnictví obecně přispěje k akceleraci ekonomické aktivity a podpoří ekonomický růst v ČR. </w:t>
            </w:r>
          </w:p>
        </w:tc>
      </w:tr>
      <w:tr w:rsidR="00B0094F" w:rsidRPr="00B0094F" w14:paraId="1ECB1C26"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4722D827" w14:textId="77777777" w:rsidR="00B0094F" w:rsidRPr="00D623D8" w:rsidRDefault="00B0094F" w:rsidP="00197E1E">
            <w:pPr>
              <w:widowControl w:val="0"/>
              <w:tabs>
                <w:tab w:val="left" w:pos="1037"/>
              </w:tabs>
              <w:rPr>
                <w:bCs/>
                <w:sz w:val="22"/>
              </w:rPr>
            </w:pPr>
            <w:r w:rsidRPr="00D623D8">
              <w:rPr>
                <w:bCs/>
                <w:sz w:val="22"/>
              </w:rPr>
              <w:t xml:space="preserve">3.3 Dopady na podnikatelské prostředí: </w:t>
            </w:r>
            <w:r w:rsidRPr="00D623D8">
              <w:rPr>
                <w:bCs/>
                <w:sz w:val="22"/>
              </w:rPr>
              <w:fldChar w:fldCharType="begin">
                <w:ffData>
                  <w:name w:val=""/>
                  <w:enabled/>
                  <w:calcOnExit w:val="0"/>
                  <w:ddList>
                    <w:listEntry w:val="Ano"/>
                    <w:listEntry w:val="Vyberte Ano / Ne"/>
                    <w:listEntry w:val="Ne"/>
                  </w:ddList>
                </w:ffData>
              </w:fldChar>
            </w:r>
            <w:r w:rsidRPr="00D623D8">
              <w:rPr>
                <w:bCs/>
                <w:sz w:val="22"/>
              </w:rPr>
              <w:instrText xml:space="preserve"> FORMDROPDOWN </w:instrText>
            </w:r>
            <w:r w:rsidR="004B0591">
              <w:rPr>
                <w:bCs/>
                <w:sz w:val="22"/>
              </w:rPr>
            </w:r>
            <w:r w:rsidR="004B0591">
              <w:rPr>
                <w:bCs/>
                <w:sz w:val="22"/>
              </w:rPr>
              <w:fldChar w:fldCharType="separate"/>
            </w:r>
            <w:r w:rsidRPr="00D623D8">
              <w:rPr>
                <w:bCs/>
                <w:sz w:val="22"/>
              </w:rPr>
              <w:fldChar w:fldCharType="end"/>
            </w:r>
            <w:r w:rsidRPr="00D623D8">
              <w:rPr>
                <w:bCs/>
                <w:sz w:val="22"/>
              </w:rPr>
              <w:t xml:space="preserve"> </w:t>
            </w:r>
          </w:p>
        </w:tc>
      </w:tr>
      <w:tr w:rsidR="00B0094F" w:rsidRPr="00B0094F" w14:paraId="2F6DAED1" w14:textId="77777777" w:rsidTr="00197E1E">
        <w:trPr>
          <w:trHeight w:val="369"/>
          <w:jc w:val="center"/>
        </w:trPr>
        <w:tc>
          <w:tcPr>
            <w:tcW w:w="9645" w:type="dxa"/>
            <w:tcBorders>
              <w:top w:val="single" w:sz="4" w:space="0" w:color="auto"/>
              <w:left w:val="single" w:sz="4" w:space="0" w:color="auto"/>
              <w:bottom w:val="single" w:sz="4" w:space="0" w:color="auto"/>
              <w:right w:val="single" w:sz="4" w:space="0" w:color="auto"/>
            </w:tcBorders>
            <w:hideMark/>
          </w:tcPr>
          <w:p w14:paraId="31F77CAC" w14:textId="5E9B884F" w:rsidR="00B0094F" w:rsidRPr="00D623D8" w:rsidRDefault="007C792B" w:rsidP="00197E1E">
            <w:pPr>
              <w:widowControl w:val="0"/>
              <w:tabs>
                <w:tab w:val="left" w:pos="1037"/>
              </w:tabs>
              <w:rPr>
                <w:bCs/>
                <w:sz w:val="22"/>
              </w:rPr>
            </w:pPr>
            <w:bookmarkStart w:id="3" w:name="_Hlk100142971"/>
            <w:r w:rsidRPr="00D623D8">
              <w:rPr>
                <w:bCs/>
                <w:sz w:val="22"/>
              </w:rPr>
              <w:lastRenderedPageBreak/>
              <w:t>Stejně jako u nového stavebního zákona se předpokládá z</w:t>
            </w:r>
            <w:r w:rsidR="00B0094F" w:rsidRPr="00D623D8">
              <w:rPr>
                <w:bCs/>
                <w:sz w:val="22"/>
              </w:rPr>
              <w:t>krá</w:t>
            </w:r>
            <w:r w:rsidRPr="00D623D8">
              <w:rPr>
                <w:bCs/>
                <w:sz w:val="22"/>
              </w:rPr>
              <w:t>cení</w:t>
            </w:r>
            <w:r w:rsidR="00B0094F" w:rsidRPr="00D623D8">
              <w:rPr>
                <w:bCs/>
                <w:sz w:val="22"/>
              </w:rPr>
              <w:t xml:space="preserve"> povolovací</w:t>
            </w:r>
            <w:r w:rsidRPr="00D623D8">
              <w:rPr>
                <w:bCs/>
                <w:sz w:val="22"/>
              </w:rPr>
              <w:t>ho</w:t>
            </w:r>
            <w:r w:rsidR="00B0094F" w:rsidRPr="00D623D8">
              <w:rPr>
                <w:bCs/>
                <w:sz w:val="22"/>
              </w:rPr>
              <w:t xml:space="preserve"> proces</w:t>
            </w:r>
            <w:r w:rsidRPr="00D623D8">
              <w:rPr>
                <w:bCs/>
                <w:sz w:val="22"/>
              </w:rPr>
              <w:t>u</w:t>
            </w:r>
            <w:r w:rsidR="00B45BF0">
              <w:rPr>
                <w:bCs/>
                <w:sz w:val="22"/>
              </w:rPr>
              <w:t>, i když lze (v přepočtu na průměrnou dobu trvání u jednoho záměru) předpokládat zkrácení menší</w:t>
            </w:r>
            <w:r w:rsidRPr="00D623D8">
              <w:rPr>
                <w:bCs/>
                <w:sz w:val="22"/>
              </w:rPr>
              <w:t xml:space="preserve">. </w:t>
            </w:r>
            <w:r w:rsidR="00B0094F" w:rsidRPr="00D623D8">
              <w:rPr>
                <w:bCs/>
                <w:sz w:val="22"/>
              </w:rPr>
              <w:t>Tyto přínosy</w:t>
            </w:r>
            <w:r w:rsidRPr="00D623D8">
              <w:rPr>
                <w:bCs/>
                <w:sz w:val="22"/>
              </w:rPr>
              <w:t xml:space="preserve"> byly v RIA k novému stavebnímu zákonu </w:t>
            </w:r>
            <w:r w:rsidR="00B0094F" w:rsidRPr="00D623D8">
              <w:rPr>
                <w:bCs/>
                <w:sz w:val="22"/>
              </w:rPr>
              <w:t>za pomoci multiplikátorů</w:t>
            </w:r>
            <w:r w:rsidRPr="00D623D8">
              <w:rPr>
                <w:bCs/>
                <w:sz w:val="22"/>
              </w:rPr>
              <w:t xml:space="preserve"> odhadnuty na</w:t>
            </w:r>
            <w:r w:rsidR="00B0094F" w:rsidRPr="00D623D8">
              <w:rPr>
                <w:bCs/>
                <w:sz w:val="22"/>
              </w:rPr>
              <w:t xml:space="preserve"> roční hodnot</w:t>
            </w:r>
            <w:r w:rsidRPr="00D623D8">
              <w:rPr>
                <w:bCs/>
                <w:sz w:val="22"/>
              </w:rPr>
              <w:t>u</w:t>
            </w:r>
            <w:r w:rsidR="00B0094F" w:rsidRPr="00D623D8">
              <w:rPr>
                <w:bCs/>
                <w:sz w:val="22"/>
              </w:rPr>
              <w:t xml:space="preserve"> 7,1 mld. Kč při ročním zkrácení povolovacího procesu. </w:t>
            </w:r>
          </w:p>
          <w:p w14:paraId="7B6A6F7C" w14:textId="6FC3E119" w:rsidR="00B0094F" w:rsidRPr="00D623D8" w:rsidRDefault="00B0094F" w:rsidP="002C62D0">
            <w:pPr>
              <w:widowControl w:val="0"/>
              <w:tabs>
                <w:tab w:val="left" w:pos="1037"/>
              </w:tabs>
              <w:rPr>
                <w:bCs/>
                <w:sz w:val="22"/>
              </w:rPr>
            </w:pPr>
            <w:r w:rsidRPr="00D623D8">
              <w:rPr>
                <w:bCs/>
                <w:sz w:val="22"/>
              </w:rPr>
              <w:t>Přínosy vzniknou z</w:t>
            </w:r>
            <w:r w:rsidR="002C62D0" w:rsidRPr="00D623D8">
              <w:rPr>
                <w:bCs/>
                <w:sz w:val="22"/>
              </w:rPr>
              <w:t> </w:t>
            </w:r>
            <w:r w:rsidRPr="00D623D8">
              <w:rPr>
                <w:bCs/>
                <w:sz w:val="22"/>
              </w:rPr>
              <w:t>důvodu</w:t>
            </w:r>
            <w:r w:rsidR="002C62D0" w:rsidRPr="00D623D8">
              <w:rPr>
                <w:bCs/>
                <w:sz w:val="22"/>
              </w:rPr>
              <w:t xml:space="preserve"> </w:t>
            </w:r>
            <w:r w:rsidRPr="00D623D8">
              <w:rPr>
                <w:bCs/>
                <w:sz w:val="22"/>
              </w:rPr>
              <w:t xml:space="preserve">efektivního procesu povolování staveb díky nové struktuře stavebních úřadů </w:t>
            </w:r>
            <w:r w:rsidR="002C62D0" w:rsidRPr="00D623D8">
              <w:rPr>
                <w:bCs/>
                <w:sz w:val="22"/>
              </w:rPr>
              <w:t>a</w:t>
            </w:r>
            <w:r w:rsidRPr="00D623D8">
              <w:rPr>
                <w:bCs/>
                <w:sz w:val="22"/>
              </w:rPr>
              <w:t xml:space="preserve"> vzájemn</w:t>
            </w:r>
            <w:r w:rsidR="002C62D0" w:rsidRPr="00D623D8">
              <w:rPr>
                <w:bCs/>
                <w:sz w:val="22"/>
              </w:rPr>
              <w:t>é</w:t>
            </w:r>
            <w:r w:rsidRPr="00D623D8">
              <w:rPr>
                <w:bCs/>
                <w:sz w:val="22"/>
              </w:rPr>
              <w:t xml:space="preserve"> koordinac</w:t>
            </w:r>
            <w:r w:rsidR="002C62D0" w:rsidRPr="00D623D8">
              <w:rPr>
                <w:bCs/>
                <w:sz w:val="22"/>
              </w:rPr>
              <w:t>e</w:t>
            </w:r>
            <w:r w:rsidRPr="00D623D8">
              <w:rPr>
                <w:bCs/>
                <w:sz w:val="22"/>
              </w:rPr>
              <w:t xml:space="preserve"> a komunikac</w:t>
            </w:r>
            <w:r w:rsidR="002C62D0" w:rsidRPr="00D623D8">
              <w:rPr>
                <w:bCs/>
                <w:sz w:val="22"/>
              </w:rPr>
              <w:t xml:space="preserve">e, </w:t>
            </w:r>
            <w:r w:rsidRPr="00D623D8">
              <w:rPr>
                <w:bCs/>
                <w:sz w:val="22"/>
              </w:rPr>
              <w:t xml:space="preserve">zefektivnění procesu vyjadřování </w:t>
            </w:r>
            <w:r w:rsidR="002C62D0" w:rsidRPr="00D623D8">
              <w:rPr>
                <w:bCs/>
                <w:sz w:val="22"/>
              </w:rPr>
              <w:t>DO či redukci počtu přezkoumatelných a žalovatelných podkladových aktů.</w:t>
            </w:r>
            <w:r w:rsidR="00D623D8" w:rsidRPr="00D623D8">
              <w:rPr>
                <w:bCs/>
                <w:sz w:val="22"/>
              </w:rPr>
              <w:t xml:space="preserve"> Novelou se zároveň snižuje riziko případného kolapsu v případě problémů při transformaci na novou institucionální strukturu obsaženou v novém stavebním zákoně.</w:t>
            </w:r>
          </w:p>
          <w:p w14:paraId="68CA2EAE" w14:textId="6CF8E232" w:rsidR="00B0094F" w:rsidRPr="00D623D8" w:rsidRDefault="002C62D0" w:rsidP="00197E1E">
            <w:pPr>
              <w:widowControl w:val="0"/>
              <w:rPr>
                <w:bCs/>
                <w:sz w:val="22"/>
              </w:rPr>
            </w:pPr>
            <w:r w:rsidRPr="00D623D8">
              <w:rPr>
                <w:bCs/>
                <w:sz w:val="22"/>
              </w:rPr>
              <w:t>K</w:t>
            </w:r>
            <w:r w:rsidR="00B0094F" w:rsidRPr="00D623D8">
              <w:rPr>
                <w:bCs/>
                <w:sz w:val="22"/>
              </w:rPr>
              <w:t xml:space="preserve">líčovou podmínkou úspěšného a efektivního fungování je </w:t>
            </w:r>
            <w:r w:rsidR="00D623D8" w:rsidRPr="00D623D8">
              <w:rPr>
                <w:bCs/>
                <w:sz w:val="22"/>
              </w:rPr>
              <w:t xml:space="preserve">stejně jako u nového stavebního zákona </w:t>
            </w:r>
            <w:r w:rsidR="00B0094F" w:rsidRPr="00D623D8">
              <w:rPr>
                <w:bCs/>
                <w:sz w:val="22"/>
              </w:rPr>
              <w:t>co možná nejvyšší stupeň digitalizace umožňující všem oprávněným stranám přístup k potřebným elektronickým zdrojům.</w:t>
            </w:r>
            <w:bookmarkEnd w:id="3"/>
          </w:p>
        </w:tc>
      </w:tr>
      <w:tr w:rsidR="00B0094F" w:rsidRPr="00B0094F" w14:paraId="0D2C1BEB"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1DD84718" w14:textId="77777777" w:rsidR="00B0094F" w:rsidRPr="00144301" w:rsidRDefault="00B0094F" w:rsidP="00197E1E">
            <w:pPr>
              <w:widowControl w:val="0"/>
              <w:tabs>
                <w:tab w:val="left" w:pos="1037"/>
              </w:tabs>
              <w:rPr>
                <w:bCs/>
                <w:sz w:val="22"/>
              </w:rPr>
            </w:pPr>
            <w:r w:rsidRPr="00144301">
              <w:rPr>
                <w:bCs/>
                <w:sz w:val="22"/>
              </w:rPr>
              <w:t xml:space="preserve">3.4 Dopady na územní samosprávné celky (obce, kraje): </w:t>
            </w:r>
            <w:r w:rsidRPr="00144301">
              <w:rPr>
                <w:bCs/>
                <w:sz w:val="22"/>
              </w:rPr>
              <w:fldChar w:fldCharType="begin">
                <w:ffData>
                  <w:name w:val=""/>
                  <w:enabled/>
                  <w:calcOnExit w:val="0"/>
                  <w:ddList>
                    <w:listEntry w:val="Ano"/>
                    <w:listEntry w:val="Vyberte Ano / Ne"/>
                    <w:listEntry w:val="Ne"/>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r w:rsidRPr="00144301">
              <w:rPr>
                <w:bCs/>
                <w:sz w:val="22"/>
              </w:rPr>
              <w:t xml:space="preserve"> </w:t>
            </w:r>
          </w:p>
        </w:tc>
      </w:tr>
      <w:tr w:rsidR="00B0094F" w:rsidRPr="00B0094F" w14:paraId="2634BC3F"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tcPr>
          <w:p w14:paraId="7037C2B0" w14:textId="39CD7A12" w:rsidR="00B0094F" w:rsidRPr="00144301" w:rsidRDefault="007C792B" w:rsidP="00197E1E">
            <w:pPr>
              <w:widowControl w:val="0"/>
              <w:tabs>
                <w:tab w:val="left" w:pos="1037"/>
              </w:tabs>
              <w:rPr>
                <w:bCs/>
                <w:sz w:val="22"/>
              </w:rPr>
            </w:pPr>
            <w:r>
              <w:rPr>
                <w:bCs/>
                <w:sz w:val="22"/>
              </w:rPr>
              <w:t>V porovnání s potenciálními změnami spojenými s novým stavebním zákonem k</w:t>
            </w:r>
            <w:r w:rsidR="00B0094F" w:rsidRPr="00144301">
              <w:rPr>
                <w:bCs/>
                <w:sz w:val="22"/>
              </w:rPr>
              <w:t> významné změně nedojde</w:t>
            </w:r>
            <w:r>
              <w:rPr>
                <w:bCs/>
                <w:sz w:val="22"/>
              </w:rPr>
              <w:t>.</w:t>
            </w:r>
            <w:r w:rsidR="00B0094F" w:rsidRPr="00144301">
              <w:rPr>
                <w:bCs/>
                <w:sz w:val="22"/>
              </w:rPr>
              <w:t xml:space="preserve"> </w:t>
            </w:r>
          </w:p>
        </w:tc>
      </w:tr>
      <w:tr w:rsidR="00B0094F" w:rsidRPr="00B0094F" w14:paraId="6F7D5CC3"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50267C5A" w14:textId="77777777" w:rsidR="00B0094F" w:rsidRPr="00144301" w:rsidRDefault="00B0094F" w:rsidP="00197E1E">
            <w:pPr>
              <w:widowControl w:val="0"/>
              <w:tabs>
                <w:tab w:val="left" w:pos="1037"/>
                <w:tab w:val="left" w:pos="3970"/>
              </w:tabs>
              <w:rPr>
                <w:bCs/>
                <w:sz w:val="22"/>
              </w:rPr>
            </w:pPr>
            <w:bookmarkStart w:id="4" w:name="_Hlk100143091"/>
            <w:r w:rsidRPr="00144301">
              <w:rPr>
                <w:bCs/>
                <w:sz w:val="22"/>
              </w:rPr>
              <w:t xml:space="preserve">3.5 Sociální dopady: </w:t>
            </w:r>
            <w:r w:rsidRPr="00144301">
              <w:rPr>
                <w:bCs/>
                <w:sz w:val="22"/>
              </w:rPr>
              <w:fldChar w:fldCharType="begin">
                <w:ffData>
                  <w:name w:val=""/>
                  <w:enabled/>
                  <w:calcOnExit w:val="0"/>
                  <w:ddList>
                    <w:listEntry w:val="Ano"/>
                    <w:listEntry w:val="Vyberte Ano / Ne"/>
                    <w:listEntry w:val="Ne"/>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r w:rsidRPr="00144301">
              <w:rPr>
                <w:bCs/>
                <w:sz w:val="22"/>
              </w:rPr>
              <w:t xml:space="preserve"> </w:t>
            </w:r>
          </w:p>
        </w:tc>
      </w:tr>
      <w:tr w:rsidR="00B0094F" w:rsidRPr="00B0094F" w14:paraId="770F35EE"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hideMark/>
          </w:tcPr>
          <w:p w14:paraId="375C9D66" w14:textId="0446AF66" w:rsidR="00B0094F" w:rsidRPr="00144301" w:rsidRDefault="00B0094F" w:rsidP="00197E1E">
            <w:pPr>
              <w:widowControl w:val="0"/>
              <w:tabs>
                <w:tab w:val="left" w:pos="1037"/>
              </w:tabs>
              <w:rPr>
                <w:bCs/>
                <w:sz w:val="22"/>
              </w:rPr>
            </w:pPr>
            <w:r w:rsidRPr="00144301">
              <w:rPr>
                <w:bCs/>
                <w:sz w:val="22"/>
              </w:rPr>
              <w:t>Lze předpokládat, že v případě potřeby a zájmu obcí může dojít ke zjednodušení přípravy a realizace výstavby sociálních bytů.</w:t>
            </w:r>
          </w:p>
        </w:tc>
      </w:tr>
      <w:tr w:rsidR="00B0094F" w:rsidRPr="00B0094F" w14:paraId="75DC8205"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1D94F089" w14:textId="77777777" w:rsidR="00B0094F" w:rsidRPr="00144301" w:rsidRDefault="00B0094F" w:rsidP="00197E1E">
            <w:pPr>
              <w:widowControl w:val="0"/>
              <w:tabs>
                <w:tab w:val="left" w:pos="1037"/>
              </w:tabs>
              <w:rPr>
                <w:bCs/>
                <w:sz w:val="22"/>
              </w:rPr>
            </w:pPr>
            <w:r w:rsidRPr="00144301">
              <w:rPr>
                <w:bCs/>
                <w:sz w:val="22"/>
              </w:rPr>
              <w:t xml:space="preserve">3.6 Dopady na spotřebitele: </w:t>
            </w:r>
            <w:r w:rsidRPr="00144301">
              <w:rPr>
                <w:bCs/>
                <w:sz w:val="22"/>
              </w:rPr>
              <w:fldChar w:fldCharType="begin">
                <w:ffData>
                  <w:name w:val=""/>
                  <w:enabled/>
                  <w:calcOnExit/>
                  <w:ddList>
                    <w:listEntry w:val="Ano"/>
                    <w:listEntry w:val="Ne"/>
                    <w:listEntry w:val="Vyberte Ano / Ne"/>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p>
        </w:tc>
      </w:tr>
      <w:tr w:rsidR="00B0094F" w:rsidRPr="00B0094F" w14:paraId="4DB10340"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4FA3F" w14:textId="0503F7D1" w:rsidR="00B0094F" w:rsidRPr="00144301" w:rsidRDefault="00B0094F" w:rsidP="00197E1E">
            <w:pPr>
              <w:widowControl w:val="0"/>
              <w:tabs>
                <w:tab w:val="left" w:pos="1037"/>
              </w:tabs>
              <w:rPr>
                <w:bCs/>
                <w:sz w:val="22"/>
              </w:rPr>
            </w:pPr>
            <w:r w:rsidRPr="00144301">
              <w:rPr>
                <w:bCs/>
                <w:sz w:val="22"/>
              </w:rPr>
              <w:t xml:space="preserve">Rostoucí nabídka bydlení </w:t>
            </w:r>
            <w:r w:rsidR="00144301">
              <w:rPr>
                <w:bCs/>
                <w:sz w:val="22"/>
              </w:rPr>
              <w:t xml:space="preserve">by mohla částečně </w:t>
            </w:r>
            <w:r w:rsidRPr="00144301">
              <w:rPr>
                <w:bCs/>
                <w:sz w:val="22"/>
              </w:rPr>
              <w:t>zpomal</w:t>
            </w:r>
            <w:r w:rsidR="00144301">
              <w:rPr>
                <w:bCs/>
                <w:sz w:val="22"/>
              </w:rPr>
              <w:t>it</w:t>
            </w:r>
            <w:r w:rsidRPr="00144301">
              <w:rPr>
                <w:bCs/>
                <w:sz w:val="22"/>
              </w:rPr>
              <w:t xml:space="preserve"> či zastav</w:t>
            </w:r>
            <w:r w:rsidR="00144301">
              <w:rPr>
                <w:bCs/>
                <w:sz w:val="22"/>
              </w:rPr>
              <w:t>it</w:t>
            </w:r>
            <w:r w:rsidRPr="00144301">
              <w:rPr>
                <w:bCs/>
                <w:sz w:val="22"/>
              </w:rPr>
              <w:t xml:space="preserve"> růst cen nemovitostí.</w:t>
            </w:r>
          </w:p>
        </w:tc>
      </w:tr>
      <w:bookmarkEnd w:id="4"/>
      <w:tr w:rsidR="00B0094F" w:rsidRPr="00B0094F" w14:paraId="335ACA17" w14:textId="77777777" w:rsidTr="00197E1E">
        <w:trPr>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1AD68937" w14:textId="77777777" w:rsidR="00B0094F" w:rsidRPr="00144301" w:rsidRDefault="00B0094F" w:rsidP="00197E1E">
            <w:pPr>
              <w:widowControl w:val="0"/>
              <w:tabs>
                <w:tab w:val="left" w:pos="1037"/>
              </w:tabs>
              <w:rPr>
                <w:bCs/>
                <w:sz w:val="22"/>
              </w:rPr>
            </w:pPr>
            <w:r w:rsidRPr="00144301">
              <w:rPr>
                <w:bCs/>
                <w:sz w:val="22"/>
              </w:rPr>
              <w:t xml:space="preserve">3.7 Dopady na životní prostředí: </w:t>
            </w:r>
            <w:r w:rsidRPr="00144301">
              <w:rPr>
                <w:bCs/>
                <w:sz w:val="22"/>
              </w:rPr>
              <w:fldChar w:fldCharType="begin">
                <w:ffData>
                  <w:name w:val=""/>
                  <w:enabled/>
                  <w:calcOnExit w:val="0"/>
                  <w:ddList>
                    <w:listEntry w:val="Ne"/>
                    <w:listEntry w:val="Vyberte Ano / Ne"/>
                    <w:listEntry w:val="Ano"/>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r w:rsidRPr="00144301">
              <w:rPr>
                <w:bCs/>
                <w:sz w:val="22"/>
              </w:rPr>
              <w:t xml:space="preserve"> </w:t>
            </w:r>
          </w:p>
        </w:tc>
      </w:tr>
      <w:tr w:rsidR="00B0094F" w:rsidRPr="00B0094F" w14:paraId="671D8F17" w14:textId="77777777" w:rsidTr="00197E1E">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3D07964B" w14:textId="77777777" w:rsidR="00B0094F" w:rsidRPr="00144301" w:rsidRDefault="00B0094F" w:rsidP="00197E1E">
            <w:pPr>
              <w:widowControl w:val="0"/>
              <w:tabs>
                <w:tab w:val="left" w:pos="1037"/>
              </w:tabs>
              <w:rPr>
                <w:bCs/>
                <w:sz w:val="22"/>
              </w:rPr>
            </w:pPr>
            <w:r w:rsidRPr="00144301">
              <w:rPr>
                <w:sz w:val="22"/>
              </w:rPr>
              <w:t>3.8 Dopady ve vztahu k zákazu diskriminace a ve vztahu k rovnosti žen a mužů</w:t>
            </w:r>
            <w:r w:rsidRPr="00144301">
              <w:rPr>
                <w:bCs/>
                <w:sz w:val="22"/>
              </w:rPr>
              <w:t xml:space="preserve">: </w:t>
            </w:r>
            <w:r w:rsidRPr="00144301">
              <w:rPr>
                <w:bCs/>
                <w:sz w:val="22"/>
              </w:rPr>
              <w:fldChar w:fldCharType="begin">
                <w:ffData>
                  <w:name w:val=""/>
                  <w:enabled/>
                  <w:calcOnExit w:val="0"/>
                  <w:ddList>
                    <w:listEntry w:val="Ne"/>
                    <w:listEntry w:val="Vyberte Ano / Ne"/>
                    <w:listEntry w:val="Ano"/>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p>
        </w:tc>
      </w:tr>
      <w:tr w:rsidR="00B0094F" w:rsidRPr="00B0094F" w14:paraId="5688C1E5" w14:textId="77777777" w:rsidTr="00197E1E">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74074902" w14:textId="77777777" w:rsidR="00B0094F" w:rsidRPr="00144301" w:rsidRDefault="00B0094F" w:rsidP="00197E1E">
            <w:pPr>
              <w:widowControl w:val="0"/>
              <w:tabs>
                <w:tab w:val="left" w:pos="1037"/>
              </w:tabs>
              <w:rPr>
                <w:bCs/>
                <w:sz w:val="22"/>
              </w:rPr>
            </w:pPr>
            <w:r w:rsidRPr="00144301">
              <w:rPr>
                <w:bCs/>
                <w:sz w:val="22"/>
              </w:rPr>
              <w:t xml:space="preserve">3.9 Dopady na výkon státní statistické služby: </w:t>
            </w:r>
            <w:r w:rsidRPr="00144301">
              <w:rPr>
                <w:bCs/>
                <w:sz w:val="22"/>
              </w:rPr>
              <w:fldChar w:fldCharType="begin">
                <w:ffData>
                  <w:name w:val=""/>
                  <w:enabled/>
                  <w:calcOnExit w:val="0"/>
                  <w:ddList>
                    <w:listEntry w:val="Ne"/>
                    <w:listEntry w:val="Vyberte Ano / Ne"/>
                    <w:listEntry w:val="Ano"/>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p>
        </w:tc>
      </w:tr>
      <w:tr w:rsidR="00B0094F" w:rsidRPr="00B0094F" w14:paraId="61F67202" w14:textId="77777777" w:rsidTr="00197E1E">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578344E2" w14:textId="77777777" w:rsidR="00B0094F" w:rsidRPr="00144301" w:rsidRDefault="00B0094F" w:rsidP="00197E1E">
            <w:pPr>
              <w:widowControl w:val="0"/>
              <w:tabs>
                <w:tab w:val="left" w:pos="1037"/>
              </w:tabs>
              <w:rPr>
                <w:bCs/>
                <w:sz w:val="22"/>
              </w:rPr>
            </w:pPr>
            <w:r w:rsidRPr="00144301">
              <w:rPr>
                <w:bCs/>
                <w:sz w:val="22"/>
              </w:rPr>
              <w:t xml:space="preserve">3.10 Korupční rizika: </w:t>
            </w:r>
            <w:r w:rsidRPr="00144301">
              <w:rPr>
                <w:bCs/>
                <w:sz w:val="22"/>
              </w:rPr>
              <w:fldChar w:fldCharType="begin">
                <w:ffData>
                  <w:name w:val=""/>
                  <w:enabled/>
                  <w:calcOnExit w:val="0"/>
                  <w:ddList>
                    <w:listEntry w:val="Ano"/>
                    <w:listEntry w:val="Vyberte Ano / Ne"/>
                    <w:listEntry w:val="Ne"/>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p>
        </w:tc>
      </w:tr>
      <w:tr w:rsidR="00B0094F" w:rsidRPr="00B0094F" w14:paraId="7CEC0A89" w14:textId="77777777" w:rsidTr="00197E1E">
        <w:trPr>
          <w:trHeight w:val="411"/>
          <w:jc w:val="center"/>
        </w:trPr>
        <w:tc>
          <w:tcPr>
            <w:tcW w:w="9645" w:type="dxa"/>
            <w:tcBorders>
              <w:top w:val="single" w:sz="4" w:space="0" w:color="auto"/>
              <w:left w:val="single" w:sz="4" w:space="0" w:color="auto"/>
              <w:bottom w:val="single" w:sz="4" w:space="0" w:color="auto"/>
              <w:right w:val="single" w:sz="4" w:space="0" w:color="auto"/>
            </w:tcBorders>
            <w:hideMark/>
          </w:tcPr>
          <w:p w14:paraId="67748A57" w14:textId="007D100B" w:rsidR="00B0094F" w:rsidRPr="00144301" w:rsidRDefault="00144301" w:rsidP="00144301">
            <w:pPr>
              <w:widowControl w:val="0"/>
              <w:tabs>
                <w:tab w:val="left" w:pos="1037"/>
              </w:tabs>
              <w:rPr>
                <w:bCs/>
                <w:sz w:val="22"/>
              </w:rPr>
            </w:pPr>
            <w:r w:rsidRPr="00144301">
              <w:rPr>
                <w:bCs/>
                <w:sz w:val="22"/>
              </w:rPr>
              <w:t>Návrh novely zákona</w:t>
            </w:r>
            <w:r w:rsidR="00B0094F" w:rsidRPr="00144301">
              <w:rPr>
                <w:bCs/>
                <w:sz w:val="22"/>
              </w:rPr>
              <w:t xml:space="preserve"> by z hlediska korupčních rizik měl mít </w:t>
            </w:r>
            <w:r w:rsidRPr="00144301">
              <w:rPr>
                <w:bCs/>
                <w:sz w:val="22"/>
              </w:rPr>
              <w:t xml:space="preserve">pozitivní vliv ve formě </w:t>
            </w:r>
            <w:r w:rsidR="00B0094F" w:rsidRPr="00144301">
              <w:rPr>
                <w:bCs/>
                <w:sz w:val="22"/>
              </w:rPr>
              <w:t>snížení korupčního potenciálu díky obecně vyšší profesionalizaci úředníků stavebních úřadů</w:t>
            </w:r>
            <w:r w:rsidRPr="00144301">
              <w:rPr>
                <w:bCs/>
                <w:sz w:val="22"/>
              </w:rPr>
              <w:t>.</w:t>
            </w:r>
          </w:p>
        </w:tc>
      </w:tr>
      <w:tr w:rsidR="00B0094F" w14:paraId="3FEC1E19" w14:textId="77777777" w:rsidTr="00197E1E">
        <w:trPr>
          <w:trHeight w:val="411"/>
          <w:jc w:val="center"/>
        </w:trPr>
        <w:tc>
          <w:tcPr>
            <w:tcW w:w="9645" w:type="dxa"/>
            <w:tcBorders>
              <w:top w:val="single" w:sz="4" w:space="0" w:color="auto"/>
              <w:left w:val="single" w:sz="4" w:space="0" w:color="auto"/>
              <w:bottom w:val="single" w:sz="4" w:space="0" w:color="auto"/>
              <w:right w:val="single" w:sz="4" w:space="0" w:color="auto"/>
            </w:tcBorders>
            <w:shd w:val="clear" w:color="auto" w:fill="99CCFF"/>
            <w:hideMark/>
          </w:tcPr>
          <w:p w14:paraId="065D2F4C" w14:textId="77777777" w:rsidR="00B0094F" w:rsidRPr="00144301" w:rsidRDefault="00B0094F" w:rsidP="00197E1E">
            <w:pPr>
              <w:widowControl w:val="0"/>
              <w:tabs>
                <w:tab w:val="left" w:pos="1037"/>
              </w:tabs>
              <w:rPr>
                <w:bCs/>
                <w:sz w:val="22"/>
              </w:rPr>
            </w:pPr>
            <w:r w:rsidRPr="00144301">
              <w:rPr>
                <w:bCs/>
                <w:sz w:val="22"/>
              </w:rPr>
              <w:t xml:space="preserve">3.11 Dopady na bezpečnost nebo obranu státu: </w:t>
            </w:r>
            <w:r w:rsidRPr="00144301">
              <w:rPr>
                <w:bCs/>
                <w:sz w:val="22"/>
              </w:rPr>
              <w:fldChar w:fldCharType="begin">
                <w:ffData>
                  <w:name w:val=""/>
                  <w:enabled/>
                  <w:calcOnExit w:val="0"/>
                  <w:ddList>
                    <w:listEntry w:val="Ne"/>
                    <w:listEntry w:val="Vyberte Ano / Ne"/>
                    <w:listEntry w:val="Ano"/>
                  </w:ddList>
                </w:ffData>
              </w:fldChar>
            </w:r>
            <w:r w:rsidRPr="00144301">
              <w:rPr>
                <w:bCs/>
                <w:sz w:val="22"/>
              </w:rPr>
              <w:instrText xml:space="preserve"> FORMDROPDOWN </w:instrText>
            </w:r>
            <w:r w:rsidR="004B0591">
              <w:rPr>
                <w:bCs/>
                <w:sz w:val="22"/>
              </w:rPr>
            </w:r>
            <w:r w:rsidR="004B0591">
              <w:rPr>
                <w:bCs/>
                <w:sz w:val="22"/>
              </w:rPr>
              <w:fldChar w:fldCharType="separate"/>
            </w:r>
            <w:r w:rsidRPr="00144301">
              <w:rPr>
                <w:bCs/>
                <w:sz w:val="22"/>
              </w:rPr>
              <w:fldChar w:fldCharType="end"/>
            </w:r>
          </w:p>
        </w:tc>
      </w:tr>
    </w:tbl>
    <w:p w14:paraId="031916F3" w14:textId="77777777" w:rsidR="00144301" w:rsidRPr="00144301" w:rsidRDefault="00144301" w:rsidP="00144301">
      <w:pPr>
        <w:pStyle w:val="Normln-tun"/>
      </w:pPr>
      <w:bookmarkStart w:id="5" w:name="_Toc99544558"/>
      <w:bookmarkEnd w:id="0"/>
    </w:p>
    <w:p w14:paraId="23F7B006" w14:textId="77777777" w:rsidR="00144301" w:rsidRDefault="00144301">
      <w:pPr>
        <w:spacing w:before="0" w:after="0"/>
        <w:jc w:val="left"/>
        <w:rPr>
          <w:rFonts w:ascii="Cambria" w:eastAsia="Times New Roman" w:hAnsi="Cambria"/>
          <w:b/>
          <w:bCs/>
          <w:color w:val="B6B002"/>
          <w:sz w:val="28"/>
          <w:szCs w:val="28"/>
        </w:rPr>
      </w:pPr>
      <w:r>
        <w:br w:type="page"/>
      </w:r>
    </w:p>
    <w:p w14:paraId="4D7AAD9A" w14:textId="749219E1" w:rsidR="00345ACF" w:rsidRPr="00BD6BD3" w:rsidRDefault="00345ACF" w:rsidP="00BD6BD3">
      <w:pPr>
        <w:pStyle w:val="Nadpis10"/>
        <w:rPr>
          <w:rFonts w:eastAsia="Calibri"/>
        </w:rPr>
      </w:pPr>
      <w:r w:rsidRPr="00BD6BD3">
        <w:lastRenderedPageBreak/>
        <w:t>Důvod předložení a cíle</w:t>
      </w:r>
      <w:bookmarkEnd w:id="5"/>
    </w:p>
    <w:p w14:paraId="7662D817" w14:textId="77777777" w:rsidR="00345ACF" w:rsidRPr="00795817" w:rsidRDefault="00345ACF" w:rsidP="00FA4BB8">
      <w:pPr>
        <w:pStyle w:val="Nadpis20"/>
      </w:pPr>
      <w:r w:rsidRPr="00795817">
        <w:t xml:space="preserve">Název </w:t>
      </w:r>
      <w:bookmarkStart w:id="6" w:name="_Toc98324287"/>
      <w:bookmarkStart w:id="7" w:name="_Toc98326054"/>
      <w:bookmarkStart w:id="8" w:name="_Toc99039536"/>
      <w:bookmarkStart w:id="9" w:name="_Toc99099870"/>
      <w:bookmarkStart w:id="10" w:name="_Toc99544559"/>
      <w:bookmarkEnd w:id="6"/>
      <w:bookmarkEnd w:id="7"/>
      <w:bookmarkEnd w:id="8"/>
      <w:bookmarkEnd w:id="9"/>
      <w:bookmarkEnd w:id="10"/>
    </w:p>
    <w:p w14:paraId="085D9E4C" w14:textId="6BFC45A5" w:rsidR="00DC6DFD" w:rsidRDefault="00DC6DFD" w:rsidP="002357D7">
      <w:pPr>
        <w:pStyle w:val="Normln-tun"/>
        <w:widowControl w:val="0"/>
      </w:pPr>
      <w:r>
        <w:t>Návrh</w:t>
      </w:r>
      <w:r w:rsidR="004B0591">
        <w:t xml:space="preserve"> zákona,</w:t>
      </w:r>
      <w:r>
        <w:t xml:space="preserve"> </w:t>
      </w:r>
      <w:r w:rsidR="004B0591" w:rsidRPr="004B0591">
        <w:t>kterým se mění zákon č. 283/2021 Sb., stavební zákon, a některé další související zákony</w:t>
      </w:r>
    </w:p>
    <w:p w14:paraId="18D1761D" w14:textId="77777777" w:rsidR="00DC6DFD" w:rsidRDefault="00DC6DFD" w:rsidP="002357D7">
      <w:pPr>
        <w:pStyle w:val="Normln-tun"/>
        <w:widowControl w:val="0"/>
      </w:pPr>
    </w:p>
    <w:p w14:paraId="0EF2643D" w14:textId="3BCC421D" w:rsidR="000F79A8" w:rsidRDefault="00345ACF" w:rsidP="00FA4BB8">
      <w:pPr>
        <w:pStyle w:val="Nadpis20"/>
      </w:pPr>
      <w:bookmarkStart w:id="11" w:name="_Ref380057366"/>
      <w:r w:rsidRPr="00795817">
        <w:t>Definice problému</w:t>
      </w:r>
      <w:bookmarkStart w:id="12" w:name="_Toc98324288"/>
      <w:bookmarkStart w:id="13" w:name="_Toc98326055"/>
      <w:bookmarkStart w:id="14" w:name="_Toc99039537"/>
      <w:bookmarkStart w:id="15" w:name="_Toc99099871"/>
      <w:bookmarkStart w:id="16" w:name="_Toc99544560"/>
      <w:bookmarkEnd w:id="11"/>
      <w:bookmarkEnd w:id="12"/>
      <w:bookmarkEnd w:id="13"/>
      <w:bookmarkEnd w:id="14"/>
      <w:bookmarkEnd w:id="15"/>
      <w:bookmarkEnd w:id="16"/>
    </w:p>
    <w:p w14:paraId="55F94F51" w14:textId="4ADBBF4F" w:rsidR="00EC5C88" w:rsidRDefault="00EC5C88" w:rsidP="00DD412F">
      <w:pPr>
        <w:pStyle w:val="Normln-tun"/>
      </w:pPr>
      <w:bookmarkStart w:id="17" w:name="_Toc535835927"/>
      <w:bookmarkStart w:id="18" w:name="_Toc25570961"/>
      <w:r w:rsidRPr="00EC5C88">
        <w:t xml:space="preserve">Následující kapitola obsahuje </w:t>
      </w:r>
      <w:r>
        <w:t xml:space="preserve">základní údaje o existující současné struktuře stavebních úřadů, ze které budeme čerpat konkrétní data pro návrh a hodnocení variant. Tato část bude následována shrnutím, jakým způsobem se měla </w:t>
      </w:r>
      <w:r w:rsidR="003E3314">
        <w:t xml:space="preserve">tato struktura transformovat dle návrhu nového stavebního zákona a proč. </w:t>
      </w:r>
      <w:r w:rsidR="003640AE">
        <w:t>Dále bude popsáno</w:t>
      </w:r>
      <w:r w:rsidR="003E3314">
        <w:t>, jak prozatím postoupila implementace nového stavebního zákona. Z těchto informací by měl</w:t>
      </w:r>
      <w:r w:rsidR="003640AE">
        <w:t>y</w:t>
      </w:r>
      <w:r w:rsidR="003E3314">
        <w:t xml:space="preserve"> vyplynout </w:t>
      </w:r>
      <w:r w:rsidR="003640AE">
        <w:t xml:space="preserve">případné problémy, které budou identifikovány v závěru kapitoly a na které budou navazovat </w:t>
      </w:r>
      <w:r w:rsidR="003E3314">
        <w:t>následn</w:t>
      </w:r>
      <w:r w:rsidR="003640AE">
        <w:t>é</w:t>
      </w:r>
      <w:r w:rsidR="003E3314">
        <w:t xml:space="preserve"> kapitol</w:t>
      </w:r>
      <w:r w:rsidR="003640AE">
        <w:t>y</w:t>
      </w:r>
      <w:r w:rsidR="003E3314">
        <w:t xml:space="preserve"> RIA. </w:t>
      </w:r>
    </w:p>
    <w:p w14:paraId="56808648" w14:textId="6DA6F4C1" w:rsidR="003E3314" w:rsidRPr="003E3314" w:rsidRDefault="003E3314" w:rsidP="00DD412F">
      <w:pPr>
        <w:pStyle w:val="Normln-tun"/>
        <w:rPr>
          <w:b/>
          <w:bCs/>
          <w:smallCaps/>
        </w:rPr>
      </w:pPr>
      <w:r w:rsidRPr="003E3314">
        <w:rPr>
          <w:b/>
          <w:bCs/>
          <w:smallCaps/>
        </w:rPr>
        <w:t>Existující struktura stavebních úřadů v</w:t>
      </w:r>
      <w:r w:rsidR="002D0DB0">
        <w:rPr>
          <w:b/>
          <w:bCs/>
          <w:smallCaps/>
        </w:rPr>
        <w:t> </w:t>
      </w:r>
      <w:r w:rsidRPr="003E3314">
        <w:rPr>
          <w:b/>
          <w:bCs/>
          <w:smallCaps/>
        </w:rPr>
        <w:t>ČR</w:t>
      </w:r>
      <w:r w:rsidR="002D0DB0">
        <w:rPr>
          <w:rStyle w:val="Znakapoznpodarou"/>
          <w:b/>
          <w:bCs/>
          <w:smallCaps/>
        </w:rPr>
        <w:footnoteReference w:id="2"/>
      </w:r>
      <w:r w:rsidR="002D0DB0">
        <w:rPr>
          <w:b/>
          <w:bCs/>
          <w:smallCaps/>
        </w:rPr>
        <w:t xml:space="preserve"> </w:t>
      </w:r>
    </w:p>
    <w:p w14:paraId="03F983FB" w14:textId="06E1BD88" w:rsidR="003E487F" w:rsidRPr="003E3314" w:rsidRDefault="003E487F" w:rsidP="003E487F">
      <w:pPr>
        <w:pStyle w:val="Text-Normaln"/>
        <w:rPr>
          <w:smallCaps/>
          <w:u w:val="single"/>
        </w:rPr>
      </w:pPr>
      <w:r w:rsidRPr="003E3314">
        <w:rPr>
          <w:smallCaps/>
          <w:u w:val="single"/>
        </w:rPr>
        <w:t>Obecné stavební úřady (OSÚ)</w:t>
      </w:r>
    </w:p>
    <w:p w14:paraId="1648E351" w14:textId="69C9401C" w:rsidR="003E487F" w:rsidRPr="00EC1BC0" w:rsidRDefault="003E487F" w:rsidP="003E487F">
      <w:pPr>
        <w:pStyle w:val="Text-Normaln"/>
        <w:widowControl w:val="0"/>
      </w:pPr>
      <w:r w:rsidRPr="00EC1BC0">
        <w:rPr>
          <w:b/>
        </w:rPr>
        <w:t>Prvoinstančních OSÚ</w:t>
      </w:r>
      <w:r w:rsidRPr="00EC1BC0">
        <w:t xml:space="preserve"> je celkem 69</w:t>
      </w:r>
      <w:r w:rsidR="00C460F5" w:rsidRPr="00EC1BC0">
        <w:t xml:space="preserve">4 </w:t>
      </w:r>
      <w:r w:rsidRPr="00EC1BC0">
        <w:t>(i se započtením úřadů při městských obvodech a městských částech statutárních měst). Zaměstnávají celkem 3 50</w:t>
      </w:r>
      <w:r w:rsidR="00C460F5" w:rsidRPr="00EC1BC0">
        <w:t>0</w:t>
      </w:r>
      <w:r w:rsidRPr="00EC1BC0">
        <w:t xml:space="preserve"> osob se 3 35</w:t>
      </w:r>
      <w:r w:rsidR="00C460F5" w:rsidRPr="00EC1BC0">
        <w:t>6</w:t>
      </w:r>
      <w:r w:rsidRPr="00EC1BC0">
        <w:t xml:space="preserve"> úvazky. V průměru připadá na jeden OSÚ 4,8</w:t>
      </w:r>
      <w:r w:rsidR="00C460F5" w:rsidRPr="00EC1BC0">
        <w:t>4</w:t>
      </w:r>
      <w:r w:rsidRPr="00EC1BC0">
        <w:t xml:space="preserve"> pracovního úvazku. </w:t>
      </w:r>
      <w:r w:rsidR="00091408">
        <w:t>Rozdělení stavebních úřadů mezi jednotlivé typy obcí je následující.</w:t>
      </w:r>
    </w:p>
    <w:tbl>
      <w:tblPr>
        <w:tblStyle w:val="Barevntabulkaseznamu6zvraznn51"/>
        <w:tblW w:w="2972" w:type="dxa"/>
        <w:tblLook w:val="04A0" w:firstRow="1" w:lastRow="0" w:firstColumn="1" w:lastColumn="0" w:noHBand="0" w:noVBand="1"/>
      </w:tblPr>
      <w:tblGrid>
        <w:gridCol w:w="1980"/>
        <w:gridCol w:w="992"/>
      </w:tblGrid>
      <w:tr w:rsidR="004C292E" w:rsidRPr="00E520C2" w14:paraId="40F28313" w14:textId="77777777" w:rsidTr="00C460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A1EA877" w14:textId="225C37AE" w:rsidR="004C292E" w:rsidRPr="00E520C2" w:rsidRDefault="004C292E" w:rsidP="00E520C2">
            <w:pPr>
              <w:spacing w:before="0" w:after="0"/>
              <w:jc w:val="left"/>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Počet SÚ 2020</w:t>
            </w:r>
          </w:p>
        </w:tc>
        <w:tc>
          <w:tcPr>
            <w:tcW w:w="992" w:type="dxa"/>
            <w:noWrap/>
            <w:vAlign w:val="center"/>
          </w:tcPr>
          <w:p w14:paraId="6531C229" w14:textId="77777777" w:rsidR="004C292E" w:rsidRPr="00E520C2" w:rsidRDefault="004C292E" w:rsidP="00E520C2">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r>
      <w:tr w:rsidR="004C292E" w:rsidRPr="00E520C2" w14:paraId="229EDEE9" w14:textId="77777777" w:rsidTr="00C460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9481481" w14:textId="77777777" w:rsidR="004C292E" w:rsidRPr="004C292E" w:rsidRDefault="004C292E" w:rsidP="00E520C2">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 typu</w:t>
            </w:r>
          </w:p>
        </w:tc>
        <w:tc>
          <w:tcPr>
            <w:tcW w:w="992" w:type="dxa"/>
            <w:noWrap/>
            <w:vAlign w:val="center"/>
            <w:hideMark/>
          </w:tcPr>
          <w:p w14:paraId="2D4747EB" w14:textId="139A5098" w:rsidR="004C292E" w:rsidRPr="004C292E" w:rsidRDefault="004C292E" w:rsidP="00E520C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225</w:t>
            </w:r>
          </w:p>
        </w:tc>
      </w:tr>
      <w:tr w:rsidR="004C292E" w:rsidRPr="00E520C2" w14:paraId="1E8EFFF5" w14:textId="77777777" w:rsidTr="00C460F5">
        <w:trPr>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3DA50A2" w14:textId="77777777" w:rsidR="004C292E" w:rsidRPr="004C292E" w:rsidRDefault="004C292E" w:rsidP="00E520C2">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 typu</w:t>
            </w:r>
          </w:p>
        </w:tc>
        <w:tc>
          <w:tcPr>
            <w:tcW w:w="992" w:type="dxa"/>
            <w:noWrap/>
            <w:vAlign w:val="center"/>
          </w:tcPr>
          <w:p w14:paraId="29543556" w14:textId="2FE814AA" w:rsidR="004C292E" w:rsidRPr="004C292E" w:rsidRDefault="004C292E" w:rsidP="00E520C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187</w:t>
            </w:r>
          </w:p>
        </w:tc>
      </w:tr>
      <w:tr w:rsidR="004C292E" w:rsidRPr="00E520C2" w14:paraId="5F3B6F3A" w14:textId="77777777" w:rsidTr="00C460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EFE1A11" w14:textId="77777777" w:rsidR="004C292E" w:rsidRPr="004C292E" w:rsidRDefault="004C292E" w:rsidP="00E520C2">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III. typu</w:t>
            </w:r>
          </w:p>
        </w:tc>
        <w:tc>
          <w:tcPr>
            <w:tcW w:w="992" w:type="dxa"/>
            <w:noWrap/>
            <w:vAlign w:val="center"/>
          </w:tcPr>
          <w:p w14:paraId="253AE3A1" w14:textId="19E46C1E" w:rsidR="004C292E" w:rsidRPr="004C292E" w:rsidRDefault="003521E5" w:rsidP="00E520C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202</w:t>
            </w:r>
          </w:p>
        </w:tc>
      </w:tr>
      <w:tr w:rsidR="004C292E" w:rsidRPr="00E520C2" w14:paraId="1EC34C91" w14:textId="77777777" w:rsidTr="00C460F5">
        <w:trPr>
          <w:trHeight w:val="288"/>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626F8D0" w14:textId="77777777" w:rsidR="004C292E" w:rsidRPr="004C292E" w:rsidRDefault="004C292E" w:rsidP="00E520C2">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ÚČSM</w:t>
            </w:r>
          </w:p>
        </w:tc>
        <w:tc>
          <w:tcPr>
            <w:tcW w:w="992" w:type="dxa"/>
            <w:noWrap/>
            <w:vAlign w:val="center"/>
          </w:tcPr>
          <w:p w14:paraId="2023F6E4" w14:textId="0D816085" w:rsidR="004C292E" w:rsidRPr="004C292E" w:rsidRDefault="003521E5" w:rsidP="00E520C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80</w:t>
            </w:r>
          </w:p>
        </w:tc>
      </w:tr>
      <w:tr w:rsidR="004C292E" w:rsidRPr="00E520C2" w14:paraId="1F145520" w14:textId="77777777" w:rsidTr="00C460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55D11F2" w14:textId="77777777" w:rsidR="004C292E" w:rsidRPr="004C292E" w:rsidRDefault="004C292E" w:rsidP="00E520C2">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ČR</w:t>
            </w:r>
          </w:p>
        </w:tc>
        <w:tc>
          <w:tcPr>
            <w:tcW w:w="992" w:type="dxa"/>
            <w:noWrap/>
            <w:vAlign w:val="center"/>
          </w:tcPr>
          <w:p w14:paraId="1E863E64" w14:textId="18E2DFE4" w:rsidR="004C292E" w:rsidRPr="004C292E" w:rsidRDefault="003521E5" w:rsidP="00E520C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694</w:t>
            </w:r>
          </w:p>
        </w:tc>
      </w:tr>
    </w:tbl>
    <w:p w14:paraId="181F44D0" w14:textId="0C550F84" w:rsidR="00A63E84" w:rsidRPr="00124479" w:rsidRDefault="00A63E84" w:rsidP="00A63E84">
      <w:pPr>
        <w:pStyle w:val="Citt"/>
        <w:spacing w:before="120"/>
      </w:pPr>
      <w:r w:rsidRPr="00124479">
        <w:t>Zdroj: ÚÚR</w:t>
      </w:r>
      <w:r>
        <w:t>, MMR</w:t>
      </w:r>
    </w:p>
    <w:p w14:paraId="7031E609" w14:textId="13A12A0B" w:rsidR="003E487F" w:rsidRPr="0057296F" w:rsidRDefault="004B085F" w:rsidP="003E487F">
      <w:pPr>
        <w:pStyle w:val="Text-Normaln"/>
        <w:widowControl w:val="0"/>
      </w:pPr>
      <w:r>
        <w:t>Údaje za počet a distribuci nejčastějších úkonů, stejně jako počty odvolacích řízeních proti rozhodnutí</w:t>
      </w:r>
      <w:r w:rsidRPr="004B085F">
        <w:t xml:space="preserve"> prvoinstanční</w:t>
      </w:r>
      <w:r>
        <w:t>ch</w:t>
      </w:r>
      <w:r w:rsidRPr="004B085F">
        <w:t xml:space="preserve"> OSÚ</w:t>
      </w:r>
      <w:r>
        <w:t>, jsou obsaženy v příloze</w:t>
      </w:r>
      <w:r w:rsidR="003E487F" w:rsidRPr="0057296F">
        <w:t xml:space="preserve">. </w:t>
      </w:r>
      <w:r w:rsidRPr="00E568AE">
        <w:t>Z rozhodnutí, které byly napadeny odvoláním, největší podíl počtu rozhodnutí o odvolání, jímž bylo rozhodnutí zrušeno a věc vrácena k novému projednání, mají obce I. typu spolu s ÚČSM.</w:t>
      </w:r>
    </w:p>
    <w:p w14:paraId="3F078FD0" w14:textId="628FEB2C" w:rsidR="003E487F" w:rsidRDefault="003E487F" w:rsidP="003E487F">
      <w:pPr>
        <w:pStyle w:val="Text-Normaln"/>
        <w:widowControl w:val="0"/>
      </w:pPr>
      <w:r w:rsidRPr="00124479">
        <w:rPr>
          <w:b/>
        </w:rPr>
        <w:t>Druhoinstančních OSÚ</w:t>
      </w:r>
      <w:r w:rsidRPr="00124479">
        <w:t xml:space="preserve"> je celkem 17. Zaměstnávají celkem 2</w:t>
      </w:r>
      <w:r w:rsidR="00F606FA" w:rsidRPr="00124479">
        <w:t>27</w:t>
      </w:r>
      <w:r w:rsidRPr="00124479">
        <w:t xml:space="preserve"> osob se 2</w:t>
      </w:r>
      <w:r w:rsidR="00124479">
        <w:t>22</w:t>
      </w:r>
      <w:r w:rsidRPr="00124479">
        <w:t xml:space="preserve"> úvazky. </w:t>
      </w:r>
      <w:r w:rsidR="004B085F">
        <w:t xml:space="preserve"> Data za jejich činnost opět obsahuje Příloha.</w:t>
      </w:r>
    </w:p>
    <w:p w14:paraId="769D2EA7" w14:textId="435A58F9" w:rsidR="001A0E58" w:rsidRPr="00456AEC" w:rsidRDefault="001A0E58" w:rsidP="001A0E58">
      <w:pPr>
        <w:pStyle w:val="Normln-tun"/>
        <w:rPr>
          <w:szCs w:val="24"/>
        </w:rPr>
      </w:pPr>
      <w:r w:rsidRPr="00456AEC">
        <w:rPr>
          <w:szCs w:val="24"/>
        </w:rPr>
        <w:t xml:space="preserve">Dle analýzy výkonu stavebních úřadů vycházející z pravidelného statistického zjišťování </w:t>
      </w:r>
      <w:r w:rsidR="00456AEC" w:rsidRPr="00456AEC">
        <w:rPr>
          <w:szCs w:val="24"/>
        </w:rPr>
        <w:t>ÚÚR</w:t>
      </w:r>
      <w:r w:rsidRPr="00456AEC">
        <w:rPr>
          <w:szCs w:val="24"/>
        </w:rPr>
        <w:t xml:space="preserve"> je celkové zatížení úřadů objemem agendy i jejich personální kapacita výrazně nerovnoměrná. Existuje velké množství úřadů se zcela minimálním výkonem agendy a zároveň s nízkým počtem zaměstnanců (často jeden či dva úředníci). To významně ovlivňuje funkčnost celého systému, kdy malé úřady mohou mít problém se zajištěním adekvátního personálního obsazení úřadů zajištujícího kvalitní výkon veřejné správy v této oblasti. V posledních letech se na vlastní žádost několik obcí vzdalo výkonu stavební agendy právě z důvodu dlouhodobé nemožnosti zajištění personálních kapacit pro výkon agendy (např. Fryšták, Harrachov či Jílové), jiné stavební úřady řeší výkon agendy dlouhodobě prostřednictvím veřejnoprávní smlouvy (Plánice). </w:t>
      </w:r>
    </w:p>
    <w:p w14:paraId="0713C198" w14:textId="1BF6A0B0" w:rsidR="001A0E58" w:rsidRDefault="001A0E58" w:rsidP="001A0E58">
      <w:pPr>
        <w:pStyle w:val="Text-Normaln"/>
        <w:widowControl w:val="0"/>
      </w:pPr>
      <w:r w:rsidRPr="00456AEC">
        <w:rPr>
          <w:szCs w:val="24"/>
        </w:rPr>
        <w:t xml:space="preserve">Zmíněná stávající soustava 694 stavebních úřadů je navíc značně nesourodá co do velikosti správních obvodů, počtu pracovních úvazků pro výkon správních činností i co do počtu úkonů ve </w:t>
      </w:r>
      <w:r w:rsidRPr="00456AEC">
        <w:rPr>
          <w:szCs w:val="24"/>
        </w:rPr>
        <w:lastRenderedPageBreak/>
        <w:t xml:space="preserve">stavebním řízení. Některé stavební úřady vycházejí relativně poddimenzované z hlediska poměru vykonávané činnosti a počtu zaměstnanců, jiné naopak vykazují určitou předimenzovanost. </w:t>
      </w:r>
    </w:p>
    <w:p w14:paraId="37B81EE4" w14:textId="1AF77FBA" w:rsidR="003E487F" w:rsidRPr="003E3314" w:rsidRDefault="003E487F" w:rsidP="003E487F">
      <w:pPr>
        <w:pStyle w:val="Text-Normaln"/>
        <w:rPr>
          <w:smallCaps/>
          <w:u w:val="single"/>
        </w:rPr>
      </w:pPr>
      <w:r w:rsidRPr="003E3314">
        <w:rPr>
          <w:smallCaps/>
          <w:u w:val="single"/>
        </w:rPr>
        <w:t>Speciální stavební úřady (SSÚ)</w:t>
      </w:r>
    </w:p>
    <w:p w14:paraId="02833696" w14:textId="15626240" w:rsidR="003E487F" w:rsidRPr="00A63E84" w:rsidRDefault="003E487F" w:rsidP="003E487F">
      <w:pPr>
        <w:pStyle w:val="Text-Normaln"/>
        <w:widowControl w:val="0"/>
      </w:pPr>
      <w:r w:rsidRPr="00A63E84">
        <w:rPr>
          <w:b/>
        </w:rPr>
        <w:t>Prvoinstančních SSÚ</w:t>
      </w:r>
      <w:r w:rsidRPr="00A63E84">
        <w:t xml:space="preserve"> je celkem 29</w:t>
      </w:r>
      <w:r w:rsidR="00E65EC2" w:rsidRPr="00A63E84">
        <w:t>3</w:t>
      </w:r>
      <w:r w:rsidRPr="00A63E84">
        <w:t xml:space="preserve"> pro dopravní stavby a 27</w:t>
      </w:r>
      <w:r w:rsidR="00E65EC2" w:rsidRPr="00A63E84">
        <w:t>2</w:t>
      </w:r>
      <w:r w:rsidRPr="00A63E84">
        <w:t xml:space="preserve"> pro vodní díla. Zaměstnávají celkem </w:t>
      </w:r>
      <w:r w:rsidR="00E65EC2" w:rsidRPr="00A63E84">
        <w:t>900, resp. 966,</w:t>
      </w:r>
      <w:r w:rsidRPr="00A63E84">
        <w:t xml:space="preserve"> osob s</w:t>
      </w:r>
      <w:r w:rsidR="00E65EC2" w:rsidRPr="00A63E84">
        <w:t> 693, resp. 851,</w:t>
      </w:r>
      <w:r w:rsidRPr="00A63E84">
        <w:t xml:space="preserve"> úvazky. </w:t>
      </w:r>
      <w:r w:rsidR="002D0DB0">
        <w:t>Detailnější informace jsou opět obsaženy v Příloze.</w:t>
      </w:r>
    </w:p>
    <w:tbl>
      <w:tblPr>
        <w:tblStyle w:val="Barevntabulkaseznamu6zvraznn51"/>
        <w:tblW w:w="6946" w:type="dxa"/>
        <w:tblLayout w:type="fixed"/>
        <w:tblLook w:val="04A0" w:firstRow="1" w:lastRow="0" w:firstColumn="1" w:lastColumn="0" w:noHBand="0" w:noVBand="1"/>
      </w:tblPr>
      <w:tblGrid>
        <w:gridCol w:w="2232"/>
        <w:gridCol w:w="1312"/>
        <w:gridCol w:w="2233"/>
        <w:gridCol w:w="1169"/>
      </w:tblGrid>
      <w:tr w:rsidR="00A63E84" w:rsidRPr="00245C83" w14:paraId="0E715D3E" w14:textId="23C34913" w:rsidTr="00A63E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262626" w:themeColor="accent5"/>
            </w:tcBorders>
            <w:noWrap/>
            <w:vAlign w:val="center"/>
          </w:tcPr>
          <w:p w14:paraId="4C89D9F3" w14:textId="1308E2D5" w:rsidR="00A63E84" w:rsidRPr="00245C83" w:rsidRDefault="00A63E84" w:rsidP="00245C83">
            <w:pPr>
              <w:spacing w:before="0" w:after="0"/>
              <w:jc w:val="left"/>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Počet SSÚ DS 2020</w:t>
            </w:r>
          </w:p>
        </w:tc>
        <w:tc>
          <w:tcPr>
            <w:tcW w:w="1312" w:type="dxa"/>
            <w:tcBorders>
              <w:top w:val="single" w:sz="4" w:space="0" w:color="262626" w:themeColor="accent5"/>
              <w:right w:val="dotted" w:sz="4" w:space="0" w:color="262626" w:themeColor="accent5"/>
            </w:tcBorders>
            <w:noWrap/>
            <w:vAlign w:val="center"/>
          </w:tcPr>
          <w:p w14:paraId="5F7B0B67" w14:textId="77777777" w:rsidR="00A63E84" w:rsidRPr="00245C83" w:rsidRDefault="00A63E84" w:rsidP="00245C8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c>
          <w:tcPr>
            <w:tcW w:w="2233" w:type="dxa"/>
            <w:tcBorders>
              <w:left w:val="dotted" w:sz="4" w:space="0" w:color="262626" w:themeColor="accent5"/>
            </w:tcBorders>
            <w:vAlign w:val="center"/>
          </w:tcPr>
          <w:p w14:paraId="15D710A2" w14:textId="5912B4C1" w:rsidR="00A63E84" w:rsidRPr="00245C83" w:rsidRDefault="00A63E84" w:rsidP="00245C8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Počet SSÚ VS 2020</w:t>
            </w:r>
          </w:p>
        </w:tc>
        <w:tc>
          <w:tcPr>
            <w:tcW w:w="1169" w:type="dxa"/>
            <w:vAlign w:val="center"/>
          </w:tcPr>
          <w:p w14:paraId="76A5C933" w14:textId="77777777" w:rsidR="00A63E84" w:rsidRPr="00245C83" w:rsidRDefault="00A63E84" w:rsidP="00245C8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r>
      <w:tr w:rsidR="00A63E84" w:rsidRPr="00245C83" w14:paraId="60B4EDAA" w14:textId="5124AC20" w:rsidTr="00A63E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2E12B970" w14:textId="3FD0027A" w:rsidR="00A63E84" w:rsidRPr="004C292E" w:rsidRDefault="00A63E84" w:rsidP="00245C83">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obce III. typu</w:t>
            </w:r>
          </w:p>
        </w:tc>
        <w:tc>
          <w:tcPr>
            <w:tcW w:w="1312" w:type="dxa"/>
            <w:tcBorders>
              <w:right w:val="dotted" w:sz="4" w:space="0" w:color="262626" w:themeColor="accent5"/>
            </w:tcBorders>
            <w:noWrap/>
            <w:vAlign w:val="center"/>
          </w:tcPr>
          <w:p w14:paraId="1F60D415" w14:textId="238BA6FE" w:rsidR="00A63E84" w:rsidRPr="004C292E"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203</w:t>
            </w:r>
          </w:p>
        </w:tc>
        <w:tc>
          <w:tcPr>
            <w:tcW w:w="2233" w:type="dxa"/>
            <w:tcBorders>
              <w:left w:val="dotted" w:sz="4" w:space="0" w:color="262626" w:themeColor="accent5"/>
            </w:tcBorders>
            <w:vAlign w:val="center"/>
          </w:tcPr>
          <w:p w14:paraId="06EC388C" w14:textId="3DAD344B"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obce III. typu</w:t>
            </w:r>
          </w:p>
        </w:tc>
        <w:tc>
          <w:tcPr>
            <w:tcW w:w="1169" w:type="dxa"/>
            <w:vAlign w:val="center"/>
          </w:tcPr>
          <w:p w14:paraId="2F41FC12" w14:textId="66431DA6"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203</w:t>
            </w:r>
          </w:p>
        </w:tc>
      </w:tr>
      <w:tr w:rsidR="00A63E84" w:rsidRPr="00245C83" w14:paraId="6094E1F0" w14:textId="117014A3" w:rsidTr="00A63E84">
        <w:trPr>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180E69E7" w14:textId="3B73E283" w:rsidR="00A63E84" w:rsidRPr="004C292E" w:rsidRDefault="00A63E84" w:rsidP="00245C83">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ÚČSM</w:t>
            </w:r>
          </w:p>
        </w:tc>
        <w:tc>
          <w:tcPr>
            <w:tcW w:w="1312" w:type="dxa"/>
            <w:tcBorders>
              <w:right w:val="dotted" w:sz="4" w:space="0" w:color="262626" w:themeColor="accent5"/>
            </w:tcBorders>
            <w:noWrap/>
            <w:vAlign w:val="center"/>
          </w:tcPr>
          <w:p w14:paraId="7C017FE8" w14:textId="642F96BE" w:rsidR="00A63E84" w:rsidRPr="004C292E"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73</w:t>
            </w:r>
          </w:p>
        </w:tc>
        <w:tc>
          <w:tcPr>
            <w:tcW w:w="2233" w:type="dxa"/>
            <w:tcBorders>
              <w:left w:val="dotted" w:sz="4" w:space="0" w:color="262626" w:themeColor="accent5"/>
            </w:tcBorders>
            <w:vAlign w:val="center"/>
          </w:tcPr>
          <w:p w14:paraId="13D45961" w14:textId="38BBF577" w:rsidR="00A63E84" w:rsidRPr="00245C83"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ÚČSM</w:t>
            </w:r>
          </w:p>
        </w:tc>
        <w:tc>
          <w:tcPr>
            <w:tcW w:w="1169" w:type="dxa"/>
            <w:vAlign w:val="center"/>
          </w:tcPr>
          <w:p w14:paraId="54759F80" w14:textId="37D558CC" w:rsidR="00A63E84" w:rsidRPr="00245C83"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55</w:t>
            </w:r>
          </w:p>
        </w:tc>
      </w:tr>
      <w:tr w:rsidR="00A63E84" w:rsidRPr="00245C83" w14:paraId="2359DBE9" w14:textId="3F74D35B" w:rsidTr="00A63E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4AAC9B5D" w14:textId="1F422E52" w:rsidR="00A63E84" w:rsidRPr="004C292E" w:rsidRDefault="00A63E84" w:rsidP="00245C83">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KÚ</w:t>
            </w:r>
          </w:p>
        </w:tc>
        <w:tc>
          <w:tcPr>
            <w:tcW w:w="1312" w:type="dxa"/>
            <w:tcBorders>
              <w:right w:val="dotted" w:sz="4" w:space="0" w:color="262626" w:themeColor="accent5"/>
            </w:tcBorders>
            <w:noWrap/>
            <w:vAlign w:val="center"/>
          </w:tcPr>
          <w:p w14:paraId="5AD11D32" w14:textId="5A40AC1B" w:rsidR="00A63E84" w:rsidRPr="004C292E"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14</w:t>
            </w:r>
          </w:p>
        </w:tc>
        <w:tc>
          <w:tcPr>
            <w:tcW w:w="2233" w:type="dxa"/>
            <w:tcBorders>
              <w:left w:val="dotted" w:sz="4" w:space="0" w:color="262626" w:themeColor="accent5"/>
            </w:tcBorders>
            <w:vAlign w:val="center"/>
          </w:tcPr>
          <w:p w14:paraId="7FDD2C70" w14:textId="1DC4B65E"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KÚ</w:t>
            </w:r>
          </w:p>
        </w:tc>
        <w:tc>
          <w:tcPr>
            <w:tcW w:w="1169" w:type="dxa"/>
            <w:vAlign w:val="center"/>
          </w:tcPr>
          <w:p w14:paraId="62FEB17B" w14:textId="0EBC6EBE"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14</w:t>
            </w:r>
          </w:p>
        </w:tc>
      </w:tr>
      <w:tr w:rsidR="00A63E84" w:rsidRPr="00245C83" w14:paraId="5E451AD4" w14:textId="5FEBB1FE" w:rsidTr="00A63E84">
        <w:trPr>
          <w:trHeight w:val="288"/>
        </w:trPr>
        <w:tc>
          <w:tcPr>
            <w:cnfStyle w:val="001000000000" w:firstRow="0" w:lastRow="0" w:firstColumn="1" w:lastColumn="0" w:oddVBand="0" w:evenVBand="0" w:oddHBand="0" w:evenHBand="0" w:firstRowFirstColumn="0" w:firstRowLastColumn="0" w:lastRowFirstColumn="0" w:lastRowLastColumn="0"/>
            <w:tcW w:w="2232" w:type="dxa"/>
            <w:vAlign w:val="center"/>
            <w:hideMark/>
          </w:tcPr>
          <w:p w14:paraId="49563DD4" w14:textId="63685512" w:rsidR="00A63E84" w:rsidRPr="004C292E" w:rsidRDefault="00A63E84" w:rsidP="00245C83">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MD, ÚCL, DÚ</w:t>
            </w:r>
          </w:p>
        </w:tc>
        <w:tc>
          <w:tcPr>
            <w:tcW w:w="1312" w:type="dxa"/>
            <w:tcBorders>
              <w:right w:val="dotted" w:sz="4" w:space="0" w:color="262626" w:themeColor="accent5"/>
            </w:tcBorders>
            <w:noWrap/>
            <w:vAlign w:val="center"/>
          </w:tcPr>
          <w:p w14:paraId="0C8ED319" w14:textId="7E175B20" w:rsidR="00A63E84" w:rsidRPr="004C292E"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3</w:t>
            </w:r>
          </w:p>
        </w:tc>
        <w:tc>
          <w:tcPr>
            <w:tcW w:w="2233" w:type="dxa"/>
            <w:tcBorders>
              <w:left w:val="dotted" w:sz="4" w:space="0" w:color="262626" w:themeColor="accent5"/>
            </w:tcBorders>
            <w:vAlign w:val="center"/>
          </w:tcPr>
          <w:p w14:paraId="70185635" w14:textId="1E94E95A" w:rsidR="00A63E84" w:rsidRPr="00245C83"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ČR</w:t>
            </w:r>
          </w:p>
        </w:tc>
        <w:tc>
          <w:tcPr>
            <w:tcW w:w="1169" w:type="dxa"/>
            <w:vAlign w:val="center"/>
          </w:tcPr>
          <w:p w14:paraId="70B00F89" w14:textId="6DF12053" w:rsidR="00A63E84" w:rsidRPr="00245C83" w:rsidRDefault="00A63E84" w:rsidP="00245C83">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272</w:t>
            </w:r>
          </w:p>
        </w:tc>
      </w:tr>
      <w:tr w:rsidR="00A63E84" w:rsidRPr="00245C83" w14:paraId="266CC6D8" w14:textId="2D50E458" w:rsidTr="00A63E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tcBorders>
              <w:bottom w:val="single" w:sz="4" w:space="0" w:color="262626" w:themeColor="accent5"/>
            </w:tcBorders>
            <w:vAlign w:val="center"/>
            <w:hideMark/>
          </w:tcPr>
          <w:p w14:paraId="1C23326D" w14:textId="3DEA0BC3" w:rsidR="00A63E84" w:rsidRPr="004C292E" w:rsidRDefault="00A63E84" w:rsidP="00245C83">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ČR</w:t>
            </w:r>
          </w:p>
        </w:tc>
        <w:tc>
          <w:tcPr>
            <w:tcW w:w="1312" w:type="dxa"/>
            <w:tcBorders>
              <w:bottom w:val="single" w:sz="4" w:space="0" w:color="262626" w:themeColor="accent5"/>
              <w:right w:val="dotted" w:sz="4" w:space="0" w:color="262626" w:themeColor="accent5"/>
            </w:tcBorders>
            <w:noWrap/>
            <w:vAlign w:val="center"/>
          </w:tcPr>
          <w:p w14:paraId="0D52394C" w14:textId="35D17213" w:rsidR="00A63E84" w:rsidRPr="004C292E"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293</w:t>
            </w:r>
          </w:p>
        </w:tc>
        <w:tc>
          <w:tcPr>
            <w:tcW w:w="2233" w:type="dxa"/>
            <w:tcBorders>
              <w:left w:val="dotted" w:sz="4" w:space="0" w:color="262626" w:themeColor="accent5"/>
            </w:tcBorders>
            <w:vAlign w:val="center"/>
          </w:tcPr>
          <w:p w14:paraId="1354DB43" w14:textId="77777777"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p>
        </w:tc>
        <w:tc>
          <w:tcPr>
            <w:tcW w:w="1169" w:type="dxa"/>
            <w:vAlign w:val="center"/>
          </w:tcPr>
          <w:p w14:paraId="396C6445" w14:textId="77777777" w:rsidR="00A63E84" w:rsidRPr="00245C83" w:rsidRDefault="00A63E84" w:rsidP="00245C83">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p>
        </w:tc>
      </w:tr>
    </w:tbl>
    <w:p w14:paraId="3640F925" w14:textId="77777777" w:rsidR="00A63E84" w:rsidRPr="00124479" w:rsidRDefault="00A63E84" w:rsidP="00A63E84">
      <w:pPr>
        <w:pStyle w:val="Citt"/>
        <w:spacing w:before="120"/>
      </w:pPr>
      <w:r w:rsidRPr="00124479">
        <w:t>Zdroj: ÚÚR</w:t>
      </w:r>
    </w:p>
    <w:p w14:paraId="745C47DE" w14:textId="349385A4" w:rsidR="004F75F1" w:rsidRDefault="00294DB1" w:rsidP="000847E5">
      <w:pPr>
        <w:pStyle w:val="Text-Normaln"/>
        <w:widowControl w:val="0"/>
        <w:rPr>
          <w:rFonts w:ascii="Calibri" w:eastAsia="Times New Roman" w:hAnsi="Calibri" w:cs="Calibri"/>
          <w:color w:val="000000"/>
          <w:szCs w:val="24"/>
          <w:lang w:eastAsia="cs-CZ"/>
        </w:rPr>
      </w:pPr>
      <w:r>
        <w:t>S</w:t>
      </w:r>
      <w:r w:rsidRPr="004478CC">
        <w:t xml:space="preserve">tavební úřady postupují ve vzájemné součinnosti s </w:t>
      </w:r>
      <w:r>
        <w:t xml:space="preserve">DO </w:t>
      </w:r>
      <w:r w:rsidRPr="004478CC">
        <w:t xml:space="preserve">chránícími veřejné zájmy podle zvláštních právních předpisů. </w:t>
      </w:r>
      <w:r w:rsidRPr="007B7978">
        <w:t xml:space="preserve">Většina </w:t>
      </w:r>
      <w:r>
        <w:t>DO</w:t>
      </w:r>
      <w:r w:rsidRPr="007B7978">
        <w:t xml:space="preserve"> je </w:t>
      </w:r>
      <w:r w:rsidRPr="001D3B77">
        <w:t xml:space="preserve">soustředěna na </w:t>
      </w:r>
      <w:r w:rsidR="00134123">
        <w:t>úřadech</w:t>
      </w:r>
      <w:r w:rsidRPr="00533FC0">
        <w:t xml:space="preserve"> </w:t>
      </w:r>
      <w:r w:rsidRPr="000E635F">
        <w:t>ORP a krajských</w:t>
      </w:r>
      <w:r w:rsidRPr="007B7978">
        <w:t xml:space="preserve"> úřadech, tedy </w:t>
      </w:r>
      <w:r>
        <w:t xml:space="preserve">na </w:t>
      </w:r>
      <w:r w:rsidRPr="007B7978">
        <w:t>orgá</w:t>
      </w:r>
      <w:r>
        <w:t>nech</w:t>
      </w:r>
      <w:r w:rsidRPr="007B7978">
        <w:t xml:space="preserve"> územní</w:t>
      </w:r>
      <w:r>
        <w:t>ch samosprávných celků</w:t>
      </w:r>
      <w:r w:rsidRPr="007B7978">
        <w:t>.</w:t>
      </w:r>
      <w:r w:rsidR="000847E5">
        <w:t xml:space="preserve"> </w:t>
      </w:r>
      <w:r w:rsidR="004F75F1">
        <w:t>Odhad p</w:t>
      </w:r>
      <w:r w:rsidR="004F75F1" w:rsidRPr="004F75F1">
        <w:t>odíl</w:t>
      </w:r>
      <w:r w:rsidR="004F75F1">
        <w:t>u</w:t>
      </w:r>
      <w:r w:rsidR="004F75F1" w:rsidRPr="004F75F1">
        <w:t xml:space="preserve"> DO (dotčen</w:t>
      </w:r>
      <w:r w:rsidR="004F75F1">
        <w:t>ých</w:t>
      </w:r>
      <w:r w:rsidR="004F75F1" w:rsidRPr="004F75F1">
        <w:t xml:space="preserve"> orgán</w:t>
      </w:r>
      <w:r w:rsidR="004F75F1">
        <w:t>ů</w:t>
      </w:r>
      <w:r w:rsidR="004F75F1" w:rsidRPr="004F75F1">
        <w:t xml:space="preserve"> vydávající stanoviska ke stavebnímu řízení) u ORP, </w:t>
      </w:r>
      <w:r w:rsidR="004F75F1">
        <w:t xml:space="preserve">poskytnutého MV, </w:t>
      </w:r>
      <w:r w:rsidR="004F75F1" w:rsidRPr="004F75F1">
        <w:t>vychází z</w:t>
      </w:r>
      <w:r w:rsidR="004F75F1">
        <w:t> </w:t>
      </w:r>
      <w:r w:rsidR="004F75F1" w:rsidRPr="004F75F1">
        <w:t>Analýzy</w:t>
      </w:r>
      <w:r w:rsidR="004F75F1">
        <w:t xml:space="preserve"> MV</w:t>
      </w:r>
      <w:r w:rsidR="004F75F1">
        <w:rPr>
          <w:rStyle w:val="Znakapoznpodarou"/>
        </w:rPr>
        <w:footnoteReference w:id="3"/>
      </w:r>
      <w:r w:rsidR="00134123">
        <w:t xml:space="preserve"> a je uveden v následující tabulce.</w:t>
      </w:r>
    </w:p>
    <w:p w14:paraId="2408370D" w14:textId="6BD79A39" w:rsidR="004F75F1" w:rsidRPr="0085684A" w:rsidRDefault="004F75F1" w:rsidP="004F75F1">
      <w:pPr>
        <w:pStyle w:val="Titulek"/>
        <w:keepNext/>
        <w:rPr>
          <w:color w:val="FF0000"/>
        </w:rPr>
      </w:pPr>
      <w:r>
        <w:t xml:space="preserve">Tabulka </w:t>
      </w:r>
      <w:r w:rsidR="004B0591">
        <w:fldChar w:fldCharType="begin"/>
      </w:r>
      <w:r w:rsidR="004B0591">
        <w:instrText xml:space="preserve"> SEQ Tabulka \* ARABIC </w:instrText>
      </w:r>
      <w:r w:rsidR="004B0591">
        <w:fldChar w:fldCharType="separate"/>
      </w:r>
      <w:r w:rsidR="0083191B">
        <w:rPr>
          <w:noProof/>
        </w:rPr>
        <w:t>10</w:t>
      </w:r>
      <w:r w:rsidR="004B0591">
        <w:rPr>
          <w:noProof/>
        </w:rPr>
        <w:fldChar w:fldCharType="end"/>
      </w:r>
      <w:r>
        <w:t xml:space="preserve">: </w:t>
      </w:r>
      <w:r w:rsidRPr="004F75F1">
        <w:t>Odhad podílu DO vydávající stanoviska ke stavebnímu řízení</w:t>
      </w:r>
      <w:r w:rsidR="00C332AC">
        <w:t>,</w:t>
      </w:r>
      <w:r w:rsidRPr="004F75F1">
        <w:t xml:space="preserve"> ORP</w:t>
      </w:r>
      <w:r w:rsidR="0085684A">
        <w:t xml:space="preserve"> </w:t>
      </w:r>
    </w:p>
    <w:tbl>
      <w:tblPr>
        <w:tblStyle w:val="Barevntabulkaseznamu6zvraznn51"/>
        <w:tblW w:w="9067" w:type="dxa"/>
        <w:tblBorders>
          <w:top w:val="dotted" w:sz="4" w:space="0" w:color="262626" w:themeColor="accent5"/>
          <w:left w:val="dotted" w:sz="4" w:space="0" w:color="262626" w:themeColor="accent5"/>
          <w:bottom w:val="dotted" w:sz="4" w:space="0" w:color="262626" w:themeColor="accent5"/>
          <w:right w:val="dotted" w:sz="4" w:space="0" w:color="262626" w:themeColor="accent5"/>
          <w:insideH w:val="dotted" w:sz="4" w:space="0" w:color="262626" w:themeColor="accent5"/>
          <w:insideV w:val="dotted" w:sz="4" w:space="0" w:color="262626" w:themeColor="accent5"/>
        </w:tblBorders>
        <w:tblLook w:val="04A0" w:firstRow="1" w:lastRow="0" w:firstColumn="1" w:lastColumn="0" w:noHBand="0" w:noVBand="1"/>
      </w:tblPr>
      <w:tblGrid>
        <w:gridCol w:w="2070"/>
        <w:gridCol w:w="3739"/>
        <w:gridCol w:w="1086"/>
        <w:gridCol w:w="1086"/>
        <w:gridCol w:w="1086"/>
      </w:tblGrid>
      <w:tr w:rsidR="00C332AC" w:rsidRPr="0092728F" w14:paraId="422E85FD" w14:textId="77777777" w:rsidTr="00A95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262626" w:themeColor="accent5"/>
              <w:bottom w:val="dotted" w:sz="4" w:space="0" w:color="262626" w:themeColor="accent5"/>
            </w:tcBorders>
            <w:shd w:val="clear" w:color="auto" w:fill="D9D9D9" w:themeFill="background1" w:themeFillShade="D9"/>
            <w:tcMar>
              <w:left w:w="57" w:type="dxa"/>
              <w:right w:w="57" w:type="dxa"/>
            </w:tcMar>
            <w:vAlign w:val="center"/>
            <w:hideMark/>
          </w:tcPr>
          <w:p w14:paraId="5037C141" w14:textId="77777777" w:rsidR="004F75F1" w:rsidRPr="0092728F" w:rsidRDefault="004F75F1" w:rsidP="00A95487">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Odbor životního prostředí a zemědělství:</w:t>
            </w:r>
          </w:p>
        </w:tc>
        <w:tc>
          <w:tcPr>
            <w:tcW w:w="3739" w:type="dxa"/>
            <w:tcBorders>
              <w:top w:val="single" w:sz="4" w:space="0" w:color="262626" w:themeColor="accent5"/>
              <w:bottom w:val="dotted" w:sz="4" w:space="0" w:color="262626" w:themeColor="accent5"/>
            </w:tcBorders>
            <w:shd w:val="clear" w:color="auto" w:fill="D9D9D9" w:themeFill="background1" w:themeFillShade="D9"/>
            <w:tcMar>
              <w:left w:w="57" w:type="dxa"/>
              <w:right w:w="57" w:type="dxa"/>
            </w:tcMar>
            <w:vAlign w:val="center"/>
            <w:hideMark/>
          </w:tcPr>
          <w:p w14:paraId="05FDAEB0" w14:textId="77777777" w:rsidR="004F75F1" w:rsidRPr="0092728F" w:rsidRDefault="004F75F1" w:rsidP="00A95487">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Činnost (agendy)</w:t>
            </w:r>
          </w:p>
        </w:tc>
        <w:tc>
          <w:tcPr>
            <w:tcW w:w="1086" w:type="dxa"/>
            <w:tcBorders>
              <w:top w:val="single" w:sz="4" w:space="0" w:color="262626" w:themeColor="accent5"/>
              <w:bottom w:val="dotted" w:sz="4" w:space="0" w:color="262626" w:themeColor="accent5"/>
            </w:tcBorders>
            <w:shd w:val="clear" w:color="auto" w:fill="D9D9D9" w:themeFill="background1" w:themeFillShade="D9"/>
            <w:tcMar>
              <w:left w:w="57" w:type="dxa"/>
              <w:right w:w="57" w:type="dxa"/>
            </w:tcMar>
            <w:vAlign w:val="center"/>
            <w:hideMark/>
          </w:tcPr>
          <w:p w14:paraId="702341C5" w14:textId="77777777" w:rsidR="004F75F1" w:rsidRPr="0092728F" w:rsidRDefault="004F75F1" w:rsidP="00C332AC">
            <w:pPr>
              <w:spacing w:before="0" w:after="0"/>
              <w:ind w:left="-99" w:firstLine="4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 podíl na agendě</w:t>
            </w:r>
          </w:p>
        </w:tc>
        <w:tc>
          <w:tcPr>
            <w:tcW w:w="1086" w:type="dxa"/>
            <w:tcBorders>
              <w:top w:val="single" w:sz="4" w:space="0" w:color="262626" w:themeColor="accent5"/>
              <w:bottom w:val="dotted" w:sz="4" w:space="0" w:color="262626" w:themeColor="accent5"/>
            </w:tcBorders>
            <w:shd w:val="clear" w:color="auto" w:fill="D9D9D9" w:themeFill="background1" w:themeFillShade="D9"/>
            <w:tcMar>
              <w:left w:w="57" w:type="dxa"/>
              <w:right w:w="57" w:type="dxa"/>
            </w:tcMar>
            <w:vAlign w:val="center"/>
            <w:hideMark/>
          </w:tcPr>
          <w:p w14:paraId="139F0660" w14:textId="544562C6" w:rsidR="004F75F1" w:rsidRPr="0092728F" w:rsidRDefault="004F75F1" w:rsidP="00C332A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Počet úvazků pro mediánový úřad ORP</w:t>
            </w:r>
          </w:p>
        </w:tc>
        <w:tc>
          <w:tcPr>
            <w:tcW w:w="1086" w:type="dxa"/>
            <w:tcBorders>
              <w:top w:val="single" w:sz="4" w:space="0" w:color="262626" w:themeColor="accent5"/>
              <w:bottom w:val="dotted" w:sz="4" w:space="0" w:color="262626" w:themeColor="accent5"/>
            </w:tcBorders>
            <w:shd w:val="clear" w:color="auto" w:fill="D9D9D9" w:themeFill="background1" w:themeFillShade="D9"/>
            <w:tcMar>
              <w:left w:w="57" w:type="dxa"/>
              <w:right w:w="57" w:type="dxa"/>
            </w:tcMar>
            <w:vAlign w:val="center"/>
            <w:hideMark/>
          </w:tcPr>
          <w:p w14:paraId="56C44240" w14:textId="7F9D545B" w:rsidR="004F75F1" w:rsidRPr="0092728F" w:rsidRDefault="004F75F1" w:rsidP="00C332A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 xml:space="preserve">Počet úvazků </w:t>
            </w:r>
            <w:r w:rsidR="006A6B02">
              <w:rPr>
                <w:rFonts w:asciiTheme="minorHAnsi" w:eastAsia="Times New Roman" w:hAnsiTheme="minorHAnsi" w:cstheme="minorHAnsi"/>
                <w:bCs w:val="0"/>
                <w:color w:val="000000"/>
                <w:sz w:val="18"/>
                <w:szCs w:val="18"/>
                <w:lang w:eastAsia="cs-CZ"/>
              </w:rPr>
              <w:t xml:space="preserve">k integraci </w:t>
            </w:r>
            <w:r w:rsidRPr="0092728F">
              <w:rPr>
                <w:rFonts w:asciiTheme="minorHAnsi" w:eastAsia="Times New Roman" w:hAnsiTheme="minorHAnsi" w:cstheme="minorHAnsi"/>
                <w:bCs w:val="0"/>
                <w:color w:val="000000"/>
                <w:sz w:val="18"/>
                <w:szCs w:val="18"/>
                <w:lang w:eastAsia="cs-CZ"/>
              </w:rPr>
              <w:t>při vyjmutí agendy</w:t>
            </w:r>
          </w:p>
        </w:tc>
      </w:tr>
      <w:tr w:rsidR="00C332AC" w:rsidRPr="0092728F" w14:paraId="6A6AA4F1" w14:textId="77777777" w:rsidTr="00A9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dotted" w:sz="4" w:space="0" w:color="262626" w:themeColor="accent5"/>
            </w:tcBorders>
            <w:shd w:val="clear" w:color="auto" w:fill="auto"/>
            <w:tcMar>
              <w:left w:w="57" w:type="dxa"/>
              <w:right w:w="57" w:type="dxa"/>
            </w:tcMar>
            <w:vAlign w:val="center"/>
            <w:hideMark/>
          </w:tcPr>
          <w:p w14:paraId="0DD7149A"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Vodoprávní řízení</w:t>
            </w:r>
          </w:p>
        </w:tc>
        <w:tc>
          <w:tcPr>
            <w:tcW w:w="3739" w:type="dxa"/>
            <w:tcBorders>
              <w:top w:val="dotted" w:sz="4" w:space="0" w:color="262626" w:themeColor="accent5"/>
            </w:tcBorders>
            <w:shd w:val="clear" w:color="auto" w:fill="auto"/>
            <w:tcMar>
              <w:left w:w="57" w:type="dxa"/>
              <w:right w:w="57" w:type="dxa"/>
            </w:tcMar>
            <w:vAlign w:val="center"/>
            <w:hideMark/>
          </w:tcPr>
          <w:p w14:paraId="0F3E1BAF"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vyjadřovací činnost</w:t>
            </w:r>
          </w:p>
        </w:tc>
        <w:tc>
          <w:tcPr>
            <w:tcW w:w="1086" w:type="dxa"/>
            <w:tcBorders>
              <w:top w:val="dotted" w:sz="4" w:space="0" w:color="262626" w:themeColor="accent5"/>
            </w:tcBorders>
            <w:shd w:val="clear" w:color="auto" w:fill="auto"/>
            <w:tcMar>
              <w:left w:w="57" w:type="dxa"/>
              <w:right w:w="57" w:type="dxa"/>
            </w:tcMar>
            <w:vAlign w:val="center"/>
            <w:hideMark/>
          </w:tcPr>
          <w:p w14:paraId="5CB8C3D7"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18,3</w:t>
            </w:r>
          </w:p>
        </w:tc>
        <w:tc>
          <w:tcPr>
            <w:tcW w:w="1086" w:type="dxa"/>
            <w:vMerge w:val="restart"/>
            <w:tcBorders>
              <w:top w:val="dotted" w:sz="4" w:space="0" w:color="262626" w:themeColor="accent5"/>
            </w:tcBorders>
            <w:shd w:val="clear" w:color="auto" w:fill="auto"/>
            <w:tcMar>
              <w:left w:w="57" w:type="dxa"/>
              <w:right w:w="57" w:type="dxa"/>
            </w:tcMar>
            <w:vAlign w:val="center"/>
            <w:hideMark/>
          </w:tcPr>
          <w:p w14:paraId="373E02F2"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1,58</w:t>
            </w:r>
          </w:p>
        </w:tc>
        <w:tc>
          <w:tcPr>
            <w:tcW w:w="1086" w:type="dxa"/>
            <w:tcBorders>
              <w:top w:val="dotted" w:sz="4" w:space="0" w:color="262626" w:themeColor="accent5"/>
            </w:tcBorders>
            <w:shd w:val="clear" w:color="auto" w:fill="auto"/>
            <w:tcMar>
              <w:left w:w="57" w:type="dxa"/>
              <w:right w:w="57" w:type="dxa"/>
            </w:tcMar>
            <w:vAlign w:val="center"/>
            <w:hideMark/>
          </w:tcPr>
          <w:p w14:paraId="6103D0B5"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0,289</w:t>
            </w:r>
          </w:p>
        </w:tc>
      </w:tr>
      <w:tr w:rsidR="00C332AC" w:rsidRPr="0092728F" w14:paraId="3893F078"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18468EB0"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Vodoprávní řízení</w:t>
            </w:r>
          </w:p>
        </w:tc>
        <w:tc>
          <w:tcPr>
            <w:tcW w:w="3739" w:type="dxa"/>
            <w:shd w:val="clear" w:color="auto" w:fill="auto"/>
            <w:tcMar>
              <w:left w:w="57" w:type="dxa"/>
              <w:right w:w="57" w:type="dxa"/>
            </w:tcMar>
            <w:vAlign w:val="center"/>
            <w:hideMark/>
          </w:tcPr>
          <w:p w14:paraId="65DCC74F"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závazné stanovisko (§ 104 odst. 9 vodního zákona)</w:t>
            </w:r>
          </w:p>
        </w:tc>
        <w:tc>
          <w:tcPr>
            <w:tcW w:w="1086" w:type="dxa"/>
            <w:shd w:val="clear" w:color="auto" w:fill="auto"/>
            <w:tcMar>
              <w:left w:w="57" w:type="dxa"/>
              <w:right w:w="57" w:type="dxa"/>
            </w:tcMar>
            <w:vAlign w:val="center"/>
            <w:hideMark/>
          </w:tcPr>
          <w:p w14:paraId="61D70594"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7,2</w:t>
            </w:r>
          </w:p>
        </w:tc>
        <w:tc>
          <w:tcPr>
            <w:tcW w:w="1086" w:type="dxa"/>
            <w:vMerge/>
            <w:shd w:val="clear" w:color="auto" w:fill="auto"/>
            <w:tcMar>
              <w:left w:w="57" w:type="dxa"/>
              <w:right w:w="57" w:type="dxa"/>
            </w:tcMar>
            <w:vAlign w:val="center"/>
            <w:hideMark/>
          </w:tcPr>
          <w:p w14:paraId="10FDDD7A"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p>
        </w:tc>
        <w:tc>
          <w:tcPr>
            <w:tcW w:w="1086" w:type="dxa"/>
            <w:shd w:val="clear" w:color="auto" w:fill="auto"/>
            <w:tcMar>
              <w:left w:w="57" w:type="dxa"/>
              <w:right w:w="57" w:type="dxa"/>
            </w:tcMar>
            <w:vAlign w:val="center"/>
            <w:hideMark/>
          </w:tcPr>
          <w:p w14:paraId="76265B92"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0,114</w:t>
            </w:r>
          </w:p>
        </w:tc>
      </w:tr>
      <w:tr w:rsidR="00C332AC" w:rsidRPr="0092728F" w14:paraId="1FB8A494"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1E7CEBF6"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přírody a krajiny</w:t>
            </w:r>
          </w:p>
        </w:tc>
        <w:tc>
          <w:tcPr>
            <w:tcW w:w="3739" w:type="dxa"/>
            <w:shd w:val="clear" w:color="auto" w:fill="auto"/>
            <w:tcMar>
              <w:left w:w="57" w:type="dxa"/>
              <w:right w:w="57" w:type="dxa"/>
            </w:tcMar>
            <w:vAlign w:val="center"/>
            <w:hideMark/>
          </w:tcPr>
          <w:p w14:paraId="3974F0F8"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závazná stanoviska</w:t>
            </w:r>
          </w:p>
        </w:tc>
        <w:tc>
          <w:tcPr>
            <w:tcW w:w="1086" w:type="dxa"/>
            <w:shd w:val="clear" w:color="auto" w:fill="auto"/>
            <w:tcMar>
              <w:left w:w="57" w:type="dxa"/>
              <w:right w:w="57" w:type="dxa"/>
            </w:tcMar>
            <w:vAlign w:val="center"/>
            <w:hideMark/>
          </w:tcPr>
          <w:p w14:paraId="564D213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14,0</w:t>
            </w:r>
          </w:p>
        </w:tc>
        <w:tc>
          <w:tcPr>
            <w:tcW w:w="1086" w:type="dxa"/>
            <w:shd w:val="clear" w:color="auto" w:fill="auto"/>
            <w:tcMar>
              <w:left w:w="57" w:type="dxa"/>
              <w:right w:w="57" w:type="dxa"/>
            </w:tcMar>
            <w:vAlign w:val="center"/>
            <w:hideMark/>
          </w:tcPr>
          <w:p w14:paraId="67FF89D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1,00</w:t>
            </w:r>
          </w:p>
        </w:tc>
        <w:tc>
          <w:tcPr>
            <w:tcW w:w="1086" w:type="dxa"/>
            <w:shd w:val="clear" w:color="auto" w:fill="auto"/>
            <w:tcMar>
              <w:left w:w="57" w:type="dxa"/>
              <w:right w:w="57" w:type="dxa"/>
            </w:tcMar>
            <w:vAlign w:val="center"/>
            <w:hideMark/>
          </w:tcPr>
          <w:p w14:paraId="51575DDC"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0,14</w:t>
            </w:r>
          </w:p>
        </w:tc>
      </w:tr>
      <w:tr w:rsidR="00C332AC" w:rsidRPr="0092728F" w14:paraId="0985E987"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098E8B93"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Odpadové hospodářství</w:t>
            </w:r>
          </w:p>
        </w:tc>
        <w:tc>
          <w:tcPr>
            <w:tcW w:w="3739" w:type="dxa"/>
            <w:shd w:val="clear" w:color="auto" w:fill="auto"/>
            <w:tcMar>
              <w:left w:w="57" w:type="dxa"/>
              <w:right w:w="57" w:type="dxa"/>
            </w:tcMar>
            <w:vAlign w:val="center"/>
            <w:hideMark/>
          </w:tcPr>
          <w:p w14:paraId="3C8D36A8"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vydaní vyjádření a závazných stanovisek</w:t>
            </w:r>
          </w:p>
        </w:tc>
        <w:tc>
          <w:tcPr>
            <w:tcW w:w="1086" w:type="dxa"/>
            <w:shd w:val="clear" w:color="auto" w:fill="auto"/>
            <w:tcMar>
              <w:left w:w="57" w:type="dxa"/>
              <w:right w:w="57" w:type="dxa"/>
            </w:tcMar>
            <w:vAlign w:val="center"/>
            <w:hideMark/>
          </w:tcPr>
          <w:p w14:paraId="1076A3F9"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68,5</w:t>
            </w:r>
          </w:p>
        </w:tc>
        <w:tc>
          <w:tcPr>
            <w:tcW w:w="1086" w:type="dxa"/>
            <w:shd w:val="clear" w:color="auto" w:fill="auto"/>
            <w:tcMar>
              <w:left w:w="57" w:type="dxa"/>
              <w:right w:w="57" w:type="dxa"/>
            </w:tcMar>
            <w:vAlign w:val="center"/>
            <w:hideMark/>
          </w:tcPr>
          <w:p w14:paraId="327D523D"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1,01</w:t>
            </w:r>
          </w:p>
        </w:tc>
        <w:tc>
          <w:tcPr>
            <w:tcW w:w="1086" w:type="dxa"/>
            <w:shd w:val="clear" w:color="auto" w:fill="auto"/>
            <w:tcMar>
              <w:left w:w="57" w:type="dxa"/>
              <w:right w:w="57" w:type="dxa"/>
            </w:tcMar>
            <w:vAlign w:val="center"/>
            <w:hideMark/>
          </w:tcPr>
          <w:p w14:paraId="0CC8AC47"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0,692</w:t>
            </w:r>
          </w:p>
        </w:tc>
      </w:tr>
      <w:tr w:rsidR="00C332AC" w:rsidRPr="0092728F" w14:paraId="66114856"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715C8953"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lesa a myslivost</w:t>
            </w:r>
          </w:p>
        </w:tc>
        <w:tc>
          <w:tcPr>
            <w:tcW w:w="3739" w:type="dxa"/>
            <w:shd w:val="clear" w:color="auto" w:fill="auto"/>
            <w:tcMar>
              <w:left w:w="57" w:type="dxa"/>
              <w:right w:w="57" w:type="dxa"/>
            </w:tcMar>
            <w:vAlign w:val="center"/>
            <w:hideMark/>
          </w:tcPr>
          <w:p w14:paraId="060D3895"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další závazná stanoviska, vyjádření a souhlasy</w:t>
            </w:r>
          </w:p>
        </w:tc>
        <w:tc>
          <w:tcPr>
            <w:tcW w:w="1086" w:type="dxa"/>
            <w:shd w:val="clear" w:color="auto" w:fill="auto"/>
            <w:tcMar>
              <w:left w:w="57" w:type="dxa"/>
              <w:right w:w="57" w:type="dxa"/>
            </w:tcMar>
            <w:vAlign w:val="center"/>
            <w:hideMark/>
          </w:tcPr>
          <w:p w14:paraId="44405052"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44,7</w:t>
            </w:r>
          </w:p>
        </w:tc>
        <w:tc>
          <w:tcPr>
            <w:tcW w:w="1086" w:type="dxa"/>
            <w:shd w:val="clear" w:color="auto" w:fill="auto"/>
            <w:tcMar>
              <w:left w:w="57" w:type="dxa"/>
              <w:right w:w="57" w:type="dxa"/>
            </w:tcMar>
            <w:vAlign w:val="center"/>
            <w:hideMark/>
          </w:tcPr>
          <w:p w14:paraId="7256295C"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0,94</w:t>
            </w:r>
          </w:p>
        </w:tc>
        <w:tc>
          <w:tcPr>
            <w:tcW w:w="1086" w:type="dxa"/>
            <w:shd w:val="clear" w:color="auto" w:fill="auto"/>
            <w:tcMar>
              <w:left w:w="57" w:type="dxa"/>
              <w:right w:w="57" w:type="dxa"/>
            </w:tcMar>
            <w:vAlign w:val="center"/>
            <w:hideMark/>
          </w:tcPr>
          <w:p w14:paraId="6E7DAAE0"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0,420</w:t>
            </w:r>
          </w:p>
        </w:tc>
      </w:tr>
      <w:tr w:rsidR="00C332AC" w:rsidRPr="0092728F" w14:paraId="3D8E1D70"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4010F9E9"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ovzduší</w:t>
            </w:r>
          </w:p>
        </w:tc>
        <w:tc>
          <w:tcPr>
            <w:tcW w:w="3739" w:type="dxa"/>
            <w:shd w:val="clear" w:color="auto" w:fill="auto"/>
            <w:tcMar>
              <w:left w:w="57" w:type="dxa"/>
              <w:right w:w="57" w:type="dxa"/>
            </w:tcMar>
            <w:vAlign w:val="center"/>
            <w:hideMark/>
          </w:tcPr>
          <w:p w14:paraId="66504459"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vydání stanovisek, vyjádření a souhlasů</w:t>
            </w:r>
          </w:p>
        </w:tc>
        <w:tc>
          <w:tcPr>
            <w:tcW w:w="1086" w:type="dxa"/>
            <w:shd w:val="clear" w:color="auto" w:fill="auto"/>
            <w:tcMar>
              <w:left w:w="57" w:type="dxa"/>
              <w:right w:w="57" w:type="dxa"/>
            </w:tcMar>
            <w:vAlign w:val="center"/>
            <w:hideMark/>
          </w:tcPr>
          <w:p w14:paraId="305AE8F8"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63,8</w:t>
            </w:r>
          </w:p>
        </w:tc>
        <w:tc>
          <w:tcPr>
            <w:tcW w:w="1086" w:type="dxa"/>
            <w:shd w:val="clear" w:color="auto" w:fill="auto"/>
            <w:tcMar>
              <w:left w:w="57" w:type="dxa"/>
              <w:right w:w="57" w:type="dxa"/>
            </w:tcMar>
            <w:vAlign w:val="center"/>
            <w:hideMark/>
          </w:tcPr>
          <w:p w14:paraId="2AA83562"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0,71</w:t>
            </w:r>
          </w:p>
        </w:tc>
        <w:tc>
          <w:tcPr>
            <w:tcW w:w="1086" w:type="dxa"/>
            <w:shd w:val="clear" w:color="auto" w:fill="auto"/>
            <w:tcMar>
              <w:left w:w="57" w:type="dxa"/>
              <w:right w:w="57" w:type="dxa"/>
            </w:tcMar>
            <w:vAlign w:val="center"/>
            <w:hideMark/>
          </w:tcPr>
          <w:p w14:paraId="1214A86D"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0,453</w:t>
            </w:r>
          </w:p>
        </w:tc>
      </w:tr>
      <w:tr w:rsidR="00C332AC" w:rsidRPr="0092728F" w14:paraId="73D0FC95"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100C223D"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zemědělského půdního fondu</w:t>
            </w:r>
          </w:p>
        </w:tc>
        <w:tc>
          <w:tcPr>
            <w:tcW w:w="3739" w:type="dxa"/>
            <w:shd w:val="clear" w:color="auto" w:fill="auto"/>
            <w:tcMar>
              <w:left w:w="57" w:type="dxa"/>
              <w:right w:w="57" w:type="dxa"/>
            </w:tcMar>
            <w:vAlign w:val="center"/>
            <w:hideMark/>
          </w:tcPr>
          <w:p w14:paraId="3C8A3BC0"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počet vydání stanoviska v rámci územně plánovací činnosti (§ 5 odst. 2 zákona)</w:t>
            </w:r>
          </w:p>
        </w:tc>
        <w:tc>
          <w:tcPr>
            <w:tcW w:w="1086" w:type="dxa"/>
            <w:shd w:val="clear" w:color="auto" w:fill="auto"/>
            <w:tcMar>
              <w:left w:w="57" w:type="dxa"/>
              <w:right w:w="57" w:type="dxa"/>
            </w:tcMar>
            <w:vAlign w:val="center"/>
            <w:hideMark/>
          </w:tcPr>
          <w:p w14:paraId="1E231A6E"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6,7</w:t>
            </w:r>
          </w:p>
        </w:tc>
        <w:tc>
          <w:tcPr>
            <w:tcW w:w="1086" w:type="dxa"/>
            <w:vMerge w:val="restart"/>
            <w:shd w:val="clear" w:color="auto" w:fill="auto"/>
            <w:tcMar>
              <w:left w:w="57" w:type="dxa"/>
              <w:right w:w="57" w:type="dxa"/>
            </w:tcMar>
            <w:vAlign w:val="center"/>
            <w:hideMark/>
          </w:tcPr>
          <w:p w14:paraId="43B9B418"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0,84</w:t>
            </w:r>
          </w:p>
        </w:tc>
        <w:tc>
          <w:tcPr>
            <w:tcW w:w="1086" w:type="dxa"/>
            <w:shd w:val="clear" w:color="auto" w:fill="auto"/>
            <w:tcMar>
              <w:left w:w="57" w:type="dxa"/>
              <w:right w:w="57" w:type="dxa"/>
            </w:tcMar>
            <w:vAlign w:val="center"/>
            <w:hideMark/>
          </w:tcPr>
          <w:p w14:paraId="463ED728"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0,056</w:t>
            </w:r>
          </w:p>
        </w:tc>
      </w:tr>
      <w:tr w:rsidR="00C332AC" w:rsidRPr="0092728F" w14:paraId="0EEF06C4"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3376E547"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zemědělského půdního fondu</w:t>
            </w:r>
          </w:p>
        </w:tc>
        <w:tc>
          <w:tcPr>
            <w:tcW w:w="3739" w:type="dxa"/>
            <w:shd w:val="clear" w:color="auto" w:fill="auto"/>
            <w:tcMar>
              <w:left w:w="57" w:type="dxa"/>
              <w:right w:w="57" w:type="dxa"/>
            </w:tcMar>
            <w:vAlign w:val="center"/>
            <w:hideMark/>
          </w:tcPr>
          <w:p w14:paraId="7346A616"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8"/>
                <w:szCs w:val="18"/>
                <w:lang w:eastAsia="cs-CZ"/>
              </w:rPr>
            </w:pPr>
            <w:r w:rsidRPr="0092728F">
              <w:rPr>
                <w:rFonts w:asciiTheme="minorHAnsi" w:eastAsia="Times New Roman" w:hAnsiTheme="minorHAnsi" w:cstheme="minorHAnsi"/>
                <w:color w:val="000000"/>
                <w:sz w:val="18"/>
                <w:szCs w:val="18"/>
                <w:lang w:eastAsia="cs-CZ"/>
              </w:rPr>
              <w:t>počet vydání souhlasu s odnětím půdy ze ZPF (§ 9 odst. 8 zákona) včetně změn souhlasů</w:t>
            </w:r>
            <w:r w:rsidRPr="0092728F">
              <w:rPr>
                <w:rFonts w:asciiTheme="minorHAnsi" w:hAnsiTheme="minorHAnsi" w:cstheme="minorHAnsi"/>
                <w:color w:val="FF0000"/>
                <w:sz w:val="18"/>
                <w:szCs w:val="18"/>
              </w:rPr>
              <w:t xml:space="preserve"> </w:t>
            </w:r>
          </w:p>
        </w:tc>
        <w:tc>
          <w:tcPr>
            <w:tcW w:w="1086" w:type="dxa"/>
            <w:shd w:val="clear" w:color="auto" w:fill="auto"/>
            <w:tcMar>
              <w:left w:w="57" w:type="dxa"/>
              <w:right w:w="57" w:type="dxa"/>
            </w:tcMar>
            <w:vAlign w:val="center"/>
            <w:hideMark/>
          </w:tcPr>
          <w:p w14:paraId="785E9D43"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33,06</w:t>
            </w:r>
          </w:p>
        </w:tc>
        <w:tc>
          <w:tcPr>
            <w:tcW w:w="1086" w:type="dxa"/>
            <w:vMerge/>
            <w:shd w:val="clear" w:color="auto" w:fill="auto"/>
            <w:tcMar>
              <w:left w:w="57" w:type="dxa"/>
              <w:right w:w="57" w:type="dxa"/>
            </w:tcMar>
            <w:vAlign w:val="center"/>
            <w:hideMark/>
          </w:tcPr>
          <w:p w14:paraId="60C41C88"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p>
        </w:tc>
        <w:tc>
          <w:tcPr>
            <w:tcW w:w="1086" w:type="dxa"/>
            <w:shd w:val="clear" w:color="auto" w:fill="auto"/>
            <w:tcMar>
              <w:left w:w="57" w:type="dxa"/>
              <w:right w:w="57" w:type="dxa"/>
            </w:tcMar>
            <w:vAlign w:val="center"/>
            <w:hideMark/>
          </w:tcPr>
          <w:p w14:paraId="5E877DB9"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0,278</w:t>
            </w:r>
          </w:p>
        </w:tc>
      </w:tr>
      <w:tr w:rsidR="00C332AC" w:rsidRPr="0092728F" w14:paraId="4F3A97CF"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02E3378B"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zemědělského půdního fondu</w:t>
            </w:r>
          </w:p>
        </w:tc>
        <w:tc>
          <w:tcPr>
            <w:tcW w:w="3739" w:type="dxa"/>
            <w:shd w:val="clear" w:color="auto" w:fill="auto"/>
            <w:tcMar>
              <w:left w:w="57" w:type="dxa"/>
              <w:right w:w="57" w:type="dxa"/>
            </w:tcMar>
            <w:vAlign w:val="center"/>
            <w:hideMark/>
          </w:tcPr>
          <w:p w14:paraId="61D674A9"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 xml:space="preserve">počet vydání rozhodnutí o odvodech za odnětí půdy ze zemědělského půdního fondu (§ 11 odst. 2 zákona)  </w:t>
            </w:r>
          </w:p>
        </w:tc>
        <w:tc>
          <w:tcPr>
            <w:tcW w:w="1086" w:type="dxa"/>
            <w:shd w:val="clear" w:color="auto" w:fill="auto"/>
            <w:tcMar>
              <w:left w:w="57" w:type="dxa"/>
              <w:right w:w="57" w:type="dxa"/>
            </w:tcMar>
            <w:vAlign w:val="center"/>
            <w:hideMark/>
          </w:tcPr>
          <w:p w14:paraId="7B4654D4"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14,8</w:t>
            </w:r>
          </w:p>
        </w:tc>
        <w:tc>
          <w:tcPr>
            <w:tcW w:w="1086" w:type="dxa"/>
            <w:vMerge/>
            <w:shd w:val="clear" w:color="auto" w:fill="auto"/>
            <w:tcMar>
              <w:left w:w="57" w:type="dxa"/>
              <w:right w:w="57" w:type="dxa"/>
            </w:tcMar>
            <w:vAlign w:val="center"/>
            <w:hideMark/>
          </w:tcPr>
          <w:p w14:paraId="54314D4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p>
        </w:tc>
        <w:tc>
          <w:tcPr>
            <w:tcW w:w="1086" w:type="dxa"/>
            <w:shd w:val="clear" w:color="auto" w:fill="auto"/>
            <w:tcMar>
              <w:left w:w="57" w:type="dxa"/>
              <w:right w:w="57" w:type="dxa"/>
            </w:tcMar>
            <w:vAlign w:val="center"/>
            <w:hideMark/>
          </w:tcPr>
          <w:p w14:paraId="026DF41C"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0,124</w:t>
            </w:r>
          </w:p>
        </w:tc>
      </w:tr>
      <w:tr w:rsidR="00C332AC" w:rsidRPr="0092728F" w14:paraId="14D37CEF"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15DEBE8A"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Ochrana zvířat</w:t>
            </w:r>
          </w:p>
        </w:tc>
        <w:tc>
          <w:tcPr>
            <w:tcW w:w="3739" w:type="dxa"/>
            <w:shd w:val="clear" w:color="auto" w:fill="auto"/>
            <w:tcMar>
              <w:left w:w="57" w:type="dxa"/>
              <w:right w:w="57" w:type="dxa"/>
            </w:tcMar>
            <w:vAlign w:val="center"/>
            <w:hideMark/>
          </w:tcPr>
          <w:p w14:paraId="1D40728D"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 xml:space="preserve"> vydání stanovisek, vyjádření a souhlasů </w:t>
            </w:r>
          </w:p>
        </w:tc>
        <w:tc>
          <w:tcPr>
            <w:tcW w:w="1086" w:type="dxa"/>
            <w:shd w:val="clear" w:color="auto" w:fill="auto"/>
            <w:tcMar>
              <w:left w:w="57" w:type="dxa"/>
              <w:right w:w="57" w:type="dxa"/>
            </w:tcMar>
            <w:vAlign w:val="center"/>
            <w:hideMark/>
          </w:tcPr>
          <w:p w14:paraId="4C774A76"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5,2</w:t>
            </w:r>
          </w:p>
        </w:tc>
        <w:tc>
          <w:tcPr>
            <w:tcW w:w="1086" w:type="dxa"/>
            <w:shd w:val="clear" w:color="auto" w:fill="auto"/>
            <w:tcMar>
              <w:left w:w="57" w:type="dxa"/>
              <w:right w:w="57" w:type="dxa"/>
            </w:tcMar>
            <w:vAlign w:val="center"/>
            <w:hideMark/>
          </w:tcPr>
          <w:p w14:paraId="17707666"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0,56</w:t>
            </w:r>
          </w:p>
        </w:tc>
        <w:tc>
          <w:tcPr>
            <w:tcW w:w="1086" w:type="dxa"/>
            <w:shd w:val="clear" w:color="auto" w:fill="auto"/>
            <w:tcMar>
              <w:left w:w="57" w:type="dxa"/>
              <w:right w:w="57" w:type="dxa"/>
            </w:tcMar>
            <w:vAlign w:val="center"/>
            <w:hideMark/>
          </w:tcPr>
          <w:p w14:paraId="507ADF40"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0,029</w:t>
            </w:r>
          </w:p>
        </w:tc>
      </w:tr>
      <w:tr w:rsidR="00C332AC" w:rsidRPr="0092728F" w14:paraId="624FA0B7"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106C98C5"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Státní správa rybářství</w:t>
            </w:r>
          </w:p>
        </w:tc>
        <w:tc>
          <w:tcPr>
            <w:tcW w:w="3739" w:type="dxa"/>
            <w:shd w:val="clear" w:color="auto" w:fill="auto"/>
            <w:tcMar>
              <w:left w:w="57" w:type="dxa"/>
              <w:right w:w="57" w:type="dxa"/>
            </w:tcMar>
            <w:vAlign w:val="center"/>
            <w:hideMark/>
          </w:tcPr>
          <w:p w14:paraId="312D7D08"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další stanoviska, vyjádření a souhlasy</w:t>
            </w:r>
          </w:p>
        </w:tc>
        <w:tc>
          <w:tcPr>
            <w:tcW w:w="1086" w:type="dxa"/>
            <w:shd w:val="clear" w:color="auto" w:fill="auto"/>
            <w:tcMar>
              <w:left w:w="57" w:type="dxa"/>
              <w:right w:w="57" w:type="dxa"/>
            </w:tcMar>
            <w:vAlign w:val="center"/>
            <w:hideMark/>
          </w:tcPr>
          <w:p w14:paraId="39226FFA"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36,4</w:t>
            </w:r>
          </w:p>
        </w:tc>
        <w:tc>
          <w:tcPr>
            <w:tcW w:w="1086" w:type="dxa"/>
            <w:shd w:val="clear" w:color="auto" w:fill="auto"/>
            <w:tcMar>
              <w:left w:w="57" w:type="dxa"/>
              <w:right w:w="57" w:type="dxa"/>
            </w:tcMar>
            <w:vAlign w:val="center"/>
            <w:hideMark/>
          </w:tcPr>
          <w:p w14:paraId="792E9C0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0,56</w:t>
            </w:r>
          </w:p>
        </w:tc>
        <w:tc>
          <w:tcPr>
            <w:tcW w:w="1086" w:type="dxa"/>
            <w:shd w:val="clear" w:color="auto" w:fill="auto"/>
            <w:tcMar>
              <w:left w:w="57" w:type="dxa"/>
              <w:right w:w="57" w:type="dxa"/>
            </w:tcMar>
            <w:vAlign w:val="center"/>
            <w:hideMark/>
          </w:tcPr>
          <w:p w14:paraId="0C24294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0,204</w:t>
            </w:r>
          </w:p>
        </w:tc>
      </w:tr>
      <w:tr w:rsidR="00C332AC" w:rsidRPr="0092728F" w14:paraId="2C85DB1D" w14:textId="77777777" w:rsidTr="006A6B02">
        <w:tc>
          <w:tcPr>
            <w:cnfStyle w:val="001000000000" w:firstRow="0" w:lastRow="0" w:firstColumn="1" w:lastColumn="0" w:oddVBand="0" w:evenVBand="0" w:oddHBand="0" w:evenHBand="0" w:firstRowFirstColumn="0" w:firstRowLastColumn="0" w:lastRowFirstColumn="0" w:lastRowLastColumn="0"/>
            <w:tcW w:w="5809" w:type="dxa"/>
            <w:gridSpan w:val="2"/>
            <w:shd w:val="clear" w:color="auto" w:fill="auto"/>
            <w:tcMar>
              <w:left w:w="57" w:type="dxa"/>
              <w:right w:w="57" w:type="dxa"/>
            </w:tcMar>
            <w:vAlign w:val="center"/>
            <w:hideMark/>
          </w:tcPr>
          <w:p w14:paraId="23D58139" w14:textId="77777777" w:rsidR="004F75F1" w:rsidRPr="0092728F" w:rsidRDefault="004F75F1" w:rsidP="00C332AC">
            <w:pPr>
              <w:spacing w:before="0" w:after="0"/>
              <w:jc w:val="left"/>
              <w:rPr>
                <w:rFonts w:asciiTheme="minorHAnsi" w:eastAsia="Times New Roman" w:hAnsiTheme="minorHAnsi" w:cstheme="minorHAnsi"/>
                <w:bCs w:val="0"/>
                <w:color w:val="000000" w:themeColor="text1"/>
                <w:sz w:val="18"/>
                <w:szCs w:val="18"/>
                <w:lang w:eastAsia="cs-CZ"/>
              </w:rPr>
            </w:pPr>
            <w:r w:rsidRPr="0092728F">
              <w:rPr>
                <w:rFonts w:asciiTheme="minorHAnsi" w:eastAsia="Times New Roman" w:hAnsiTheme="minorHAnsi" w:cstheme="minorHAnsi"/>
                <w:bCs w:val="0"/>
                <w:color w:val="000000" w:themeColor="text1"/>
                <w:sz w:val="18"/>
                <w:szCs w:val="18"/>
                <w:lang w:eastAsia="cs-CZ"/>
              </w:rPr>
              <w:t>Celkem za odbor ŽP a zemědělství</w:t>
            </w:r>
          </w:p>
        </w:tc>
        <w:tc>
          <w:tcPr>
            <w:tcW w:w="1086" w:type="dxa"/>
            <w:shd w:val="clear" w:color="auto" w:fill="auto"/>
            <w:tcMar>
              <w:left w:w="57" w:type="dxa"/>
              <w:right w:w="57" w:type="dxa"/>
            </w:tcMar>
            <w:vAlign w:val="center"/>
          </w:tcPr>
          <w:p w14:paraId="50CB1B08" w14:textId="51BA1C2C"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FF0000"/>
                <w:sz w:val="18"/>
                <w:szCs w:val="18"/>
                <w:lang w:eastAsia="cs-CZ"/>
              </w:rPr>
            </w:pPr>
          </w:p>
        </w:tc>
        <w:tc>
          <w:tcPr>
            <w:tcW w:w="1086" w:type="dxa"/>
            <w:shd w:val="clear" w:color="auto" w:fill="auto"/>
            <w:tcMar>
              <w:left w:w="57" w:type="dxa"/>
              <w:right w:w="57" w:type="dxa"/>
            </w:tcMar>
            <w:vAlign w:val="center"/>
            <w:hideMark/>
          </w:tcPr>
          <w:p w14:paraId="1AD8EC02"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lang w:eastAsia="cs-CZ"/>
              </w:rPr>
            </w:pPr>
            <w:r w:rsidRPr="0092728F">
              <w:rPr>
                <w:rFonts w:asciiTheme="minorHAnsi" w:eastAsia="Times New Roman" w:hAnsiTheme="minorHAnsi" w:cstheme="minorHAnsi"/>
                <w:b/>
                <w:color w:val="000000" w:themeColor="text1"/>
                <w:sz w:val="18"/>
                <w:szCs w:val="18"/>
                <w:lang w:eastAsia="cs-CZ"/>
              </w:rPr>
              <w:t>7,2</w:t>
            </w:r>
          </w:p>
        </w:tc>
        <w:tc>
          <w:tcPr>
            <w:tcW w:w="1086" w:type="dxa"/>
            <w:shd w:val="clear" w:color="auto" w:fill="auto"/>
            <w:tcMar>
              <w:left w:w="57" w:type="dxa"/>
              <w:right w:w="57" w:type="dxa"/>
            </w:tcMar>
            <w:vAlign w:val="center"/>
            <w:hideMark/>
          </w:tcPr>
          <w:p w14:paraId="0EE2C400"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lang w:eastAsia="cs-CZ"/>
              </w:rPr>
            </w:pPr>
            <w:r w:rsidRPr="0092728F">
              <w:rPr>
                <w:rFonts w:asciiTheme="minorHAnsi" w:eastAsia="Times New Roman" w:hAnsiTheme="minorHAnsi" w:cstheme="minorHAnsi"/>
                <w:b/>
                <w:color w:val="000000" w:themeColor="text1"/>
                <w:sz w:val="18"/>
                <w:szCs w:val="18"/>
                <w:lang w:eastAsia="cs-CZ"/>
              </w:rPr>
              <w:t>2,799</w:t>
            </w:r>
          </w:p>
        </w:tc>
      </w:tr>
      <w:tr w:rsidR="00C332AC" w:rsidRPr="0092728F" w14:paraId="76FBE9AC"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D9D9D9" w:themeFill="background1" w:themeFillShade="D9"/>
            <w:tcMar>
              <w:left w:w="57" w:type="dxa"/>
              <w:right w:w="57" w:type="dxa"/>
            </w:tcMar>
            <w:vAlign w:val="center"/>
            <w:hideMark/>
          </w:tcPr>
          <w:p w14:paraId="2633BA55"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Odbor kultury a památkové péče:</w:t>
            </w:r>
          </w:p>
        </w:tc>
        <w:tc>
          <w:tcPr>
            <w:tcW w:w="3739" w:type="dxa"/>
            <w:shd w:val="clear" w:color="auto" w:fill="D9D9D9" w:themeFill="background1" w:themeFillShade="D9"/>
            <w:tcMar>
              <w:left w:w="57" w:type="dxa"/>
              <w:right w:w="57" w:type="dxa"/>
            </w:tcMar>
            <w:vAlign w:val="center"/>
          </w:tcPr>
          <w:p w14:paraId="29801DB5"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33005F87"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305D8F6B"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1053B964"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r>
      <w:tr w:rsidR="00C332AC" w:rsidRPr="0092728F" w14:paraId="1ECC358E"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39405C1A"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Památková péče</w:t>
            </w:r>
          </w:p>
        </w:tc>
        <w:tc>
          <w:tcPr>
            <w:tcW w:w="3739" w:type="dxa"/>
            <w:shd w:val="clear" w:color="auto" w:fill="auto"/>
            <w:tcMar>
              <w:left w:w="57" w:type="dxa"/>
              <w:right w:w="57" w:type="dxa"/>
            </w:tcMar>
            <w:vAlign w:val="center"/>
            <w:hideMark/>
          </w:tcPr>
          <w:p w14:paraId="751A2B95"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 xml:space="preserve">závazná stanoviska vydávaná podle ust. § 14 odst. 2  </w:t>
            </w:r>
          </w:p>
        </w:tc>
        <w:tc>
          <w:tcPr>
            <w:tcW w:w="1086" w:type="dxa"/>
            <w:shd w:val="clear" w:color="auto" w:fill="auto"/>
            <w:tcMar>
              <w:left w:w="57" w:type="dxa"/>
              <w:right w:w="57" w:type="dxa"/>
            </w:tcMar>
            <w:vAlign w:val="center"/>
            <w:hideMark/>
          </w:tcPr>
          <w:p w14:paraId="0806E0AE"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15,1</w:t>
            </w:r>
          </w:p>
        </w:tc>
        <w:tc>
          <w:tcPr>
            <w:tcW w:w="1086" w:type="dxa"/>
            <w:shd w:val="clear" w:color="auto" w:fill="auto"/>
            <w:tcMar>
              <w:left w:w="57" w:type="dxa"/>
              <w:right w:w="57" w:type="dxa"/>
            </w:tcMar>
            <w:vAlign w:val="center"/>
            <w:hideMark/>
          </w:tcPr>
          <w:p w14:paraId="0AE615E8"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1,34</w:t>
            </w:r>
          </w:p>
        </w:tc>
        <w:tc>
          <w:tcPr>
            <w:tcW w:w="1086" w:type="dxa"/>
            <w:shd w:val="clear" w:color="auto" w:fill="auto"/>
            <w:tcMar>
              <w:left w:w="57" w:type="dxa"/>
              <w:right w:w="57" w:type="dxa"/>
            </w:tcMar>
            <w:vAlign w:val="center"/>
            <w:hideMark/>
          </w:tcPr>
          <w:p w14:paraId="37E31C94"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0,202</w:t>
            </w:r>
          </w:p>
        </w:tc>
      </w:tr>
      <w:tr w:rsidR="00C332AC" w:rsidRPr="0092728F" w14:paraId="1F0A6692"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9" w:type="dxa"/>
            <w:gridSpan w:val="2"/>
            <w:shd w:val="clear" w:color="auto" w:fill="auto"/>
            <w:tcMar>
              <w:left w:w="57" w:type="dxa"/>
              <w:right w:w="57" w:type="dxa"/>
            </w:tcMar>
            <w:vAlign w:val="center"/>
            <w:hideMark/>
          </w:tcPr>
          <w:p w14:paraId="1B2F4F9F"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lastRenderedPageBreak/>
              <w:t>Celkem za odbor kultury a památkové péče</w:t>
            </w:r>
          </w:p>
        </w:tc>
        <w:tc>
          <w:tcPr>
            <w:tcW w:w="1086" w:type="dxa"/>
            <w:shd w:val="clear" w:color="auto" w:fill="auto"/>
            <w:tcMar>
              <w:left w:w="57" w:type="dxa"/>
              <w:right w:w="57" w:type="dxa"/>
            </w:tcMar>
            <w:vAlign w:val="center"/>
            <w:hideMark/>
          </w:tcPr>
          <w:p w14:paraId="010E41BC"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15,1</w:t>
            </w:r>
          </w:p>
        </w:tc>
        <w:tc>
          <w:tcPr>
            <w:tcW w:w="1086" w:type="dxa"/>
            <w:shd w:val="clear" w:color="auto" w:fill="auto"/>
            <w:tcMar>
              <w:left w:w="57" w:type="dxa"/>
              <w:right w:w="57" w:type="dxa"/>
            </w:tcMar>
            <w:vAlign w:val="center"/>
            <w:hideMark/>
          </w:tcPr>
          <w:p w14:paraId="1AFC7AE7"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1,34</w:t>
            </w:r>
          </w:p>
        </w:tc>
        <w:tc>
          <w:tcPr>
            <w:tcW w:w="1086" w:type="dxa"/>
            <w:shd w:val="clear" w:color="auto" w:fill="auto"/>
            <w:tcMar>
              <w:left w:w="57" w:type="dxa"/>
              <w:right w:w="57" w:type="dxa"/>
            </w:tcMar>
            <w:vAlign w:val="center"/>
            <w:hideMark/>
          </w:tcPr>
          <w:p w14:paraId="6303ACD6"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0,202</w:t>
            </w:r>
          </w:p>
        </w:tc>
      </w:tr>
      <w:tr w:rsidR="00C332AC" w:rsidRPr="0092728F" w14:paraId="15EA4277"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D9D9D9" w:themeFill="background1" w:themeFillShade="D9"/>
            <w:tcMar>
              <w:left w:w="57" w:type="dxa"/>
              <w:right w:w="57" w:type="dxa"/>
            </w:tcMar>
            <w:vAlign w:val="center"/>
            <w:hideMark/>
          </w:tcPr>
          <w:p w14:paraId="6D0DC282"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Odbor územního plánování a stavebního řádu:</w:t>
            </w:r>
          </w:p>
        </w:tc>
        <w:tc>
          <w:tcPr>
            <w:tcW w:w="3739" w:type="dxa"/>
            <w:shd w:val="clear" w:color="auto" w:fill="D9D9D9" w:themeFill="background1" w:themeFillShade="D9"/>
            <w:tcMar>
              <w:left w:w="57" w:type="dxa"/>
              <w:right w:w="57" w:type="dxa"/>
            </w:tcMar>
            <w:vAlign w:val="center"/>
          </w:tcPr>
          <w:p w14:paraId="43EBDC67"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4A7339E7"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41812EA1"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13E6BCEB"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r>
      <w:tr w:rsidR="00C332AC" w:rsidRPr="0092728F" w14:paraId="0C900B62" w14:textId="77777777" w:rsidTr="00C33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57048075"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Územní plánování</w:t>
            </w:r>
          </w:p>
        </w:tc>
        <w:tc>
          <w:tcPr>
            <w:tcW w:w="3739" w:type="dxa"/>
            <w:shd w:val="clear" w:color="auto" w:fill="auto"/>
            <w:tcMar>
              <w:left w:w="57" w:type="dxa"/>
              <w:right w:w="57" w:type="dxa"/>
            </w:tcMar>
            <w:vAlign w:val="center"/>
            <w:hideMark/>
          </w:tcPr>
          <w:p w14:paraId="62C0EF4E"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počet stanovisek, závazných stanovisek, vyjádření, sdělení apod. jako dotčeného orgánu podle stavebního zákona - § 6 odst. 1 písm. e) a f)</w:t>
            </w:r>
          </w:p>
        </w:tc>
        <w:tc>
          <w:tcPr>
            <w:tcW w:w="1086" w:type="dxa"/>
            <w:shd w:val="clear" w:color="auto" w:fill="auto"/>
            <w:tcMar>
              <w:left w:w="57" w:type="dxa"/>
              <w:right w:w="57" w:type="dxa"/>
            </w:tcMar>
            <w:vAlign w:val="center"/>
            <w:hideMark/>
          </w:tcPr>
          <w:p w14:paraId="1EA96545"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53,7</w:t>
            </w:r>
          </w:p>
        </w:tc>
        <w:tc>
          <w:tcPr>
            <w:tcW w:w="1086" w:type="dxa"/>
            <w:shd w:val="clear" w:color="auto" w:fill="auto"/>
            <w:tcMar>
              <w:left w:w="57" w:type="dxa"/>
              <w:right w:w="57" w:type="dxa"/>
            </w:tcMar>
            <w:vAlign w:val="center"/>
            <w:hideMark/>
          </w:tcPr>
          <w:p w14:paraId="639ECB0D"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2,57</w:t>
            </w:r>
          </w:p>
        </w:tc>
        <w:tc>
          <w:tcPr>
            <w:tcW w:w="1086" w:type="dxa"/>
            <w:shd w:val="clear" w:color="auto" w:fill="auto"/>
            <w:tcMar>
              <w:left w:w="57" w:type="dxa"/>
              <w:right w:w="57" w:type="dxa"/>
            </w:tcMar>
            <w:vAlign w:val="center"/>
            <w:hideMark/>
          </w:tcPr>
          <w:p w14:paraId="5DE09A65"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1,380</w:t>
            </w:r>
          </w:p>
        </w:tc>
      </w:tr>
      <w:tr w:rsidR="00C332AC" w:rsidRPr="0092728F" w14:paraId="3C0527D6" w14:textId="77777777" w:rsidTr="00C332AC">
        <w:tc>
          <w:tcPr>
            <w:cnfStyle w:val="001000000000" w:firstRow="0" w:lastRow="0" w:firstColumn="1" w:lastColumn="0" w:oddVBand="0" w:evenVBand="0" w:oddHBand="0" w:evenHBand="0" w:firstRowFirstColumn="0" w:firstRowLastColumn="0" w:lastRowFirstColumn="0" w:lastRowLastColumn="0"/>
            <w:tcW w:w="5809" w:type="dxa"/>
            <w:gridSpan w:val="2"/>
            <w:shd w:val="clear" w:color="auto" w:fill="auto"/>
            <w:tcMar>
              <w:left w:w="57" w:type="dxa"/>
              <w:right w:w="57" w:type="dxa"/>
            </w:tcMar>
            <w:vAlign w:val="center"/>
            <w:hideMark/>
          </w:tcPr>
          <w:p w14:paraId="0D11574B"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Celkem za odbor ÚP a SŘ</w:t>
            </w:r>
          </w:p>
        </w:tc>
        <w:tc>
          <w:tcPr>
            <w:tcW w:w="1086" w:type="dxa"/>
            <w:shd w:val="clear" w:color="auto" w:fill="auto"/>
            <w:tcMar>
              <w:left w:w="57" w:type="dxa"/>
              <w:right w:w="57" w:type="dxa"/>
            </w:tcMar>
            <w:vAlign w:val="center"/>
            <w:hideMark/>
          </w:tcPr>
          <w:p w14:paraId="6D4E7D8F"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53,7</w:t>
            </w:r>
          </w:p>
        </w:tc>
        <w:tc>
          <w:tcPr>
            <w:tcW w:w="1086" w:type="dxa"/>
            <w:shd w:val="clear" w:color="auto" w:fill="auto"/>
            <w:tcMar>
              <w:left w:w="57" w:type="dxa"/>
              <w:right w:w="57" w:type="dxa"/>
            </w:tcMar>
            <w:vAlign w:val="center"/>
            <w:hideMark/>
          </w:tcPr>
          <w:p w14:paraId="7733C252"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2,57</w:t>
            </w:r>
          </w:p>
        </w:tc>
        <w:tc>
          <w:tcPr>
            <w:tcW w:w="1086" w:type="dxa"/>
            <w:shd w:val="clear" w:color="auto" w:fill="auto"/>
            <w:tcMar>
              <w:left w:w="57" w:type="dxa"/>
              <w:right w:w="57" w:type="dxa"/>
            </w:tcMar>
            <w:vAlign w:val="center"/>
            <w:hideMark/>
          </w:tcPr>
          <w:p w14:paraId="17B2A8DF"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1,380</w:t>
            </w:r>
          </w:p>
        </w:tc>
      </w:tr>
      <w:tr w:rsidR="00C332AC" w:rsidRPr="0092728F" w14:paraId="79FFDD3B" w14:textId="77777777" w:rsidTr="00521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D9D9D9" w:themeFill="background1" w:themeFillShade="D9"/>
            <w:tcMar>
              <w:left w:w="57" w:type="dxa"/>
              <w:right w:w="57" w:type="dxa"/>
            </w:tcMar>
            <w:vAlign w:val="center"/>
            <w:hideMark/>
          </w:tcPr>
          <w:p w14:paraId="2CD618C1"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Odbor dopravy a silničního hospodářství:</w:t>
            </w:r>
          </w:p>
        </w:tc>
        <w:tc>
          <w:tcPr>
            <w:tcW w:w="3739" w:type="dxa"/>
            <w:shd w:val="clear" w:color="auto" w:fill="D9D9D9" w:themeFill="background1" w:themeFillShade="D9"/>
            <w:tcMar>
              <w:left w:w="57" w:type="dxa"/>
              <w:right w:w="57" w:type="dxa"/>
            </w:tcMar>
            <w:vAlign w:val="center"/>
          </w:tcPr>
          <w:p w14:paraId="2C80800D" w14:textId="77777777" w:rsidR="004F75F1" w:rsidRPr="0092728F" w:rsidRDefault="004F75F1" w:rsidP="00C332A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58BD47B1"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70742A63"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shd w:val="clear" w:color="auto" w:fill="D9D9D9" w:themeFill="background1" w:themeFillShade="D9"/>
            <w:tcMar>
              <w:left w:w="57" w:type="dxa"/>
              <w:right w:w="57" w:type="dxa"/>
            </w:tcMar>
            <w:vAlign w:val="center"/>
          </w:tcPr>
          <w:p w14:paraId="338B170B"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r>
      <w:tr w:rsidR="00C332AC" w:rsidRPr="0092728F" w14:paraId="20A7DAB3" w14:textId="77777777" w:rsidTr="00C332AC">
        <w:tc>
          <w:tcPr>
            <w:cnfStyle w:val="001000000000" w:firstRow="0" w:lastRow="0" w:firstColumn="1" w:lastColumn="0" w:oddVBand="0" w:evenVBand="0" w:oddHBand="0" w:evenHBand="0" w:firstRowFirstColumn="0" w:firstRowLastColumn="0" w:lastRowFirstColumn="0" w:lastRowLastColumn="0"/>
            <w:tcW w:w="2070" w:type="dxa"/>
            <w:shd w:val="clear" w:color="auto" w:fill="auto"/>
            <w:tcMar>
              <w:left w:w="57" w:type="dxa"/>
              <w:right w:w="57" w:type="dxa"/>
            </w:tcMar>
            <w:vAlign w:val="center"/>
            <w:hideMark/>
          </w:tcPr>
          <w:p w14:paraId="67D71146" w14:textId="77777777" w:rsidR="004F75F1" w:rsidRPr="0092728F" w:rsidRDefault="004F75F1" w:rsidP="00C332AC">
            <w:pPr>
              <w:spacing w:before="0" w:after="0"/>
              <w:jc w:val="left"/>
              <w:rPr>
                <w:rFonts w:asciiTheme="minorHAnsi" w:eastAsia="Times New Roman" w:hAnsiTheme="minorHAnsi" w:cstheme="minorHAnsi"/>
                <w:b w:val="0"/>
                <w:bCs w:val="0"/>
                <w:color w:val="000000"/>
                <w:sz w:val="18"/>
                <w:szCs w:val="18"/>
                <w:lang w:eastAsia="cs-CZ"/>
              </w:rPr>
            </w:pPr>
            <w:r w:rsidRPr="0092728F">
              <w:rPr>
                <w:rFonts w:asciiTheme="minorHAnsi" w:eastAsia="Times New Roman" w:hAnsiTheme="minorHAnsi" w:cstheme="minorHAnsi"/>
                <w:b w:val="0"/>
                <w:bCs w:val="0"/>
                <w:color w:val="000000"/>
                <w:sz w:val="18"/>
                <w:szCs w:val="18"/>
                <w:lang w:eastAsia="cs-CZ"/>
              </w:rPr>
              <w:t>Silniční a správní úřad a dopravní úřad</w:t>
            </w:r>
          </w:p>
        </w:tc>
        <w:tc>
          <w:tcPr>
            <w:tcW w:w="3739" w:type="dxa"/>
            <w:shd w:val="clear" w:color="auto" w:fill="auto"/>
            <w:tcMar>
              <w:left w:w="57" w:type="dxa"/>
              <w:right w:w="57" w:type="dxa"/>
            </w:tcMar>
            <w:vAlign w:val="center"/>
            <w:hideMark/>
          </w:tcPr>
          <w:p w14:paraId="40BE998C"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vydání jiných stanovisek, vyjádření a souhlasů</w:t>
            </w:r>
          </w:p>
        </w:tc>
        <w:tc>
          <w:tcPr>
            <w:tcW w:w="1086" w:type="dxa"/>
            <w:shd w:val="clear" w:color="auto" w:fill="auto"/>
            <w:tcMar>
              <w:left w:w="57" w:type="dxa"/>
              <w:right w:w="57" w:type="dxa"/>
            </w:tcMar>
            <w:vAlign w:val="center"/>
            <w:hideMark/>
          </w:tcPr>
          <w:p w14:paraId="6B157802"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10,6</w:t>
            </w:r>
          </w:p>
        </w:tc>
        <w:tc>
          <w:tcPr>
            <w:tcW w:w="1086" w:type="dxa"/>
            <w:shd w:val="clear" w:color="auto" w:fill="auto"/>
            <w:tcMar>
              <w:left w:w="57" w:type="dxa"/>
              <w:right w:w="57" w:type="dxa"/>
            </w:tcMar>
            <w:vAlign w:val="center"/>
            <w:hideMark/>
          </w:tcPr>
          <w:p w14:paraId="31A9D100"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5,92</w:t>
            </w:r>
          </w:p>
        </w:tc>
        <w:tc>
          <w:tcPr>
            <w:tcW w:w="1086" w:type="dxa"/>
            <w:shd w:val="clear" w:color="auto" w:fill="auto"/>
            <w:tcMar>
              <w:left w:w="57" w:type="dxa"/>
              <w:right w:w="57" w:type="dxa"/>
            </w:tcMar>
            <w:vAlign w:val="center"/>
            <w:hideMark/>
          </w:tcPr>
          <w:p w14:paraId="5AC3B29B"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cs-CZ"/>
              </w:rPr>
            </w:pPr>
            <w:r w:rsidRPr="0092728F">
              <w:rPr>
                <w:rFonts w:asciiTheme="minorHAnsi" w:eastAsia="Times New Roman" w:hAnsiTheme="minorHAnsi" w:cstheme="minorHAnsi"/>
                <w:color w:val="000000"/>
                <w:sz w:val="18"/>
                <w:szCs w:val="18"/>
                <w:lang w:eastAsia="cs-CZ"/>
              </w:rPr>
              <w:t>0,627</w:t>
            </w:r>
          </w:p>
        </w:tc>
      </w:tr>
      <w:tr w:rsidR="00C332AC" w:rsidRPr="0092728F" w14:paraId="6C507989" w14:textId="77777777" w:rsidTr="00A95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9" w:type="dxa"/>
            <w:gridSpan w:val="2"/>
            <w:tcBorders>
              <w:bottom w:val="dotted" w:sz="4" w:space="0" w:color="262626" w:themeColor="accent5"/>
            </w:tcBorders>
            <w:shd w:val="clear" w:color="auto" w:fill="auto"/>
            <w:tcMar>
              <w:left w:w="57" w:type="dxa"/>
              <w:right w:w="57" w:type="dxa"/>
            </w:tcMar>
            <w:vAlign w:val="center"/>
            <w:hideMark/>
          </w:tcPr>
          <w:p w14:paraId="627DB834"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Celkem za odbor dopravy a silničního hospodářství</w:t>
            </w:r>
          </w:p>
        </w:tc>
        <w:tc>
          <w:tcPr>
            <w:tcW w:w="1086" w:type="dxa"/>
            <w:tcBorders>
              <w:bottom w:val="dotted" w:sz="4" w:space="0" w:color="262626" w:themeColor="accent5"/>
            </w:tcBorders>
            <w:shd w:val="clear" w:color="auto" w:fill="auto"/>
            <w:tcMar>
              <w:left w:w="57" w:type="dxa"/>
              <w:right w:w="57" w:type="dxa"/>
            </w:tcMar>
            <w:vAlign w:val="center"/>
            <w:hideMark/>
          </w:tcPr>
          <w:p w14:paraId="0C107F0E"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10,6</w:t>
            </w:r>
          </w:p>
        </w:tc>
        <w:tc>
          <w:tcPr>
            <w:tcW w:w="1086" w:type="dxa"/>
            <w:tcBorders>
              <w:bottom w:val="dotted" w:sz="4" w:space="0" w:color="262626" w:themeColor="accent5"/>
            </w:tcBorders>
            <w:shd w:val="clear" w:color="auto" w:fill="auto"/>
            <w:tcMar>
              <w:left w:w="57" w:type="dxa"/>
              <w:right w:w="57" w:type="dxa"/>
            </w:tcMar>
            <w:vAlign w:val="center"/>
            <w:hideMark/>
          </w:tcPr>
          <w:p w14:paraId="6FE6FF98"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5,92</w:t>
            </w:r>
          </w:p>
        </w:tc>
        <w:tc>
          <w:tcPr>
            <w:tcW w:w="1086" w:type="dxa"/>
            <w:tcBorders>
              <w:bottom w:val="dotted" w:sz="4" w:space="0" w:color="262626" w:themeColor="accent5"/>
            </w:tcBorders>
            <w:shd w:val="clear" w:color="auto" w:fill="auto"/>
            <w:tcMar>
              <w:left w:w="57" w:type="dxa"/>
              <w:right w:w="57" w:type="dxa"/>
            </w:tcMar>
            <w:vAlign w:val="center"/>
            <w:hideMark/>
          </w:tcPr>
          <w:p w14:paraId="0BE85D50" w14:textId="77777777" w:rsidR="004F75F1" w:rsidRPr="0092728F" w:rsidRDefault="004F75F1" w:rsidP="00C332A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0,627</w:t>
            </w:r>
          </w:p>
        </w:tc>
      </w:tr>
      <w:tr w:rsidR="00C332AC" w:rsidRPr="0092728F" w14:paraId="4C659555" w14:textId="77777777" w:rsidTr="00A95487">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262626" w:themeColor="accent5"/>
            </w:tcBorders>
            <w:shd w:val="clear" w:color="auto" w:fill="FEFCBE" w:themeFill="accent1" w:themeFillTint="33"/>
            <w:tcMar>
              <w:left w:w="57" w:type="dxa"/>
              <w:right w:w="57" w:type="dxa"/>
            </w:tcMar>
            <w:vAlign w:val="center"/>
            <w:hideMark/>
          </w:tcPr>
          <w:p w14:paraId="665374CD" w14:textId="77777777" w:rsidR="004F75F1" w:rsidRPr="0092728F" w:rsidRDefault="004F75F1" w:rsidP="00C332AC">
            <w:pPr>
              <w:spacing w:before="0" w:after="0"/>
              <w:jc w:val="left"/>
              <w:rPr>
                <w:rFonts w:asciiTheme="minorHAnsi" w:eastAsia="Times New Roman" w:hAnsiTheme="minorHAnsi" w:cstheme="minorHAnsi"/>
                <w:bCs w:val="0"/>
                <w:color w:val="000000"/>
                <w:sz w:val="18"/>
                <w:szCs w:val="18"/>
                <w:lang w:eastAsia="cs-CZ"/>
              </w:rPr>
            </w:pPr>
            <w:r w:rsidRPr="0092728F">
              <w:rPr>
                <w:rFonts w:asciiTheme="minorHAnsi" w:eastAsia="Times New Roman" w:hAnsiTheme="minorHAnsi" w:cstheme="minorHAnsi"/>
                <w:bCs w:val="0"/>
                <w:color w:val="000000"/>
                <w:sz w:val="18"/>
                <w:szCs w:val="18"/>
                <w:lang w:eastAsia="cs-CZ"/>
              </w:rPr>
              <w:t>Celkem za odbory</w:t>
            </w:r>
          </w:p>
        </w:tc>
        <w:tc>
          <w:tcPr>
            <w:tcW w:w="3739" w:type="dxa"/>
            <w:tcBorders>
              <w:bottom w:val="single" w:sz="4" w:space="0" w:color="262626" w:themeColor="accent5"/>
            </w:tcBorders>
            <w:shd w:val="clear" w:color="auto" w:fill="FEFCBE" w:themeFill="accent1" w:themeFillTint="33"/>
            <w:tcMar>
              <w:left w:w="57" w:type="dxa"/>
              <w:right w:w="57" w:type="dxa"/>
            </w:tcMar>
            <w:vAlign w:val="center"/>
          </w:tcPr>
          <w:p w14:paraId="2AB4DC60" w14:textId="77777777" w:rsidR="004F75F1" w:rsidRPr="0092728F" w:rsidRDefault="004F75F1" w:rsidP="00C332A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tcBorders>
              <w:bottom w:val="single" w:sz="4" w:space="0" w:color="262626" w:themeColor="accent5"/>
            </w:tcBorders>
            <w:shd w:val="clear" w:color="auto" w:fill="FEFCBE" w:themeFill="accent1" w:themeFillTint="33"/>
            <w:tcMar>
              <w:left w:w="57" w:type="dxa"/>
              <w:right w:w="57" w:type="dxa"/>
            </w:tcMar>
            <w:vAlign w:val="center"/>
          </w:tcPr>
          <w:p w14:paraId="77772B09"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p>
        </w:tc>
        <w:tc>
          <w:tcPr>
            <w:tcW w:w="1086" w:type="dxa"/>
            <w:tcBorders>
              <w:bottom w:val="single" w:sz="4" w:space="0" w:color="262626" w:themeColor="accent5"/>
            </w:tcBorders>
            <w:shd w:val="clear" w:color="auto" w:fill="FEFCBE" w:themeFill="accent1" w:themeFillTint="33"/>
            <w:tcMar>
              <w:left w:w="57" w:type="dxa"/>
              <w:right w:w="57" w:type="dxa"/>
            </w:tcMar>
            <w:vAlign w:val="center"/>
            <w:hideMark/>
          </w:tcPr>
          <w:p w14:paraId="31BAE225"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17,03</w:t>
            </w:r>
          </w:p>
        </w:tc>
        <w:tc>
          <w:tcPr>
            <w:tcW w:w="1086" w:type="dxa"/>
            <w:tcBorders>
              <w:bottom w:val="single" w:sz="4" w:space="0" w:color="262626" w:themeColor="accent5"/>
            </w:tcBorders>
            <w:shd w:val="clear" w:color="auto" w:fill="FEFCBE" w:themeFill="accent1" w:themeFillTint="33"/>
            <w:tcMar>
              <w:left w:w="57" w:type="dxa"/>
              <w:right w:w="57" w:type="dxa"/>
            </w:tcMar>
            <w:vAlign w:val="center"/>
            <w:hideMark/>
          </w:tcPr>
          <w:p w14:paraId="6982723E" w14:textId="77777777" w:rsidR="004F75F1" w:rsidRPr="0092728F" w:rsidRDefault="004F75F1" w:rsidP="00C332A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lang w:eastAsia="cs-CZ"/>
              </w:rPr>
            </w:pPr>
            <w:r w:rsidRPr="0092728F">
              <w:rPr>
                <w:rFonts w:asciiTheme="minorHAnsi" w:eastAsia="Times New Roman" w:hAnsiTheme="minorHAnsi" w:cstheme="minorHAnsi"/>
                <w:b/>
                <w:color w:val="000000"/>
                <w:sz w:val="18"/>
                <w:szCs w:val="18"/>
                <w:lang w:eastAsia="cs-CZ"/>
              </w:rPr>
              <w:t>5,008</w:t>
            </w:r>
          </w:p>
        </w:tc>
      </w:tr>
    </w:tbl>
    <w:p w14:paraId="701EAB6D" w14:textId="390FD6D0" w:rsidR="004F75F1" w:rsidRPr="00C332AC" w:rsidRDefault="00C332AC" w:rsidP="00A02AD9">
      <w:pPr>
        <w:spacing w:after="0"/>
        <w:contextualSpacing/>
        <w:rPr>
          <w:rFonts w:eastAsia="Times New Roman"/>
          <w:i/>
          <w:iCs/>
          <w:color w:val="000000"/>
          <w:sz w:val="22"/>
          <w:szCs w:val="20"/>
          <w:lang w:eastAsia="cs-CZ"/>
        </w:rPr>
      </w:pPr>
      <w:r w:rsidRPr="00C332AC">
        <w:rPr>
          <w:rFonts w:eastAsia="Times New Roman"/>
          <w:i/>
          <w:iCs/>
          <w:color w:val="000000"/>
          <w:sz w:val="22"/>
          <w:szCs w:val="20"/>
          <w:lang w:eastAsia="cs-CZ"/>
        </w:rPr>
        <w:t>V tabulce jsou uvedené hodnoty za rok 2017 a aktuální hodnoty mediánového úřadu ORP.</w:t>
      </w:r>
    </w:p>
    <w:p w14:paraId="2FB0CA4C" w14:textId="38A43F95" w:rsidR="00C332AC" w:rsidRPr="00C332AC" w:rsidRDefault="00C332AC" w:rsidP="00A02AD9">
      <w:pPr>
        <w:spacing w:after="0"/>
        <w:contextualSpacing/>
        <w:rPr>
          <w:rFonts w:eastAsia="Times New Roman"/>
          <w:i/>
          <w:iCs/>
          <w:color w:val="000000"/>
          <w:sz w:val="22"/>
          <w:szCs w:val="20"/>
          <w:lang w:eastAsia="cs-CZ"/>
        </w:rPr>
      </w:pPr>
      <w:r w:rsidRPr="00C332AC">
        <w:rPr>
          <w:rFonts w:eastAsia="Times New Roman"/>
          <w:i/>
          <w:iCs/>
          <w:color w:val="000000"/>
          <w:sz w:val="22"/>
          <w:szCs w:val="20"/>
          <w:lang w:eastAsia="cs-CZ"/>
        </w:rPr>
        <w:t>Zdroj: MV</w:t>
      </w:r>
    </w:p>
    <w:p w14:paraId="6DA58659" w14:textId="04568D2A" w:rsidR="00134123" w:rsidRPr="00134123" w:rsidRDefault="004F75F1" w:rsidP="00134123">
      <w:pPr>
        <w:pStyle w:val="Normln-tun"/>
      </w:pPr>
      <w:r w:rsidRPr="00134123">
        <w:t xml:space="preserve">Celkový počet úvazků za </w:t>
      </w:r>
      <w:r w:rsidR="00B50019" w:rsidRPr="00134123">
        <w:t xml:space="preserve">vybrané činnosti </w:t>
      </w:r>
      <w:r w:rsidRPr="00134123">
        <w:t xml:space="preserve">na mediánovém ORP činí 17,03, </w:t>
      </w:r>
      <w:r w:rsidR="00B50019">
        <w:t>z toho</w:t>
      </w:r>
      <w:r w:rsidRPr="00134123">
        <w:t xml:space="preserve"> podíl zabývající se vyjadřovací činností a stanovisky je 5,008 úvazků. To odpovídá </w:t>
      </w:r>
      <w:r w:rsidR="00B50019">
        <w:t xml:space="preserve">cca </w:t>
      </w:r>
      <w:r w:rsidRPr="00134123">
        <w:t>8 % zaměstnanců ze všech úvazků PP na úřadě.</w:t>
      </w:r>
      <w:r w:rsidR="00B50019">
        <w:t xml:space="preserve"> </w:t>
      </w:r>
      <w:r w:rsidR="00134123">
        <w:t>Obdobná tabulka uvádí data za DO na krajských úřadech.</w:t>
      </w:r>
    </w:p>
    <w:p w14:paraId="0ECE9744" w14:textId="04456724" w:rsidR="00A02AD9" w:rsidRDefault="00A02AD9" w:rsidP="00A02AD9">
      <w:pPr>
        <w:pStyle w:val="Titulek"/>
        <w:keepNext/>
      </w:pPr>
      <w:r>
        <w:t xml:space="preserve">Tabulka </w:t>
      </w:r>
      <w:r w:rsidR="004B0591">
        <w:fldChar w:fldCharType="begin"/>
      </w:r>
      <w:r w:rsidR="004B0591">
        <w:instrText xml:space="preserve"> SEQ Tabulka \* ARABIC </w:instrText>
      </w:r>
      <w:r w:rsidR="004B0591">
        <w:fldChar w:fldCharType="separate"/>
      </w:r>
      <w:r w:rsidR="0083191B">
        <w:rPr>
          <w:noProof/>
        </w:rPr>
        <w:t>11</w:t>
      </w:r>
      <w:r w:rsidR="004B0591">
        <w:rPr>
          <w:noProof/>
        </w:rPr>
        <w:fldChar w:fldCharType="end"/>
      </w:r>
      <w:r>
        <w:t xml:space="preserve">: </w:t>
      </w:r>
      <w:r w:rsidRPr="004F75F1">
        <w:t>Odhad podílu DO vydávající stanoviska ke stavebnímu řízení</w:t>
      </w:r>
      <w:r>
        <w:t>,</w:t>
      </w:r>
      <w:r w:rsidRPr="004F75F1">
        <w:t xml:space="preserve"> </w:t>
      </w:r>
      <w:r>
        <w:t>kraje</w:t>
      </w:r>
    </w:p>
    <w:tbl>
      <w:tblPr>
        <w:tblStyle w:val="Barevntabulkaseznamu6zvraznn51"/>
        <w:tblW w:w="9072" w:type="dxa"/>
        <w:tblLayout w:type="fixed"/>
        <w:tblLook w:val="04A0" w:firstRow="1" w:lastRow="0" w:firstColumn="1" w:lastColumn="0" w:noHBand="0" w:noVBand="1"/>
      </w:tblPr>
      <w:tblGrid>
        <w:gridCol w:w="4111"/>
        <w:gridCol w:w="1240"/>
        <w:gridCol w:w="1240"/>
        <w:gridCol w:w="1240"/>
        <w:gridCol w:w="1241"/>
      </w:tblGrid>
      <w:tr w:rsidR="00A02AD9" w:rsidRPr="00A02AD9" w14:paraId="62DDCA04" w14:textId="77777777" w:rsidTr="00784F6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5AA9EE7E" w14:textId="77777777" w:rsidR="004F75F1" w:rsidRPr="00A02AD9" w:rsidRDefault="004F75F1" w:rsidP="00A02AD9">
            <w:pPr>
              <w:spacing w:before="0" w:after="0"/>
              <w:jc w:val="center"/>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Agenda (kraje)</w:t>
            </w:r>
          </w:p>
        </w:tc>
        <w:tc>
          <w:tcPr>
            <w:tcW w:w="1240" w:type="dxa"/>
            <w:vAlign w:val="center"/>
            <w:hideMark/>
          </w:tcPr>
          <w:p w14:paraId="442F2FD0" w14:textId="14207068" w:rsidR="004F75F1" w:rsidRPr="00A02AD9" w:rsidRDefault="004F75F1" w:rsidP="00A02AD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 xml:space="preserve">Počet úvazků v </w:t>
            </w:r>
            <w:r w:rsidR="00134123">
              <w:rPr>
                <w:rFonts w:asciiTheme="minorHAnsi" w:eastAsia="Times New Roman" w:hAnsiTheme="minorHAnsi" w:cstheme="minorHAnsi"/>
                <w:color w:val="auto"/>
                <w:sz w:val="20"/>
                <w:szCs w:val="20"/>
                <w:lang w:eastAsia="cs-CZ"/>
              </w:rPr>
              <w:t>PP</w:t>
            </w:r>
            <w:r w:rsidRPr="00A02AD9">
              <w:rPr>
                <w:rFonts w:asciiTheme="minorHAnsi" w:eastAsia="Times New Roman" w:hAnsiTheme="minorHAnsi" w:cstheme="minorHAnsi"/>
                <w:color w:val="auto"/>
                <w:sz w:val="20"/>
                <w:szCs w:val="20"/>
                <w:lang w:eastAsia="cs-CZ"/>
              </w:rPr>
              <w:t xml:space="preserve"> v %</w:t>
            </w:r>
          </w:p>
        </w:tc>
        <w:tc>
          <w:tcPr>
            <w:tcW w:w="1240" w:type="dxa"/>
            <w:vAlign w:val="center"/>
            <w:hideMark/>
          </w:tcPr>
          <w:p w14:paraId="614A28CF" w14:textId="2C725C25" w:rsidR="004F75F1" w:rsidRPr="00A02AD9" w:rsidRDefault="004F75F1" w:rsidP="00A02AD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 xml:space="preserve">Počet úvazků v </w:t>
            </w:r>
            <w:r w:rsidR="00134123">
              <w:rPr>
                <w:rFonts w:asciiTheme="minorHAnsi" w:eastAsia="Times New Roman" w:hAnsiTheme="minorHAnsi" w:cstheme="minorHAnsi"/>
                <w:color w:val="auto"/>
                <w:sz w:val="20"/>
                <w:szCs w:val="20"/>
                <w:lang w:eastAsia="cs-CZ"/>
              </w:rPr>
              <w:t>PP</w:t>
            </w:r>
            <w:r w:rsidRPr="00A02AD9">
              <w:rPr>
                <w:rFonts w:asciiTheme="minorHAnsi" w:eastAsia="Times New Roman" w:hAnsiTheme="minorHAnsi" w:cstheme="minorHAnsi"/>
                <w:color w:val="auto"/>
                <w:sz w:val="20"/>
                <w:szCs w:val="20"/>
                <w:lang w:eastAsia="cs-CZ"/>
              </w:rPr>
              <w:t xml:space="preserve"> pro mediánový kraj</w:t>
            </w:r>
          </w:p>
        </w:tc>
        <w:tc>
          <w:tcPr>
            <w:tcW w:w="1240" w:type="dxa"/>
            <w:vAlign w:val="center"/>
            <w:hideMark/>
          </w:tcPr>
          <w:p w14:paraId="750C7CC4" w14:textId="77777777" w:rsidR="004F75F1" w:rsidRPr="00A02AD9" w:rsidRDefault="004F75F1" w:rsidP="00A02AD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Počet úvazků v % při vyjmutí agendy</w:t>
            </w:r>
          </w:p>
        </w:tc>
        <w:tc>
          <w:tcPr>
            <w:tcW w:w="1241" w:type="dxa"/>
            <w:vAlign w:val="center"/>
            <w:hideMark/>
          </w:tcPr>
          <w:p w14:paraId="7B1B56CC" w14:textId="77777777" w:rsidR="004F75F1" w:rsidRPr="00A02AD9" w:rsidRDefault="004F75F1" w:rsidP="00A02AD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Počet úvazků při vyjmutí</w:t>
            </w:r>
          </w:p>
        </w:tc>
      </w:tr>
      <w:tr w:rsidR="00A02AD9" w:rsidRPr="00A02AD9" w14:paraId="727D3665"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719BE9AC"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školství, mládeže a sportu</w:t>
            </w:r>
          </w:p>
        </w:tc>
        <w:tc>
          <w:tcPr>
            <w:tcW w:w="1240" w:type="dxa"/>
            <w:noWrap/>
            <w:vAlign w:val="center"/>
            <w:hideMark/>
          </w:tcPr>
          <w:p w14:paraId="05604CBF" w14:textId="0D0A841C"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15</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50</w:t>
            </w:r>
          </w:p>
        </w:tc>
        <w:tc>
          <w:tcPr>
            <w:tcW w:w="1240" w:type="dxa"/>
            <w:noWrap/>
            <w:vAlign w:val="center"/>
            <w:hideMark/>
          </w:tcPr>
          <w:p w14:paraId="5A6CE62B" w14:textId="33466CE5"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21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05</w:t>
            </w:r>
          </w:p>
        </w:tc>
        <w:tc>
          <w:tcPr>
            <w:tcW w:w="1240" w:type="dxa"/>
            <w:noWrap/>
            <w:vAlign w:val="center"/>
            <w:hideMark/>
          </w:tcPr>
          <w:p w14:paraId="1EC6F4F6" w14:textId="1B9C680D"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1" w:type="dxa"/>
            <w:noWrap/>
            <w:vAlign w:val="center"/>
            <w:hideMark/>
          </w:tcPr>
          <w:p w14:paraId="51B04613" w14:textId="2886AD71"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r>
      <w:tr w:rsidR="00A02AD9" w:rsidRPr="00A02AD9" w14:paraId="686C3EAD"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489CA552"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ekonomický</w:t>
            </w:r>
          </w:p>
        </w:tc>
        <w:tc>
          <w:tcPr>
            <w:tcW w:w="1240" w:type="dxa"/>
            <w:noWrap/>
            <w:vAlign w:val="center"/>
            <w:hideMark/>
          </w:tcPr>
          <w:p w14:paraId="3C7F1288" w14:textId="677AEA34"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3</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0" w:type="dxa"/>
            <w:noWrap/>
            <w:vAlign w:val="center"/>
            <w:hideMark/>
          </w:tcPr>
          <w:p w14:paraId="71F6B9C7" w14:textId="22E55390"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4</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08</w:t>
            </w:r>
          </w:p>
        </w:tc>
        <w:tc>
          <w:tcPr>
            <w:tcW w:w="1240" w:type="dxa"/>
            <w:noWrap/>
            <w:vAlign w:val="center"/>
            <w:hideMark/>
          </w:tcPr>
          <w:p w14:paraId="21420759" w14:textId="5A5068CD"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1" w:type="dxa"/>
            <w:noWrap/>
            <w:vAlign w:val="center"/>
            <w:hideMark/>
          </w:tcPr>
          <w:p w14:paraId="7D20A524" w14:textId="4943A2F2"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r>
      <w:tr w:rsidR="00A02AD9" w:rsidRPr="00A02AD9" w14:paraId="256184B3"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1BAD6291"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územního plánování a stavebního řádu</w:t>
            </w:r>
          </w:p>
        </w:tc>
        <w:tc>
          <w:tcPr>
            <w:tcW w:w="1240" w:type="dxa"/>
            <w:noWrap/>
            <w:vAlign w:val="center"/>
            <w:hideMark/>
          </w:tcPr>
          <w:p w14:paraId="65AB27D8" w14:textId="7177CA65"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14</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10</w:t>
            </w:r>
          </w:p>
        </w:tc>
        <w:tc>
          <w:tcPr>
            <w:tcW w:w="1240" w:type="dxa"/>
            <w:noWrap/>
            <w:vAlign w:val="center"/>
            <w:hideMark/>
          </w:tcPr>
          <w:p w14:paraId="72247B22" w14:textId="36098BD4"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19</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15</w:t>
            </w:r>
          </w:p>
        </w:tc>
        <w:tc>
          <w:tcPr>
            <w:tcW w:w="1240" w:type="dxa"/>
            <w:noWrap/>
            <w:vAlign w:val="center"/>
            <w:hideMark/>
          </w:tcPr>
          <w:p w14:paraId="7C94B63E" w14:textId="59D17582"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14</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10</w:t>
            </w:r>
          </w:p>
        </w:tc>
        <w:tc>
          <w:tcPr>
            <w:tcW w:w="1241" w:type="dxa"/>
            <w:noWrap/>
            <w:vAlign w:val="center"/>
            <w:hideMark/>
          </w:tcPr>
          <w:p w14:paraId="70206221" w14:textId="5DF9838C"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19</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15</w:t>
            </w:r>
          </w:p>
        </w:tc>
      </w:tr>
      <w:tr w:rsidR="00A02AD9" w:rsidRPr="00A02AD9" w14:paraId="2A01BC7E"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292C927B"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životního prostředí a zemědělství</w:t>
            </w:r>
          </w:p>
        </w:tc>
        <w:tc>
          <w:tcPr>
            <w:tcW w:w="1240" w:type="dxa"/>
            <w:noWrap/>
            <w:vAlign w:val="center"/>
            <w:hideMark/>
          </w:tcPr>
          <w:p w14:paraId="2DFC4F27" w14:textId="5395F1CA"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30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75</w:t>
            </w:r>
          </w:p>
        </w:tc>
        <w:tc>
          <w:tcPr>
            <w:tcW w:w="1240" w:type="dxa"/>
            <w:noWrap/>
            <w:vAlign w:val="center"/>
            <w:hideMark/>
          </w:tcPr>
          <w:p w14:paraId="4375562C" w14:textId="194C8E99"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41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75</w:t>
            </w:r>
          </w:p>
        </w:tc>
        <w:tc>
          <w:tcPr>
            <w:tcW w:w="1240" w:type="dxa"/>
            <w:noWrap/>
            <w:vAlign w:val="center"/>
            <w:hideMark/>
          </w:tcPr>
          <w:p w14:paraId="0777A902" w14:textId="6B256535"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15</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37</w:t>
            </w:r>
          </w:p>
        </w:tc>
        <w:tc>
          <w:tcPr>
            <w:tcW w:w="1241" w:type="dxa"/>
            <w:noWrap/>
            <w:vAlign w:val="center"/>
            <w:hideMark/>
          </w:tcPr>
          <w:p w14:paraId="149B6F19" w14:textId="1B9C6A90"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20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88</w:t>
            </w:r>
          </w:p>
        </w:tc>
      </w:tr>
      <w:tr w:rsidR="00A02AD9" w:rsidRPr="00A02AD9" w14:paraId="20FFB086"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1FA90046"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kultury a památkové péče</w:t>
            </w:r>
          </w:p>
        </w:tc>
        <w:tc>
          <w:tcPr>
            <w:tcW w:w="1240" w:type="dxa"/>
            <w:noWrap/>
            <w:vAlign w:val="center"/>
            <w:hideMark/>
          </w:tcPr>
          <w:p w14:paraId="317C3062" w14:textId="3A69ABFF"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2</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65</w:t>
            </w:r>
          </w:p>
        </w:tc>
        <w:tc>
          <w:tcPr>
            <w:tcW w:w="1240" w:type="dxa"/>
            <w:noWrap/>
            <w:vAlign w:val="center"/>
            <w:hideMark/>
          </w:tcPr>
          <w:p w14:paraId="0458E6DD" w14:textId="50F5D82D"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3</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60</w:t>
            </w:r>
          </w:p>
        </w:tc>
        <w:tc>
          <w:tcPr>
            <w:tcW w:w="1240" w:type="dxa"/>
            <w:noWrap/>
            <w:vAlign w:val="center"/>
            <w:hideMark/>
          </w:tcPr>
          <w:p w14:paraId="619D55CB" w14:textId="14A89605"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33</w:t>
            </w:r>
          </w:p>
        </w:tc>
        <w:tc>
          <w:tcPr>
            <w:tcW w:w="1241" w:type="dxa"/>
            <w:noWrap/>
            <w:vAlign w:val="center"/>
            <w:hideMark/>
          </w:tcPr>
          <w:p w14:paraId="6BF13EB6" w14:textId="758D1C4B"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80</w:t>
            </w:r>
          </w:p>
        </w:tc>
      </w:tr>
      <w:tr w:rsidR="00A02AD9" w:rsidRPr="00A02AD9" w14:paraId="5A5822F3"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0C23C772"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dopravy a silničního hospodářství</w:t>
            </w:r>
          </w:p>
        </w:tc>
        <w:tc>
          <w:tcPr>
            <w:tcW w:w="1240" w:type="dxa"/>
            <w:noWrap/>
            <w:vAlign w:val="center"/>
            <w:hideMark/>
          </w:tcPr>
          <w:p w14:paraId="53A70DD2" w14:textId="02F838C5"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19</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63</w:t>
            </w:r>
          </w:p>
        </w:tc>
        <w:tc>
          <w:tcPr>
            <w:tcW w:w="1240" w:type="dxa"/>
            <w:noWrap/>
            <w:vAlign w:val="center"/>
            <w:hideMark/>
          </w:tcPr>
          <w:p w14:paraId="4ACA0DFA" w14:textId="27D6C710"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26</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65</w:t>
            </w:r>
          </w:p>
        </w:tc>
        <w:tc>
          <w:tcPr>
            <w:tcW w:w="1240" w:type="dxa"/>
            <w:noWrap/>
            <w:vAlign w:val="center"/>
            <w:hideMark/>
          </w:tcPr>
          <w:p w14:paraId="4486FDBF" w14:textId="229009B9"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9</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81</w:t>
            </w:r>
          </w:p>
        </w:tc>
        <w:tc>
          <w:tcPr>
            <w:tcW w:w="1241" w:type="dxa"/>
            <w:noWrap/>
            <w:vAlign w:val="center"/>
            <w:hideMark/>
          </w:tcPr>
          <w:p w14:paraId="09C15EA2" w14:textId="31230705"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13</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33</w:t>
            </w:r>
          </w:p>
        </w:tc>
      </w:tr>
      <w:tr w:rsidR="00A02AD9" w:rsidRPr="00A02AD9" w14:paraId="66A09228"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0241A3AA"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strategického rozvoje kraje</w:t>
            </w:r>
          </w:p>
        </w:tc>
        <w:tc>
          <w:tcPr>
            <w:tcW w:w="1240" w:type="dxa"/>
            <w:noWrap/>
            <w:vAlign w:val="center"/>
            <w:hideMark/>
          </w:tcPr>
          <w:p w14:paraId="2B306D00" w14:textId="07A69CF6"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18</w:t>
            </w:r>
          </w:p>
        </w:tc>
        <w:tc>
          <w:tcPr>
            <w:tcW w:w="1240" w:type="dxa"/>
            <w:noWrap/>
            <w:vAlign w:val="center"/>
            <w:hideMark/>
          </w:tcPr>
          <w:p w14:paraId="7BD27456" w14:textId="4A8B9F7B"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25</w:t>
            </w:r>
          </w:p>
        </w:tc>
        <w:tc>
          <w:tcPr>
            <w:tcW w:w="1240" w:type="dxa"/>
            <w:noWrap/>
            <w:vAlign w:val="center"/>
            <w:hideMark/>
          </w:tcPr>
          <w:p w14:paraId="53C60831" w14:textId="0AD1B1C3"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18</w:t>
            </w:r>
          </w:p>
        </w:tc>
        <w:tc>
          <w:tcPr>
            <w:tcW w:w="1241" w:type="dxa"/>
            <w:noWrap/>
            <w:vAlign w:val="center"/>
            <w:hideMark/>
          </w:tcPr>
          <w:p w14:paraId="6F3530DD" w14:textId="747B874C"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25</w:t>
            </w:r>
          </w:p>
        </w:tc>
      </w:tr>
      <w:tr w:rsidR="00A02AD9" w:rsidRPr="00A02AD9" w14:paraId="57304A05"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3913FCBF"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právní a krajský živnostenský úřad</w:t>
            </w:r>
          </w:p>
        </w:tc>
        <w:tc>
          <w:tcPr>
            <w:tcW w:w="1240" w:type="dxa"/>
            <w:noWrap/>
            <w:vAlign w:val="center"/>
            <w:hideMark/>
          </w:tcPr>
          <w:p w14:paraId="4ED3FAA9" w14:textId="1DE0301C"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05</w:t>
            </w:r>
          </w:p>
        </w:tc>
        <w:tc>
          <w:tcPr>
            <w:tcW w:w="1240" w:type="dxa"/>
            <w:noWrap/>
            <w:vAlign w:val="center"/>
            <w:hideMark/>
          </w:tcPr>
          <w:p w14:paraId="354405FA" w14:textId="488C0BA6"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13</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65</w:t>
            </w:r>
          </w:p>
        </w:tc>
        <w:tc>
          <w:tcPr>
            <w:tcW w:w="1240" w:type="dxa"/>
            <w:noWrap/>
            <w:vAlign w:val="center"/>
            <w:hideMark/>
          </w:tcPr>
          <w:p w14:paraId="0DA626D5" w14:textId="299D381E"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1" w:type="dxa"/>
            <w:noWrap/>
            <w:vAlign w:val="center"/>
            <w:hideMark/>
          </w:tcPr>
          <w:p w14:paraId="3A2C7925" w14:textId="677260E6"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r>
      <w:tr w:rsidR="00A02AD9" w:rsidRPr="00A02AD9" w14:paraId="6BB777C2"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729489E4"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sociálních věcí</w:t>
            </w:r>
          </w:p>
        </w:tc>
        <w:tc>
          <w:tcPr>
            <w:tcW w:w="1240" w:type="dxa"/>
            <w:noWrap/>
            <w:vAlign w:val="center"/>
            <w:hideMark/>
          </w:tcPr>
          <w:p w14:paraId="477AD522" w14:textId="3CA2691F"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10</w:t>
            </w:r>
          </w:p>
        </w:tc>
        <w:tc>
          <w:tcPr>
            <w:tcW w:w="1240" w:type="dxa"/>
            <w:noWrap/>
            <w:vAlign w:val="center"/>
            <w:hideMark/>
          </w:tcPr>
          <w:p w14:paraId="4E4F4301" w14:textId="145F11AC"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1</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50</w:t>
            </w:r>
          </w:p>
        </w:tc>
        <w:tc>
          <w:tcPr>
            <w:tcW w:w="1240" w:type="dxa"/>
            <w:noWrap/>
            <w:vAlign w:val="center"/>
            <w:hideMark/>
          </w:tcPr>
          <w:p w14:paraId="51CA6C68" w14:textId="0F7EAC2C"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1" w:type="dxa"/>
            <w:noWrap/>
            <w:vAlign w:val="center"/>
            <w:hideMark/>
          </w:tcPr>
          <w:p w14:paraId="5DADB2F6" w14:textId="41830A00"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r>
      <w:tr w:rsidR="00A02AD9" w:rsidRPr="00A02AD9" w14:paraId="2D92AC7C"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787A38FF" w14:textId="77777777" w:rsidR="004F75F1" w:rsidRPr="00784F60" w:rsidRDefault="004F75F1" w:rsidP="00A02AD9">
            <w:pPr>
              <w:spacing w:before="0" w:after="0"/>
              <w:jc w:val="left"/>
              <w:rPr>
                <w:rFonts w:asciiTheme="minorHAnsi" w:eastAsia="Times New Roman" w:hAnsiTheme="minorHAnsi" w:cstheme="minorHAnsi"/>
                <w:b w:val="0"/>
                <w:bCs w:val="0"/>
                <w:color w:val="auto"/>
                <w:sz w:val="20"/>
                <w:szCs w:val="20"/>
                <w:lang w:eastAsia="cs-CZ"/>
              </w:rPr>
            </w:pPr>
            <w:r w:rsidRPr="00784F60">
              <w:rPr>
                <w:rFonts w:asciiTheme="minorHAnsi" w:eastAsia="Times New Roman" w:hAnsiTheme="minorHAnsi" w:cstheme="minorHAnsi"/>
                <w:b w:val="0"/>
                <w:bCs w:val="0"/>
                <w:color w:val="auto"/>
                <w:sz w:val="20"/>
                <w:szCs w:val="20"/>
                <w:lang w:eastAsia="cs-CZ"/>
              </w:rPr>
              <w:t>Odbor zdravotnictví</w:t>
            </w:r>
          </w:p>
        </w:tc>
        <w:tc>
          <w:tcPr>
            <w:tcW w:w="1240" w:type="dxa"/>
            <w:noWrap/>
            <w:vAlign w:val="center"/>
            <w:hideMark/>
          </w:tcPr>
          <w:p w14:paraId="03E981A8" w14:textId="3DA79561"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3</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02</w:t>
            </w:r>
          </w:p>
        </w:tc>
        <w:tc>
          <w:tcPr>
            <w:tcW w:w="1240" w:type="dxa"/>
            <w:noWrap/>
            <w:vAlign w:val="center"/>
            <w:hideMark/>
          </w:tcPr>
          <w:p w14:paraId="301FB69D" w14:textId="4E07040D"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4</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10</w:t>
            </w:r>
          </w:p>
        </w:tc>
        <w:tc>
          <w:tcPr>
            <w:tcW w:w="1240" w:type="dxa"/>
            <w:noWrap/>
            <w:vAlign w:val="center"/>
            <w:hideMark/>
          </w:tcPr>
          <w:p w14:paraId="4BAD81CC" w14:textId="099FBC39"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c>
          <w:tcPr>
            <w:tcW w:w="1241" w:type="dxa"/>
            <w:noWrap/>
            <w:vAlign w:val="center"/>
            <w:hideMark/>
          </w:tcPr>
          <w:p w14:paraId="5A594400" w14:textId="1754C1FE"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cs-CZ"/>
              </w:rPr>
            </w:pPr>
            <w:r w:rsidRPr="00A02AD9">
              <w:rPr>
                <w:rFonts w:asciiTheme="minorHAnsi" w:eastAsia="Times New Roman" w:hAnsiTheme="minorHAnsi" w:cstheme="minorHAnsi"/>
                <w:color w:val="auto"/>
                <w:sz w:val="20"/>
                <w:szCs w:val="20"/>
                <w:lang w:eastAsia="cs-CZ"/>
              </w:rPr>
              <w:t>0</w:t>
            </w:r>
            <w:r w:rsidR="00A02AD9">
              <w:rPr>
                <w:rFonts w:asciiTheme="minorHAnsi" w:eastAsia="Times New Roman" w:hAnsiTheme="minorHAnsi" w:cstheme="minorHAnsi"/>
                <w:color w:val="auto"/>
                <w:sz w:val="20"/>
                <w:szCs w:val="20"/>
                <w:lang w:eastAsia="cs-CZ"/>
              </w:rPr>
              <w:t>,</w:t>
            </w:r>
            <w:r w:rsidRPr="00A02AD9">
              <w:rPr>
                <w:rFonts w:asciiTheme="minorHAnsi" w:eastAsia="Times New Roman" w:hAnsiTheme="minorHAnsi" w:cstheme="minorHAnsi"/>
                <w:color w:val="auto"/>
                <w:sz w:val="20"/>
                <w:szCs w:val="20"/>
                <w:lang w:eastAsia="cs-CZ"/>
              </w:rPr>
              <w:t>00</w:t>
            </w:r>
          </w:p>
        </w:tc>
      </w:tr>
      <w:tr w:rsidR="00A02AD9" w:rsidRPr="00A02AD9" w14:paraId="61D9F18F" w14:textId="77777777" w:rsidTr="00784F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6EEFEDE1" w14:textId="77777777" w:rsidR="004F75F1" w:rsidRPr="00784F60" w:rsidRDefault="004F75F1" w:rsidP="00A02AD9">
            <w:pPr>
              <w:spacing w:before="0" w:after="0"/>
              <w:jc w:val="left"/>
              <w:rPr>
                <w:rFonts w:asciiTheme="minorHAnsi" w:eastAsia="Times New Roman" w:hAnsiTheme="minorHAnsi" w:cstheme="minorHAnsi"/>
                <w:color w:val="auto"/>
                <w:sz w:val="20"/>
                <w:szCs w:val="20"/>
                <w:lang w:eastAsia="cs-CZ"/>
              </w:rPr>
            </w:pPr>
            <w:r w:rsidRPr="00784F60">
              <w:rPr>
                <w:rFonts w:asciiTheme="minorHAnsi" w:eastAsia="Times New Roman" w:hAnsiTheme="minorHAnsi" w:cstheme="minorHAnsi"/>
                <w:color w:val="auto"/>
                <w:sz w:val="20"/>
                <w:szCs w:val="20"/>
                <w:lang w:eastAsia="cs-CZ"/>
              </w:rPr>
              <w:t>Celkem:</w:t>
            </w:r>
          </w:p>
        </w:tc>
        <w:tc>
          <w:tcPr>
            <w:tcW w:w="1240" w:type="dxa"/>
            <w:noWrap/>
            <w:vAlign w:val="center"/>
            <w:hideMark/>
          </w:tcPr>
          <w:p w14:paraId="0585D2F8" w14:textId="611A7491"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100</w:t>
            </w:r>
          </w:p>
        </w:tc>
        <w:tc>
          <w:tcPr>
            <w:tcW w:w="1240" w:type="dxa"/>
            <w:noWrap/>
            <w:vAlign w:val="center"/>
            <w:hideMark/>
          </w:tcPr>
          <w:p w14:paraId="79FB1BE1" w14:textId="69416FA9"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135</w:t>
            </w:r>
            <w:r w:rsidR="00A02AD9">
              <w:rPr>
                <w:rFonts w:asciiTheme="minorHAnsi" w:eastAsia="Times New Roman" w:hAnsiTheme="minorHAnsi" w:cstheme="minorHAnsi"/>
                <w:b/>
                <w:bCs/>
                <w:color w:val="auto"/>
                <w:sz w:val="20"/>
                <w:szCs w:val="20"/>
                <w:lang w:eastAsia="cs-CZ"/>
              </w:rPr>
              <w:t>,</w:t>
            </w:r>
            <w:r w:rsidRPr="00A02AD9">
              <w:rPr>
                <w:rFonts w:asciiTheme="minorHAnsi" w:eastAsia="Times New Roman" w:hAnsiTheme="minorHAnsi" w:cstheme="minorHAnsi"/>
                <w:b/>
                <w:bCs/>
                <w:color w:val="auto"/>
                <w:sz w:val="20"/>
                <w:szCs w:val="20"/>
                <w:lang w:eastAsia="cs-CZ"/>
              </w:rPr>
              <w:t>78</w:t>
            </w:r>
          </w:p>
        </w:tc>
        <w:tc>
          <w:tcPr>
            <w:tcW w:w="1240" w:type="dxa"/>
            <w:noWrap/>
            <w:vAlign w:val="center"/>
            <w:hideMark/>
          </w:tcPr>
          <w:p w14:paraId="316971E3" w14:textId="50049EF0"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40</w:t>
            </w:r>
            <w:r w:rsidR="00A02AD9">
              <w:rPr>
                <w:rFonts w:asciiTheme="minorHAnsi" w:eastAsia="Times New Roman" w:hAnsiTheme="minorHAnsi" w:cstheme="minorHAnsi"/>
                <w:b/>
                <w:bCs/>
                <w:color w:val="auto"/>
                <w:sz w:val="20"/>
                <w:szCs w:val="20"/>
                <w:lang w:eastAsia="cs-CZ"/>
              </w:rPr>
              <w:t>,</w:t>
            </w:r>
            <w:r w:rsidRPr="00A02AD9">
              <w:rPr>
                <w:rFonts w:asciiTheme="minorHAnsi" w:eastAsia="Times New Roman" w:hAnsiTheme="minorHAnsi" w:cstheme="minorHAnsi"/>
                <w:b/>
                <w:bCs/>
                <w:color w:val="auto"/>
                <w:sz w:val="20"/>
                <w:szCs w:val="20"/>
                <w:lang w:eastAsia="cs-CZ"/>
              </w:rPr>
              <w:t>80</w:t>
            </w:r>
          </w:p>
        </w:tc>
        <w:tc>
          <w:tcPr>
            <w:tcW w:w="1241" w:type="dxa"/>
            <w:noWrap/>
            <w:vAlign w:val="center"/>
            <w:hideMark/>
          </w:tcPr>
          <w:p w14:paraId="3542E1B7" w14:textId="00AAB525" w:rsidR="004F75F1" w:rsidRPr="00A02AD9" w:rsidRDefault="004F75F1" w:rsidP="00A02AD9">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55</w:t>
            </w:r>
            <w:r w:rsidR="00A02AD9">
              <w:rPr>
                <w:rFonts w:asciiTheme="minorHAnsi" w:eastAsia="Times New Roman" w:hAnsiTheme="minorHAnsi" w:cstheme="minorHAnsi"/>
                <w:b/>
                <w:bCs/>
                <w:color w:val="auto"/>
                <w:sz w:val="20"/>
                <w:szCs w:val="20"/>
                <w:lang w:eastAsia="cs-CZ"/>
              </w:rPr>
              <w:t>,</w:t>
            </w:r>
            <w:r w:rsidRPr="00A02AD9">
              <w:rPr>
                <w:rFonts w:asciiTheme="minorHAnsi" w:eastAsia="Times New Roman" w:hAnsiTheme="minorHAnsi" w:cstheme="minorHAnsi"/>
                <w:b/>
                <w:bCs/>
                <w:color w:val="auto"/>
                <w:sz w:val="20"/>
                <w:szCs w:val="20"/>
                <w:lang w:eastAsia="cs-CZ"/>
              </w:rPr>
              <w:t>40</w:t>
            </w:r>
          </w:p>
        </w:tc>
      </w:tr>
      <w:tr w:rsidR="00A02AD9" w:rsidRPr="00A02AD9" w14:paraId="1B6C94E7" w14:textId="77777777" w:rsidTr="00784F60">
        <w:trPr>
          <w:trHeight w:val="283"/>
        </w:trPr>
        <w:tc>
          <w:tcPr>
            <w:cnfStyle w:val="001000000000" w:firstRow="0" w:lastRow="0" w:firstColumn="1" w:lastColumn="0" w:oddVBand="0" w:evenVBand="0" w:oddHBand="0" w:evenHBand="0" w:firstRowFirstColumn="0" w:firstRowLastColumn="0" w:lastRowFirstColumn="0" w:lastRowLastColumn="0"/>
            <w:tcW w:w="4111" w:type="dxa"/>
            <w:vAlign w:val="center"/>
            <w:hideMark/>
          </w:tcPr>
          <w:p w14:paraId="0114F11E" w14:textId="56B1D47D" w:rsidR="004F75F1" w:rsidRPr="00784F60" w:rsidRDefault="004F75F1" w:rsidP="00A02AD9">
            <w:pPr>
              <w:spacing w:before="0" w:after="0"/>
              <w:jc w:val="left"/>
              <w:rPr>
                <w:rFonts w:asciiTheme="minorHAnsi" w:eastAsia="Times New Roman" w:hAnsiTheme="minorHAnsi" w:cstheme="minorHAnsi"/>
                <w:color w:val="auto"/>
                <w:sz w:val="20"/>
                <w:szCs w:val="20"/>
                <w:lang w:eastAsia="cs-CZ"/>
              </w:rPr>
            </w:pPr>
            <w:r w:rsidRPr="00784F60">
              <w:rPr>
                <w:rFonts w:asciiTheme="minorHAnsi" w:eastAsia="Times New Roman" w:hAnsiTheme="minorHAnsi" w:cstheme="minorHAnsi"/>
                <w:color w:val="auto"/>
                <w:sz w:val="20"/>
                <w:szCs w:val="20"/>
                <w:lang w:eastAsia="cs-CZ"/>
              </w:rPr>
              <w:t>DO</w:t>
            </w:r>
          </w:p>
        </w:tc>
        <w:tc>
          <w:tcPr>
            <w:tcW w:w="1240" w:type="dxa"/>
            <w:noWrap/>
            <w:vAlign w:val="center"/>
            <w:hideMark/>
          </w:tcPr>
          <w:p w14:paraId="1B72AA2C" w14:textId="4EF6BFB5"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53</w:t>
            </w:r>
          </w:p>
        </w:tc>
        <w:tc>
          <w:tcPr>
            <w:tcW w:w="1240" w:type="dxa"/>
            <w:noWrap/>
            <w:vAlign w:val="center"/>
            <w:hideMark/>
          </w:tcPr>
          <w:p w14:paraId="18F71C26" w14:textId="3F54648B"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72</w:t>
            </w:r>
            <w:r w:rsidR="00A02AD9">
              <w:rPr>
                <w:rFonts w:asciiTheme="minorHAnsi" w:eastAsia="Times New Roman" w:hAnsiTheme="minorHAnsi" w:cstheme="minorHAnsi"/>
                <w:b/>
                <w:bCs/>
                <w:color w:val="auto"/>
                <w:sz w:val="20"/>
                <w:szCs w:val="20"/>
                <w:lang w:eastAsia="cs-CZ"/>
              </w:rPr>
              <w:t>,</w:t>
            </w:r>
            <w:r w:rsidRPr="00A02AD9">
              <w:rPr>
                <w:rFonts w:asciiTheme="minorHAnsi" w:eastAsia="Times New Roman" w:hAnsiTheme="minorHAnsi" w:cstheme="minorHAnsi"/>
                <w:b/>
                <w:bCs/>
                <w:color w:val="auto"/>
                <w:sz w:val="20"/>
                <w:szCs w:val="20"/>
                <w:lang w:eastAsia="cs-CZ"/>
              </w:rPr>
              <w:t>00</w:t>
            </w:r>
          </w:p>
        </w:tc>
        <w:tc>
          <w:tcPr>
            <w:tcW w:w="1240" w:type="dxa"/>
            <w:noWrap/>
            <w:vAlign w:val="center"/>
            <w:hideMark/>
          </w:tcPr>
          <w:p w14:paraId="5AFFABB1" w14:textId="5C523AEC"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27</w:t>
            </w:r>
          </w:p>
        </w:tc>
        <w:tc>
          <w:tcPr>
            <w:tcW w:w="1241" w:type="dxa"/>
            <w:noWrap/>
            <w:vAlign w:val="center"/>
            <w:hideMark/>
          </w:tcPr>
          <w:p w14:paraId="1D6A8B3E" w14:textId="19953B24" w:rsidR="004F75F1" w:rsidRPr="00A02AD9" w:rsidRDefault="004F75F1" w:rsidP="00A02AD9">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20"/>
                <w:szCs w:val="20"/>
                <w:lang w:eastAsia="cs-CZ"/>
              </w:rPr>
            </w:pPr>
            <w:r w:rsidRPr="00A02AD9">
              <w:rPr>
                <w:rFonts w:asciiTheme="minorHAnsi" w:eastAsia="Times New Roman" w:hAnsiTheme="minorHAnsi" w:cstheme="minorHAnsi"/>
                <w:b/>
                <w:bCs/>
                <w:color w:val="auto"/>
                <w:sz w:val="20"/>
                <w:szCs w:val="20"/>
                <w:lang w:eastAsia="cs-CZ"/>
              </w:rPr>
              <w:t>36</w:t>
            </w:r>
            <w:r w:rsidR="00A02AD9">
              <w:rPr>
                <w:rFonts w:asciiTheme="minorHAnsi" w:eastAsia="Times New Roman" w:hAnsiTheme="minorHAnsi" w:cstheme="minorHAnsi"/>
                <w:b/>
                <w:bCs/>
                <w:color w:val="auto"/>
                <w:sz w:val="20"/>
                <w:szCs w:val="20"/>
                <w:lang w:eastAsia="cs-CZ"/>
              </w:rPr>
              <w:t>,</w:t>
            </w:r>
            <w:r w:rsidRPr="00A02AD9">
              <w:rPr>
                <w:rFonts w:asciiTheme="minorHAnsi" w:eastAsia="Times New Roman" w:hAnsiTheme="minorHAnsi" w:cstheme="minorHAnsi"/>
                <w:b/>
                <w:bCs/>
                <w:color w:val="auto"/>
                <w:sz w:val="20"/>
                <w:szCs w:val="20"/>
                <w:lang w:eastAsia="cs-CZ"/>
              </w:rPr>
              <w:t>00</w:t>
            </w:r>
          </w:p>
        </w:tc>
      </w:tr>
    </w:tbl>
    <w:p w14:paraId="1A038CA5" w14:textId="77777777" w:rsidR="008207A7" w:rsidRPr="00C332AC" w:rsidRDefault="008207A7" w:rsidP="008207A7">
      <w:pPr>
        <w:spacing w:after="0"/>
        <w:rPr>
          <w:rFonts w:eastAsia="Times New Roman"/>
          <w:i/>
          <w:iCs/>
          <w:color w:val="000000"/>
          <w:sz w:val="22"/>
          <w:szCs w:val="20"/>
          <w:lang w:eastAsia="cs-CZ"/>
        </w:rPr>
      </w:pPr>
      <w:r w:rsidRPr="00C332AC">
        <w:rPr>
          <w:rFonts w:eastAsia="Times New Roman"/>
          <w:i/>
          <w:iCs/>
          <w:color w:val="000000"/>
          <w:sz w:val="22"/>
          <w:szCs w:val="20"/>
          <w:lang w:eastAsia="cs-CZ"/>
        </w:rPr>
        <w:t>Zdroj: MV</w:t>
      </w:r>
    </w:p>
    <w:p w14:paraId="16BB0468" w14:textId="77777777" w:rsidR="001A0E58" w:rsidRDefault="001A0E58" w:rsidP="00DD412F">
      <w:pPr>
        <w:pStyle w:val="Normln-tun"/>
        <w:rPr>
          <w:b/>
          <w:bCs/>
          <w:smallCaps/>
        </w:rPr>
      </w:pPr>
    </w:p>
    <w:p w14:paraId="79D1C832" w14:textId="02782169" w:rsidR="0092728F" w:rsidRPr="0092728F" w:rsidRDefault="0092728F" w:rsidP="00DD412F">
      <w:pPr>
        <w:pStyle w:val="Normln-tun"/>
        <w:rPr>
          <w:b/>
          <w:bCs/>
          <w:smallCaps/>
        </w:rPr>
      </w:pPr>
      <w:r w:rsidRPr="0092728F">
        <w:rPr>
          <w:b/>
          <w:bCs/>
          <w:smallCaps/>
        </w:rPr>
        <w:t>Struktura dle nového stavebního zákona</w:t>
      </w:r>
      <w:r w:rsidR="00352CFF">
        <w:rPr>
          <w:b/>
          <w:bCs/>
          <w:smallCaps/>
        </w:rPr>
        <w:t xml:space="preserve"> </w:t>
      </w:r>
    </w:p>
    <w:p w14:paraId="0520535E" w14:textId="767196DA" w:rsidR="00294DB1" w:rsidRPr="0092728F" w:rsidRDefault="00E81B9D" w:rsidP="00DD412F">
      <w:pPr>
        <w:pStyle w:val="Normln-tun"/>
      </w:pPr>
      <w:r w:rsidRPr="0092728F">
        <w:t xml:space="preserve">Výše uvedená struktura </w:t>
      </w:r>
      <w:r w:rsidR="00A075F5" w:rsidRPr="0092728F">
        <w:t>měla být k 1.</w:t>
      </w:r>
      <w:r w:rsidR="00784F60" w:rsidRPr="0092728F">
        <w:t xml:space="preserve"> </w:t>
      </w:r>
      <w:r w:rsidR="00A075F5" w:rsidRPr="0092728F">
        <w:t>7.</w:t>
      </w:r>
      <w:r w:rsidR="00784F60" w:rsidRPr="0092728F">
        <w:t xml:space="preserve"> </w:t>
      </w:r>
      <w:r w:rsidR="00A075F5" w:rsidRPr="0092728F">
        <w:t xml:space="preserve">2023 změněna </w:t>
      </w:r>
      <w:r w:rsidR="00352CFF">
        <w:t>dle nového stavebního zákona (zákon č. </w:t>
      </w:r>
      <w:r w:rsidR="00352CFF" w:rsidRPr="00352CFF">
        <w:t>283/2021 S</w:t>
      </w:r>
      <w:r w:rsidR="00352CFF">
        <w:t>b</w:t>
      </w:r>
      <w:r w:rsidR="00352CFF" w:rsidRPr="00352CFF">
        <w:t xml:space="preserve">., </w:t>
      </w:r>
      <w:r w:rsidR="00352CFF">
        <w:t>stavební zákon</w:t>
      </w:r>
      <w:r w:rsidR="000F7AF1">
        <w:t>, dále též jako „nový stavební zákon“)</w:t>
      </w:r>
      <w:r w:rsidR="00352CFF" w:rsidRPr="00352CFF">
        <w:t xml:space="preserve"> </w:t>
      </w:r>
      <w:r w:rsidR="00A075F5" w:rsidRPr="0092728F">
        <w:t>na následující.</w:t>
      </w:r>
    </w:p>
    <w:p w14:paraId="471237C7" w14:textId="51B496C1" w:rsidR="008207A7" w:rsidRDefault="008207A7" w:rsidP="008207A7">
      <w:pPr>
        <w:pStyle w:val="Titulek"/>
        <w:keepNext/>
      </w:pPr>
      <w:r>
        <w:lastRenderedPageBreak/>
        <w:t xml:space="preserve">Obrázek </w:t>
      </w:r>
      <w:r w:rsidR="004B0591">
        <w:fldChar w:fldCharType="begin"/>
      </w:r>
      <w:r w:rsidR="004B0591">
        <w:instrText xml:space="preserve"> SEQ Obrázek \* ARABIC </w:instrText>
      </w:r>
      <w:r w:rsidR="004B0591">
        <w:fldChar w:fldCharType="separate"/>
      </w:r>
      <w:r w:rsidR="007105BE">
        <w:rPr>
          <w:noProof/>
        </w:rPr>
        <w:t>1</w:t>
      </w:r>
      <w:r w:rsidR="004B0591">
        <w:rPr>
          <w:noProof/>
        </w:rPr>
        <w:fldChar w:fldCharType="end"/>
      </w:r>
      <w:r>
        <w:t>: Struktura státní stavební správy dle nového stavebního zákona</w:t>
      </w:r>
    </w:p>
    <w:p w14:paraId="04A7391B" w14:textId="057B1BCC" w:rsidR="00A075F5" w:rsidRDefault="00A075F5" w:rsidP="00DD412F">
      <w:pPr>
        <w:pStyle w:val="Normln-tun"/>
      </w:pPr>
      <w:r w:rsidRPr="00A075F5">
        <w:rPr>
          <w:noProof/>
          <w:lang w:eastAsia="cs-CZ"/>
        </w:rPr>
        <w:drawing>
          <wp:inline distT="0" distB="0" distL="0" distR="0" wp14:anchorId="5EE62285" wp14:editId="7DB3565B">
            <wp:extent cx="5759450" cy="4095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4095750"/>
                    </a:xfrm>
                    <a:prstGeom prst="rect">
                      <a:avLst/>
                    </a:prstGeom>
                  </pic:spPr>
                </pic:pic>
              </a:graphicData>
            </a:graphic>
          </wp:inline>
        </w:drawing>
      </w:r>
    </w:p>
    <w:p w14:paraId="15376392" w14:textId="171017AD" w:rsidR="008207A7" w:rsidRPr="00C332AC" w:rsidRDefault="008207A7" w:rsidP="008207A7">
      <w:pPr>
        <w:spacing w:after="0"/>
        <w:contextualSpacing/>
        <w:rPr>
          <w:rFonts w:eastAsia="Times New Roman"/>
          <w:i/>
          <w:iCs/>
          <w:color w:val="000000"/>
          <w:sz w:val="22"/>
          <w:szCs w:val="20"/>
          <w:lang w:eastAsia="cs-CZ"/>
        </w:rPr>
      </w:pPr>
      <w:r w:rsidRPr="00C332AC">
        <w:rPr>
          <w:rFonts w:eastAsia="Times New Roman"/>
          <w:i/>
          <w:iCs/>
          <w:color w:val="000000"/>
          <w:sz w:val="22"/>
          <w:szCs w:val="20"/>
          <w:lang w:eastAsia="cs-CZ"/>
        </w:rPr>
        <w:t>Zdroj: M</w:t>
      </w:r>
      <w:r>
        <w:rPr>
          <w:rFonts w:eastAsia="Times New Roman"/>
          <w:i/>
          <w:iCs/>
          <w:color w:val="000000"/>
          <w:sz w:val="22"/>
          <w:szCs w:val="20"/>
          <w:lang w:eastAsia="cs-CZ"/>
        </w:rPr>
        <w:t>MR</w:t>
      </w:r>
    </w:p>
    <w:p w14:paraId="471071D8" w14:textId="0F8B7F02" w:rsidR="000E7717" w:rsidRPr="00774673" w:rsidRDefault="000E7717" w:rsidP="000E7717">
      <w:pPr>
        <w:pStyle w:val="Normln-tun"/>
      </w:pPr>
      <w:r w:rsidRPr="00774673">
        <w:t>Nový stavební zákon tak zřídil státní stavební správu s tím, že orgány stavební správy již nebudou orgány územních samosprávných celků (obcí a krajů), ale státní správa na úseku veřejného stavebního práva bude zajišťována již jen státními orgány. Státní stavební správu má tvořit:</w:t>
      </w:r>
    </w:p>
    <w:p w14:paraId="5CEC381E" w14:textId="3F91CF54" w:rsidR="000E7717" w:rsidRPr="00774673" w:rsidRDefault="000E7717" w:rsidP="00613EB8">
      <w:pPr>
        <w:pStyle w:val="Normln-tun"/>
        <w:numPr>
          <w:ilvl w:val="0"/>
          <w:numId w:val="73"/>
        </w:numPr>
        <w:ind w:left="426" w:hanging="426"/>
      </w:pPr>
      <w:r w:rsidRPr="00774673">
        <w:t>Nejvyšší stavební úřad</w:t>
      </w:r>
      <w:r w:rsidR="003671D5">
        <w:t xml:space="preserve"> (dále též NSÚ)</w:t>
      </w:r>
    </w:p>
    <w:p w14:paraId="6D31D021" w14:textId="77777777" w:rsidR="000E7717" w:rsidRPr="00774673" w:rsidRDefault="000E7717" w:rsidP="00613EB8">
      <w:pPr>
        <w:pStyle w:val="Normln-tun"/>
        <w:numPr>
          <w:ilvl w:val="0"/>
          <w:numId w:val="73"/>
        </w:numPr>
        <w:ind w:left="426" w:hanging="426"/>
      </w:pPr>
      <w:r w:rsidRPr="00774673">
        <w:t>Specializovaný a odvolací stavební úřad</w:t>
      </w:r>
    </w:p>
    <w:p w14:paraId="2B0A7E25" w14:textId="77777777" w:rsidR="000E7717" w:rsidRPr="00774673" w:rsidRDefault="000E7717" w:rsidP="00613EB8">
      <w:pPr>
        <w:pStyle w:val="Normln-tun"/>
        <w:numPr>
          <w:ilvl w:val="0"/>
          <w:numId w:val="73"/>
        </w:numPr>
        <w:ind w:left="426" w:hanging="426"/>
      </w:pPr>
      <w:r w:rsidRPr="00774673">
        <w:t>Krajské stavební úřady</w:t>
      </w:r>
    </w:p>
    <w:p w14:paraId="50617242" w14:textId="5E4FD254" w:rsidR="000E7717" w:rsidRPr="00774673" w:rsidRDefault="00FD3A24" w:rsidP="00DD412F">
      <w:pPr>
        <w:pStyle w:val="Normln-tun"/>
      </w:pPr>
      <w:r w:rsidRPr="00774673">
        <w:t>Kromě výše uvedených stavebních úřadů nový stavební zákon zřizuje i tzv. jiné stavební úřady, které nejsou součástí státní stavební správy, ale pouze samostatnými stavebními úřady. Jedná se o Ministerstvo obrany (působnost u záměrů, které slouží k zajišťování obrany státu), Ministerstvo vnitra (působnost u záměrů pro bezpečnost státu) a Ministerstvo spravedlnosti (pro záměry staveb pro účely Vězeňské služby).</w:t>
      </w:r>
    </w:p>
    <w:p w14:paraId="3744C7D8" w14:textId="166E5BCB" w:rsidR="00FD3A24" w:rsidRDefault="0022426C" w:rsidP="00DD412F">
      <w:pPr>
        <w:pStyle w:val="Normln-tun"/>
      </w:pPr>
      <w:r w:rsidRPr="0022426C">
        <w:rPr>
          <w:b/>
          <w:bCs/>
        </w:rPr>
        <w:t xml:space="preserve">Nejvyšší stavební úřad </w:t>
      </w:r>
      <w:r>
        <w:rPr>
          <w:b/>
          <w:bCs/>
        </w:rPr>
        <w:t>(</w:t>
      </w:r>
      <w:r w:rsidR="00145CA2" w:rsidRPr="0022426C">
        <w:rPr>
          <w:b/>
          <w:bCs/>
        </w:rPr>
        <w:t>NSÚ</w:t>
      </w:r>
      <w:r>
        <w:rPr>
          <w:b/>
          <w:bCs/>
        </w:rPr>
        <w:t>)</w:t>
      </w:r>
      <w:r w:rsidR="00FD3A24" w:rsidRPr="0022426C">
        <w:rPr>
          <w:b/>
          <w:bCs/>
        </w:rPr>
        <w:t xml:space="preserve"> </w:t>
      </w:r>
      <w:r w:rsidR="00FD3A24" w:rsidRPr="00774673">
        <w:t xml:space="preserve">de iure vznikl od 1. 1. 2022. Má být ústředním správním úřadem, a to nejen ve věcech stavebního řádu, ale i ve věcech územního plánování a vyvlastnění. V jeho čele má stát předseda, kterého má do </w:t>
      </w:r>
      <w:r w:rsidR="00FD3A24" w:rsidRPr="0022426C">
        <w:t>funkce jmenovat vláda.</w:t>
      </w:r>
      <w:r w:rsidR="00774673" w:rsidRPr="0022426C">
        <w:t xml:space="preserve"> Nový předseda by měl vytvořit návrh první systematizace služebních a pracovních míst v </w:t>
      </w:r>
      <w:r w:rsidR="00145CA2" w:rsidRPr="0022426C">
        <w:t xml:space="preserve">NSÚ </w:t>
      </w:r>
      <w:r w:rsidR="003671D5" w:rsidRPr="0022426C">
        <w:t>a</w:t>
      </w:r>
      <w:r w:rsidR="00774673" w:rsidRPr="0022426C">
        <w:t xml:space="preserve"> předlož</w:t>
      </w:r>
      <w:r w:rsidR="003671D5" w:rsidRPr="0022426C">
        <w:t>it</w:t>
      </w:r>
      <w:r w:rsidR="00774673" w:rsidRPr="0022426C">
        <w:t xml:space="preserve"> </w:t>
      </w:r>
      <w:r w:rsidR="003671D5" w:rsidRPr="0022426C">
        <w:t xml:space="preserve">ho </w:t>
      </w:r>
      <w:r w:rsidR="00774673" w:rsidRPr="0022426C">
        <w:t xml:space="preserve">do 60 dnů ode dne svého jmenování </w:t>
      </w:r>
      <w:r w:rsidR="003671D5" w:rsidRPr="0022426C">
        <w:t xml:space="preserve">MV. Sídlem </w:t>
      </w:r>
      <w:r w:rsidR="00145CA2" w:rsidRPr="0022426C">
        <w:t xml:space="preserve">NSÚ </w:t>
      </w:r>
      <w:r w:rsidR="003671D5" w:rsidRPr="0022426C">
        <w:t>by měla být Ostrava.</w:t>
      </w:r>
    </w:p>
    <w:p w14:paraId="1CA2F79D" w14:textId="08A2DAEE" w:rsidR="003671D5" w:rsidRDefault="003671D5" w:rsidP="003671D5">
      <w:pPr>
        <w:pStyle w:val="Normln-tun"/>
      </w:pPr>
      <w:r>
        <w:t xml:space="preserve">Působnost </w:t>
      </w:r>
      <w:r w:rsidR="00145CA2">
        <w:t xml:space="preserve">NSÚ </w:t>
      </w:r>
      <w:r w:rsidR="00145CA2" w:rsidRPr="00145CA2">
        <w:t xml:space="preserve">ve věcech územního plánování </w:t>
      </w:r>
      <w:r>
        <w:t xml:space="preserve">je </w:t>
      </w:r>
      <w:r w:rsidR="00145CA2">
        <w:t xml:space="preserve">novým stavebním zákonem stanovena následovně: </w:t>
      </w:r>
    </w:p>
    <w:p w14:paraId="6D1D754B" w14:textId="62E38E61" w:rsidR="003671D5" w:rsidRDefault="003671D5" w:rsidP="00613EB8">
      <w:pPr>
        <w:pStyle w:val="Normln-tun"/>
        <w:numPr>
          <w:ilvl w:val="0"/>
          <w:numId w:val="74"/>
        </w:numPr>
        <w:ind w:left="425" w:hanging="425"/>
        <w:contextualSpacing/>
      </w:pPr>
      <w:r>
        <w:lastRenderedPageBreak/>
        <w:t>vykonává kontrolu ve věcech územního plánování,</w:t>
      </w:r>
    </w:p>
    <w:p w14:paraId="1E29B89B" w14:textId="4EDA078A" w:rsidR="003671D5" w:rsidRDefault="003671D5" w:rsidP="00613EB8">
      <w:pPr>
        <w:pStyle w:val="Normln-tun"/>
        <w:numPr>
          <w:ilvl w:val="0"/>
          <w:numId w:val="74"/>
        </w:numPr>
        <w:ind w:left="425" w:hanging="425"/>
        <w:contextualSpacing/>
      </w:pPr>
      <w:r>
        <w:t>pořizuje politiku architektury a stavební kultury,</w:t>
      </w:r>
    </w:p>
    <w:p w14:paraId="419BDD9D" w14:textId="1D601872" w:rsidR="003671D5" w:rsidRDefault="003671D5" w:rsidP="00613EB8">
      <w:pPr>
        <w:pStyle w:val="Normln-tun"/>
        <w:numPr>
          <w:ilvl w:val="0"/>
          <w:numId w:val="74"/>
        </w:numPr>
        <w:ind w:left="425" w:hanging="425"/>
        <w:contextualSpacing/>
      </w:pPr>
      <w:r>
        <w:t>pořizuje územní rozvojový plán,</w:t>
      </w:r>
    </w:p>
    <w:p w14:paraId="13919892" w14:textId="0A9682B1" w:rsidR="003671D5" w:rsidRDefault="003671D5" w:rsidP="00613EB8">
      <w:pPr>
        <w:pStyle w:val="Normln-tun"/>
        <w:numPr>
          <w:ilvl w:val="0"/>
          <w:numId w:val="74"/>
        </w:numPr>
        <w:ind w:left="425" w:hanging="425"/>
        <w:contextualSpacing/>
      </w:pPr>
      <w:r>
        <w:t>pořizuje územně plánovací podklady v podrobnosti a rozsahu nezbytném pro pořizování územního rozvojového plánu, popřípadě pro plnění dalších svých úkolů,</w:t>
      </w:r>
    </w:p>
    <w:p w14:paraId="5396C5EC" w14:textId="4B207965" w:rsidR="003671D5" w:rsidRDefault="003671D5" w:rsidP="00613EB8">
      <w:pPr>
        <w:pStyle w:val="Normln-tun"/>
        <w:numPr>
          <w:ilvl w:val="0"/>
          <w:numId w:val="74"/>
        </w:numPr>
        <w:ind w:left="425" w:hanging="425"/>
        <w:contextualSpacing/>
      </w:pPr>
      <w:r>
        <w:t>pořizuje a vydává územní opatření o stavební uzávěře, dotýká-li se území více krajů,</w:t>
      </w:r>
    </w:p>
    <w:p w14:paraId="5A33C101" w14:textId="37DE0144" w:rsidR="003671D5" w:rsidRDefault="003671D5" w:rsidP="00613EB8">
      <w:pPr>
        <w:pStyle w:val="Normln-tun"/>
        <w:numPr>
          <w:ilvl w:val="0"/>
          <w:numId w:val="74"/>
        </w:numPr>
        <w:ind w:left="425" w:hanging="425"/>
        <w:contextualSpacing/>
      </w:pPr>
      <w:r>
        <w:t>vede národní geoportál územního plánování a vkládá do něj data,</w:t>
      </w:r>
    </w:p>
    <w:p w14:paraId="6676C855" w14:textId="5AE364EB" w:rsidR="003671D5" w:rsidRDefault="003671D5" w:rsidP="00613EB8">
      <w:pPr>
        <w:pStyle w:val="Normln-tun"/>
        <w:numPr>
          <w:ilvl w:val="0"/>
          <w:numId w:val="74"/>
        </w:numPr>
        <w:ind w:left="425" w:hanging="425"/>
      </w:pPr>
      <w:r>
        <w:t>zajišťuje metodickou podporu uplatňování soudobých poznatků vědy a techniky a metodicky sjednocuje výkladovou a aplikační činnost krajských úřadů a obecních úřadů v oblasti územního plánování, urbanismu a architektury</w:t>
      </w:r>
      <w:r w:rsidR="00145CA2">
        <w:t xml:space="preserve"> aj</w:t>
      </w:r>
      <w:r>
        <w:t>.</w:t>
      </w:r>
    </w:p>
    <w:p w14:paraId="7534CD23" w14:textId="1F36976F" w:rsidR="00145CA2" w:rsidRDefault="00145CA2" w:rsidP="00145CA2">
      <w:pPr>
        <w:pStyle w:val="Normln-tun"/>
      </w:pPr>
      <w:r>
        <w:t>NSÚ je nadřízeným správním orgánem krajských úřadů jako úřadů územního plánování.</w:t>
      </w:r>
    </w:p>
    <w:p w14:paraId="227ECABF" w14:textId="06F8BF47" w:rsidR="00145CA2" w:rsidRDefault="00145CA2" w:rsidP="003671D5">
      <w:pPr>
        <w:pStyle w:val="Normln-tun"/>
      </w:pPr>
      <w:r>
        <w:t>V</w:t>
      </w:r>
      <w:r w:rsidRPr="00774673">
        <w:t>e věcech stavebního řádu</w:t>
      </w:r>
      <w:r>
        <w:t xml:space="preserve"> by měl NSÚ</w:t>
      </w:r>
    </w:p>
    <w:p w14:paraId="4075ABF7" w14:textId="7B13F88C" w:rsidR="003671D5" w:rsidRDefault="003671D5" w:rsidP="00613EB8">
      <w:pPr>
        <w:pStyle w:val="Normln-tun"/>
        <w:numPr>
          <w:ilvl w:val="0"/>
          <w:numId w:val="74"/>
        </w:numPr>
        <w:ind w:left="425" w:hanging="425"/>
        <w:contextualSpacing/>
      </w:pPr>
      <w:r>
        <w:t>metodicky sjednoc</w:t>
      </w:r>
      <w:r w:rsidR="00145CA2">
        <w:t>ovat</w:t>
      </w:r>
      <w:r>
        <w:t xml:space="preserve"> výkladovou a aplikační činnost Specializovaného a odvolacího stavebního úřadu a krajských stavebních úřadů v oblasti stavebního řádu a požadavků na výstavbu,</w:t>
      </w:r>
    </w:p>
    <w:p w14:paraId="7D52F599" w14:textId="59C589DC" w:rsidR="003671D5" w:rsidRDefault="003671D5" w:rsidP="00613EB8">
      <w:pPr>
        <w:pStyle w:val="Normln-tun"/>
        <w:numPr>
          <w:ilvl w:val="0"/>
          <w:numId w:val="74"/>
        </w:numPr>
        <w:ind w:left="425" w:hanging="425"/>
        <w:contextualSpacing/>
      </w:pPr>
      <w:r>
        <w:t>v</w:t>
      </w:r>
      <w:r w:rsidR="00145CA2">
        <w:t>ést</w:t>
      </w:r>
      <w:r>
        <w:t xml:space="preserve"> systém stavebně technické prevence a navrh</w:t>
      </w:r>
      <w:r w:rsidR="00145CA2">
        <w:t>ovat</w:t>
      </w:r>
      <w:r>
        <w:t xml:space="preserve"> opatření k zabránění opakování</w:t>
      </w:r>
      <w:r w:rsidR="00145CA2" w:rsidRPr="00145CA2">
        <w:t xml:space="preserve"> </w:t>
      </w:r>
      <w:r w:rsidR="00145CA2">
        <w:t>závažných závad nebo havárií staveb</w:t>
      </w:r>
      <w:r>
        <w:t>,</w:t>
      </w:r>
    </w:p>
    <w:p w14:paraId="72A4EABC" w14:textId="0A4692A5" w:rsidR="003671D5" w:rsidRDefault="003671D5" w:rsidP="00613EB8">
      <w:pPr>
        <w:pStyle w:val="Normln-tun"/>
        <w:numPr>
          <w:ilvl w:val="0"/>
          <w:numId w:val="74"/>
        </w:numPr>
        <w:ind w:left="425" w:hanging="425"/>
        <w:contextualSpacing/>
      </w:pPr>
      <w:r>
        <w:t>sled</w:t>
      </w:r>
      <w:r w:rsidR="00145CA2">
        <w:t>ovat</w:t>
      </w:r>
      <w:r>
        <w:t xml:space="preserve"> účinnost technických předpisů pro stavby a dbá</w:t>
      </w:r>
      <w:r w:rsidR="00145CA2">
        <w:t>t</w:t>
      </w:r>
      <w:r>
        <w:t xml:space="preserve"> o zlepšování jejich úrovně,</w:t>
      </w:r>
    </w:p>
    <w:p w14:paraId="3BCE2DC0" w14:textId="50746FA0" w:rsidR="003671D5" w:rsidRDefault="003671D5" w:rsidP="00613EB8">
      <w:pPr>
        <w:pStyle w:val="Normln-tun"/>
        <w:numPr>
          <w:ilvl w:val="0"/>
          <w:numId w:val="74"/>
        </w:numPr>
        <w:ind w:left="425" w:hanging="425"/>
        <w:contextualSpacing/>
      </w:pPr>
      <w:r>
        <w:t>navrh</w:t>
      </w:r>
      <w:r w:rsidR="00145CA2">
        <w:t>ovat</w:t>
      </w:r>
      <w:r>
        <w:t xml:space="preserve"> úpravy požadavků na stavby, jejich části, funkce, prvky a stavební výrobky a podáv</w:t>
      </w:r>
      <w:r w:rsidR="00145CA2">
        <w:t>at</w:t>
      </w:r>
      <w:r>
        <w:t xml:space="preserve"> podněty k úpravě českých technických norem nebo certifikace stavebních výrobků anebo k jiným stavebně technickým opatřením,</w:t>
      </w:r>
    </w:p>
    <w:p w14:paraId="65CE4C56" w14:textId="1DEB22FF" w:rsidR="003671D5" w:rsidRDefault="003671D5" w:rsidP="00613EB8">
      <w:pPr>
        <w:pStyle w:val="Normln-tun"/>
        <w:numPr>
          <w:ilvl w:val="0"/>
          <w:numId w:val="74"/>
        </w:numPr>
        <w:ind w:left="425" w:hanging="425"/>
        <w:contextualSpacing/>
      </w:pPr>
      <w:r>
        <w:t>zajišť</w:t>
      </w:r>
      <w:r w:rsidR="00DC4281">
        <w:t>ovat</w:t>
      </w:r>
      <w:r>
        <w:t xml:space="preserve"> bezplatný přístup k určeným technickým normám ve stavebnictví,</w:t>
      </w:r>
    </w:p>
    <w:p w14:paraId="36536BF7" w14:textId="60AA4A41" w:rsidR="003671D5" w:rsidRDefault="003671D5" w:rsidP="00613EB8">
      <w:pPr>
        <w:pStyle w:val="Normln-tun"/>
        <w:numPr>
          <w:ilvl w:val="0"/>
          <w:numId w:val="74"/>
        </w:numPr>
        <w:ind w:left="425" w:hanging="425"/>
        <w:contextualSpacing/>
      </w:pPr>
      <w:r>
        <w:t>vykonáv</w:t>
      </w:r>
      <w:r w:rsidR="00DC4281">
        <w:t>at</w:t>
      </w:r>
      <w:r>
        <w:t xml:space="preserve"> kontrolu ve věcech stavebního řádu,</w:t>
      </w:r>
    </w:p>
    <w:p w14:paraId="73053BCE" w14:textId="7FEF9399" w:rsidR="003671D5" w:rsidRDefault="003671D5" w:rsidP="00613EB8">
      <w:pPr>
        <w:pStyle w:val="Normln-tun"/>
        <w:numPr>
          <w:ilvl w:val="0"/>
          <w:numId w:val="74"/>
        </w:numPr>
        <w:ind w:left="425" w:hanging="425"/>
      </w:pPr>
      <w:r>
        <w:t>vykonáv</w:t>
      </w:r>
      <w:r w:rsidR="00DC4281">
        <w:t>at</w:t>
      </w:r>
      <w:r>
        <w:t xml:space="preserve"> kontrolu nad činností autorizovaných inspektorů</w:t>
      </w:r>
      <w:r w:rsidR="00DC4281">
        <w:t xml:space="preserve"> aj</w:t>
      </w:r>
      <w:r>
        <w:t>.</w:t>
      </w:r>
    </w:p>
    <w:p w14:paraId="050E9CD3" w14:textId="6FB820F5" w:rsidR="003671D5" w:rsidRDefault="00DC4281" w:rsidP="00DD412F">
      <w:pPr>
        <w:pStyle w:val="Normln-tun"/>
      </w:pPr>
      <w:r>
        <w:t>NSÚ</w:t>
      </w:r>
      <w:r w:rsidRPr="00DC4281">
        <w:t xml:space="preserve"> </w:t>
      </w:r>
      <w:r>
        <w:t>by měl být</w:t>
      </w:r>
      <w:r w:rsidRPr="00DC4281">
        <w:t xml:space="preserve"> nadřízeným orgánem vůči Specializovanému a odvolacímu stavebnímu úřadu se všemi s tím souvisejícími skutečnostmi</w:t>
      </w:r>
      <w:r>
        <w:t>.</w:t>
      </w:r>
    </w:p>
    <w:p w14:paraId="7A6AB7AB" w14:textId="6560CB5B" w:rsidR="000C5F08" w:rsidRPr="00D218C7" w:rsidRDefault="0022426C" w:rsidP="0022426C">
      <w:pPr>
        <w:pStyle w:val="Normln-tun"/>
      </w:pPr>
      <w:r w:rsidRPr="00D218C7">
        <w:rPr>
          <w:b/>
          <w:bCs/>
        </w:rPr>
        <w:t xml:space="preserve">Specializovaný a odvolací stavební úřad </w:t>
      </w:r>
      <w:r w:rsidR="009301D2" w:rsidRPr="00D218C7">
        <w:rPr>
          <w:b/>
          <w:bCs/>
        </w:rPr>
        <w:t xml:space="preserve">(SOSÚ) </w:t>
      </w:r>
      <w:r w:rsidR="000C5F08" w:rsidRPr="00D218C7">
        <w:t>by měl být</w:t>
      </w:r>
      <w:r w:rsidRPr="00D218C7">
        <w:t xml:space="preserve"> správní úřad s celostátní působností a jeho sídlem </w:t>
      </w:r>
      <w:r w:rsidR="000C5F08" w:rsidRPr="00D218C7">
        <w:t>má být</w:t>
      </w:r>
      <w:r w:rsidRPr="00D218C7">
        <w:t xml:space="preserve"> Praha. </w:t>
      </w:r>
      <w:r w:rsidR="009301D2" w:rsidRPr="00D218C7">
        <w:t>Jeho ú</w:t>
      </w:r>
      <w:r w:rsidR="000C5F08" w:rsidRPr="00D218C7">
        <w:t>zemní pracoviště by měl stanovit NSÚ vyhláškou.</w:t>
      </w:r>
    </w:p>
    <w:p w14:paraId="1B0C9F1D" w14:textId="77777777" w:rsidR="009301D2" w:rsidRPr="00D218C7" w:rsidRDefault="0022426C" w:rsidP="0022426C">
      <w:pPr>
        <w:pStyle w:val="Normln-tun"/>
      </w:pPr>
      <w:r w:rsidRPr="00D218C7">
        <w:t xml:space="preserve">V čele </w:t>
      </w:r>
      <w:r w:rsidR="009301D2" w:rsidRPr="00D218C7">
        <w:t>SOSÚ</w:t>
      </w:r>
      <w:r w:rsidRPr="00D218C7">
        <w:t xml:space="preserve"> </w:t>
      </w:r>
      <w:r w:rsidR="009301D2" w:rsidRPr="00D218C7">
        <w:t>by měl</w:t>
      </w:r>
      <w:r w:rsidRPr="00D218C7">
        <w:t xml:space="preserve"> stát ředitel</w:t>
      </w:r>
      <w:r w:rsidR="009301D2" w:rsidRPr="00D218C7">
        <w:t>, j</w:t>
      </w:r>
      <w:r w:rsidRPr="00D218C7">
        <w:t>eho</w:t>
      </w:r>
      <w:r w:rsidR="009301D2" w:rsidRPr="00D218C7">
        <w:t>ž</w:t>
      </w:r>
      <w:r w:rsidRPr="00D218C7">
        <w:t xml:space="preserve"> výběr, jmenování a odvolávání </w:t>
      </w:r>
      <w:r w:rsidR="009301D2" w:rsidRPr="00D218C7">
        <w:t>má být</w:t>
      </w:r>
      <w:r w:rsidRPr="00D218C7">
        <w:t xml:space="preserve"> v gesci ředitele </w:t>
      </w:r>
      <w:r w:rsidR="009301D2" w:rsidRPr="00D218C7">
        <w:t>NSÚ</w:t>
      </w:r>
      <w:r w:rsidRPr="00D218C7">
        <w:t xml:space="preserve">. Výběrové řízení na služební místo prvního ředitele </w:t>
      </w:r>
      <w:r w:rsidR="009301D2" w:rsidRPr="00D218C7">
        <w:t>SOSÚ</w:t>
      </w:r>
      <w:r w:rsidRPr="00D218C7">
        <w:t xml:space="preserve"> </w:t>
      </w:r>
      <w:r w:rsidR="009301D2" w:rsidRPr="00D218C7">
        <w:t xml:space="preserve">by měl </w:t>
      </w:r>
      <w:r w:rsidRPr="00D218C7">
        <w:t xml:space="preserve">předseda </w:t>
      </w:r>
      <w:r w:rsidR="009301D2" w:rsidRPr="00D218C7">
        <w:t>NSÚ</w:t>
      </w:r>
      <w:r w:rsidRPr="00D218C7">
        <w:t xml:space="preserve"> </w:t>
      </w:r>
      <w:r w:rsidR="009301D2" w:rsidRPr="00D218C7">
        <w:t xml:space="preserve">vyhlásit </w:t>
      </w:r>
      <w:r w:rsidRPr="00D218C7">
        <w:t>do 31.</w:t>
      </w:r>
      <w:r w:rsidR="009301D2" w:rsidRPr="00D218C7">
        <w:t> 10. </w:t>
      </w:r>
      <w:r w:rsidRPr="00D218C7">
        <w:t xml:space="preserve">2022. </w:t>
      </w:r>
    </w:p>
    <w:p w14:paraId="535BC9AF" w14:textId="054D63B2" w:rsidR="00010A79" w:rsidRDefault="00D218C7" w:rsidP="00010A79">
      <w:pPr>
        <w:pStyle w:val="Normln-tun"/>
      </w:pPr>
      <w:r w:rsidRPr="00D218C7">
        <w:t>SOSÚ</w:t>
      </w:r>
      <w:r>
        <w:t xml:space="preserve"> by měl být nadřízeným správním orgánem krajského stavebního úřadu. Měl by </w:t>
      </w:r>
      <w:r w:rsidR="00010A79">
        <w:t>vykonáv</w:t>
      </w:r>
      <w:r>
        <w:t xml:space="preserve">at </w:t>
      </w:r>
    </w:p>
    <w:p w14:paraId="03550E74" w14:textId="3B202251" w:rsidR="00010A79" w:rsidRDefault="00010A79" w:rsidP="00613EB8">
      <w:pPr>
        <w:pStyle w:val="Normln-tun"/>
        <w:numPr>
          <w:ilvl w:val="0"/>
          <w:numId w:val="75"/>
        </w:numPr>
        <w:ind w:left="425" w:hanging="425"/>
        <w:contextualSpacing/>
      </w:pPr>
      <w:r>
        <w:t>působnost stavebního úřadu ve věcech vyhrazených staveb</w:t>
      </w:r>
      <w:r w:rsidR="00D218C7">
        <w:t xml:space="preserve"> (</w:t>
      </w:r>
      <w:r w:rsidR="00D218C7" w:rsidRPr="00D218C7">
        <w:t>uveden</w:t>
      </w:r>
      <w:r w:rsidR="00D218C7">
        <w:t>ých</w:t>
      </w:r>
      <w:r w:rsidR="00D218C7" w:rsidRPr="00D218C7">
        <w:t xml:space="preserve"> v příloze č. 3 nového stavebního zákona (stavby dálnic, stavby drah, letecké stavby, stavby vodních nádrží, energetické stavby a</w:t>
      </w:r>
      <w:r w:rsidR="007B5204">
        <w:t>t</w:t>
      </w:r>
      <w:r w:rsidR="00D218C7" w:rsidRPr="00D218C7">
        <w:t>d.</w:t>
      </w:r>
      <w:r w:rsidR="00D218C7">
        <w:t>)</w:t>
      </w:r>
      <w:r w:rsidR="00BB68B7">
        <w:t>)</w:t>
      </w:r>
      <w:r>
        <w:t>,</w:t>
      </w:r>
    </w:p>
    <w:p w14:paraId="71181D61" w14:textId="37571BBB" w:rsidR="00010A79" w:rsidRDefault="00010A79" w:rsidP="00613EB8">
      <w:pPr>
        <w:pStyle w:val="Normln-tun"/>
        <w:numPr>
          <w:ilvl w:val="0"/>
          <w:numId w:val="75"/>
        </w:numPr>
        <w:ind w:left="425" w:hanging="425"/>
        <w:contextualSpacing/>
      </w:pPr>
      <w:r>
        <w:t>působnost stavebního úřadu ve věcech staveb souvisejících s vyhrazenými stavbami a stavbami tvořícími s nimi soubor staveb, jež by jinak byly v působnosti krajského stavebního úřadu, a</w:t>
      </w:r>
    </w:p>
    <w:p w14:paraId="452BF6A5" w14:textId="23CFA4CF" w:rsidR="00010A79" w:rsidRDefault="00010A79" w:rsidP="00613EB8">
      <w:pPr>
        <w:pStyle w:val="Normln-tun"/>
        <w:numPr>
          <w:ilvl w:val="0"/>
          <w:numId w:val="75"/>
        </w:numPr>
        <w:ind w:left="425" w:hanging="425"/>
      </w:pPr>
      <w:r>
        <w:t>kontrolu ve věcech stavebního řádu.</w:t>
      </w:r>
    </w:p>
    <w:p w14:paraId="334C096A" w14:textId="4F477769" w:rsidR="00B54F55" w:rsidRDefault="00B54F55" w:rsidP="00B54F55">
      <w:pPr>
        <w:pStyle w:val="Normln-tun"/>
      </w:pPr>
      <w:r w:rsidRPr="004A2386">
        <w:rPr>
          <w:b/>
          <w:bCs/>
        </w:rPr>
        <w:t>Krajské stavební úřady</w:t>
      </w:r>
      <w:r w:rsidRPr="00233B55">
        <w:t xml:space="preserve"> by měly být základní výkonnou složku celé státní stavební správy</w:t>
      </w:r>
      <w:r w:rsidR="00233B55" w:rsidRPr="00233B55">
        <w:t>, neboť</w:t>
      </w:r>
      <w:r w:rsidRPr="00233B55">
        <w:t xml:space="preserve"> </w:t>
      </w:r>
      <w:r w:rsidR="00233B55" w:rsidRPr="00233B55">
        <w:t>z pohledu počtu by v</w:t>
      </w:r>
      <w:r w:rsidRPr="00233B55">
        <w:t xml:space="preserve">ětšina staveb </w:t>
      </w:r>
      <w:r w:rsidR="00233B55" w:rsidRPr="00233B55">
        <w:t xml:space="preserve">měla být </w:t>
      </w:r>
      <w:r w:rsidRPr="00233B55">
        <w:t>povolována právě těmito krajskými stavebními úřady, a jejich územní</w:t>
      </w:r>
      <w:r w:rsidR="00233B55" w:rsidRPr="00233B55">
        <w:t>mi</w:t>
      </w:r>
      <w:r w:rsidRPr="00233B55">
        <w:t xml:space="preserve"> pracoviš</w:t>
      </w:r>
      <w:r w:rsidR="00233B55" w:rsidRPr="00233B55">
        <w:t>ti</w:t>
      </w:r>
      <w:r w:rsidRPr="00233B55">
        <w:t>.</w:t>
      </w:r>
    </w:p>
    <w:p w14:paraId="005C062F" w14:textId="5EE29123" w:rsidR="004A2386" w:rsidRDefault="004D5429" w:rsidP="004A2386">
      <w:pPr>
        <w:pStyle w:val="Normln-tun"/>
      </w:pPr>
      <w:r>
        <w:t>Tj. k</w:t>
      </w:r>
      <w:r w:rsidR="004A2386">
        <w:t>rajský stavební úřad by měl</w:t>
      </w:r>
    </w:p>
    <w:p w14:paraId="6565F47E" w14:textId="77777777" w:rsidR="004A2386" w:rsidRDefault="004A2386" w:rsidP="00613EB8">
      <w:pPr>
        <w:pStyle w:val="Normln-tun"/>
        <w:numPr>
          <w:ilvl w:val="0"/>
          <w:numId w:val="76"/>
        </w:numPr>
        <w:tabs>
          <w:tab w:val="left" w:pos="426"/>
        </w:tabs>
        <w:ind w:left="425" w:hanging="425"/>
        <w:contextualSpacing/>
      </w:pPr>
      <w:r>
        <w:lastRenderedPageBreak/>
        <w:t>vykonávat působnost stavebního úřadu ve věcech staveb, u kterých nevykonává působnost Specializovaný a odvolací stavební úřad nebo jiný stavební úřad,</w:t>
      </w:r>
    </w:p>
    <w:p w14:paraId="13616131" w14:textId="77777777" w:rsidR="004A2386" w:rsidRDefault="004A2386" w:rsidP="00613EB8">
      <w:pPr>
        <w:pStyle w:val="Normln-tun"/>
        <w:numPr>
          <w:ilvl w:val="0"/>
          <w:numId w:val="76"/>
        </w:numPr>
        <w:tabs>
          <w:tab w:val="left" w:pos="426"/>
        </w:tabs>
        <w:ind w:left="425" w:hanging="425"/>
        <w:contextualSpacing/>
      </w:pPr>
      <w:r>
        <w:t>vydávat rámcové povolení pro stavby v působnosti jiného stavebního úřadu, včetně staveb souvisejících, a</w:t>
      </w:r>
    </w:p>
    <w:p w14:paraId="19DA4761" w14:textId="77777777" w:rsidR="004A2386" w:rsidRDefault="004A2386" w:rsidP="00613EB8">
      <w:pPr>
        <w:pStyle w:val="Normln-tun"/>
        <w:numPr>
          <w:ilvl w:val="0"/>
          <w:numId w:val="76"/>
        </w:numPr>
        <w:tabs>
          <w:tab w:val="left" w:pos="426"/>
        </w:tabs>
        <w:ind w:left="425" w:hanging="425"/>
      </w:pPr>
      <w:r>
        <w:t>vykonávat kontrolu ve věcech stavebního řádu.</w:t>
      </w:r>
    </w:p>
    <w:p w14:paraId="03EC4642" w14:textId="77777777" w:rsidR="00233B55" w:rsidRPr="004A2386" w:rsidRDefault="00B54F55" w:rsidP="00233B55">
      <w:pPr>
        <w:pStyle w:val="Normln-tun"/>
      </w:pPr>
      <w:r w:rsidRPr="004A2386">
        <w:t xml:space="preserve">Krajské stavební úřady </w:t>
      </w:r>
      <w:r w:rsidR="00233B55" w:rsidRPr="004A2386">
        <w:t>by měly</w:t>
      </w:r>
      <w:r w:rsidRPr="004A2386">
        <w:t xml:space="preserve"> mít sídlo v krajských městech a jejich územní působnost </w:t>
      </w:r>
      <w:r w:rsidR="00233B55" w:rsidRPr="004A2386">
        <w:t xml:space="preserve">by </w:t>
      </w:r>
      <w:r w:rsidRPr="004A2386">
        <w:t xml:space="preserve">se </w:t>
      </w:r>
      <w:r w:rsidR="00233B55" w:rsidRPr="004A2386">
        <w:t xml:space="preserve">měla </w:t>
      </w:r>
      <w:r w:rsidRPr="004A2386">
        <w:t xml:space="preserve">vztahovat na území </w:t>
      </w:r>
      <w:r w:rsidR="00233B55" w:rsidRPr="004A2386">
        <w:t xml:space="preserve">svého </w:t>
      </w:r>
      <w:r w:rsidRPr="004A2386">
        <w:t xml:space="preserve">kraje. V čele krajského stavebního úřadu </w:t>
      </w:r>
      <w:r w:rsidR="00233B55" w:rsidRPr="004A2386">
        <w:t>by měl</w:t>
      </w:r>
      <w:r w:rsidRPr="004A2386">
        <w:t xml:space="preserve"> stát ředitel</w:t>
      </w:r>
      <w:r w:rsidR="00233B55" w:rsidRPr="004A2386">
        <w:t>, kterého by měl též</w:t>
      </w:r>
      <w:r w:rsidRPr="004A2386">
        <w:t xml:space="preserve"> jmen</w:t>
      </w:r>
      <w:r w:rsidR="00233B55" w:rsidRPr="004A2386">
        <w:t>ovat</w:t>
      </w:r>
      <w:r w:rsidRPr="004A2386">
        <w:t xml:space="preserve"> a odvoláv</w:t>
      </w:r>
      <w:r w:rsidR="00233B55" w:rsidRPr="004A2386">
        <w:t>at</w:t>
      </w:r>
      <w:r w:rsidRPr="004A2386">
        <w:t xml:space="preserve"> z funkce předseda </w:t>
      </w:r>
      <w:r w:rsidR="00233B55" w:rsidRPr="004A2386">
        <w:t>NSÚ</w:t>
      </w:r>
      <w:r w:rsidRPr="004A2386">
        <w:t xml:space="preserve">. Ten </w:t>
      </w:r>
      <w:r w:rsidR="00233B55" w:rsidRPr="004A2386">
        <w:t xml:space="preserve">by měl také </w:t>
      </w:r>
      <w:r w:rsidRPr="004A2386">
        <w:t xml:space="preserve">do 31. </w:t>
      </w:r>
      <w:r w:rsidR="00233B55" w:rsidRPr="004A2386">
        <w:t>10.</w:t>
      </w:r>
      <w:r w:rsidRPr="004A2386">
        <w:t xml:space="preserve"> 2022 vyhlásit výběrové řízení na služební místa ředitelů jednotlivých krajských stavebních úřadů. </w:t>
      </w:r>
    </w:p>
    <w:p w14:paraId="1E26FDE8" w14:textId="51834C6A" w:rsidR="00E94E6B" w:rsidRPr="004A2386" w:rsidRDefault="00233B55" w:rsidP="00E94E6B">
      <w:pPr>
        <w:pStyle w:val="Normln-tun"/>
      </w:pPr>
      <w:r>
        <w:t xml:space="preserve">Územní pracoviště krajského stavebního úřadu </w:t>
      </w:r>
      <w:r w:rsidR="00E94E6B">
        <w:t xml:space="preserve">by měl </w:t>
      </w:r>
      <w:r>
        <w:t>stanov</w:t>
      </w:r>
      <w:r w:rsidR="00E94E6B">
        <w:t>it</w:t>
      </w:r>
      <w:r>
        <w:t xml:space="preserve"> </w:t>
      </w:r>
      <w:r w:rsidR="00E94E6B">
        <w:t>NSÚ</w:t>
      </w:r>
      <w:r>
        <w:t xml:space="preserve"> vyhláškou</w:t>
      </w:r>
      <w:r w:rsidR="00E94E6B">
        <w:t xml:space="preserve"> s tím, že při tom </w:t>
      </w:r>
      <w:r>
        <w:t>přihlédne k počtu obyvatel správního obvodu územního pracoviště a k jejich dopravní dostupnosti.</w:t>
      </w:r>
      <w:r w:rsidR="00E94E6B">
        <w:t xml:space="preserve"> V první vyhlášce by je měl NSÚ stanovit tak, aby se nacházela v sídle obecních úřadů, které </w:t>
      </w:r>
      <w:r w:rsidR="00E94E6B" w:rsidRPr="004A2386">
        <w:t>vykonávaly ke dni 31. 12. 2020 působnost stavebního úřadu, a</w:t>
      </w:r>
    </w:p>
    <w:p w14:paraId="43DBB195" w14:textId="74951E69" w:rsidR="00E94E6B" w:rsidRPr="004A2386" w:rsidRDefault="00E94E6B" w:rsidP="00613EB8">
      <w:pPr>
        <w:pStyle w:val="Normln-tun"/>
        <w:numPr>
          <w:ilvl w:val="0"/>
          <w:numId w:val="76"/>
        </w:numPr>
        <w:ind w:left="426" w:hanging="426"/>
      </w:pPr>
      <w:r w:rsidRPr="004A2386">
        <w:t>které splňují alespoň jednu z těchto podmínek:</w:t>
      </w:r>
    </w:p>
    <w:p w14:paraId="37BE2EAC" w14:textId="1DD77C50" w:rsidR="00E94E6B" w:rsidRPr="004A2386" w:rsidRDefault="00E94E6B" w:rsidP="00613EB8">
      <w:pPr>
        <w:pStyle w:val="Normln-tun"/>
        <w:numPr>
          <w:ilvl w:val="1"/>
          <w:numId w:val="76"/>
        </w:numPr>
        <w:ind w:left="1434" w:hanging="357"/>
        <w:contextualSpacing/>
      </w:pPr>
      <w:r w:rsidRPr="004A2386">
        <w:t xml:space="preserve">počet obyvatel správního obvodu stavebního úřadu byl ke dni 31. </w:t>
      </w:r>
      <w:r w:rsidR="004A2386">
        <w:t>12.</w:t>
      </w:r>
      <w:r w:rsidRPr="004A2386">
        <w:t xml:space="preserve"> 2020 vyšší než 10</w:t>
      </w:r>
      <w:r w:rsidR="004A2386">
        <w:t xml:space="preserve"> </w:t>
      </w:r>
      <w:r w:rsidRPr="004A2386">
        <w:t>000,</w:t>
      </w:r>
    </w:p>
    <w:p w14:paraId="30AB3107" w14:textId="588B4410" w:rsidR="00E94E6B" w:rsidRPr="004A2386" w:rsidRDefault="00E94E6B" w:rsidP="00613EB8">
      <w:pPr>
        <w:pStyle w:val="Normln-tun"/>
        <w:numPr>
          <w:ilvl w:val="1"/>
          <w:numId w:val="76"/>
        </w:numPr>
        <w:ind w:left="1434" w:hanging="357"/>
        <w:contextualSpacing/>
      </w:pPr>
      <w:r w:rsidRPr="004A2386">
        <w:t xml:space="preserve">počet pracovních míst, na nichž je vykonávána správní činnost při rozhodování na úseku stavebního řádu, byl ke dni 31. </w:t>
      </w:r>
      <w:r w:rsidR="004A2386">
        <w:t>12.</w:t>
      </w:r>
      <w:r w:rsidRPr="004A2386">
        <w:t xml:space="preserve"> 2019 nejméně 4, nebo</w:t>
      </w:r>
    </w:p>
    <w:p w14:paraId="23B81841" w14:textId="57CDC83E" w:rsidR="00E94E6B" w:rsidRPr="004A2386" w:rsidRDefault="00E94E6B" w:rsidP="00613EB8">
      <w:pPr>
        <w:pStyle w:val="Normln-tun"/>
        <w:numPr>
          <w:ilvl w:val="1"/>
          <w:numId w:val="76"/>
        </w:numPr>
        <w:ind w:left="1434" w:hanging="357"/>
      </w:pPr>
      <w:r w:rsidRPr="004A2386">
        <w:t xml:space="preserve">obecní úřad vykonal za rok 2019 více než 236 </w:t>
      </w:r>
      <w:r w:rsidR="004A2386">
        <w:t xml:space="preserve">vybraných </w:t>
      </w:r>
      <w:r w:rsidRPr="004A2386">
        <w:t xml:space="preserve">úkonů podle zákona č. 183/2006 Sb., ve znění účinném ke dni 31. </w:t>
      </w:r>
      <w:r w:rsidR="004A2386">
        <w:t>12.</w:t>
      </w:r>
      <w:r w:rsidRPr="004A2386">
        <w:t xml:space="preserve"> 2019, nebo</w:t>
      </w:r>
    </w:p>
    <w:p w14:paraId="1D7E10BE" w14:textId="6BC6E412" w:rsidR="00B54F55" w:rsidRPr="004A2386" w:rsidRDefault="00E94E6B" w:rsidP="00613EB8">
      <w:pPr>
        <w:pStyle w:val="Normln-tun"/>
        <w:numPr>
          <w:ilvl w:val="0"/>
          <w:numId w:val="76"/>
        </w:numPr>
        <w:ind w:left="426" w:hanging="426"/>
      </w:pPr>
      <w:r w:rsidRPr="004A2386">
        <w:t>je jich zapotřebí vedle územních pracovišť stanovených na základě podmínek podle písmene a) k zajištění dostupnosti stavebních úřadů tak, aby v žádném správním obvodu územního pracoviště krajského stavebního úřadu nečinila vzdálenost z kterékoliv obce do obce, jež je sídlem územního pracoviště krajského stavebního úřadu, více než 35 kilometrů.</w:t>
      </w:r>
    </w:p>
    <w:p w14:paraId="10ACAAEE" w14:textId="6B31F001" w:rsidR="000F4CAE" w:rsidRPr="00D168E8" w:rsidRDefault="000F4CAE" w:rsidP="000F4CAE">
      <w:pPr>
        <w:pStyle w:val="Normln-tun"/>
      </w:pPr>
      <w:r w:rsidRPr="00D168E8">
        <w:t xml:space="preserve">Nová státní stavební správa </w:t>
      </w:r>
      <w:r w:rsidR="00265421" w:rsidRPr="00D168E8">
        <w:t>by měla být primárně</w:t>
      </w:r>
      <w:r w:rsidRPr="00D168E8">
        <w:t xml:space="preserve"> obsazena pracovníky stávajících stavebních úřadů či dotčených orgánů. </w:t>
      </w:r>
      <w:r w:rsidR="00265421" w:rsidRPr="00D168E8">
        <w:t>Nový stavební zákon tak stanovuje, jak by k p</w:t>
      </w:r>
      <w:r w:rsidRPr="00D168E8">
        <w:t>řechod</w:t>
      </w:r>
      <w:r w:rsidR="00265421" w:rsidRPr="00D168E8">
        <w:t>u</w:t>
      </w:r>
      <w:r w:rsidRPr="00D168E8">
        <w:t xml:space="preserve"> úředníků </w:t>
      </w:r>
      <w:r w:rsidR="00265421" w:rsidRPr="00D168E8">
        <w:t>mělo dojít</w:t>
      </w:r>
      <w:r w:rsidRPr="00D168E8">
        <w:t xml:space="preserve">. Na </w:t>
      </w:r>
      <w:r w:rsidR="00265421" w:rsidRPr="00D168E8">
        <w:t>NSÚ by měly být</w:t>
      </w:r>
      <w:r w:rsidRPr="00D168E8">
        <w:t xml:space="preserve"> převedeni zaměstnanci </w:t>
      </w:r>
      <w:r w:rsidR="00265421" w:rsidRPr="00D168E8">
        <w:t>z</w:t>
      </w:r>
      <w:r w:rsidRPr="00D168E8">
        <w:t xml:space="preserve"> ministerste</w:t>
      </w:r>
      <w:r w:rsidR="00265421" w:rsidRPr="00D168E8">
        <w:t>v</w:t>
      </w:r>
      <w:r w:rsidRPr="00D168E8">
        <w:t xml:space="preserve"> </w:t>
      </w:r>
      <w:r w:rsidR="00265421" w:rsidRPr="00D168E8">
        <w:t>či</w:t>
      </w:r>
      <w:r w:rsidRPr="00D168E8">
        <w:t xml:space="preserve"> jiných správních úřad</w:t>
      </w:r>
      <w:r w:rsidR="00265421" w:rsidRPr="00D168E8">
        <w:t>ů</w:t>
      </w:r>
      <w:r w:rsidRPr="00D168E8">
        <w:t xml:space="preserve"> zajišťujících výkon práv a povinností spadajících do </w:t>
      </w:r>
      <w:r w:rsidR="009A4B2E" w:rsidRPr="00D168E8">
        <w:t>kompetence</w:t>
      </w:r>
      <w:r w:rsidRPr="00D168E8">
        <w:t xml:space="preserve"> </w:t>
      </w:r>
      <w:r w:rsidR="00265421" w:rsidRPr="00D168E8">
        <w:t>NSÚ</w:t>
      </w:r>
      <w:r w:rsidRPr="00D168E8">
        <w:t xml:space="preserve">. Obdobně </w:t>
      </w:r>
      <w:r w:rsidR="009A4B2E" w:rsidRPr="00D168E8">
        <w:t>by měli být převedeni</w:t>
      </w:r>
      <w:r w:rsidRPr="00D168E8">
        <w:t xml:space="preserve"> zaměstnanci </w:t>
      </w:r>
      <w:r w:rsidR="009A4B2E" w:rsidRPr="00D168E8">
        <w:t>příslušných</w:t>
      </w:r>
      <w:r w:rsidRPr="00D168E8">
        <w:t xml:space="preserve"> správních úřadů a krajů </w:t>
      </w:r>
      <w:r w:rsidR="006271A9">
        <w:t>na</w:t>
      </w:r>
      <w:r w:rsidRPr="00D168E8">
        <w:t xml:space="preserve"> </w:t>
      </w:r>
      <w:r w:rsidR="009A4B2E" w:rsidRPr="00D168E8">
        <w:t>SOSÚ</w:t>
      </w:r>
      <w:r w:rsidRPr="00D168E8">
        <w:t xml:space="preserve">, pokud zajišťují výkon práv a povinností spadajících do </w:t>
      </w:r>
      <w:r w:rsidR="009A4B2E" w:rsidRPr="00D168E8">
        <w:t xml:space="preserve">jeho </w:t>
      </w:r>
      <w:r w:rsidRPr="00D168E8">
        <w:t>působnosti</w:t>
      </w:r>
      <w:r w:rsidR="006271A9">
        <w:t xml:space="preserve">, a </w:t>
      </w:r>
      <w:r w:rsidR="006271A9" w:rsidRPr="006271A9">
        <w:t>zaměstnanci obcí a krajů na krajské stavební úřady</w:t>
      </w:r>
      <w:r w:rsidRPr="00D168E8">
        <w:t xml:space="preserve">. U zaměstnanců obcí a krajů bude podmínkou přechodu práv a povinností z jejich pracovních poměrů na stát předchozí písemná dohoda mezi </w:t>
      </w:r>
      <w:r w:rsidR="009A4B2E" w:rsidRPr="00D168E8">
        <w:t>NSÚ</w:t>
      </w:r>
      <w:r w:rsidRPr="00D168E8">
        <w:t>, zaměstnancem a územním samosprávným celkem.</w:t>
      </w:r>
    </w:p>
    <w:p w14:paraId="7101DA2C" w14:textId="6BDA7638" w:rsidR="008207A7" w:rsidRPr="003239AC" w:rsidRDefault="008207A7" w:rsidP="008207A7">
      <w:pPr>
        <w:pStyle w:val="Normln-tun"/>
      </w:pPr>
      <w:r w:rsidRPr="00F208E1">
        <w:t>V souvislosti s přijetím nového stavebního zákona a vyčlenění agendy stavebních úřadů do státní stavební správy do</w:t>
      </w:r>
      <w:r>
        <w:t>šlo</w:t>
      </w:r>
      <w:r w:rsidRPr="00F208E1">
        <w:t xml:space="preserve"> současně </w:t>
      </w:r>
      <w:r>
        <w:t xml:space="preserve">k </w:t>
      </w:r>
      <w:r w:rsidRPr="00F208E1">
        <w:t xml:space="preserve">integraci </w:t>
      </w:r>
      <w:r>
        <w:t>části</w:t>
      </w:r>
      <w:r w:rsidRPr="00F208E1">
        <w:t xml:space="preserve"> dotčených orgánů, resp. jejich působností</w:t>
      </w:r>
      <w:r>
        <w:t>,</w:t>
      </w:r>
      <w:r w:rsidRPr="00F208E1">
        <w:t xml:space="preserve"> do státní stavební správy </w:t>
      </w:r>
      <w:r>
        <w:t>či úpravy</w:t>
      </w:r>
      <w:r w:rsidRPr="00F208E1">
        <w:t xml:space="preserve"> formy výstupu zbylých dotčených orgánů </w:t>
      </w:r>
      <w:r>
        <w:t xml:space="preserve">převážně </w:t>
      </w:r>
      <w:r w:rsidRPr="00F208E1">
        <w:t>na vyjádření.</w:t>
      </w:r>
    </w:p>
    <w:p w14:paraId="25E28341" w14:textId="77777777" w:rsidR="00B50019" w:rsidRDefault="00B50019">
      <w:pPr>
        <w:spacing w:before="0" w:after="0"/>
        <w:jc w:val="left"/>
        <w:rPr>
          <w:rFonts w:eastAsia="Times New Roman"/>
          <w:b/>
          <w:bCs/>
          <w:color w:val="000000"/>
          <w:sz w:val="22"/>
          <w:szCs w:val="20"/>
          <w:lang w:eastAsia="cs-CZ"/>
        </w:rPr>
      </w:pPr>
      <w:r>
        <w:br w:type="page"/>
      </w:r>
    </w:p>
    <w:p w14:paraId="4596E712" w14:textId="6E65F362" w:rsidR="008207A7" w:rsidRDefault="008207A7" w:rsidP="00694A0A">
      <w:pPr>
        <w:pStyle w:val="Titulek"/>
      </w:pPr>
      <w:r>
        <w:lastRenderedPageBreak/>
        <w:t xml:space="preserve">Obrázek </w:t>
      </w:r>
      <w:r w:rsidR="004B0591">
        <w:fldChar w:fldCharType="begin"/>
      </w:r>
      <w:r w:rsidR="004B0591">
        <w:instrText xml:space="preserve"> SEQ Obrázek \* ARABIC </w:instrText>
      </w:r>
      <w:r w:rsidR="004B0591">
        <w:fldChar w:fldCharType="separate"/>
      </w:r>
      <w:r w:rsidR="007105BE">
        <w:rPr>
          <w:noProof/>
        </w:rPr>
        <w:t>2</w:t>
      </w:r>
      <w:r w:rsidR="004B0591">
        <w:rPr>
          <w:noProof/>
        </w:rPr>
        <w:fldChar w:fldCharType="end"/>
      </w:r>
      <w:r>
        <w:t>: Integrace dotčených orgánů do státní stavební správy</w:t>
      </w:r>
    </w:p>
    <w:p w14:paraId="492B71C2" w14:textId="77777777" w:rsidR="008207A7" w:rsidRDefault="008207A7" w:rsidP="008207A7">
      <w:pPr>
        <w:pStyle w:val="Normln-tun"/>
        <w:rPr>
          <w:b/>
        </w:rPr>
      </w:pPr>
      <w:r w:rsidRPr="008F30F5">
        <w:rPr>
          <w:noProof/>
          <w:sz w:val="22"/>
          <w:lang w:eastAsia="cs-CZ"/>
        </w:rPr>
        <w:drawing>
          <wp:inline distT="0" distB="0" distL="0" distR="0" wp14:anchorId="231D7790" wp14:editId="3C8086E9">
            <wp:extent cx="5708015" cy="5562600"/>
            <wp:effectExtent l="0" t="0" r="698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10" cstate="print">
                      <a:extLst>
                        <a:ext uri="{28A0092B-C50C-407E-A947-70E740481C1C}">
                          <a14:useLocalDpi xmlns:a14="http://schemas.microsoft.com/office/drawing/2010/main" val="0"/>
                        </a:ext>
                      </a:extLst>
                    </a:blip>
                    <a:srcRect l="13319" t="452" r="13159" b="543"/>
                    <a:stretch>
                      <a:fillRect/>
                    </a:stretch>
                  </pic:blipFill>
                  <pic:spPr bwMode="auto">
                    <a:xfrm>
                      <a:off x="0" y="0"/>
                      <a:ext cx="5708015" cy="5562600"/>
                    </a:xfrm>
                    <a:prstGeom prst="rect">
                      <a:avLst/>
                    </a:prstGeom>
                    <a:noFill/>
                    <a:ln>
                      <a:noFill/>
                    </a:ln>
                  </pic:spPr>
                </pic:pic>
              </a:graphicData>
            </a:graphic>
          </wp:inline>
        </w:drawing>
      </w:r>
    </w:p>
    <w:p w14:paraId="22B7FF9D" w14:textId="77777777" w:rsidR="008207A7" w:rsidRDefault="008207A7" w:rsidP="00694A0A">
      <w:pPr>
        <w:pStyle w:val="Citt"/>
      </w:pPr>
      <w:r>
        <w:t>Zdroj: MMR</w:t>
      </w:r>
    </w:p>
    <w:p w14:paraId="07D5DF3D" w14:textId="5B9B77BB" w:rsidR="008207A7" w:rsidRDefault="008207A7" w:rsidP="008207A7">
      <w:pPr>
        <w:pStyle w:val="Titulek"/>
        <w:keepNext/>
      </w:pPr>
      <w:r>
        <w:t xml:space="preserve">Tabulka </w:t>
      </w:r>
      <w:r w:rsidR="004B0591">
        <w:fldChar w:fldCharType="begin"/>
      </w:r>
      <w:r w:rsidR="004B0591">
        <w:instrText xml:space="preserve"> SEQ Tabulka \* ARABIC </w:instrText>
      </w:r>
      <w:r w:rsidR="004B0591">
        <w:fldChar w:fldCharType="separate"/>
      </w:r>
      <w:r w:rsidR="0083191B">
        <w:rPr>
          <w:noProof/>
        </w:rPr>
        <w:t>12</w:t>
      </w:r>
      <w:r w:rsidR="004B0591">
        <w:rPr>
          <w:noProof/>
        </w:rPr>
        <w:fldChar w:fldCharType="end"/>
      </w:r>
      <w:r>
        <w:t xml:space="preserve">: </w:t>
      </w:r>
      <w:r w:rsidRPr="00862DC5">
        <w:t>Integrace dotčených orgánů do státní stavební správy</w:t>
      </w:r>
      <w:r>
        <w:t xml:space="preserve"> </w:t>
      </w:r>
    </w:p>
    <w:tbl>
      <w:tblPr>
        <w:tblW w:w="9072" w:type="dxa"/>
        <w:tblBorders>
          <w:top w:val="single" w:sz="4" w:space="0" w:color="262626"/>
          <w:bottom w:val="single" w:sz="4" w:space="0" w:color="262626"/>
        </w:tblBorders>
        <w:tblLayout w:type="fixed"/>
        <w:tblLook w:val="04A0" w:firstRow="1" w:lastRow="0" w:firstColumn="1" w:lastColumn="0" w:noHBand="0" w:noVBand="1"/>
      </w:tblPr>
      <w:tblGrid>
        <w:gridCol w:w="421"/>
        <w:gridCol w:w="2693"/>
        <w:gridCol w:w="1422"/>
        <w:gridCol w:w="1512"/>
        <w:gridCol w:w="1512"/>
        <w:gridCol w:w="1512"/>
      </w:tblGrid>
      <w:tr w:rsidR="008207A7" w:rsidRPr="00CF2EDF" w14:paraId="78BF4F62" w14:textId="77777777" w:rsidTr="00197E1E">
        <w:trPr>
          <w:trHeight w:val="20"/>
        </w:trPr>
        <w:tc>
          <w:tcPr>
            <w:tcW w:w="421" w:type="dxa"/>
            <w:tcBorders>
              <w:bottom w:val="single" w:sz="4" w:space="0" w:color="262626"/>
            </w:tcBorders>
            <w:shd w:val="clear" w:color="auto" w:fill="auto"/>
            <w:vAlign w:val="center"/>
          </w:tcPr>
          <w:p w14:paraId="32E1D94A" w14:textId="77777777" w:rsidR="008207A7" w:rsidRPr="008F30F5" w:rsidRDefault="008207A7" w:rsidP="00197E1E">
            <w:pPr>
              <w:spacing w:before="0" w:after="0"/>
              <w:jc w:val="left"/>
              <w:rPr>
                <w:rFonts w:ascii="Calibri" w:eastAsia="Times New Roman" w:hAnsi="Calibri" w:cs="Calibri"/>
                <w:color w:val="000000"/>
                <w:sz w:val="20"/>
                <w:szCs w:val="20"/>
                <w:lang w:eastAsia="cs-CZ"/>
              </w:rPr>
            </w:pPr>
          </w:p>
        </w:tc>
        <w:tc>
          <w:tcPr>
            <w:tcW w:w="2693" w:type="dxa"/>
            <w:tcBorders>
              <w:bottom w:val="single" w:sz="4" w:space="0" w:color="262626"/>
            </w:tcBorders>
            <w:shd w:val="clear" w:color="auto" w:fill="auto"/>
            <w:vAlign w:val="center"/>
            <w:hideMark/>
          </w:tcPr>
          <w:p w14:paraId="1D59B338" w14:textId="77777777" w:rsidR="008207A7" w:rsidRPr="008F30F5" w:rsidRDefault="008207A7" w:rsidP="00197E1E">
            <w:pPr>
              <w:spacing w:before="0" w:after="0"/>
              <w:jc w:val="left"/>
              <w:rPr>
                <w:rFonts w:ascii="Calibri" w:eastAsia="Times New Roman" w:hAnsi="Calibri" w:cs="Calibri"/>
                <w:b/>
                <w:bCs/>
                <w:color w:val="000000"/>
                <w:sz w:val="20"/>
                <w:szCs w:val="20"/>
                <w:lang w:eastAsia="cs-CZ"/>
              </w:rPr>
            </w:pPr>
            <w:r w:rsidRPr="008F30F5">
              <w:rPr>
                <w:rFonts w:ascii="Calibri" w:eastAsia="Times New Roman" w:hAnsi="Calibri" w:cs="Calibri"/>
                <w:b/>
                <w:bCs/>
                <w:color w:val="000000"/>
                <w:sz w:val="20"/>
                <w:szCs w:val="20"/>
                <w:lang w:eastAsia="cs-CZ"/>
              </w:rPr>
              <w:t>Oblast</w:t>
            </w:r>
          </w:p>
        </w:tc>
        <w:tc>
          <w:tcPr>
            <w:tcW w:w="1422" w:type="dxa"/>
            <w:tcBorders>
              <w:bottom w:val="single" w:sz="4" w:space="0" w:color="262626"/>
            </w:tcBorders>
            <w:shd w:val="clear" w:color="auto" w:fill="auto"/>
            <w:vAlign w:val="center"/>
          </w:tcPr>
          <w:p w14:paraId="153D1BD3" w14:textId="77777777" w:rsidR="008207A7" w:rsidRPr="008F30F5" w:rsidRDefault="008207A7" w:rsidP="00197E1E">
            <w:pPr>
              <w:spacing w:before="0" w:after="0"/>
              <w:jc w:val="center"/>
              <w:rPr>
                <w:rFonts w:ascii="Calibri" w:eastAsia="Times New Roman" w:hAnsi="Calibri" w:cs="Calibri"/>
                <w:b/>
                <w:bCs/>
                <w:color w:val="1C1C1C"/>
                <w:sz w:val="20"/>
                <w:szCs w:val="20"/>
                <w:lang w:eastAsia="cs-CZ"/>
              </w:rPr>
            </w:pPr>
            <w:r w:rsidRPr="008F30F5">
              <w:rPr>
                <w:rFonts w:ascii="Calibri" w:eastAsia="Times New Roman" w:hAnsi="Calibri" w:cs="Calibri"/>
                <w:b/>
                <w:bCs/>
                <w:color w:val="000000"/>
                <w:sz w:val="20"/>
                <w:szCs w:val="20"/>
                <w:lang w:eastAsia="cs-CZ"/>
              </w:rPr>
              <w:t>Gesce</w:t>
            </w:r>
          </w:p>
        </w:tc>
        <w:tc>
          <w:tcPr>
            <w:tcW w:w="1512" w:type="dxa"/>
            <w:tcBorders>
              <w:bottom w:val="single" w:sz="4" w:space="0" w:color="262626"/>
            </w:tcBorders>
            <w:shd w:val="clear" w:color="auto" w:fill="auto"/>
            <w:vAlign w:val="center"/>
          </w:tcPr>
          <w:p w14:paraId="64613522" w14:textId="77777777" w:rsidR="008207A7" w:rsidRPr="008F30F5" w:rsidRDefault="008207A7" w:rsidP="00197E1E">
            <w:pPr>
              <w:spacing w:before="0" w:after="0"/>
              <w:jc w:val="center"/>
              <w:rPr>
                <w:rFonts w:ascii="Calibri" w:eastAsia="Times New Roman" w:hAnsi="Calibri" w:cs="Calibri"/>
                <w:b/>
                <w:bCs/>
                <w:color w:val="000000"/>
                <w:sz w:val="20"/>
                <w:szCs w:val="20"/>
                <w:lang w:eastAsia="cs-CZ"/>
              </w:rPr>
            </w:pPr>
            <w:r w:rsidRPr="008F30F5">
              <w:rPr>
                <w:rFonts w:ascii="Calibri" w:eastAsia="Times New Roman" w:hAnsi="Calibri" w:cs="Calibri"/>
                <w:b/>
                <w:bCs/>
                <w:color w:val="1C1C1C"/>
                <w:sz w:val="20"/>
                <w:szCs w:val="20"/>
                <w:lang w:eastAsia="cs-CZ"/>
              </w:rPr>
              <w:t>Integrováno do NSÚ</w:t>
            </w:r>
          </w:p>
        </w:tc>
        <w:tc>
          <w:tcPr>
            <w:tcW w:w="1512" w:type="dxa"/>
            <w:tcBorders>
              <w:bottom w:val="single" w:sz="4" w:space="0" w:color="262626"/>
            </w:tcBorders>
            <w:shd w:val="clear" w:color="auto" w:fill="auto"/>
            <w:vAlign w:val="center"/>
          </w:tcPr>
          <w:p w14:paraId="00403E22" w14:textId="77777777" w:rsidR="008207A7" w:rsidRPr="008F30F5" w:rsidRDefault="008207A7" w:rsidP="00197E1E">
            <w:pPr>
              <w:spacing w:before="0" w:after="0"/>
              <w:jc w:val="center"/>
              <w:rPr>
                <w:rFonts w:ascii="Calibri" w:eastAsia="Times New Roman" w:hAnsi="Calibri" w:cs="Calibri"/>
                <w:b/>
                <w:bCs/>
                <w:color w:val="000000"/>
                <w:sz w:val="20"/>
                <w:szCs w:val="20"/>
                <w:lang w:eastAsia="cs-CZ"/>
              </w:rPr>
            </w:pPr>
            <w:r w:rsidRPr="008F30F5">
              <w:rPr>
                <w:rFonts w:ascii="Calibri" w:eastAsia="Times New Roman" w:hAnsi="Calibri" w:cs="Calibri"/>
                <w:b/>
                <w:bCs/>
                <w:color w:val="1C1C1C"/>
                <w:sz w:val="20"/>
                <w:szCs w:val="20"/>
                <w:lang w:eastAsia="cs-CZ"/>
              </w:rPr>
              <w:t>Částečně integrováno do NSÚ</w:t>
            </w:r>
          </w:p>
        </w:tc>
        <w:tc>
          <w:tcPr>
            <w:tcW w:w="1512" w:type="dxa"/>
            <w:tcBorders>
              <w:bottom w:val="single" w:sz="4" w:space="0" w:color="262626"/>
            </w:tcBorders>
            <w:shd w:val="clear" w:color="auto" w:fill="auto"/>
            <w:vAlign w:val="center"/>
          </w:tcPr>
          <w:p w14:paraId="3B9C5D97" w14:textId="77777777" w:rsidR="008207A7" w:rsidRPr="008F30F5" w:rsidRDefault="008207A7" w:rsidP="00197E1E">
            <w:pPr>
              <w:spacing w:before="0" w:after="0"/>
              <w:jc w:val="center"/>
              <w:rPr>
                <w:rFonts w:ascii="Calibri" w:eastAsia="Times New Roman" w:hAnsi="Calibri" w:cs="Calibri"/>
                <w:b/>
                <w:bCs/>
                <w:color w:val="000000"/>
                <w:sz w:val="20"/>
                <w:szCs w:val="20"/>
                <w:lang w:eastAsia="cs-CZ"/>
              </w:rPr>
            </w:pPr>
            <w:r w:rsidRPr="008F30F5">
              <w:rPr>
                <w:rFonts w:ascii="Calibri" w:eastAsia="Times New Roman" w:hAnsi="Calibri" w:cs="Calibri"/>
                <w:b/>
                <w:bCs/>
                <w:color w:val="1C1C1C"/>
                <w:sz w:val="20"/>
                <w:szCs w:val="20"/>
                <w:lang w:eastAsia="cs-CZ"/>
              </w:rPr>
              <w:t>Neintegrováno</w:t>
            </w:r>
          </w:p>
        </w:tc>
      </w:tr>
      <w:tr w:rsidR="008207A7" w:rsidRPr="00CF2EDF" w14:paraId="2EB5165F" w14:textId="77777777" w:rsidTr="00197E1E">
        <w:trPr>
          <w:trHeight w:val="20"/>
        </w:trPr>
        <w:tc>
          <w:tcPr>
            <w:tcW w:w="421" w:type="dxa"/>
            <w:shd w:val="clear" w:color="auto" w:fill="D3D3D3"/>
            <w:vAlign w:val="center"/>
          </w:tcPr>
          <w:p w14:paraId="5E554F8C"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w:t>
            </w:r>
          </w:p>
        </w:tc>
        <w:tc>
          <w:tcPr>
            <w:tcW w:w="2693" w:type="dxa"/>
            <w:shd w:val="clear" w:color="auto" w:fill="D3D3D3"/>
            <w:noWrap/>
            <w:vAlign w:val="center"/>
          </w:tcPr>
          <w:p w14:paraId="09D98BE6"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Ochrana zdraví</w:t>
            </w:r>
          </w:p>
        </w:tc>
        <w:tc>
          <w:tcPr>
            <w:tcW w:w="1422" w:type="dxa"/>
            <w:shd w:val="clear" w:color="auto" w:fill="D3D3D3"/>
            <w:vAlign w:val="center"/>
          </w:tcPr>
          <w:p w14:paraId="79D8A87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MZdr</w:t>
            </w:r>
          </w:p>
        </w:tc>
        <w:tc>
          <w:tcPr>
            <w:tcW w:w="1512" w:type="dxa"/>
            <w:shd w:val="clear" w:color="auto" w:fill="D3D3D3"/>
            <w:vAlign w:val="center"/>
          </w:tcPr>
          <w:p w14:paraId="07C3694C" w14:textId="77777777" w:rsidR="008207A7" w:rsidRPr="008F30F5" w:rsidRDefault="008207A7" w:rsidP="00613EB8">
            <w:pPr>
              <w:pStyle w:val="Odstavecseseznamem"/>
              <w:numPr>
                <w:ilvl w:val="0"/>
                <w:numId w:val="71"/>
              </w:numPr>
              <w:spacing w:before="0" w:after="0"/>
              <w:ind w:hanging="462"/>
              <w:jc w:val="center"/>
              <w:rPr>
                <w:rFonts w:ascii="Calibri" w:eastAsia="Times New Roman" w:hAnsi="Calibri" w:cs="Calibri"/>
                <w:color w:val="1C1C1C"/>
                <w:sz w:val="20"/>
                <w:szCs w:val="20"/>
                <w:lang w:eastAsia="cs-CZ"/>
              </w:rPr>
            </w:pPr>
          </w:p>
        </w:tc>
        <w:tc>
          <w:tcPr>
            <w:tcW w:w="1512" w:type="dxa"/>
            <w:shd w:val="clear" w:color="auto" w:fill="D3D3D3"/>
            <w:vAlign w:val="center"/>
          </w:tcPr>
          <w:p w14:paraId="6EAB4586" w14:textId="77777777" w:rsidR="008207A7" w:rsidRPr="008F30F5" w:rsidRDefault="008207A7" w:rsidP="00197E1E">
            <w:pPr>
              <w:pStyle w:val="Odstavecseseznamem"/>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3B97195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1BAC1690" w14:textId="77777777" w:rsidTr="00197E1E">
        <w:trPr>
          <w:trHeight w:val="20"/>
        </w:trPr>
        <w:tc>
          <w:tcPr>
            <w:tcW w:w="421" w:type="dxa"/>
            <w:shd w:val="clear" w:color="auto" w:fill="auto"/>
            <w:vAlign w:val="center"/>
          </w:tcPr>
          <w:p w14:paraId="74281193"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w:t>
            </w:r>
          </w:p>
        </w:tc>
        <w:tc>
          <w:tcPr>
            <w:tcW w:w="2693" w:type="dxa"/>
            <w:shd w:val="clear" w:color="auto" w:fill="auto"/>
            <w:noWrap/>
            <w:vAlign w:val="center"/>
          </w:tcPr>
          <w:p w14:paraId="4037372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Urychlení výstavby</w:t>
            </w:r>
          </w:p>
        </w:tc>
        <w:tc>
          <w:tcPr>
            <w:tcW w:w="1422" w:type="dxa"/>
            <w:shd w:val="clear" w:color="auto" w:fill="auto"/>
            <w:vAlign w:val="center"/>
          </w:tcPr>
          <w:p w14:paraId="214BABA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MPO</w:t>
            </w:r>
          </w:p>
        </w:tc>
        <w:tc>
          <w:tcPr>
            <w:tcW w:w="1512" w:type="dxa"/>
            <w:shd w:val="clear" w:color="auto" w:fill="auto"/>
            <w:vAlign w:val="center"/>
          </w:tcPr>
          <w:p w14:paraId="6F0539B9" w14:textId="77777777" w:rsidR="008207A7" w:rsidRPr="008F30F5" w:rsidRDefault="008207A7" w:rsidP="00613EB8">
            <w:pPr>
              <w:pStyle w:val="Odstavecseseznamem"/>
              <w:numPr>
                <w:ilvl w:val="0"/>
                <w:numId w:val="71"/>
              </w:numPr>
              <w:spacing w:before="0" w:after="0"/>
              <w:ind w:hanging="462"/>
              <w:jc w:val="center"/>
              <w:rPr>
                <w:rFonts w:ascii="Calibri" w:eastAsia="Times New Roman" w:hAnsi="Calibri" w:cs="Calibri"/>
                <w:color w:val="1C1C1C"/>
                <w:sz w:val="20"/>
                <w:szCs w:val="20"/>
                <w:lang w:eastAsia="cs-CZ"/>
              </w:rPr>
            </w:pPr>
          </w:p>
        </w:tc>
        <w:tc>
          <w:tcPr>
            <w:tcW w:w="1512" w:type="dxa"/>
            <w:shd w:val="clear" w:color="auto" w:fill="auto"/>
            <w:vAlign w:val="center"/>
          </w:tcPr>
          <w:p w14:paraId="36846B6A" w14:textId="77777777" w:rsidR="008207A7" w:rsidRPr="008F30F5" w:rsidRDefault="008207A7" w:rsidP="00197E1E">
            <w:pPr>
              <w:pStyle w:val="Odstavecseseznamem"/>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1119891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5E110119" w14:textId="77777777" w:rsidTr="00197E1E">
        <w:trPr>
          <w:trHeight w:val="20"/>
        </w:trPr>
        <w:tc>
          <w:tcPr>
            <w:tcW w:w="421" w:type="dxa"/>
            <w:shd w:val="clear" w:color="auto" w:fill="D3D3D3"/>
            <w:vAlign w:val="center"/>
          </w:tcPr>
          <w:p w14:paraId="33EA4D6F"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w:t>
            </w:r>
          </w:p>
        </w:tc>
        <w:tc>
          <w:tcPr>
            <w:tcW w:w="2693" w:type="dxa"/>
            <w:shd w:val="clear" w:color="auto" w:fill="D3D3D3"/>
            <w:noWrap/>
            <w:vAlign w:val="center"/>
          </w:tcPr>
          <w:p w14:paraId="3EA95ADD"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Urychlení výstavby</w:t>
            </w:r>
          </w:p>
        </w:tc>
        <w:tc>
          <w:tcPr>
            <w:tcW w:w="1422" w:type="dxa"/>
            <w:shd w:val="clear" w:color="auto" w:fill="D3D3D3"/>
            <w:vAlign w:val="center"/>
          </w:tcPr>
          <w:p w14:paraId="020FAB5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MD</w:t>
            </w:r>
          </w:p>
        </w:tc>
        <w:tc>
          <w:tcPr>
            <w:tcW w:w="1512" w:type="dxa"/>
            <w:shd w:val="clear" w:color="auto" w:fill="D3D3D3"/>
            <w:vAlign w:val="center"/>
          </w:tcPr>
          <w:p w14:paraId="2E2C5D3B" w14:textId="77777777" w:rsidR="008207A7" w:rsidRPr="008F30F5" w:rsidRDefault="008207A7" w:rsidP="00613EB8">
            <w:pPr>
              <w:pStyle w:val="Odstavecseseznamem"/>
              <w:numPr>
                <w:ilvl w:val="0"/>
                <w:numId w:val="71"/>
              </w:numPr>
              <w:spacing w:before="0" w:after="0"/>
              <w:ind w:hanging="462"/>
              <w:jc w:val="center"/>
              <w:rPr>
                <w:rFonts w:ascii="Calibri" w:eastAsia="Times New Roman" w:hAnsi="Calibri" w:cs="Calibri"/>
                <w:color w:val="1C1C1C"/>
                <w:sz w:val="20"/>
                <w:szCs w:val="20"/>
                <w:lang w:eastAsia="cs-CZ"/>
              </w:rPr>
            </w:pPr>
          </w:p>
        </w:tc>
        <w:tc>
          <w:tcPr>
            <w:tcW w:w="1512" w:type="dxa"/>
            <w:shd w:val="clear" w:color="auto" w:fill="D3D3D3"/>
            <w:vAlign w:val="center"/>
          </w:tcPr>
          <w:p w14:paraId="77015E40" w14:textId="77777777" w:rsidR="008207A7" w:rsidRPr="008F30F5" w:rsidRDefault="008207A7" w:rsidP="00197E1E">
            <w:pPr>
              <w:pStyle w:val="Odstavecseseznamem"/>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A89A87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554D1FE8" w14:textId="77777777" w:rsidTr="00197E1E">
        <w:trPr>
          <w:trHeight w:val="20"/>
        </w:trPr>
        <w:tc>
          <w:tcPr>
            <w:tcW w:w="421" w:type="dxa"/>
            <w:shd w:val="clear" w:color="auto" w:fill="auto"/>
            <w:vAlign w:val="center"/>
          </w:tcPr>
          <w:p w14:paraId="4D63FF70"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4</w:t>
            </w:r>
          </w:p>
        </w:tc>
        <w:tc>
          <w:tcPr>
            <w:tcW w:w="2693" w:type="dxa"/>
            <w:shd w:val="clear" w:color="auto" w:fill="auto"/>
            <w:noWrap/>
            <w:vAlign w:val="center"/>
          </w:tcPr>
          <w:p w14:paraId="104B3FF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Dráhy</w:t>
            </w:r>
          </w:p>
        </w:tc>
        <w:tc>
          <w:tcPr>
            <w:tcW w:w="1422" w:type="dxa"/>
            <w:shd w:val="clear" w:color="auto" w:fill="auto"/>
            <w:vAlign w:val="center"/>
          </w:tcPr>
          <w:p w14:paraId="31E2674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MD</w:t>
            </w:r>
          </w:p>
        </w:tc>
        <w:tc>
          <w:tcPr>
            <w:tcW w:w="1512" w:type="dxa"/>
            <w:shd w:val="clear" w:color="auto" w:fill="auto"/>
            <w:vAlign w:val="center"/>
          </w:tcPr>
          <w:p w14:paraId="55A132F6" w14:textId="77777777" w:rsidR="008207A7" w:rsidRPr="008F30F5" w:rsidRDefault="008207A7" w:rsidP="00613EB8">
            <w:pPr>
              <w:pStyle w:val="Odstavecseseznamem"/>
              <w:numPr>
                <w:ilvl w:val="0"/>
                <w:numId w:val="71"/>
              </w:numPr>
              <w:spacing w:before="0" w:after="0"/>
              <w:ind w:hanging="462"/>
              <w:jc w:val="center"/>
              <w:rPr>
                <w:rFonts w:ascii="Calibri" w:eastAsia="Times New Roman" w:hAnsi="Calibri" w:cs="Calibri"/>
                <w:color w:val="1C1C1C"/>
                <w:sz w:val="20"/>
                <w:szCs w:val="20"/>
                <w:lang w:eastAsia="cs-CZ"/>
              </w:rPr>
            </w:pPr>
          </w:p>
        </w:tc>
        <w:tc>
          <w:tcPr>
            <w:tcW w:w="1512" w:type="dxa"/>
            <w:shd w:val="clear" w:color="auto" w:fill="auto"/>
            <w:vAlign w:val="center"/>
          </w:tcPr>
          <w:p w14:paraId="242CE03C" w14:textId="77777777" w:rsidR="008207A7" w:rsidRPr="008F30F5" w:rsidRDefault="008207A7" w:rsidP="00197E1E">
            <w:pPr>
              <w:pStyle w:val="Odstavecseseznamem"/>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68A3219B"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D9D6187" w14:textId="77777777" w:rsidTr="00197E1E">
        <w:trPr>
          <w:trHeight w:val="20"/>
        </w:trPr>
        <w:tc>
          <w:tcPr>
            <w:tcW w:w="421" w:type="dxa"/>
            <w:shd w:val="clear" w:color="auto" w:fill="D3D3D3"/>
            <w:vAlign w:val="center"/>
          </w:tcPr>
          <w:p w14:paraId="0ACDF701"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5</w:t>
            </w:r>
          </w:p>
        </w:tc>
        <w:tc>
          <w:tcPr>
            <w:tcW w:w="2693" w:type="dxa"/>
            <w:shd w:val="clear" w:color="auto" w:fill="D3D3D3"/>
            <w:noWrap/>
            <w:vAlign w:val="center"/>
          </w:tcPr>
          <w:p w14:paraId="1A898E2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Posuzování vlivů na ŽP</w:t>
            </w:r>
          </w:p>
        </w:tc>
        <w:tc>
          <w:tcPr>
            <w:tcW w:w="1422" w:type="dxa"/>
            <w:shd w:val="clear" w:color="auto" w:fill="D3D3D3"/>
            <w:vAlign w:val="center"/>
          </w:tcPr>
          <w:p w14:paraId="2A1FF94A"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D3D3D3"/>
            <w:vAlign w:val="center"/>
          </w:tcPr>
          <w:p w14:paraId="27AB546A" w14:textId="77777777" w:rsidR="008207A7" w:rsidRPr="008F30F5" w:rsidRDefault="008207A7" w:rsidP="00613EB8">
            <w:pPr>
              <w:pStyle w:val="Odstavecseseznamem"/>
              <w:numPr>
                <w:ilvl w:val="0"/>
                <w:numId w:val="71"/>
              </w:numPr>
              <w:spacing w:before="0" w:after="0"/>
              <w:ind w:hanging="462"/>
              <w:jc w:val="center"/>
              <w:rPr>
                <w:rFonts w:ascii="Calibri" w:eastAsia="Times New Roman" w:hAnsi="Calibri" w:cs="Calibri"/>
                <w:color w:val="1C1C1C"/>
                <w:sz w:val="20"/>
                <w:szCs w:val="20"/>
                <w:lang w:eastAsia="cs-CZ"/>
              </w:rPr>
            </w:pPr>
          </w:p>
        </w:tc>
        <w:tc>
          <w:tcPr>
            <w:tcW w:w="1512" w:type="dxa"/>
            <w:shd w:val="clear" w:color="auto" w:fill="D3D3D3"/>
            <w:vAlign w:val="center"/>
          </w:tcPr>
          <w:p w14:paraId="72D239C0" w14:textId="77777777" w:rsidR="008207A7" w:rsidRPr="008F30F5" w:rsidRDefault="008207A7" w:rsidP="00197E1E">
            <w:pPr>
              <w:pStyle w:val="Odstavecseseznamem"/>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5FE7363"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2F20A825" w14:textId="77777777" w:rsidTr="00197E1E">
        <w:trPr>
          <w:trHeight w:val="20"/>
        </w:trPr>
        <w:tc>
          <w:tcPr>
            <w:tcW w:w="421" w:type="dxa"/>
            <w:shd w:val="clear" w:color="auto" w:fill="auto"/>
            <w:vAlign w:val="center"/>
          </w:tcPr>
          <w:p w14:paraId="69B3333C"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6</w:t>
            </w:r>
          </w:p>
        </w:tc>
        <w:tc>
          <w:tcPr>
            <w:tcW w:w="2693" w:type="dxa"/>
            <w:shd w:val="clear" w:color="auto" w:fill="auto"/>
            <w:noWrap/>
            <w:vAlign w:val="center"/>
            <w:hideMark/>
          </w:tcPr>
          <w:p w14:paraId="1AC171A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Pohřebnictví</w:t>
            </w:r>
          </w:p>
        </w:tc>
        <w:tc>
          <w:tcPr>
            <w:tcW w:w="1422" w:type="dxa"/>
            <w:shd w:val="clear" w:color="auto" w:fill="auto"/>
            <w:vAlign w:val="center"/>
          </w:tcPr>
          <w:p w14:paraId="0A32840B"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MMR</w:t>
            </w:r>
          </w:p>
        </w:tc>
        <w:tc>
          <w:tcPr>
            <w:tcW w:w="1512" w:type="dxa"/>
            <w:shd w:val="clear" w:color="auto" w:fill="auto"/>
            <w:vAlign w:val="center"/>
          </w:tcPr>
          <w:p w14:paraId="4F00421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57F40049"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46BBD67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45AAF37A" w14:textId="77777777" w:rsidTr="00197E1E">
        <w:trPr>
          <w:trHeight w:val="20"/>
        </w:trPr>
        <w:tc>
          <w:tcPr>
            <w:tcW w:w="421" w:type="dxa"/>
            <w:shd w:val="clear" w:color="auto" w:fill="D3D3D3"/>
            <w:vAlign w:val="center"/>
          </w:tcPr>
          <w:p w14:paraId="12DF5D66"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7</w:t>
            </w:r>
          </w:p>
        </w:tc>
        <w:tc>
          <w:tcPr>
            <w:tcW w:w="2693" w:type="dxa"/>
            <w:shd w:val="clear" w:color="auto" w:fill="D3D3D3"/>
            <w:noWrap/>
            <w:vAlign w:val="center"/>
            <w:hideMark/>
          </w:tcPr>
          <w:p w14:paraId="1E0ED03F"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Atomový zákon</w:t>
            </w:r>
          </w:p>
        </w:tc>
        <w:tc>
          <w:tcPr>
            <w:tcW w:w="1422" w:type="dxa"/>
            <w:shd w:val="clear" w:color="auto" w:fill="D3D3D3"/>
            <w:vAlign w:val="center"/>
          </w:tcPr>
          <w:p w14:paraId="3957D196"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SÚJB</w:t>
            </w:r>
          </w:p>
        </w:tc>
        <w:tc>
          <w:tcPr>
            <w:tcW w:w="1512" w:type="dxa"/>
            <w:shd w:val="clear" w:color="auto" w:fill="D3D3D3"/>
            <w:vAlign w:val="center"/>
          </w:tcPr>
          <w:p w14:paraId="79103304" w14:textId="77777777" w:rsidR="008207A7" w:rsidRPr="008F30F5" w:rsidRDefault="008207A7" w:rsidP="00197E1E">
            <w:pPr>
              <w:spacing w:before="0" w:after="0"/>
              <w:ind w:left="360"/>
              <w:jc w:val="center"/>
              <w:rPr>
                <w:rFonts w:ascii="Calibri" w:eastAsia="Times New Roman" w:hAnsi="Calibri" w:cs="Calibri"/>
                <w:color w:val="1C1C1C"/>
                <w:sz w:val="20"/>
                <w:szCs w:val="20"/>
                <w:lang w:eastAsia="cs-CZ"/>
              </w:rPr>
            </w:pPr>
          </w:p>
        </w:tc>
        <w:tc>
          <w:tcPr>
            <w:tcW w:w="1512" w:type="dxa"/>
            <w:shd w:val="clear" w:color="auto" w:fill="D3D3D3"/>
            <w:vAlign w:val="center"/>
          </w:tcPr>
          <w:p w14:paraId="7D822440"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04B59893"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23E6F040" w14:textId="77777777" w:rsidTr="00197E1E">
        <w:trPr>
          <w:trHeight w:val="20"/>
        </w:trPr>
        <w:tc>
          <w:tcPr>
            <w:tcW w:w="421" w:type="dxa"/>
            <w:shd w:val="clear" w:color="auto" w:fill="auto"/>
            <w:vAlign w:val="center"/>
          </w:tcPr>
          <w:p w14:paraId="4A4B7260"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8</w:t>
            </w:r>
          </w:p>
        </w:tc>
        <w:tc>
          <w:tcPr>
            <w:tcW w:w="2693" w:type="dxa"/>
            <w:shd w:val="clear" w:color="auto" w:fill="auto"/>
            <w:noWrap/>
            <w:vAlign w:val="center"/>
            <w:hideMark/>
          </w:tcPr>
          <w:p w14:paraId="4B6FABA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Lázeňský zákon</w:t>
            </w:r>
          </w:p>
        </w:tc>
        <w:tc>
          <w:tcPr>
            <w:tcW w:w="1422" w:type="dxa"/>
            <w:shd w:val="clear" w:color="auto" w:fill="auto"/>
            <w:vAlign w:val="center"/>
          </w:tcPr>
          <w:p w14:paraId="1619439F"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MZdr</w:t>
            </w:r>
          </w:p>
        </w:tc>
        <w:tc>
          <w:tcPr>
            <w:tcW w:w="1512" w:type="dxa"/>
            <w:shd w:val="clear" w:color="auto" w:fill="auto"/>
            <w:vAlign w:val="center"/>
          </w:tcPr>
          <w:p w14:paraId="6243DA5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601C228E"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32669174"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69333978" w14:textId="77777777" w:rsidTr="00197E1E">
        <w:trPr>
          <w:trHeight w:val="20"/>
        </w:trPr>
        <w:tc>
          <w:tcPr>
            <w:tcW w:w="421" w:type="dxa"/>
            <w:shd w:val="clear" w:color="auto" w:fill="D3D3D3"/>
            <w:vAlign w:val="center"/>
          </w:tcPr>
          <w:p w14:paraId="6D9B8A4F"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9</w:t>
            </w:r>
          </w:p>
        </w:tc>
        <w:tc>
          <w:tcPr>
            <w:tcW w:w="2693" w:type="dxa"/>
            <w:shd w:val="clear" w:color="auto" w:fill="D3D3D3"/>
            <w:noWrap/>
            <w:vAlign w:val="center"/>
            <w:hideMark/>
          </w:tcPr>
          <w:p w14:paraId="0315E85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Památková péče</w:t>
            </w:r>
          </w:p>
        </w:tc>
        <w:tc>
          <w:tcPr>
            <w:tcW w:w="1422" w:type="dxa"/>
            <w:shd w:val="clear" w:color="auto" w:fill="D3D3D3"/>
            <w:vAlign w:val="center"/>
          </w:tcPr>
          <w:p w14:paraId="7A7F4451"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MK</w:t>
            </w:r>
          </w:p>
        </w:tc>
        <w:tc>
          <w:tcPr>
            <w:tcW w:w="1512" w:type="dxa"/>
            <w:shd w:val="clear" w:color="auto" w:fill="D3D3D3"/>
            <w:vAlign w:val="center"/>
          </w:tcPr>
          <w:p w14:paraId="7F6CDB26"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E203E2A"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05FD8064"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F57CD67" w14:textId="77777777" w:rsidTr="00197E1E">
        <w:trPr>
          <w:trHeight w:val="20"/>
        </w:trPr>
        <w:tc>
          <w:tcPr>
            <w:tcW w:w="421" w:type="dxa"/>
            <w:shd w:val="clear" w:color="auto" w:fill="auto"/>
            <w:vAlign w:val="center"/>
          </w:tcPr>
          <w:p w14:paraId="6D3092D3"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10</w:t>
            </w:r>
          </w:p>
        </w:tc>
        <w:tc>
          <w:tcPr>
            <w:tcW w:w="2693" w:type="dxa"/>
            <w:shd w:val="clear" w:color="auto" w:fill="auto"/>
            <w:noWrap/>
            <w:vAlign w:val="center"/>
            <w:hideMark/>
          </w:tcPr>
          <w:p w14:paraId="7B7D8782"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Hornické činnosti</w:t>
            </w:r>
          </w:p>
        </w:tc>
        <w:tc>
          <w:tcPr>
            <w:tcW w:w="1422" w:type="dxa"/>
            <w:shd w:val="clear" w:color="auto" w:fill="auto"/>
            <w:vAlign w:val="center"/>
          </w:tcPr>
          <w:p w14:paraId="19C484EF"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ČBÚ</w:t>
            </w:r>
          </w:p>
        </w:tc>
        <w:tc>
          <w:tcPr>
            <w:tcW w:w="1512" w:type="dxa"/>
            <w:shd w:val="clear" w:color="auto" w:fill="auto"/>
            <w:vAlign w:val="center"/>
          </w:tcPr>
          <w:p w14:paraId="232C7E4C"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7CF5E94C"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0103F19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771F610F" w14:textId="77777777" w:rsidTr="00197E1E">
        <w:trPr>
          <w:trHeight w:val="20"/>
        </w:trPr>
        <w:tc>
          <w:tcPr>
            <w:tcW w:w="421" w:type="dxa"/>
            <w:shd w:val="clear" w:color="auto" w:fill="D3D3D3"/>
            <w:vAlign w:val="center"/>
          </w:tcPr>
          <w:p w14:paraId="366FADF4"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lastRenderedPageBreak/>
              <w:t>11</w:t>
            </w:r>
          </w:p>
        </w:tc>
        <w:tc>
          <w:tcPr>
            <w:tcW w:w="2693" w:type="dxa"/>
            <w:shd w:val="clear" w:color="auto" w:fill="D3D3D3"/>
            <w:noWrap/>
            <w:vAlign w:val="center"/>
            <w:hideMark/>
          </w:tcPr>
          <w:p w14:paraId="75713E32"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Horní zákon</w:t>
            </w:r>
          </w:p>
        </w:tc>
        <w:tc>
          <w:tcPr>
            <w:tcW w:w="1422" w:type="dxa"/>
            <w:shd w:val="clear" w:color="auto" w:fill="D3D3D3"/>
            <w:vAlign w:val="center"/>
          </w:tcPr>
          <w:p w14:paraId="146BF083"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ČBÚ</w:t>
            </w:r>
          </w:p>
        </w:tc>
        <w:tc>
          <w:tcPr>
            <w:tcW w:w="1512" w:type="dxa"/>
            <w:shd w:val="clear" w:color="auto" w:fill="D3D3D3"/>
            <w:vAlign w:val="center"/>
          </w:tcPr>
          <w:p w14:paraId="0BF69E3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F218366"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13BA8F7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29F216C8" w14:textId="77777777" w:rsidTr="00197E1E">
        <w:trPr>
          <w:trHeight w:val="20"/>
        </w:trPr>
        <w:tc>
          <w:tcPr>
            <w:tcW w:w="421" w:type="dxa"/>
            <w:shd w:val="clear" w:color="auto" w:fill="auto"/>
            <w:vAlign w:val="center"/>
          </w:tcPr>
          <w:p w14:paraId="09DB7490"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12</w:t>
            </w:r>
          </w:p>
        </w:tc>
        <w:tc>
          <w:tcPr>
            <w:tcW w:w="2693" w:type="dxa"/>
            <w:shd w:val="clear" w:color="auto" w:fill="auto"/>
            <w:noWrap/>
            <w:vAlign w:val="center"/>
            <w:hideMark/>
          </w:tcPr>
          <w:p w14:paraId="43137262"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Těžební odpad</w:t>
            </w:r>
          </w:p>
        </w:tc>
        <w:tc>
          <w:tcPr>
            <w:tcW w:w="1422" w:type="dxa"/>
            <w:shd w:val="clear" w:color="auto" w:fill="auto"/>
            <w:vAlign w:val="center"/>
          </w:tcPr>
          <w:p w14:paraId="5C17EAA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ČBÚ</w:t>
            </w:r>
          </w:p>
        </w:tc>
        <w:tc>
          <w:tcPr>
            <w:tcW w:w="1512" w:type="dxa"/>
            <w:shd w:val="clear" w:color="auto" w:fill="auto"/>
            <w:vAlign w:val="center"/>
          </w:tcPr>
          <w:p w14:paraId="1C92B6DB"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437DB864"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49179D1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7019EB8F" w14:textId="77777777" w:rsidTr="00197E1E">
        <w:trPr>
          <w:trHeight w:val="20"/>
        </w:trPr>
        <w:tc>
          <w:tcPr>
            <w:tcW w:w="421" w:type="dxa"/>
            <w:shd w:val="clear" w:color="auto" w:fill="D3D3D3"/>
            <w:vAlign w:val="center"/>
          </w:tcPr>
          <w:p w14:paraId="4760BC90"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13</w:t>
            </w:r>
          </w:p>
        </w:tc>
        <w:tc>
          <w:tcPr>
            <w:tcW w:w="2693" w:type="dxa"/>
            <w:shd w:val="clear" w:color="auto" w:fill="D3D3D3"/>
            <w:vAlign w:val="center"/>
            <w:hideMark/>
          </w:tcPr>
          <w:p w14:paraId="652ECC35"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Civilní letectví</w:t>
            </w:r>
          </w:p>
        </w:tc>
        <w:tc>
          <w:tcPr>
            <w:tcW w:w="1422" w:type="dxa"/>
            <w:shd w:val="clear" w:color="auto" w:fill="D3D3D3"/>
            <w:vAlign w:val="center"/>
          </w:tcPr>
          <w:p w14:paraId="4F5CFCA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MD</w:t>
            </w:r>
          </w:p>
        </w:tc>
        <w:tc>
          <w:tcPr>
            <w:tcW w:w="1512" w:type="dxa"/>
            <w:shd w:val="clear" w:color="auto" w:fill="D3D3D3"/>
            <w:vAlign w:val="center"/>
          </w:tcPr>
          <w:p w14:paraId="3D56302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2E81D73B"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462AB97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575D8301" w14:textId="77777777" w:rsidTr="00197E1E">
        <w:trPr>
          <w:trHeight w:val="20"/>
        </w:trPr>
        <w:tc>
          <w:tcPr>
            <w:tcW w:w="421" w:type="dxa"/>
            <w:shd w:val="clear" w:color="auto" w:fill="auto"/>
            <w:vAlign w:val="center"/>
          </w:tcPr>
          <w:p w14:paraId="2D6ECB48"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14</w:t>
            </w:r>
          </w:p>
        </w:tc>
        <w:tc>
          <w:tcPr>
            <w:tcW w:w="2693" w:type="dxa"/>
            <w:shd w:val="clear" w:color="auto" w:fill="auto"/>
            <w:noWrap/>
            <w:vAlign w:val="center"/>
            <w:hideMark/>
          </w:tcPr>
          <w:p w14:paraId="0E79463A"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Pozemní komunikace</w:t>
            </w:r>
          </w:p>
        </w:tc>
        <w:tc>
          <w:tcPr>
            <w:tcW w:w="1422" w:type="dxa"/>
            <w:shd w:val="clear" w:color="auto" w:fill="auto"/>
            <w:vAlign w:val="center"/>
          </w:tcPr>
          <w:p w14:paraId="5D87D3F8"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MD</w:t>
            </w:r>
          </w:p>
        </w:tc>
        <w:tc>
          <w:tcPr>
            <w:tcW w:w="1512" w:type="dxa"/>
            <w:shd w:val="clear" w:color="auto" w:fill="auto"/>
            <w:vAlign w:val="center"/>
          </w:tcPr>
          <w:p w14:paraId="3EDBB413"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0D9814B9"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1E5FAC3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2D5DAE9D" w14:textId="77777777" w:rsidTr="00197E1E">
        <w:trPr>
          <w:trHeight w:val="20"/>
        </w:trPr>
        <w:tc>
          <w:tcPr>
            <w:tcW w:w="421" w:type="dxa"/>
            <w:shd w:val="clear" w:color="auto" w:fill="D3D3D3"/>
            <w:vAlign w:val="center"/>
          </w:tcPr>
          <w:p w14:paraId="3977A7D6"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15</w:t>
            </w:r>
          </w:p>
        </w:tc>
        <w:tc>
          <w:tcPr>
            <w:tcW w:w="2693" w:type="dxa"/>
            <w:shd w:val="clear" w:color="auto" w:fill="D3D3D3"/>
            <w:noWrap/>
            <w:vAlign w:val="center"/>
            <w:hideMark/>
          </w:tcPr>
          <w:p w14:paraId="3E6E9ADA"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Závažné havárie</w:t>
            </w:r>
          </w:p>
        </w:tc>
        <w:tc>
          <w:tcPr>
            <w:tcW w:w="1422" w:type="dxa"/>
            <w:shd w:val="clear" w:color="auto" w:fill="D3D3D3"/>
            <w:vAlign w:val="center"/>
          </w:tcPr>
          <w:p w14:paraId="34377C6E"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MV</w:t>
            </w:r>
          </w:p>
        </w:tc>
        <w:tc>
          <w:tcPr>
            <w:tcW w:w="1512" w:type="dxa"/>
            <w:shd w:val="clear" w:color="auto" w:fill="D3D3D3"/>
            <w:vAlign w:val="center"/>
          </w:tcPr>
          <w:p w14:paraId="4FAD5CA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48C77011"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2623256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34642911" w14:textId="77777777" w:rsidTr="00197E1E">
        <w:trPr>
          <w:trHeight w:val="20"/>
        </w:trPr>
        <w:tc>
          <w:tcPr>
            <w:tcW w:w="421" w:type="dxa"/>
            <w:shd w:val="clear" w:color="auto" w:fill="auto"/>
            <w:vAlign w:val="center"/>
          </w:tcPr>
          <w:p w14:paraId="7E009599"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16</w:t>
            </w:r>
          </w:p>
        </w:tc>
        <w:tc>
          <w:tcPr>
            <w:tcW w:w="2693" w:type="dxa"/>
            <w:shd w:val="clear" w:color="auto" w:fill="auto"/>
            <w:noWrap/>
            <w:vAlign w:val="center"/>
          </w:tcPr>
          <w:p w14:paraId="7778033E"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Vodovody a kanalizace</w:t>
            </w:r>
          </w:p>
        </w:tc>
        <w:tc>
          <w:tcPr>
            <w:tcW w:w="1422" w:type="dxa"/>
            <w:shd w:val="clear" w:color="auto" w:fill="auto"/>
            <w:vAlign w:val="center"/>
          </w:tcPr>
          <w:p w14:paraId="52215AAF"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auto"/>
            <w:vAlign w:val="center"/>
          </w:tcPr>
          <w:p w14:paraId="64A0BA79"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051E9811"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01BC6B1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76A1D81" w14:textId="77777777" w:rsidTr="00197E1E">
        <w:trPr>
          <w:trHeight w:val="20"/>
        </w:trPr>
        <w:tc>
          <w:tcPr>
            <w:tcW w:w="421" w:type="dxa"/>
            <w:shd w:val="clear" w:color="auto" w:fill="D3D3D3"/>
            <w:vAlign w:val="center"/>
          </w:tcPr>
          <w:p w14:paraId="01884C5F"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17</w:t>
            </w:r>
          </w:p>
        </w:tc>
        <w:tc>
          <w:tcPr>
            <w:tcW w:w="2693" w:type="dxa"/>
            <w:shd w:val="clear" w:color="auto" w:fill="D3D3D3"/>
            <w:noWrap/>
            <w:vAlign w:val="center"/>
          </w:tcPr>
          <w:p w14:paraId="64E67EC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Lesní zákon</w:t>
            </w:r>
          </w:p>
        </w:tc>
        <w:tc>
          <w:tcPr>
            <w:tcW w:w="1422" w:type="dxa"/>
            <w:shd w:val="clear" w:color="auto" w:fill="D3D3D3"/>
            <w:vAlign w:val="center"/>
          </w:tcPr>
          <w:p w14:paraId="799B515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D3D3D3"/>
            <w:vAlign w:val="center"/>
          </w:tcPr>
          <w:p w14:paraId="568C7E3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66D34837"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52865B5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44B89594" w14:textId="77777777" w:rsidTr="00197E1E">
        <w:trPr>
          <w:trHeight w:val="20"/>
        </w:trPr>
        <w:tc>
          <w:tcPr>
            <w:tcW w:w="421" w:type="dxa"/>
            <w:shd w:val="clear" w:color="auto" w:fill="auto"/>
            <w:vAlign w:val="center"/>
          </w:tcPr>
          <w:p w14:paraId="0CFA80A2"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18</w:t>
            </w:r>
          </w:p>
        </w:tc>
        <w:tc>
          <w:tcPr>
            <w:tcW w:w="2693" w:type="dxa"/>
            <w:shd w:val="clear" w:color="auto" w:fill="auto"/>
            <w:noWrap/>
            <w:vAlign w:val="center"/>
          </w:tcPr>
          <w:p w14:paraId="0125851F"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Vodní zákon</w:t>
            </w:r>
          </w:p>
        </w:tc>
        <w:tc>
          <w:tcPr>
            <w:tcW w:w="1422" w:type="dxa"/>
            <w:shd w:val="clear" w:color="auto" w:fill="auto"/>
            <w:vAlign w:val="center"/>
          </w:tcPr>
          <w:p w14:paraId="1770A791"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auto"/>
            <w:vAlign w:val="center"/>
          </w:tcPr>
          <w:p w14:paraId="57D92D1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41A367F1"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34D75A86"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3DCE9BEA" w14:textId="77777777" w:rsidTr="00197E1E">
        <w:trPr>
          <w:trHeight w:val="20"/>
        </w:trPr>
        <w:tc>
          <w:tcPr>
            <w:tcW w:w="421" w:type="dxa"/>
            <w:shd w:val="clear" w:color="auto" w:fill="D3D3D3"/>
            <w:vAlign w:val="center"/>
          </w:tcPr>
          <w:p w14:paraId="784F32DE"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19</w:t>
            </w:r>
          </w:p>
        </w:tc>
        <w:tc>
          <w:tcPr>
            <w:tcW w:w="2693" w:type="dxa"/>
            <w:shd w:val="clear" w:color="auto" w:fill="D3D3D3"/>
            <w:noWrap/>
            <w:vAlign w:val="center"/>
          </w:tcPr>
          <w:p w14:paraId="115F624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Vodní zákon</w:t>
            </w:r>
          </w:p>
        </w:tc>
        <w:tc>
          <w:tcPr>
            <w:tcW w:w="1422" w:type="dxa"/>
            <w:shd w:val="clear" w:color="auto" w:fill="D3D3D3"/>
            <w:vAlign w:val="center"/>
          </w:tcPr>
          <w:p w14:paraId="134988A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D3D3D3"/>
            <w:vAlign w:val="center"/>
          </w:tcPr>
          <w:p w14:paraId="070CEA48"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15847DB0"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16D67EE4"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7EBC126A" w14:textId="77777777" w:rsidTr="00197E1E">
        <w:trPr>
          <w:trHeight w:val="20"/>
        </w:trPr>
        <w:tc>
          <w:tcPr>
            <w:tcW w:w="421" w:type="dxa"/>
            <w:shd w:val="clear" w:color="auto" w:fill="auto"/>
            <w:vAlign w:val="center"/>
          </w:tcPr>
          <w:p w14:paraId="3A40247E"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20</w:t>
            </w:r>
          </w:p>
        </w:tc>
        <w:tc>
          <w:tcPr>
            <w:tcW w:w="2693" w:type="dxa"/>
            <w:shd w:val="clear" w:color="auto" w:fill="auto"/>
            <w:noWrap/>
            <w:vAlign w:val="center"/>
          </w:tcPr>
          <w:p w14:paraId="49C4D05D"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Ochrana ovzduší</w:t>
            </w:r>
          </w:p>
        </w:tc>
        <w:tc>
          <w:tcPr>
            <w:tcW w:w="1422" w:type="dxa"/>
            <w:shd w:val="clear" w:color="auto" w:fill="auto"/>
            <w:vAlign w:val="center"/>
          </w:tcPr>
          <w:p w14:paraId="1E7A4A6B"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auto"/>
            <w:vAlign w:val="center"/>
          </w:tcPr>
          <w:p w14:paraId="54859B0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249A13B2"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45F26290"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C2AAF0E" w14:textId="77777777" w:rsidTr="00197E1E">
        <w:trPr>
          <w:trHeight w:val="20"/>
        </w:trPr>
        <w:tc>
          <w:tcPr>
            <w:tcW w:w="421" w:type="dxa"/>
            <w:shd w:val="clear" w:color="auto" w:fill="D3D3D3"/>
            <w:vAlign w:val="center"/>
          </w:tcPr>
          <w:p w14:paraId="101B6020"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21</w:t>
            </w:r>
          </w:p>
        </w:tc>
        <w:tc>
          <w:tcPr>
            <w:tcW w:w="2693" w:type="dxa"/>
            <w:shd w:val="clear" w:color="auto" w:fill="D3D3D3"/>
            <w:noWrap/>
            <w:vAlign w:val="center"/>
          </w:tcPr>
          <w:p w14:paraId="05436998"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Integrovaná prevence</w:t>
            </w:r>
          </w:p>
        </w:tc>
        <w:tc>
          <w:tcPr>
            <w:tcW w:w="1422" w:type="dxa"/>
            <w:shd w:val="clear" w:color="auto" w:fill="D3D3D3"/>
            <w:vAlign w:val="center"/>
          </w:tcPr>
          <w:p w14:paraId="0636A80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D3D3D3"/>
            <w:vAlign w:val="center"/>
          </w:tcPr>
          <w:p w14:paraId="79D852F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7AF4437E"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07CE3096"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E24AD38" w14:textId="77777777" w:rsidTr="00197E1E">
        <w:trPr>
          <w:trHeight w:val="20"/>
        </w:trPr>
        <w:tc>
          <w:tcPr>
            <w:tcW w:w="421" w:type="dxa"/>
            <w:shd w:val="clear" w:color="auto" w:fill="auto"/>
            <w:vAlign w:val="center"/>
          </w:tcPr>
          <w:p w14:paraId="5C8A6747"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22</w:t>
            </w:r>
          </w:p>
        </w:tc>
        <w:tc>
          <w:tcPr>
            <w:tcW w:w="2693" w:type="dxa"/>
            <w:shd w:val="clear" w:color="auto" w:fill="auto"/>
            <w:noWrap/>
            <w:vAlign w:val="center"/>
          </w:tcPr>
          <w:p w14:paraId="44A8FBAA"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ZPF</w:t>
            </w:r>
          </w:p>
        </w:tc>
        <w:tc>
          <w:tcPr>
            <w:tcW w:w="1422" w:type="dxa"/>
            <w:shd w:val="clear" w:color="auto" w:fill="auto"/>
            <w:vAlign w:val="center"/>
          </w:tcPr>
          <w:p w14:paraId="21CB7FAD"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auto"/>
            <w:vAlign w:val="center"/>
          </w:tcPr>
          <w:p w14:paraId="16EDDE4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3E75EA44"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4CA918AE"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630D5B17" w14:textId="77777777" w:rsidTr="00197E1E">
        <w:trPr>
          <w:trHeight w:val="20"/>
        </w:trPr>
        <w:tc>
          <w:tcPr>
            <w:tcW w:w="421" w:type="dxa"/>
            <w:shd w:val="clear" w:color="auto" w:fill="D3D3D3"/>
            <w:vAlign w:val="center"/>
          </w:tcPr>
          <w:p w14:paraId="3016074D"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23</w:t>
            </w:r>
          </w:p>
        </w:tc>
        <w:tc>
          <w:tcPr>
            <w:tcW w:w="2693" w:type="dxa"/>
            <w:shd w:val="clear" w:color="auto" w:fill="D3D3D3"/>
            <w:noWrap/>
            <w:vAlign w:val="center"/>
          </w:tcPr>
          <w:p w14:paraId="5822D32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Ochrana přírody a krajiny</w:t>
            </w:r>
          </w:p>
        </w:tc>
        <w:tc>
          <w:tcPr>
            <w:tcW w:w="1422" w:type="dxa"/>
            <w:shd w:val="clear" w:color="auto" w:fill="D3D3D3"/>
            <w:vAlign w:val="center"/>
          </w:tcPr>
          <w:p w14:paraId="4B0BC2F5"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D3D3D3"/>
            <w:vAlign w:val="center"/>
          </w:tcPr>
          <w:p w14:paraId="1D42FC89"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2DDECAD8"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D3D3D3"/>
            <w:vAlign w:val="center"/>
          </w:tcPr>
          <w:p w14:paraId="5718875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07A7A706" w14:textId="77777777" w:rsidTr="00197E1E">
        <w:trPr>
          <w:trHeight w:val="20"/>
        </w:trPr>
        <w:tc>
          <w:tcPr>
            <w:tcW w:w="421" w:type="dxa"/>
            <w:shd w:val="clear" w:color="auto" w:fill="auto"/>
            <w:vAlign w:val="center"/>
          </w:tcPr>
          <w:p w14:paraId="126C6191"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24</w:t>
            </w:r>
          </w:p>
        </w:tc>
        <w:tc>
          <w:tcPr>
            <w:tcW w:w="2693" w:type="dxa"/>
            <w:shd w:val="clear" w:color="auto" w:fill="auto"/>
            <w:noWrap/>
            <w:vAlign w:val="center"/>
          </w:tcPr>
          <w:p w14:paraId="62E7B3D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Zajišťování obrany ČR</w:t>
            </w:r>
          </w:p>
        </w:tc>
        <w:tc>
          <w:tcPr>
            <w:tcW w:w="1422" w:type="dxa"/>
            <w:shd w:val="clear" w:color="auto" w:fill="auto"/>
            <w:vAlign w:val="center"/>
          </w:tcPr>
          <w:p w14:paraId="6DEB39D6"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MO</w:t>
            </w:r>
          </w:p>
        </w:tc>
        <w:tc>
          <w:tcPr>
            <w:tcW w:w="1512" w:type="dxa"/>
            <w:shd w:val="clear" w:color="auto" w:fill="auto"/>
            <w:vAlign w:val="center"/>
          </w:tcPr>
          <w:p w14:paraId="7416B4C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262362F6" w14:textId="77777777" w:rsidR="008207A7" w:rsidRPr="008F30F5" w:rsidRDefault="008207A7" w:rsidP="00613EB8">
            <w:pPr>
              <w:pStyle w:val="Odstavecseseznamem"/>
              <w:numPr>
                <w:ilvl w:val="0"/>
                <w:numId w:val="70"/>
              </w:numPr>
              <w:spacing w:before="0" w:after="0"/>
              <w:ind w:hanging="466"/>
              <w:jc w:val="center"/>
              <w:rPr>
                <w:rFonts w:ascii="Calibri" w:eastAsia="Times New Roman" w:hAnsi="Calibri" w:cs="Calibri"/>
                <w:color w:val="1C1C1C"/>
                <w:sz w:val="20"/>
                <w:szCs w:val="20"/>
                <w:lang w:eastAsia="cs-CZ"/>
              </w:rPr>
            </w:pPr>
          </w:p>
        </w:tc>
        <w:tc>
          <w:tcPr>
            <w:tcW w:w="1512" w:type="dxa"/>
            <w:shd w:val="clear" w:color="auto" w:fill="auto"/>
            <w:vAlign w:val="center"/>
          </w:tcPr>
          <w:p w14:paraId="3698314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r>
      <w:tr w:rsidR="008207A7" w:rsidRPr="00CF2EDF" w14:paraId="643408C0" w14:textId="77777777" w:rsidTr="00197E1E">
        <w:trPr>
          <w:trHeight w:val="20"/>
        </w:trPr>
        <w:tc>
          <w:tcPr>
            <w:tcW w:w="421" w:type="dxa"/>
            <w:shd w:val="clear" w:color="auto" w:fill="D3D3D3"/>
            <w:vAlign w:val="center"/>
          </w:tcPr>
          <w:p w14:paraId="45BF3B11"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25</w:t>
            </w:r>
          </w:p>
        </w:tc>
        <w:tc>
          <w:tcPr>
            <w:tcW w:w="2693" w:type="dxa"/>
            <w:shd w:val="clear" w:color="auto" w:fill="D3D3D3"/>
            <w:noWrap/>
            <w:vAlign w:val="center"/>
          </w:tcPr>
          <w:p w14:paraId="5449C342"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Energetický zákon</w:t>
            </w:r>
          </w:p>
        </w:tc>
        <w:tc>
          <w:tcPr>
            <w:tcW w:w="1422" w:type="dxa"/>
            <w:shd w:val="clear" w:color="auto" w:fill="D3D3D3"/>
            <w:vAlign w:val="center"/>
          </w:tcPr>
          <w:p w14:paraId="2CD48AC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MPO</w:t>
            </w:r>
          </w:p>
        </w:tc>
        <w:tc>
          <w:tcPr>
            <w:tcW w:w="1512" w:type="dxa"/>
            <w:shd w:val="clear" w:color="auto" w:fill="D3D3D3"/>
            <w:vAlign w:val="center"/>
          </w:tcPr>
          <w:p w14:paraId="70DCB8E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5EAF449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4E87097"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33A79DD8" w14:textId="77777777" w:rsidTr="00197E1E">
        <w:trPr>
          <w:trHeight w:val="20"/>
        </w:trPr>
        <w:tc>
          <w:tcPr>
            <w:tcW w:w="421" w:type="dxa"/>
            <w:shd w:val="clear" w:color="auto" w:fill="auto"/>
            <w:vAlign w:val="center"/>
          </w:tcPr>
          <w:p w14:paraId="3B409AEC"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26</w:t>
            </w:r>
          </w:p>
        </w:tc>
        <w:tc>
          <w:tcPr>
            <w:tcW w:w="2693" w:type="dxa"/>
            <w:shd w:val="clear" w:color="auto" w:fill="auto"/>
            <w:noWrap/>
            <w:vAlign w:val="center"/>
          </w:tcPr>
          <w:p w14:paraId="38841C2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Hospodaření energií</w:t>
            </w:r>
          </w:p>
        </w:tc>
        <w:tc>
          <w:tcPr>
            <w:tcW w:w="1422" w:type="dxa"/>
            <w:shd w:val="clear" w:color="auto" w:fill="auto"/>
            <w:vAlign w:val="center"/>
          </w:tcPr>
          <w:p w14:paraId="3F39353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MPO</w:t>
            </w:r>
          </w:p>
        </w:tc>
        <w:tc>
          <w:tcPr>
            <w:tcW w:w="1512" w:type="dxa"/>
            <w:shd w:val="clear" w:color="auto" w:fill="auto"/>
            <w:vAlign w:val="center"/>
          </w:tcPr>
          <w:p w14:paraId="10BBADDE"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0B09CF2E"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125DCDAA"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3621ACF1" w14:textId="77777777" w:rsidTr="00197E1E">
        <w:trPr>
          <w:trHeight w:val="20"/>
        </w:trPr>
        <w:tc>
          <w:tcPr>
            <w:tcW w:w="421" w:type="dxa"/>
            <w:shd w:val="clear" w:color="auto" w:fill="D3D3D3"/>
            <w:vAlign w:val="center"/>
          </w:tcPr>
          <w:p w14:paraId="405F2BF4"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27</w:t>
            </w:r>
          </w:p>
        </w:tc>
        <w:tc>
          <w:tcPr>
            <w:tcW w:w="2693" w:type="dxa"/>
            <w:shd w:val="clear" w:color="auto" w:fill="D3D3D3"/>
            <w:noWrap/>
            <w:vAlign w:val="center"/>
          </w:tcPr>
          <w:p w14:paraId="1E260A3B"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El. komunikace</w:t>
            </w:r>
          </w:p>
        </w:tc>
        <w:tc>
          <w:tcPr>
            <w:tcW w:w="1422" w:type="dxa"/>
            <w:shd w:val="clear" w:color="auto" w:fill="D3D3D3"/>
            <w:vAlign w:val="center"/>
          </w:tcPr>
          <w:p w14:paraId="34634410"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MPO</w:t>
            </w:r>
          </w:p>
        </w:tc>
        <w:tc>
          <w:tcPr>
            <w:tcW w:w="1512" w:type="dxa"/>
            <w:shd w:val="clear" w:color="auto" w:fill="D3D3D3"/>
            <w:vAlign w:val="center"/>
          </w:tcPr>
          <w:p w14:paraId="5F36F05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59AFA50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425AF2CE"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6615C357" w14:textId="77777777" w:rsidTr="00197E1E">
        <w:trPr>
          <w:trHeight w:val="20"/>
        </w:trPr>
        <w:tc>
          <w:tcPr>
            <w:tcW w:w="421" w:type="dxa"/>
            <w:shd w:val="clear" w:color="auto" w:fill="auto"/>
            <w:vAlign w:val="center"/>
          </w:tcPr>
          <w:p w14:paraId="44F466CD"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28</w:t>
            </w:r>
          </w:p>
        </w:tc>
        <w:tc>
          <w:tcPr>
            <w:tcW w:w="2693" w:type="dxa"/>
            <w:shd w:val="clear" w:color="auto" w:fill="auto"/>
            <w:noWrap/>
            <w:vAlign w:val="center"/>
          </w:tcPr>
          <w:p w14:paraId="6F18AAB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Vnitrozemská plavba</w:t>
            </w:r>
          </w:p>
        </w:tc>
        <w:tc>
          <w:tcPr>
            <w:tcW w:w="1422" w:type="dxa"/>
            <w:shd w:val="clear" w:color="auto" w:fill="auto"/>
            <w:vAlign w:val="center"/>
          </w:tcPr>
          <w:p w14:paraId="205A7CC3"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MD</w:t>
            </w:r>
          </w:p>
        </w:tc>
        <w:tc>
          <w:tcPr>
            <w:tcW w:w="1512" w:type="dxa"/>
            <w:shd w:val="clear" w:color="auto" w:fill="auto"/>
            <w:vAlign w:val="center"/>
          </w:tcPr>
          <w:p w14:paraId="4A70FA90"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6B49493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758ABA30"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026A7F37" w14:textId="77777777" w:rsidTr="00197E1E">
        <w:trPr>
          <w:trHeight w:val="20"/>
        </w:trPr>
        <w:tc>
          <w:tcPr>
            <w:tcW w:w="421" w:type="dxa"/>
            <w:shd w:val="clear" w:color="auto" w:fill="D3D3D3"/>
            <w:vAlign w:val="center"/>
          </w:tcPr>
          <w:p w14:paraId="6BF3BCD7"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29</w:t>
            </w:r>
          </w:p>
        </w:tc>
        <w:tc>
          <w:tcPr>
            <w:tcW w:w="2693" w:type="dxa"/>
            <w:shd w:val="clear" w:color="auto" w:fill="D3D3D3"/>
            <w:noWrap/>
            <w:vAlign w:val="center"/>
            <w:hideMark/>
          </w:tcPr>
          <w:p w14:paraId="00A074F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Státní hranice</w:t>
            </w:r>
          </w:p>
        </w:tc>
        <w:tc>
          <w:tcPr>
            <w:tcW w:w="1422" w:type="dxa"/>
            <w:shd w:val="clear" w:color="auto" w:fill="D3D3D3"/>
            <w:vAlign w:val="center"/>
          </w:tcPr>
          <w:p w14:paraId="26B3570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MV</w:t>
            </w:r>
          </w:p>
        </w:tc>
        <w:tc>
          <w:tcPr>
            <w:tcW w:w="1512" w:type="dxa"/>
            <w:shd w:val="clear" w:color="auto" w:fill="D3D3D3"/>
            <w:vAlign w:val="center"/>
          </w:tcPr>
          <w:p w14:paraId="491EB60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3A3B2EDC"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B818225"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1483A182" w14:textId="77777777" w:rsidTr="00197E1E">
        <w:trPr>
          <w:trHeight w:val="20"/>
        </w:trPr>
        <w:tc>
          <w:tcPr>
            <w:tcW w:w="421" w:type="dxa"/>
            <w:shd w:val="clear" w:color="auto" w:fill="auto"/>
            <w:vAlign w:val="center"/>
          </w:tcPr>
          <w:p w14:paraId="4A9F162E"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30</w:t>
            </w:r>
          </w:p>
        </w:tc>
        <w:tc>
          <w:tcPr>
            <w:tcW w:w="2693" w:type="dxa"/>
            <w:shd w:val="clear" w:color="auto" w:fill="auto"/>
            <w:noWrap/>
            <w:vAlign w:val="center"/>
            <w:hideMark/>
          </w:tcPr>
          <w:p w14:paraId="5422BB3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IZS</w:t>
            </w:r>
          </w:p>
        </w:tc>
        <w:tc>
          <w:tcPr>
            <w:tcW w:w="1422" w:type="dxa"/>
            <w:shd w:val="clear" w:color="auto" w:fill="auto"/>
            <w:vAlign w:val="center"/>
          </w:tcPr>
          <w:p w14:paraId="5374983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MV</w:t>
            </w:r>
          </w:p>
        </w:tc>
        <w:tc>
          <w:tcPr>
            <w:tcW w:w="1512" w:type="dxa"/>
            <w:shd w:val="clear" w:color="auto" w:fill="auto"/>
            <w:vAlign w:val="center"/>
          </w:tcPr>
          <w:p w14:paraId="3B00B6D9"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25736B24"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57E2026B"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6B092D27" w14:textId="77777777" w:rsidTr="00197E1E">
        <w:trPr>
          <w:trHeight w:val="20"/>
        </w:trPr>
        <w:tc>
          <w:tcPr>
            <w:tcW w:w="421" w:type="dxa"/>
            <w:shd w:val="clear" w:color="auto" w:fill="D3D3D3"/>
            <w:vAlign w:val="center"/>
          </w:tcPr>
          <w:p w14:paraId="18D7BB84"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31</w:t>
            </w:r>
          </w:p>
        </w:tc>
        <w:tc>
          <w:tcPr>
            <w:tcW w:w="2693" w:type="dxa"/>
            <w:shd w:val="clear" w:color="auto" w:fill="D3D3D3"/>
            <w:noWrap/>
            <w:vAlign w:val="center"/>
            <w:hideMark/>
          </w:tcPr>
          <w:p w14:paraId="27416EC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Požární ochrana</w:t>
            </w:r>
          </w:p>
        </w:tc>
        <w:tc>
          <w:tcPr>
            <w:tcW w:w="1422" w:type="dxa"/>
            <w:shd w:val="clear" w:color="auto" w:fill="D3D3D3"/>
            <w:vAlign w:val="center"/>
          </w:tcPr>
          <w:p w14:paraId="14438823"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MV</w:t>
            </w:r>
          </w:p>
        </w:tc>
        <w:tc>
          <w:tcPr>
            <w:tcW w:w="1512" w:type="dxa"/>
            <w:shd w:val="clear" w:color="auto" w:fill="D3D3D3"/>
            <w:vAlign w:val="center"/>
          </w:tcPr>
          <w:p w14:paraId="7DCA50E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558E6B82"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53BF400E"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1897BDAD" w14:textId="77777777" w:rsidTr="00197E1E">
        <w:trPr>
          <w:trHeight w:val="20"/>
        </w:trPr>
        <w:tc>
          <w:tcPr>
            <w:tcW w:w="421" w:type="dxa"/>
            <w:shd w:val="clear" w:color="auto" w:fill="auto"/>
            <w:vAlign w:val="center"/>
          </w:tcPr>
          <w:p w14:paraId="5A1629BA"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32</w:t>
            </w:r>
          </w:p>
        </w:tc>
        <w:tc>
          <w:tcPr>
            <w:tcW w:w="2693" w:type="dxa"/>
            <w:shd w:val="clear" w:color="auto" w:fill="auto"/>
            <w:noWrap/>
            <w:vAlign w:val="center"/>
            <w:hideMark/>
          </w:tcPr>
          <w:p w14:paraId="1F4BA874"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Myslivost</w:t>
            </w:r>
          </w:p>
        </w:tc>
        <w:tc>
          <w:tcPr>
            <w:tcW w:w="1422" w:type="dxa"/>
            <w:shd w:val="clear" w:color="auto" w:fill="auto"/>
            <w:vAlign w:val="center"/>
          </w:tcPr>
          <w:p w14:paraId="348A227D"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auto"/>
            <w:vAlign w:val="center"/>
          </w:tcPr>
          <w:p w14:paraId="3259DFA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3CE656D2"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6B9D9CDD"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55E7DACF" w14:textId="77777777" w:rsidTr="00197E1E">
        <w:trPr>
          <w:trHeight w:val="20"/>
        </w:trPr>
        <w:tc>
          <w:tcPr>
            <w:tcW w:w="421" w:type="dxa"/>
            <w:shd w:val="clear" w:color="auto" w:fill="D3D3D3"/>
            <w:vAlign w:val="center"/>
          </w:tcPr>
          <w:p w14:paraId="10546533"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33</w:t>
            </w:r>
          </w:p>
        </w:tc>
        <w:tc>
          <w:tcPr>
            <w:tcW w:w="2693" w:type="dxa"/>
            <w:shd w:val="clear" w:color="auto" w:fill="D3D3D3"/>
            <w:noWrap/>
            <w:vAlign w:val="center"/>
            <w:hideMark/>
          </w:tcPr>
          <w:p w14:paraId="10BB16B8"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Pozemkové úpravy</w:t>
            </w:r>
          </w:p>
        </w:tc>
        <w:tc>
          <w:tcPr>
            <w:tcW w:w="1422" w:type="dxa"/>
            <w:shd w:val="clear" w:color="auto" w:fill="D3D3D3"/>
            <w:vAlign w:val="center"/>
          </w:tcPr>
          <w:p w14:paraId="7463455E"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D3D3D3"/>
            <w:vAlign w:val="center"/>
          </w:tcPr>
          <w:p w14:paraId="1F690DA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1C3D85B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7F400409"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37D75BCD" w14:textId="77777777" w:rsidTr="00197E1E">
        <w:trPr>
          <w:trHeight w:val="20"/>
        </w:trPr>
        <w:tc>
          <w:tcPr>
            <w:tcW w:w="421" w:type="dxa"/>
            <w:shd w:val="clear" w:color="auto" w:fill="auto"/>
            <w:vAlign w:val="center"/>
          </w:tcPr>
          <w:p w14:paraId="3AC215AF"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34</w:t>
            </w:r>
          </w:p>
        </w:tc>
        <w:tc>
          <w:tcPr>
            <w:tcW w:w="2693" w:type="dxa"/>
            <w:shd w:val="clear" w:color="auto" w:fill="auto"/>
            <w:noWrap/>
            <w:vAlign w:val="center"/>
            <w:hideMark/>
          </w:tcPr>
          <w:p w14:paraId="42C6B64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Veterinární zákon</w:t>
            </w:r>
          </w:p>
        </w:tc>
        <w:tc>
          <w:tcPr>
            <w:tcW w:w="1422" w:type="dxa"/>
            <w:shd w:val="clear" w:color="auto" w:fill="auto"/>
            <w:vAlign w:val="center"/>
          </w:tcPr>
          <w:p w14:paraId="5C4BF4F2"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MZe</w:t>
            </w:r>
          </w:p>
        </w:tc>
        <w:tc>
          <w:tcPr>
            <w:tcW w:w="1512" w:type="dxa"/>
            <w:shd w:val="clear" w:color="auto" w:fill="auto"/>
            <w:vAlign w:val="center"/>
          </w:tcPr>
          <w:p w14:paraId="6900CD5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5ED366B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6F194776"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5EA379F9" w14:textId="77777777" w:rsidTr="00197E1E">
        <w:trPr>
          <w:trHeight w:val="20"/>
        </w:trPr>
        <w:tc>
          <w:tcPr>
            <w:tcW w:w="421" w:type="dxa"/>
            <w:shd w:val="clear" w:color="auto" w:fill="D3D3D3"/>
            <w:vAlign w:val="center"/>
          </w:tcPr>
          <w:p w14:paraId="5BE98A88"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35</w:t>
            </w:r>
          </w:p>
        </w:tc>
        <w:tc>
          <w:tcPr>
            <w:tcW w:w="2693" w:type="dxa"/>
            <w:shd w:val="clear" w:color="auto" w:fill="D3D3D3"/>
            <w:noWrap/>
            <w:vAlign w:val="center"/>
            <w:hideMark/>
          </w:tcPr>
          <w:p w14:paraId="2974730D"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Odpady</w:t>
            </w:r>
          </w:p>
        </w:tc>
        <w:tc>
          <w:tcPr>
            <w:tcW w:w="1422" w:type="dxa"/>
            <w:shd w:val="clear" w:color="auto" w:fill="D3D3D3"/>
            <w:vAlign w:val="center"/>
          </w:tcPr>
          <w:p w14:paraId="736E85EC"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D3D3D3"/>
            <w:vAlign w:val="center"/>
          </w:tcPr>
          <w:p w14:paraId="7214A485"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1CF870D7"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020D9897"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48111363" w14:textId="77777777" w:rsidTr="00197E1E">
        <w:trPr>
          <w:trHeight w:val="20"/>
        </w:trPr>
        <w:tc>
          <w:tcPr>
            <w:tcW w:w="421" w:type="dxa"/>
            <w:shd w:val="clear" w:color="auto" w:fill="auto"/>
            <w:vAlign w:val="center"/>
          </w:tcPr>
          <w:p w14:paraId="408B2A3D"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36</w:t>
            </w:r>
          </w:p>
        </w:tc>
        <w:tc>
          <w:tcPr>
            <w:tcW w:w="2693" w:type="dxa"/>
            <w:shd w:val="clear" w:color="auto" w:fill="auto"/>
            <w:noWrap/>
            <w:vAlign w:val="center"/>
            <w:hideMark/>
          </w:tcPr>
          <w:p w14:paraId="35E03C6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Geologické práce</w:t>
            </w:r>
          </w:p>
        </w:tc>
        <w:tc>
          <w:tcPr>
            <w:tcW w:w="1422" w:type="dxa"/>
            <w:shd w:val="clear" w:color="auto" w:fill="auto"/>
            <w:vAlign w:val="center"/>
          </w:tcPr>
          <w:p w14:paraId="767A17E0"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MŽP</w:t>
            </w:r>
          </w:p>
        </w:tc>
        <w:tc>
          <w:tcPr>
            <w:tcW w:w="1512" w:type="dxa"/>
            <w:shd w:val="clear" w:color="auto" w:fill="auto"/>
            <w:vAlign w:val="center"/>
          </w:tcPr>
          <w:p w14:paraId="44F2F21F"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373F71F1"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18030CDC"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65B0C05C" w14:textId="77777777" w:rsidTr="00197E1E">
        <w:trPr>
          <w:trHeight w:val="20"/>
        </w:trPr>
        <w:tc>
          <w:tcPr>
            <w:tcW w:w="421" w:type="dxa"/>
            <w:shd w:val="clear" w:color="auto" w:fill="D3D3D3"/>
            <w:vAlign w:val="center"/>
          </w:tcPr>
          <w:p w14:paraId="52219109"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37</w:t>
            </w:r>
          </w:p>
        </w:tc>
        <w:tc>
          <w:tcPr>
            <w:tcW w:w="2693" w:type="dxa"/>
            <w:shd w:val="clear" w:color="auto" w:fill="D3D3D3"/>
            <w:noWrap/>
            <w:vAlign w:val="center"/>
            <w:hideMark/>
          </w:tcPr>
          <w:p w14:paraId="6CC5D877"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Inspekce práce</w:t>
            </w:r>
          </w:p>
        </w:tc>
        <w:tc>
          <w:tcPr>
            <w:tcW w:w="1422" w:type="dxa"/>
            <w:shd w:val="clear" w:color="auto" w:fill="D3D3D3"/>
            <w:vAlign w:val="center"/>
          </w:tcPr>
          <w:p w14:paraId="7D0E3108"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MPSV</w:t>
            </w:r>
          </w:p>
        </w:tc>
        <w:tc>
          <w:tcPr>
            <w:tcW w:w="1512" w:type="dxa"/>
            <w:shd w:val="clear" w:color="auto" w:fill="D3D3D3"/>
            <w:vAlign w:val="center"/>
          </w:tcPr>
          <w:p w14:paraId="247BFE03"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43CC878A"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D3D3D3"/>
            <w:vAlign w:val="center"/>
          </w:tcPr>
          <w:p w14:paraId="187899CB"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r w:rsidR="008207A7" w:rsidRPr="00CF2EDF" w14:paraId="7D165AC5" w14:textId="77777777" w:rsidTr="00197E1E">
        <w:trPr>
          <w:trHeight w:val="20"/>
        </w:trPr>
        <w:tc>
          <w:tcPr>
            <w:tcW w:w="421" w:type="dxa"/>
            <w:shd w:val="clear" w:color="auto" w:fill="auto"/>
            <w:vAlign w:val="center"/>
          </w:tcPr>
          <w:p w14:paraId="48D06B6E" w14:textId="77777777" w:rsidR="008207A7" w:rsidRPr="008F30F5" w:rsidRDefault="008207A7" w:rsidP="00197E1E">
            <w:pPr>
              <w:spacing w:before="0" w:after="0"/>
              <w:jc w:val="left"/>
              <w:rPr>
                <w:rFonts w:ascii="Calibri" w:eastAsia="Times New Roman" w:hAnsi="Calibri" w:cs="Calibri"/>
                <w:b/>
                <w:bCs/>
                <w:color w:val="1C1C1C"/>
                <w:sz w:val="20"/>
                <w:szCs w:val="20"/>
                <w:lang w:eastAsia="cs-CZ"/>
              </w:rPr>
            </w:pPr>
            <w:r w:rsidRPr="008F30F5">
              <w:rPr>
                <w:rFonts w:ascii="Calibri" w:eastAsia="Times New Roman" w:hAnsi="Calibri" w:cs="Calibri"/>
                <w:b/>
                <w:bCs/>
                <w:color w:val="1C1C1C"/>
                <w:sz w:val="20"/>
                <w:szCs w:val="20"/>
                <w:lang w:eastAsia="cs-CZ"/>
              </w:rPr>
              <w:t>38</w:t>
            </w:r>
          </w:p>
        </w:tc>
        <w:tc>
          <w:tcPr>
            <w:tcW w:w="2693" w:type="dxa"/>
            <w:shd w:val="clear" w:color="auto" w:fill="auto"/>
            <w:noWrap/>
            <w:vAlign w:val="center"/>
            <w:hideMark/>
          </w:tcPr>
          <w:p w14:paraId="7EB624E9"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Celní správa</w:t>
            </w:r>
          </w:p>
        </w:tc>
        <w:tc>
          <w:tcPr>
            <w:tcW w:w="1422" w:type="dxa"/>
            <w:shd w:val="clear" w:color="auto" w:fill="auto"/>
            <w:vAlign w:val="center"/>
          </w:tcPr>
          <w:p w14:paraId="2CB30990" w14:textId="77777777" w:rsidR="008207A7" w:rsidRPr="008F30F5" w:rsidRDefault="008207A7" w:rsidP="00197E1E">
            <w:pPr>
              <w:spacing w:before="0" w:after="0"/>
              <w:jc w:val="left"/>
              <w:rPr>
                <w:rFonts w:ascii="Calibri" w:eastAsia="Times New Roman" w:hAnsi="Calibri" w:cs="Calibri"/>
                <w:color w:val="1C1C1C"/>
                <w:sz w:val="20"/>
                <w:szCs w:val="20"/>
                <w:lang w:eastAsia="cs-CZ"/>
              </w:rPr>
            </w:pPr>
            <w:r w:rsidRPr="008F30F5">
              <w:rPr>
                <w:rFonts w:ascii="Calibri" w:eastAsia="Times New Roman" w:hAnsi="Calibri" w:cs="Calibri"/>
                <w:color w:val="1C1C1C"/>
                <w:sz w:val="20"/>
                <w:szCs w:val="20"/>
                <w:lang w:eastAsia="cs-CZ"/>
              </w:rPr>
              <w:t>MF</w:t>
            </w:r>
          </w:p>
        </w:tc>
        <w:tc>
          <w:tcPr>
            <w:tcW w:w="1512" w:type="dxa"/>
            <w:shd w:val="clear" w:color="auto" w:fill="auto"/>
            <w:vAlign w:val="center"/>
          </w:tcPr>
          <w:p w14:paraId="6B82AA28"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0EC6C05D" w14:textId="77777777" w:rsidR="008207A7" w:rsidRPr="008F30F5" w:rsidRDefault="008207A7" w:rsidP="00197E1E">
            <w:pPr>
              <w:spacing w:before="0" w:after="0"/>
              <w:jc w:val="center"/>
              <w:rPr>
                <w:rFonts w:ascii="Calibri" w:eastAsia="Times New Roman" w:hAnsi="Calibri" w:cs="Calibri"/>
                <w:color w:val="1C1C1C"/>
                <w:sz w:val="20"/>
                <w:szCs w:val="20"/>
                <w:lang w:eastAsia="cs-CZ"/>
              </w:rPr>
            </w:pPr>
          </w:p>
        </w:tc>
        <w:tc>
          <w:tcPr>
            <w:tcW w:w="1512" w:type="dxa"/>
            <w:shd w:val="clear" w:color="auto" w:fill="auto"/>
            <w:vAlign w:val="center"/>
          </w:tcPr>
          <w:p w14:paraId="79CE5EC3" w14:textId="77777777" w:rsidR="008207A7" w:rsidRPr="008F30F5" w:rsidRDefault="008207A7" w:rsidP="00613EB8">
            <w:pPr>
              <w:pStyle w:val="Odstavecseseznamem"/>
              <w:numPr>
                <w:ilvl w:val="0"/>
                <w:numId w:val="70"/>
              </w:numPr>
              <w:spacing w:before="0" w:after="0"/>
              <w:ind w:hanging="461"/>
              <w:jc w:val="center"/>
              <w:rPr>
                <w:rFonts w:ascii="Calibri" w:eastAsia="Times New Roman" w:hAnsi="Calibri" w:cs="Calibri"/>
                <w:color w:val="1C1C1C"/>
                <w:sz w:val="20"/>
                <w:szCs w:val="20"/>
                <w:lang w:eastAsia="cs-CZ"/>
              </w:rPr>
            </w:pPr>
          </w:p>
        </w:tc>
      </w:tr>
    </w:tbl>
    <w:p w14:paraId="3E1BC4C1" w14:textId="5DA52230" w:rsidR="00D168E8" w:rsidRDefault="008207A7" w:rsidP="00694A0A">
      <w:pPr>
        <w:pStyle w:val="Citt"/>
        <w:rPr>
          <w:highlight w:val="yellow"/>
        </w:rPr>
      </w:pPr>
      <w:r>
        <w:t>Zdroj: MMR</w:t>
      </w:r>
    </w:p>
    <w:bookmarkEnd w:id="17"/>
    <w:bookmarkEnd w:id="18"/>
    <w:p w14:paraId="377E7B6C" w14:textId="273560E6" w:rsidR="00CB4136" w:rsidRPr="00234F39" w:rsidRDefault="0092728F" w:rsidP="00A41572">
      <w:pPr>
        <w:pStyle w:val="Normln-tun"/>
      </w:pPr>
      <w:r w:rsidRPr="00234F39">
        <w:t>Dle nového stavebního zákona měly DO vydávat v</w:t>
      </w:r>
      <w:r w:rsidR="00D1647A" w:rsidRPr="00234F39">
        <w:t xml:space="preserve">yjádření, koordinované vyjádření </w:t>
      </w:r>
      <w:r w:rsidRPr="00234F39">
        <w:t>či</w:t>
      </w:r>
      <w:r w:rsidR="00D1647A" w:rsidRPr="00234F39">
        <w:t xml:space="preserve"> závazné stanovisko dotčeného orgánu</w:t>
      </w:r>
      <w:r w:rsidRPr="00234F39">
        <w:t xml:space="preserve">. </w:t>
      </w:r>
      <w:r w:rsidR="00CB4136" w:rsidRPr="00234F39">
        <w:t>V t</w:t>
      </w:r>
      <w:r w:rsidRPr="00234F39">
        <w:t>ě</w:t>
      </w:r>
      <w:r w:rsidR="00CB4136" w:rsidRPr="00234F39">
        <w:t>ch</w:t>
      </w:r>
      <w:r w:rsidRPr="00234F39">
        <w:t>to pojm</w:t>
      </w:r>
      <w:r w:rsidR="00CB4136" w:rsidRPr="00234F39">
        <w:t>ech</w:t>
      </w:r>
      <w:r w:rsidRPr="00234F39">
        <w:t xml:space="preserve"> byla</w:t>
      </w:r>
      <w:r w:rsidR="00D1647A" w:rsidRPr="00234F39">
        <w:t xml:space="preserve"> </w:t>
      </w:r>
      <w:r w:rsidR="00CB4136" w:rsidRPr="00234F39">
        <w:t>obsažena</w:t>
      </w:r>
      <w:r w:rsidR="00D1647A" w:rsidRPr="00234F39">
        <w:t xml:space="preserve"> základní koncepční změna </w:t>
      </w:r>
      <w:r w:rsidR="00CB4136" w:rsidRPr="00234F39">
        <w:t xml:space="preserve">v oblasti </w:t>
      </w:r>
      <w:r w:rsidR="00D1647A" w:rsidRPr="00234F39">
        <w:t>vyjadřování dotčených orgánů, která spočív</w:t>
      </w:r>
      <w:r w:rsidR="00CB4136" w:rsidRPr="00234F39">
        <w:t>ala</w:t>
      </w:r>
      <w:r w:rsidR="00D1647A" w:rsidRPr="00234F39">
        <w:t xml:space="preserve"> ve velké rozdílnosti forem vydaných aktů </w:t>
      </w:r>
      <w:r w:rsidR="00CB4136" w:rsidRPr="00234F39">
        <w:t>DO</w:t>
      </w:r>
      <w:r w:rsidR="00D1647A" w:rsidRPr="00234F39">
        <w:t xml:space="preserve">. </w:t>
      </w:r>
      <w:r w:rsidR="00CB4136" w:rsidRPr="00234F39">
        <w:t>DO</w:t>
      </w:r>
      <w:r w:rsidR="00D1647A" w:rsidRPr="00234F39">
        <w:t xml:space="preserve"> </w:t>
      </w:r>
      <w:r w:rsidR="00CB4136" w:rsidRPr="00234F39">
        <w:t>měly</w:t>
      </w:r>
      <w:r w:rsidR="00D1647A" w:rsidRPr="00234F39">
        <w:t xml:space="preserve"> namísto závazných stanovisek vydávat vyjádření. Jedn</w:t>
      </w:r>
      <w:r w:rsidR="00CB4136" w:rsidRPr="00234F39">
        <w:t>alo</w:t>
      </w:r>
      <w:r w:rsidR="00D1647A" w:rsidRPr="00234F39">
        <w:t xml:space="preserve"> se o „zbytkovou“ množinu </w:t>
      </w:r>
      <w:r w:rsidR="00CB4136" w:rsidRPr="00234F39">
        <w:t>DO</w:t>
      </w:r>
      <w:r w:rsidR="00D1647A" w:rsidRPr="00234F39">
        <w:t xml:space="preserve">, které </w:t>
      </w:r>
      <w:r w:rsidR="00CB4136" w:rsidRPr="00234F39">
        <w:t>neměly být i</w:t>
      </w:r>
      <w:r w:rsidR="00D1647A" w:rsidRPr="00234F39">
        <w:t>ntegrovány do státní stavební správy</w:t>
      </w:r>
      <w:r w:rsidR="00CB4136" w:rsidRPr="00234F39">
        <w:t>.</w:t>
      </w:r>
      <w:r w:rsidR="00D1647A" w:rsidRPr="00234F39">
        <w:t xml:space="preserve"> </w:t>
      </w:r>
      <w:r w:rsidR="00CB4136" w:rsidRPr="00234F39">
        <w:t>Měly tedy nově</w:t>
      </w:r>
      <w:r w:rsidR="00D1647A" w:rsidRPr="00234F39">
        <w:t xml:space="preserve"> vydávat vyjádření jako podklad pro vydání povolení záměru stavebním úřadem</w:t>
      </w:r>
      <w:r w:rsidR="00CB4136" w:rsidRPr="00234F39">
        <w:t>. Závazná stanoviska měly</w:t>
      </w:r>
      <w:r w:rsidR="00D1647A" w:rsidRPr="00234F39">
        <w:t xml:space="preserve"> </w:t>
      </w:r>
      <w:r w:rsidR="00CB4136" w:rsidRPr="00234F39">
        <w:t>ve velmi omezené míře vydávat vybrané</w:t>
      </w:r>
      <w:r w:rsidR="00D1647A" w:rsidRPr="00234F39">
        <w:t xml:space="preserve"> </w:t>
      </w:r>
      <w:r w:rsidR="00CB4136" w:rsidRPr="00234F39">
        <w:t>DO</w:t>
      </w:r>
      <w:r w:rsidR="00D1647A" w:rsidRPr="00234F39">
        <w:t>, zejména v případech specificky chráněných území</w:t>
      </w:r>
      <w:r w:rsidR="00CB4136" w:rsidRPr="00234F39">
        <w:t xml:space="preserve">. </w:t>
      </w:r>
      <w:r w:rsidR="00D1647A" w:rsidRPr="00234F39">
        <w:t xml:space="preserve">Pro závazná stanoviska </w:t>
      </w:r>
      <w:r w:rsidR="00CB4136" w:rsidRPr="00234F39">
        <w:t xml:space="preserve">měla </w:t>
      </w:r>
      <w:r w:rsidR="00D1647A" w:rsidRPr="00234F39">
        <w:t>plat</w:t>
      </w:r>
      <w:r w:rsidR="00CB4136" w:rsidRPr="00234F39">
        <w:t>it</w:t>
      </w:r>
      <w:r w:rsidR="00D1647A" w:rsidRPr="00234F39">
        <w:t xml:space="preserve"> obecná úprava podle § 149 správního řádu a požadavky podle zvláštních právních předpisů.</w:t>
      </w:r>
      <w:r w:rsidR="00CB4136" w:rsidRPr="00234F39">
        <w:t xml:space="preserve"> </w:t>
      </w:r>
      <w:r w:rsidR="00D1647A" w:rsidRPr="00234F39">
        <w:t xml:space="preserve">Jako takové je </w:t>
      </w:r>
      <w:r w:rsidR="00CB4136" w:rsidRPr="00234F39">
        <w:t>měl být</w:t>
      </w:r>
      <w:r w:rsidR="00D1647A" w:rsidRPr="00234F39">
        <w:t xml:space="preserve"> </w:t>
      </w:r>
      <w:r w:rsidR="000648F8">
        <w:t xml:space="preserve">SÚ </w:t>
      </w:r>
      <w:r w:rsidR="00D1647A" w:rsidRPr="00234F39">
        <w:t>povinen vyhodnotit a následně se s nimi vypořádat v rámci vydání meritorního rozhodnutí.</w:t>
      </w:r>
      <w:r w:rsidR="00CB4136" w:rsidRPr="00234F39">
        <w:t xml:space="preserve"> </w:t>
      </w:r>
    </w:p>
    <w:p w14:paraId="4228CA2B" w14:textId="77777777" w:rsidR="00234F39" w:rsidRPr="00234F39" w:rsidRDefault="00D1647A" w:rsidP="00B71A8C">
      <w:pPr>
        <w:pStyle w:val="Normln-tun"/>
      </w:pPr>
      <w:r w:rsidRPr="00234F39">
        <w:t xml:space="preserve">Integrace agend </w:t>
      </w:r>
      <w:r w:rsidR="00CB4136" w:rsidRPr="00234F39">
        <w:t>DO</w:t>
      </w:r>
      <w:r w:rsidRPr="00234F39">
        <w:t xml:space="preserve"> </w:t>
      </w:r>
      <w:r w:rsidR="00CB4136" w:rsidRPr="00234F39">
        <w:t>měla být</w:t>
      </w:r>
      <w:r w:rsidRPr="00234F39">
        <w:t xml:space="preserve"> soustředěna do státní stavební správy</w:t>
      </w:r>
      <w:r w:rsidR="00CB4136" w:rsidRPr="00234F39">
        <w:t xml:space="preserve"> </w:t>
      </w:r>
      <w:r w:rsidRPr="00234F39">
        <w:t xml:space="preserve">na krajské úrovni. Z této úrovně </w:t>
      </w:r>
      <w:r w:rsidR="00CB4136" w:rsidRPr="00234F39">
        <w:t>mělo být</w:t>
      </w:r>
      <w:r w:rsidRPr="00234F39">
        <w:t xml:space="preserve"> vydáváno koordinované vyjádření pro rozhodování obecn</w:t>
      </w:r>
      <w:r w:rsidR="00462668" w:rsidRPr="00234F39">
        <w:t>í</w:t>
      </w:r>
      <w:r w:rsidR="007A517F" w:rsidRPr="00234F39">
        <w:t>ch</w:t>
      </w:r>
      <w:r w:rsidRPr="00234F39">
        <w:t xml:space="preserve"> </w:t>
      </w:r>
      <w:r w:rsidR="00CB4136" w:rsidRPr="00234F39">
        <w:t>SÚ</w:t>
      </w:r>
      <w:r w:rsidR="00234F39" w:rsidRPr="00234F39">
        <w:t xml:space="preserve"> se souhrnným posouzením </w:t>
      </w:r>
      <w:r w:rsidRPr="00234F39">
        <w:t>ochran</w:t>
      </w:r>
      <w:r w:rsidR="00234F39" w:rsidRPr="00234F39">
        <w:t>y</w:t>
      </w:r>
      <w:r w:rsidRPr="00234F39">
        <w:t xml:space="preserve"> všech veřejných zájmů. Koordinované vyjádření </w:t>
      </w:r>
      <w:r w:rsidR="00234F39" w:rsidRPr="00234F39">
        <w:t xml:space="preserve">mělo </w:t>
      </w:r>
      <w:r w:rsidRPr="00234F39">
        <w:t>představ</w:t>
      </w:r>
      <w:r w:rsidR="00234F39" w:rsidRPr="00234F39">
        <w:t>ovat</w:t>
      </w:r>
      <w:r w:rsidRPr="00234F39">
        <w:t xml:space="preserve"> speciální typ vyjádření </w:t>
      </w:r>
      <w:r w:rsidR="00234F39" w:rsidRPr="00234F39">
        <w:t>DO</w:t>
      </w:r>
      <w:r w:rsidRPr="00234F39">
        <w:t>.</w:t>
      </w:r>
      <w:r w:rsidR="00234F39" w:rsidRPr="00234F39">
        <w:t xml:space="preserve"> </w:t>
      </w:r>
      <w:r w:rsidRPr="00234F39">
        <w:t xml:space="preserve">Podstatou koordinovaného vyjádření </w:t>
      </w:r>
      <w:r w:rsidR="00234F39" w:rsidRPr="00234F39">
        <w:t>mělo být</w:t>
      </w:r>
      <w:r w:rsidRPr="00234F39">
        <w:t xml:space="preserve"> dosažení souladu ochrany všech veřejných zájmů, proto </w:t>
      </w:r>
      <w:r w:rsidR="00234F39" w:rsidRPr="00234F39">
        <w:t>mělo</w:t>
      </w:r>
      <w:r w:rsidRPr="00234F39">
        <w:t xml:space="preserve"> obsahovat jeden závěr</w:t>
      </w:r>
      <w:r w:rsidR="00234F39" w:rsidRPr="00234F39">
        <w:t xml:space="preserve"> se souhrnným</w:t>
      </w:r>
      <w:r w:rsidRPr="00234F39">
        <w:t xml:space="preserve"> uveden</w:t>
      </w:r>
      <w:r w:rsidR="00234F39" w:rsidRPr="00234F39">
        <w:t>ím</w:t>
      </w:r>
      <w:r w:rsidRPr="00234F39">
        <w:t xml:space="preserve">, zda je záměr z hlediska ochrany všech veřejných zájmů přípustný, případně za jakých podmínek. </w:t>
      </w:r>
    </w:p>
    <w:p w14:paraId="5D8DD081" w14:textId="31E0ACB6" w:rsidR="00D1647A" w:rsidRPr="00A41572" w:rsidRDefault="00CB4136" w:rsidP="00B71A8C">
      <w:pPr>
        <w:pStyle w:val="Normln-tun"/>
        <w:rPr>
          <w:color w:val="FF0000"/>
        </w:rPr>
      </w:pPr>
      <w:r w:rsidRPr="00234F39">
        <w:t xml:space="preserve">SÚ měl s každým vyjádřením či koordinovaným vyjádřením v řízení nakládat jako s podklady (důkazy) pro rozhodnutí. </w:t>
      </w:r>
    </w:p>
    <w:p w14:paraId="4C4D52D3" w14:textId="67759CAB" w:rsidR="00FA5473" w:rsidRDefault="00694A0A" w:rsidP="00B71A8C">
      <w:pPr>
        <w:pStyle w:val="Normln-tun"/>
      </w:pPr>
      <w:r>
        <w:t xml:space="preserve">Návrh nového stavebního zákona </w:t>
      </w:r>
      <w:r w:rsidR="00F516B6">
        <w:t>cílil</w:t>
      </w:r>
      <w:r>
        <w:t xml:space="preserve"> </w:t>
      </w:r>
      <w:r w:rsidR="00323BF5">
        <w:t xml:space="preserve">mj. </w:t>
      </w:r>
      <w:r w:rsidR="00F516B6">
        <w:t xml:space="preserve">na </w:t>
      </w:r>
      <w:r>
        <w:t>následující problémy v</w:t>
      </w:r>
      <w:r w:rsidR="00CC3467">
        <w:t xml:space="preserve"> řešené </w:t>
      </w:r>
      <w:r>
        <w:t>oblasti</w:t>
      </w:r>
      <w:r w:rsidR="00CC3467">
        <w:t>:</w:t>
      </w:r>
    </w:p>
    <w:p w14:paraId="35552E16" w14:textId="3679E4F5" w:rsidR="00C209A5" w:rsidRDefault="00C209A5" w:rsidP="00613EB8">
      <w:pPr>
        <w:pStyle w:val="Text-Normaln"/>
        <w:widowControl w:val="0"/>
        <w:numPr>
          <w:ilvl w:val="0"/>
          <w:numId w:val="77"/>
        </w:numPr>
        <w:ind w:left="426" w:hanging="426"/>
      </w:pPr>
      <w:r>
        <w:t xml:space="preserve">nejednotnost, složitost a atomizace stavebního práva mezi množství obecných, speciálních, </w:t>
      </w:r>
      <w:r>
        <w:lastRenderedPageBreak/>
        <w:t>vojenských a jiných stavebních úřadů a dotčených orgánů,</w:t>
      </w:r>
      <w:r w:rsidR="00DF28BA">
        <w:t xml:space="preserve"> </w:t>
      </w:r>
      <w:r>
        <w:t>roztříštěnost kompetencí a pluralita odpovědností</w:t>
      </w:r>
      <w:r w:rsidR="00DF28BA">
        <w:t>;</w:t>
      </w:r>
    </w:p>
    <w:p w14:paraId="5D62D998" w14:textId="663D0ACE" w:rsidR="00CC3467" w:rsidRDefault="00323BF5" w:rsidP="00613EB8">
      <w:pPr>
        <w:pStyle w:val="Text-Normaln"/>
        <w:widowControl w:val="0"/>
        <w:numPr>
          <w:ilvl w:val="0"/>
          <w:numId w:val="77"/>
        </w:numPr>
        <w:ind w:left="426" w:hanging="426"/>
      </w:pPr>
      <w:r>
        <w:t xml:space="preserve">problematika DO a způsob jejich vyjadřování – množství podkladových aktů pro rozhodnutí o povolení </w:t>
      </w:r>
      <w:r w:rsidR="00EE7A13">
        <w:t>a z toho plynoucí následné problémy v přezkumných a soudních řízeních</w:t>
      </w:r>
      <w:r w:rsidR="00DF28BA">
        <w:t>;</w:t>
      </w:r>
    </w:p>
    <w:p w14:paraId="1FD5C5CE" w14:textId="7D514FB6" w:rsidR="00C209A5" w:rsidRDefault="00C209A5" w:rsidP="00613EB8">
      <w:pPr>
        <w:pStyle w:val="Text-Normaln"/>
        <w:widowControl w:val="0"/>
        <w:numPr>
          <w:ilvl w:val="0"/>
          <w:numId w:val="77"/>
        </w:numPr>
        <w:ind w:left="426" w:hanging="426"/>
      </w:pPr>
      <w:r>
        <w:t>personální a materiální vybavení stavebních úřadů zejména v obecních úřadech v prvním stupni,</w:t>
      </w:r>
      <w:r w:rsidR="00DF28BA">
        <w:t xml:space="preserve"> </w:t>
      </w:r>
      <w:r w:rsidR="00DF28BA" w:rsidRPr="00C209A5">
        <w:t xml:space="preserve">nižší míra transparentnosti ve využívání finančních příspěvků na činnost </w:t>
      </w:r>
      <w:r w:rsidR="00DF28BA">
        <w:t xml:space="preserve">stavebních </w:t>
      </w:r>
      <w:r w:rsidR="00DF28BA" w:rsidRPr="00C209A5">
        <w:t>úřadů</w:t>
      </w:r>
      <w:r w:rsidR="00DF28BA">
        <w:t>;</w:t>
      </w:r>
    </w:p>
    <w:p w14:paraId="48894B52" w14:textId="136380EC" w:rsidR="00EE7A13" w:rsidRDefault="00EE7A13" w:rsidP="00613EB8">
      <w:pPr>
        <w:pStyle w:val="Text-Normaln"/>
        <w:widowControl w:val="0"/>
        <w:numPr>
          <w:ilvl w:val="0"/>
          <w:numId w:val="77"/>
        </w:numPr>
        <w:ind w:left="426" w:hanging="426"/>
      </w:pPr>
      <w:r>
        <w:t>obtížnost prosadit metodické řízení vůči obecním a krajským úřadům podléhajícím územním samosprávným celkům</w:t>
      </w:r>
      <w:r w:rsidR="00323BF5">
        <w:t>;</w:t>
      </w:r>
    </w:p>
    <w:p w14:paraId="0E602C03" w14:textId="1393B42B" w:rsidR="00FA5473" w:rsidRPr="00C209A5" w:rsidRDefault="00C209A5" w:rsidP="00613EB8">
      <w:pPr>
        <w:pStyle w:val="Text-Normaln"/>
        <w:widowControl w:val="0"/>
        <w:numPr>
          <w:ilvl w:val="0"/>
          <w:numId w:val="77"/>
        </w:numPr>
        <w:ind w:left="426" w:hanging="426"/>
      </w:pPr>
      <w:r>
        <w:t xml:space="preserve">problém systémové podjatosti stavebních úřadů v rámci územních samosprávných </w:t>
      </w:r>
      <w:r w:rsidR="00CC3467">
        <w:t>celků</w:t>
      </w:r>
      <w:r w:rsidR="00DF28BA">
        <w:t>.</w:t>
      </w:r>
    </w:p>
    <w:p w14:paraId="1096222C" w14:textId="77777777" w:rsidR="00165DFF" w:rsidRDefault="00165DFF" w:rsidP="00B71A8C">
      <w:pPr>
        <w:pStyle w:val="Normln-tun"/>
        <w:rPr>
          <w:highlight w:val="yellow"/>
        </w:rPr>
      </w:pPr>
    </w:p>
    <w:p w14:paraId="22131ABB" w14:textId="134E9AD6" w:rsidR="00DE36F1" w:rsidRPr="00234F39" w:rsidRDefault="00165DFF" w:rsidP="00B71A8C">
      <w:pPr>
        <w:pStyle w:val="Normln-tun"/>
        <w:rPr>
          <w:b/>
          <w:bCs/>
          <w:smallCaps/>
        </w:rPr>
      </w:pPr>
      <w:r w:rsidRPr="00234F39">
        <w:rPr>
          <w:b/>
          <w:bCs/>
          <w:smallCaps/>
        </w:rPr>
        <w:t>Aktuální stav implementace nového stavebního zákona</w:t>
      </w:r>
    </w:p>
    <w:p w14:paraId="586ED002" w14:textId="021BCC1F" w:rsidR="00435E5C" w:rsidRDefault="006D5C65" w:rsidP="006D5C65">
      <w:pPr>
        <w:pStyle w:val="Normln-tun"/>
        <w:rPr>
          <w:lang w:eastAsia="cs-CZ"/>
        </w:rPr>
      </w:pPr>
      <w:r>
        <w:rPr>
          <w:lang w:eastAsia="cs-CZ"/>
        </w:rPr>
        <w:t>V létě roku 2021 byl</w:t>
      </w:r>
      <w:r w:rsidR="0065668E">
        <w:rPr>
          <w:lang w:eastAsia="cs-CZ"/>
        </w:rPr>
        <w:t>a</w:t>
      </w:r>
      <w:r>
        <w:rPr>
          <w:lang w:eastAsia="cs-CZ"/>
        </w:rPr>
        <w:t xml:space="preserve"> založen</w:t>
      </w:r>
      <w:r w:rsidR="0065668E">
        <w:rPr>
          <w:lang w:eastAsia="cs-CZ"/>
        </w:rPr>
        <w:t>a</w:t>
      </w:r>
      <w:r>
        <w:rPr>
          <w:lang w:eastAsia="cs-CZ"/>
        </w:rPr>
        <w:t xml:space="preserve"> </w:t>
      </w:r>
      <w:r w:rsidR="00435E5C">
        <w:rPr>
          <w:lang w:eastAsia="cs-CZ"/>
        </w:rPr>
        <w:t xml:space="preserve">samostatná kapitola státního rozpočtu </w:t>
      </w:r>
      <w:r w:rsidR="0065668E">
        <w:rPr>
          <w:lang w:eastAsia="cs-CZ"/>
        </w:rPr>
        <w:t xml:space="preserve">NSÚ </w:t>
      </w:r>
      <w:r w:rsidR="00435E5C">
        <w:rPr>
          <w:lang w:eastAsia="cs-CZ"/>
        </w:rPr>
        <w:t xml:space="preserve">v Informačním systému Státní pokladny tak, aby mohla být jeho činnost spuštěna k datu jeho vzniku ve smyslu schváleného </w:t>
      </w:r>
      <w:r>
        <w:rPr>
          <w:lang w:eastAsia="cs-CZ"/>
        </w:rPr>
        <w:t xml:space="preserve">nového </w:t>
      </w:r>
      <w:r w:rsidR="00435E5C">
        <w:rPr>
          <w:lang w:eastAsia="cs-CZ"/>
        </w:rPr>
        <w:t xml:space="preserve">stavebního zákona od 1. 1. 2022. </w:t>
      </w:r>
    </w:p>
    <w:p w14:paraId="0D43E481" w14:textId="0B4CB0A1" w:rsidR="00481066" w:rsidRDefault="00481066" w:rsidP="006D5C65">
      <w:pPr>
        <w:pStyle w:val="Normln-tun"/>
        <w:rPr>
          <w:lang w:eastAsia="cs-CZ"/>
        </w:rPr>
      </w:pPr>
      <w:r>
        <w:rPr>
          <w:lang w:eastAsia="cs-CZ"/>
        </w:rPr>
        <w:t>Dvakrát proběhlo výběrové řízení na předsedu NSÚ, ale nikdo nebyl vybrán.</w:t>
      </w:r>
    </w:p>
    <w:p w14:paraId="0159F1CC" w14:textId="40566391" w:rsidR="006D5C65" w:rsidRDefault="006D5C65" w:rsidP="006D5C65">
      <w:pPr>
        <w:pStyle w:val="Normln-tun"/>
        <w:rPr>
          <w:lang w:eastAsia="cs-CZ"/>
        </w:rPr>
      </w:pPr>
      <w:r>
        <w:rPr>
          <w:lang w:eastAsia="cs-CZ"/>
        </w:rPr>
        <w:t>K 1. 1. 2022 pak NSÚ vznikl, prozatím však pouze „na papíře“, tj, nemá žádné zaměstnance ani žádnou agendu (kterou by měl reálně začít vykonávat až od roku 2023).</w:t>
      </w:r>
      <w:r w:rsidR="00481066" w:rsidRPr="00481066">
        <w:rPr>
          <w:lang w:eastAsia="cs-CZ"/>
        </w:rPr>
        <w:t xml:space="preserve"> </w:t>
      </w:r>
      <w:r w:rsidR="00481066">
        <w:rPr>
          <w:lang w:eastAsia="cs-CZ"/>
        </w:rPr>
        <w:t>Došlo ke zřízení 10 systemizovaných míst pro výkon agendy NSÚ</w:t>
      </w:r>
      <w:r w:rsidR="0065668E">
        <w:rPr>
          <w:lang w:eastAsia="cs-CZ"/>
        </w:rPr>
        <w:t xml:space="preserve"> </w:t>
      </w:r>
      <w:r w:rsidR="00481066">
        <w:rPr>
          <w:lang w:eastAsia="cs-CZ"/>
        </w:rPr>
        <w:t xml:space="preserve">včetně </w:t>
      </w:r>
      <w:r w:rsidR="006A2653">
        <w:rPr>
          <w:lang w:eastAsia="cs-CZ"/>
        </w:rPr>
        <w:t xml:space="preserve">vyčlenění </w:t>
      </w:r>
      <w:r w:rsidR="00481066">
        <w:rPr>
          <w:lang w:eastAsia="cs-CZ"/>
        </w:rPr>
        <w:t xml:space="preserve">objemu prostředků na platy. </w:t>
      </w:r>
      <w:r w:rsidR="006A2653">
        <w:rPr>
          <w:lang w:eastAsia="cs-CZ"/>
        </w:rPr>
        <w:t>Pro období rozpočtového provizoria byly pro kapitolu NSÚ schváleny požadavky na výdaje za leden a únor v celkové výši 3,9 mil. Kč určené na potenciální výdaje v oblasti provozu, na plat předsedy, nájemné a prvotní výdaje v oblasti ICT. Po skončení rozpočtového provizoria došlo n</w:t>
      </w:r>
      <w:r w:rsidR="00481066">
        <w:rPr>
          <w:lang w:eastAsia="cs-CZ"/>
        </w:rPr>
        <w:t xml:space="preserve">a základě schváleného rozpočtu k odebrání prostředků na platy a </w:t>
      </w:r>
      <w:r w:rsidR="007C57FC">
        <w:rPr>
          <w:lang w:eastAsia="cs-CZ"/>
        </w:rPr>
        <w:t xml:space="preserve">aktuálně nejsou </w:t>
      </w:r>
      <w:r w:rsidR="00481066">
        <w:rPr>
          <w:lang w:eastAsia="cs-CZ"/>
        </w:rPr>
        <w:t xml:space="preserve">tato místa rozpočtově krytá. Zároveň žádné z těchto míst není obsazené a čeká se, jaká bude novela stavebního zákona. </w:t>
      </w:r>
      <w:r w:rsidR="008F2ED5">
        <w:rPr>
          <w:lang w:eastAsia="cs-CZ"/>
        </w:rPr>
        <w:t>Protože je návrh rozpočtu kapitoly 363 Nejvyšší stavební úřad nulový, předpokládá se, že by v případě neschválení legislativních změn a zachování existence NSÚ bylo operativně zahájeno jednání s MF o zajištění potřebných výdajových prostředků.</w:t>
      </w:r>
    </w:p>
    <w:p w14:paraId="12BB96C2" w14:textId="77777777" w:rsidR="003640AE" w:rsidRDefault="003640AE" w:rsidP="003640AE">
      <w:pPr>
        <w:rPr>
          <w:color w:val="FF0000"/>
          <w:highlight w:val="yellow"/>
        </w:rPr>
      </w:pPr>
    </w:p>
    <w:p w14:paraId="71B8CF32" w14:textId="704A2BE3" w:rsidR="003640AE" w:rsidRDefault="000F7AF1" w:rsidP="006D5C65">
      <w:pPr>
        <w:pStyle w:val="Normln-tun"/>
        <w:rPr>
          <w:lang w:eastAsia="cs-CZ"/>
        </w:rPr>
      </w:pPr>
      <w:r w:rsidRPr="000F7AF1">
        <w:rPr>
          <w:lang w:eastAsia="cs-CZ"/>
        </w:rPr>
        <w:t>Ač na valné většině věcí, které v novém stavebním zákoně jsou, panuje shoda, v</w:t>
      </w:r>
      <w:r w:rsidR="00CA68AC">
        <w:rPr>
          <w:lang w:eastAsia="cs-CZ"/>
        </w:rPr>
        <w:t> průběhu schvalov</w:t>
      </w:r>
      <w:r>
        <w:rPr>
          <w:lang w:eastAsia="cs-CZ"/>
        </w:rPr>
        <w:t>acího procesu</w:t>
      </w:r>
      <w:r w:rsidR="00CA68AC">
        <w:rPr>
          <w:lang w:eastAsia="cs-CZ"/>
        </w:rPr>
        <w:t xml:space="preserve"> i po přijetí nového stavebního zákona </w:t>
      </w:r>
      <w:r w:rsidR="00654825">
        <w:rPr>
          <w:lang w:eastAsia="cs-CZ"/>
        </w:rPr>
        <w:t xml:space="preserve">sklidil </w:t>
      </w:r>
      <w:r>
        <w:rPr>
          <w:lang w:eastAsia="cs-CZ"/>
        </w:rPr>
        <w:t xml:space="preserve">silnou kritiku některých dotčených stran </w:t>
      </w:r>
      <w:r w:rsidR="00654825">
        <w:rPr>
          <w:lang w:eastAsia="cs-CZ"/>
        </w:rPr>
        <w:t xml:space="preserve">návrh </w:t>
      </w:r>
      <w:r w:rsidR="001566D6">
        <w:rPr>
          <w:lang w:eastAsia="cs-CZ"/>
        </w:rPr>
        <w:t xml:space="preserve">výše popsané </w:t>
      </w:r>
      <w:r w:rsidR="00654825">
        <w:rPr>
          <w:lang w:eastAsia="cs-CZ"/>
        </w:rPr>
        <w:t>nové institucionální struktury.</w:t>
      </w:r>
      <w:r>
        <w:rPr>
          <w:lang w:eastAsia="cs-CZ"/>
        </w:rPr>
        <w:t xml:space="preserve"> </w:t>
      </w:r>
      <w:r w:rsidR="001566D6">
        <w:rPr>
          <w:lang w:eastAsia="cs-CZ"/>
        </w:rPr>
        <w:t>Kritika</w:t>
      </w:r>
      <w:r>
        <w:rPr>
          <w:lang w:eastAsia="cs-CZ"/>
        </w:rPr>
        <w:t xml:space="preserve"> spočívala především v následujících bodech, které lze</w:t>
      </w:r>
      <w:r w:rsidR="001566D6">
        <w:rPr>
          <w:lang w:eastAsia="cs-CZ"/>
        </w:rPr>
        <w:t xml:space="preserve"> považovat za hlavní problémy nového stavebního zákona:</w:t>
      </w:r>
      <w:r>
        <w:rPr>
          <w:lang w:eastAsia="cs-CZ"/>
        </w:rPr>
        <w:t xml:space="preserve"> </w:t>
      </w:r>
    </w:p>
    <w:p w14:paraId="5519F824" w14:textId="52CEAA45" w:rsidR="00A56AE8" w:rsidRDefault="001566D6" w:rsidP="00613EB8">
      <w:pPr>
        <w:pStyle w:val="Odstavecseseznamem"/>
        <w:numPr>
          <w:ilvl w:val="0"/>
          <w:numId w:val="79"/>
        </w:numPr>
        <w:ind w:left="425" w:hanging="425"/>
        <w:contextualSpacing w:val="0"/>
        <w:rPr>
          <w:lang w:eastAsia="cs-CZ"/>
        </w:rPr>
      </w:pPr>
      <w:r>
        <w:t>Změna institucionální struktury by si vyžádala vysoké jednorázové vý</w:t>
      </w:r>
      <w:r w:rsidR="00CA68AC">
        <w:t>daj</w:t>
      </w:r>
      <w:r>
        <w:t xml:space="preserve">e na </w:t>
      </w:r>
      <w:r w:rsidRPr="00C15AAE">
        <w:rPr>
          <w:lang w:eastAsia="cs-CZ"/>
        </w:rPr>
        <w:t>vytvoření soustavy, personální zajištění</w:t>
      </w:r>
      <w:r>
        <w:rPr>
          <w:lang w:eastAsia="cs-CZ"/>
        </w:rPr>
        <w:t>,</w:t>
      </w:r>
      <w:r w:rsidRPr="00C15AAE">
        <w:rPr>
          <w:lang w:eastAsia="cs-CZ"/>
        </w:rPr>
        <w:t xml:space="preserve"> </w:t>
      </w:r>
      <w:r w:rsidR="00CA68AC">
        <w:t>materiální zabezpečení nových úřadů</w:t>
      </w:r>
      <w:r>
        <w:t>.</w:t>
      </w:r>
      <w:r w:rsidR="00A56AE8" w:rsidRPr="00C15AAE">
        <w:rPr>
          <w:lang w:eastAsia="cs-CZ"/>
        </w:rPr>
        <w:t xml:space="preserve"> Tyto zdroje je třeba v rámci úspor (úsporného rozpočtu) </w:t>
      </w:r>
      <w:r>
        <w:rPr>
          <w:lang w:eastAsia="cs-CZ"/>
        </w:rPr>
        <w:t xml:space="preserve">aktuálně </w:t>
      </w:r>
      <w:r w:rsidR="00A56AE8" w:rsidRPr="00C15AAE">
        <w:rPr>
          <w:lang w:eastAsia="cs-CZ"/>
        </w:rPr>
        <w:t>využít jinak.</w:t>
      </w:r>
    </w:p>
    <w:p w14:paraId="7D30210F" w14:textId="48F98EC1" w:rsidR="00BB0E73" w:rsidRPr="00234F39" w:rsidRDefault="00993D67" w:rsidP="00613EB8">
      <w:pPr>
        <w:pStyle w:val="Odstavecseseznamem"/>
        <w:numPr>
          <w:ilvl w:val="0"/>
          <w:numId w:val="79"/>
        </w:numPr>
        <w:ind w:left="425" w:hanging="425"/>
        <w:contextualSpacing w:val="0"/>
        <w:rPr>
          <w:lang w:eastAsia="cs-CZ"/>
        </w:rPr>
      </w:pPr>
      <w:r>
        <w:rPr>
          <w:lang w:eastAsia="cs-CZ"/>
        </w:rPr>
        <w:t xml:space="preserve">Hlavním vnímaným rizikem je potenciální </w:t>
      </w:r>
      <w:r w:rsidR="00CA68AC">
        <w:t>paralýz</w:t>
      </w:r>
      <w:r>
        <w:t>a</w:t>
      </w:r>
      <w:r w:rsidR="00CA68AC">
        <w:t xml:space="preserve"> orgánů, které rozhodují v oblasti stavebního řízení, a to </w:t>
      </w:r>
      <w:r>
        <w:t>kvůli</w:t>
      </w:r>
      <w:r w:rsidR="00CA68AC">
        <w:t xml:space="preserve"> stěhování úředníků, </w:t>
      </w:r>
      <w:r>
        <w:t>spisové rozluce apod.</w:t>
      </w:r>
      <w:r w:rsidR="00CA68AC">
        <w:t xml:space="preserve">, a ve výsledku tak zhoršení stavu </w:t>
      </w:r>
      <w:r>
        <w:t>v oblasti</w:t>
      </w:r>
      <w:r w:rsidR="00CA68AC">
        <w:t xml:space="preserve"> povolování staveb </w:t>
      </w:r>
      <w:r>
        <w:t xml:space="preserve">a v </w:t>
      </w:r>
      <w:r w:rsidR="00CA68AC">
        <w:t>české</w:t>
      </w:r>
      <w:r>
        <w:t>m</w:t>
      </w:r>
      <w:r w:rsidR="00CA68AC">
        <w:t xml:space="preserve"> stavebnictví</w:t>
      </w:r>
      <w:r>
        <w:t xml:space="preserve"> obecně.</w:t>
      </w:r>
      <w:r w:rsidR="00BB0E73" w:rsidRPr="00234F39">
        <w:rPr>
          <w:lang w:eastAsia="cs-CZ"/>
        </w:rPr>
        <w:t xml:space="preserve"> </w:t>
      </w:r>
      <w:r>
        <w:rPr>
          <w:lang w:eastAsia="cs-CZ"/>
        </w:rPr>
        <w:t xml:space="preserve">Tato skutečnost se pak promítá do odhadu možných přínosů nového stavebního zákona. </w:t>
      </w:r>
      <w:r w:rsidR="00BB0E73" w:rsidRPr="00234F39">
        <w:rPr>
          <w:lang w:eastAsia="cs-CZ"/>
        </w:rPr>
        <w:t xml:space="preserve">Zachování stavebních úřadů na úrovni obcí </w:t>
      </w:r>
      <w:r>
        <w:rPr>
          <w:lang w:eastAsia="cs-CZ"/>
        </w:rPr>
        <w:t xml:space="preserve">(i když ne všech) a krajů </w:t>
      </w:r>
      <w:r w:rsidR="00BB0E73" w:rsidRPr="00234F39">
        <w:rPr>
          <w:lang w:eastAsia="cs-CZ"/>
        </w:rPr>
        <w:t>znamená menší přesuny</w:t>
      </w:r>
      <w:r>
        <w:rPr>
          <w:lang w:eastAsia="cs-CZ"/>
        </w:rPr>
        <w:t xml:space="preserve"> a jistější dosažení cílů</w:t>
      </w:r>
      <w:r w:rsidR="00BB0E73" w:rsidRPr="00234F39">
        <w:rPr>
          <w:lang w:eastAsia="cs-CZ"/>
        </w:rPr>
        <w:t>.</w:t>
      </w:r>
    </w:p>
    <w:p w14:paraId="44FEF053" w14:textId="259A4AF7" w:rsidR="00A11E39" w:rsidRPr="00234F39" w:rsidRDefault="00A5556E" w:rsidP="00613EB8">
      <w:pPr>
        <w:pStyle w:val="Odstavecseseznamem"/>
        <w:numPr>
          <w:ilvl w:val="0"/>
          <w:numId w:val="79"/>
        </w:numPr>
        <w:ind w:left="425" w:hanging="425"/>
        <w:contextualSpacing w:val="0"/>
      </w:pPr>
      <w:r>
        <w:rPr>
          <w:lang w:eastAsia="cs-CZ"/>
        </w:rPr>
        <w:lastRenderedPageBreak/>
        <w:t xml:space="preserve">Zásadním problémem je i </w:t>
      </w:r>
      <w:r w:rsidR="001A377B">
        <w:rPr>
          <w:lang w:eastAsia="cs-CZ"/>
        </w:rPr>
        <w:t>nesouhlas územně samosprávných celků a Ministerstva vnitra</w:t>
      </w:r>
      <w:r w:rsidR="00581D88">
        <w:rPr>
          <w:lang w:eastAsia="cs-CZ"/>
        </w:rPr>
        <w:t xml:space="preserve"> se změnou institucionální struktury</w:t>
      </w:r>
      <w:r>
        <w:rPr>
          <w:lang w:eastAsia="cs-CZ"/>
        </w:rPr>
        <w:t>;</w:t>
      </w:r>
      <w:r w:rsidR="001A377B">
        <w:rPr>
          <w:lang w:eastAsia="cs-CZ"/>
        </w:rPr>
        <w:t xml:space="preserve"> </w:t>
      </w:r>
      <w:r>
        <w:rPr>
          <w:lang w:eastAsia="cs-CZ"/>
        </w:rPr>
        <w:t xml:space="preserve">ač by </w:t>
      </w:r>
      <w:r w:rsidR="001A377B">
        <w:rPr>
          <w:lang w:eastAsia="cs-CZ"/>
        </w:rPr>
        <w:t xml:space="preserve">s přenesením stavebního řízení do „čisté“ státní správy měl být zachován </w:t>
      </w:r>
      <w:r w:rsidR="00BB0E73" w:rsidRPr="00234F39">
        <w:rPr>
          <w:lang w:eastAsia="cs-CZ"/>
        </w:rPr>
        <w:t>model výkonu státní správy v</w:t>
      </w:r>
      <w:r w:rsidR="00A11E39" w:rsidRPr="00234F39">
        <w:rPr>
          <w:lang w:eastAsia="cs-CZ"/>
        </w:rPr>
        <w:t xml:space="preserve"> přenesen</w:t>
      </w:r>
      <w:r w:rsidR="00BB0E73" w:rsidRPr="00234F39">
        <w:rPr>
          <w:lang w:eastAsia="cs-CZ"/>
        </w:rPr>
        <w:t>é</w:t>
      </w:r>
      <w:r w:rsidR="00A11E39" w:rsidRPr="00234F39">
        <w:rPr>
          <w:lang w:eastAsia="cs-CZ"/>
        </w:rPr>
        <w:t xml:space="preserve"> působnost</w:t>
      </w:r>
      <w:r w:rsidR="00BB0E73" w:rsidRPr="00234F39">
        <w:rPr>
          <w:lang w:eastAsia="cs-CZ"/>
        </w:rPr>
        <w:t>i</w:t>
      </w:r>
      <w:r w:rsidR="00A11E39" w:rsidRPr="00234F39">
        <w:rPr>
          <w:lang w:eastAsia="cs-CZ"/>
        </w:rPr>
        <w:t xml:space="preserve"> obcí a krajů </w:t>
      </w:r>
      <w:r>
        <w:rPr>
          <w:lang w:eastAsia="cs-CZ"/>
        </w:rPr>
        <w:t xml:space="preserve">u jiných agend, hrozí zde, že se </w:t>
      </w:r>
      <w:r w:rsidR="00BB0E73" w:rsidRPr="00234F39">
        <w:rPr>
          <w:lang w:eastAsia="cs-CZ"/>
        </w:rPr>
        <w:t xml:space="preserve">změnami by </w:t>
      </w:r>
      <w:r>
        <w:rPr>
          <w:lang w:eastAsia="cs-CZ"/>
        </w:rPr>
        <w:t xml:space="preserve">mohlo </w:t>
      </w:r>
      <w:r w:rsidR="00BB0E73" w:rsidRPr="00234F39">
        <w:rPr>
          <w:lang w:eastAsia="cs-CZ"/>
        </w:rPr>
        <w:t>dojít</w:t>
      </w:r>
      <w:r w:rsidR="00A11E39" w:rsidRPr="00234F39">
        <w:rPr>
          <w:lang w:eastAsia="cs-CZ"/>
        </w:rPr>
        <w:t xml:space="preserve"> k „rozbití“ modelu smíšeného výkonu státní správy</w:t>
      </w:r>
      <w:r w:rsidR="00BB0E73" w:rsidRPr="00234F39">
        <w:rPr>
          <w:lang w:eastAsia="cs-CZ"/>
        </w:rPr>
        <w:t>.</w:t>
      </w:r>
    </w:p>
    <w:p w14:paraId="73C6D2CF" w14:textId="26500FF8" w:rsidR="00413D7E" w:rsidRDefault="00A5556E" w:rsidP="00613EB8">
      <w:pPr>
        <w:pStyle w:val="Odstavecseseznamem"/>
        <w:numPr>
          <w:ilvl w:val="0"/>
          <w:numId w:val="79"/>
        </w:numPr>
        <w:ind w:left="425" w:hanging="425"/>
        <w:contextualSpacing w:val="0"/>
      </w:pPr>
      <w:r>
        <w:rPr>
          <w:lang w:eastAsia="cs-CZ"/>
        </w:rPr>
        <w:t>Část dotčených subjektů zastává názor, že p</w:t>
      </w:r>
      <w:r w:rsidR="00413D7E" w:rsidRPr="00234F39">
        <w:rPr>
          <w:lang w:eastAsia="cs-CZ"/>
        </w:rPr>
        <w:t>roblém</w:t>
      </w:r>
      <w:r>
        <w:rPr>
          <w:lang w:eastAsia="cs-CZ"/>
        </w:rPr>
        <w:t>y</w:t>
      </w:r>
      <w:r w:rsidR="00413D7E" w:rsidRPr="00234F39">
        <w:rPr>
          <w:lang w:eastAsia="cs-CZ"/>
        </w:rPr>
        <w:t xml:space="preserve"> lze vyřešit především díky digitalizaci</w:t>
      </w:r>
      <w:r w:rsidR="00234F39">
        <w:rPr>
          <w:lang w:eastAsia="cs-CZ"/>
        </w:rPr>
        <w:t>.</w:t>
      </w:r>
    </w:p>
    <w:p w14:paraId="03266E1B" w14:textId="185E7508" w:rsidR="000F7AF1" w:rsidRDefault="00581D88" w:rsidP="000F7AF1">
      <w:r>
        <w:t>Je proto potřeba najít jiné řešení</w:t>
      </w:r>
      <w:r w:rsidR="00AA7E86">
        <w:t xml:space="preserve"> problémů</w:t>
      </w:r>
      <w:r>
        <w:t xml:space="preserve">, které byly ve vazbě na institucionální strukturu identifikovány v RIA k novému stavebnímu zákonu, </w:t>
      </w:r>
      <w:r w:rsidR="00AA7E86">
        <w:t>tj.</w:t>
      </w:r>
    </w:p>
    <w:p w14:paraId="3705D330" w14:textId="77777777" w:rsidR="000F7AF1" w:rsidRDefault="000F7AF1" w:rsidP="00613EB8">
      <w:pPr>
        <w:pStyle w:val="Text-Normaln"/>
        <w:widowControl w:val="0"/>
        <w:numPr>
          <w:ilvl w:val="0"/>
          <w:numId w:val="77"/>
        </w:numPr>
        <w:ind w:left="426" w:hanging="426"/>
      </w:pPr>
      <w:r>
        <w:t>nejednotnost, složitost a atomizace stavebního práva mezi množství obecných, speciálních, vojenských a jiných stavebních úřadů a dotčených orgánů, roztříštěnost kompetencí a pluralita odpovědností;</w:t>
      </w:r>
    </w:p>
    <w:p w14:paraId="7583A396" w14:textId="77777777" w:rsidR="000F7AF1" w:rsidRDefault="000F7AF1" w:rsidP="00613EB8">
      <w:pPr>
        <w:pStyle w:val="Text-Normaln"/>
        <w:widowControl w:val="0"/>
        <w:numPr>
          <w:ilvl w:val="0"/>
          <w:numId w:val="77"/>
        </w:numPr>
        <w:ind w:left="426" w:hanging="426"/>
      </w:pPr>
      <w:r>
        <w:t>problematika DO a způsob jejich vyjadřování – množství podkladových aktů pro rozhodnutí o povolení a z toho plynoucí následné problémy v přezkumných a soudních řízeních;</w:t>
      </w:r>
    </w:p>
    <w:p w14:paraId="5627B8D0" w14:textId="77777777" w:rsidR="000F7AF1" w:rsidRDefault="000F7AF1" w:rsidP="00613EB8">
      <w:pPr>
        <w:pStyle w:val="Text-Normaln"/>
        <w:widowControl w:val="0"/>
        <w:numPr>
          <w:ilvl w:val="0"/>
          <w:numId w:val="77"/>
        </w:numPr>
        <w:ind w:left="426" w:hanging="426"/>
      </w:pPr>
      <w:r>
        <w:t xml:space="preserve">personální a materiální vybavení stavebních úřadů zejména v obecních úřadech v prvním stupni, </w:t>
      </w:r>
      <w:r w:rsidRPr="00C209A5">
        <w:t xml:space="preserve">nižší míra transparentnosti ve využívání finančních příspěvků na činnost </w:t>
      </w:r>
      <w:r>
        <w:t xml:space="preserve">stavebních </w:t>
      </w:r>
      <w:r w:rsidRPr="00C209A5">
        <w:t>úřadů</w:t>
      </w:r>
      <w:r>
        <w:t>;</w:t>
      </w:r>
    </w:p>
    <w:p w14:paraId="4CE9DF33" w14:textId="77777777" w:rsidR="000F7AF1" w:rsidRDefault="000F7AF1" w:rsidP="00613EB8">
      <w:pPr>
        <w:pStyle w:val="Text-Normaln"/>
        <w:widowControl w:val="0"/>
        <w:numPr>
          <w:ilvl w:val="0"/>
          <w:numId w:val="77"/>
        </w:numPr>
        <w:ind w:left="426" w:hanging="426"/>
      </w:pPr>
      <w:r>
        <w:t>obtížnost prosadit metodické řízení vůči obecním a krajským úřadům podléhajícím územním samosprávným celkům;</w:t>
      </w:r>
    </w:p>
    <w:p w14:paraId="432486FC" w14:textId="77777777" w:rsidR="000F7AF1" w:rsidRPr="00C209A5" w:rsidRDefault="000F7AF1" w:rsidP="00613EB8">
      <w:pPr>
        <w:pStyle w:val="Text-Normaln"/>
        <w:widowControl w:val="0"/>
        <w:numPr>
          <w:ilvl w:val="0"/>
          <w:numId w:val="77"/>
        </w:numPr>
        <w:ind w:left="426" w:hanging="426"/>
      </w:pPr>
      <w:r>
        <w:t>problém systémové podjatosti stavebních úřadů v rámci územních samosprávných celků.</w:t>
      </w:r>
    </w:p>
    <w:p w14:paraId="5F4B31B2" w14:textId="4E3E3D9A" w:rsidR="00AA7E86" w:rsidRDefault="00581D88" w:rsidP="00581D88">
      <w:pPr>
        <w:pStyle w:val="Normln-tun"/>
      </w:pPr>
      <w:r>
        <w:t xml:space="preserve">Na způsobu řešení problémů v jiných věcných okruzích, </w:t>
      </w:r>
      <w:r w:rsidR="00AA7E86">
        <w:t>se</w:t>
      </w:r>
      <w:r>
        <w:t xml:space="preserve"> </w:t>
      </w:r>
      <w:r w:rsidR="00AA7E86">
        <w:t xml:space="preserve">kterými </w:t>
      </w:r>
      <w:r>
        <w:t>nový stavební zákon př</w:t>
      </w:r>
      <w:r w:rsidR="00AA7E86">
        <w:t>išel</w:t>
      </w:r>
      <w:r>
        <w:t>, panuje víceméně shoda</w:t>
      </w:r>
      <w:r w:rsidR="00AA7E86">
        <w:t xml:space="preserve">. Způsob přezkumu jejich účinnosti byl navržen v RIA k novému stavebnímu zákonu. Aktuálně je hodnotit je prozatím nelze. </w:t>
      </w:r>
    </w:p>
    <w:p w14:paraId="5E173DCF" w14:textId="77777777" w:rsidR="006662F4" w:rsidRDefault="006662F4" w:rsidP="007B1A7B">
      <w:pPr>
        <w:pStyle w:val="Normln-tun"/>
        <w:rPr>
          <w:b/>
          <w:bCs/>
        </w:rPr>
      </w:pPr>
    </w:p>
    <w:p w14:paraId="4AD0CEFB" w14:textId="73C65257" w:rsidR="002D3B15" w:rsidRPr="00795817" w:rsidRDefault="002D3B15" w:rsidP="00FA4BB8">
      <w:pPr>
        <w:pStyle w:val="Nadpis20"/>
      </w:pPr>
      <w:r w:rsidRPr="00795817">
        <w:t xml:space="preserve">Popis existujícího právního stavu v dané oblasti </w:t>
      </w:r>
      <w:bookmarkStart w:id="19" w:name="_Toc98324291"/>
      <w:bookmarkStart w:id="20" w:name="_Toc98326058"/>
      <w:bookmarkStart w:id="21" w:name="_Toc99039540"/>
      <w:bookmarkStart w:id="22" w:name="_Toc99099874"/>
      <w:bookmarkStart w:id="23" w:name="_Toc99544563"/>
      <w:bookmarkEnd w:id="19"/>
      <w:bookmarkEnd w:id="20"/>
      <w:bookmarkEnd w:id="21"/>
      <w:bookmarkEnd w:id="22"/>
      <w:bookmarkEnd w:id="23"/>
    </w:p>
    <w:p w14:paraId="302DCAE7" w14:textId="2942302C" w:rsidR="00F41FBD" w:rsidRDefault="00F41FBD" w:rsidP="00F41FBD">
      <w:pPr>
        <w:pStyle w:val="Text-Normaln"/>
        <w:widowControl w:val="0"/>
      </w:pPr>
      <w:r>
        <w:t xml:space="preserve">Navrhovaná změna se, stejně jako tomu bylo u nového stavebního zákona, může dotknout značného množství předpisů. </w:t>
      </w:r>
      <w:r w:rsidR="005262DC">
        <w:t xml:space="preserve">Následuje proto pouze </w:t>
      </w:r>
      <w:r>
        <w:t>demonstrativní seznam klíčových předpisů</w:t>
      </w:r>
      <w:r w:rsidR="005262DC">
        <w:t>:</w:t>
      </w:r>
    </w:p>
    <w:p w14:paraId="43D7EABC" w14:textId="467AE3D5" w:rsidR="00F41FBD" w:rsidRDefault="00F41FBD" w:rsidP="00613EB8">
      <w:pPr>
        <w:pStyle w:val="Text-Normaln"/>
        <w:widowControl w:val="0"/>
        <w:numPr>
          <w:ilvl w:val="0"/>
          <w:numId w:val="78"/>
        </w:numPr>
        <w:ind w:left="284" w:hanging="284"/>
      </w:pPr>
      <w:r>
        <w:t>Zákon č. 283/2021 Sb., stavební zákon</w:t>
      </w:r>
    </w:p>
    <w:p w14:paraId="5CA6B5FD" w14:textId="77777777" w:rsidR="00F41FBD" w:rsidRDefault="00F41FBD" w:rsidP="00613EB8">
      <w:pPr>
        <w:pStyle w:val="Text-Normaln"/>
        <w:widowControl w:val="0"/>
        <w:numPr>
          <w:ilvl w:val="0"/>
          <w:numId w:val="78"/>
        </w:numPr>
        <w:ind w:left="284" w:hanging="284"/>
      </w:pPr>
      <w:r>
        <w:t xml:space="preserve">Zákon č. 2/1969 Sb., o zřízení ministerstev a jiných ústředních orgánů státní správy České republiky (kompetenční zákon), ve znění pozdějších předpisů; </w:t>
      </w:r>
    </w:p>
    <w:p w14:paraId="02A08295" w14:textId="77777777" w:rsidR="00F41FBD" w:rsidRDefault="00F41FBD" w:rsidP="00613EB8">
      <w:pPr>
        <w:pStyle w:val="Text-Normaln"/>
        <w:widowControl w:val="0"/>
        <w:numPr>
          <w:ilvl w:val="0"/>
          <w:numId w:val="78"/>
        </w:numPr>
        <w:ind w:left="284" w:hanging="284"/>
      </w:pPr>
      <w:r>
        <w:t xml:space="preserve">Zákon č. 128/2000 Sb., o obcích (obecní zřízení), ve znění pozdějších předpisů; </w:t>
      </w:r>
    </w:p>
    <w:p w14:paraId="62BE2F2C" w14:textId="77777777" w:rsidR="00F41FBD" w:rsidRDefault="00F41FBD" w:rsidP="00613EB8">
      <w:pPr>
        <w:pStyle w:val="Text-Normaln"/>
        <w:widowControl w:val="0"/>
        <w:numPr>
          <w:ilvl w:val="0"/>
          <w:numId w:val="78"/>
        </w:numPr>
        <w:ind w:left="284" w:hanging="284"/>
      </w:pPr>
      <w:r>
        <w:t xml:space="preserve">Zákon č. 129/2000 Sb., o krajích (krajské zřízení), ve znění pozdějších předpisů; </w:t>
      </w:r>
    </w:p>
    <w:p w14:paraId="352488CC" w14:textId="77777777" w:rsidR="00F41FBD" w:rsidRDefault="00F41FBD" w:rsidP="00613EB8">
      <w:pPr>
        <w:pStyle w:val="Text-Normaln"/>
        <w:widowControl w:val="0"/>
        <w:numPr>
          <w:ilvl w:val="0"/>
          <w:numId w:val="78"/>
        </w:numPr>
        <w:ind w:left="284" w:hanging="284"/>
      </w:pPr>
      <w:r>
        <w:t xml:space="preserve">Zákon č. 131/2000 Sb., o hlavním městě Praze, ve znění pozdějších předpisů; </w:t>
      </w:r>
    </w:p>
    <w:p w14:paraId="55A0D479" w14:textId="77777777" w:rsidR="00F41FBD" w:rsidRDefault="00F41FBD" w:rsidP="00613EB8">
      <w:pPr>
        <w:pStyle w:val="Text-Normaln"/>
        <w:widowControl w:val="0"/>
        <w:numPr>
          <w:ilvl w:val="0"/>
          <w:numId w:val="78"/>
        </w:numPr>
        <w:ind w:left="284" w:hanging="284"/>
      </w:pPr>
      <w:r>
        <w:t>Zákon č. 314/2002 Sb., o stanovení obcí s pověřeným obecním úřadem a stanovení obcí s rozšířenou působností, ve znění pozdějších předpisů;</w:t>
      </w:r>
    </w:p>
    <w:p w14:paraId="544668C4" w14:textId="77777777" w:rsidR="00F41FBD" w:rsidRDefault="00F41FBD" w:rsidP="00613EB8">
      <w:pPr>
        <w:pStyle w:val="Text-Normaln"/>
        <w:widowControl w:val="0"/>
        <w:numPr>
          <w:ilvl w:val="0"/>
          <w:numId w:val="78"/>
        </w:numPr>
        <w:ind w:left="284" w:hanging="284"/>
      </w:pPr>
      <w:r>
        <w:t xml:space="preserve">Zákon č. 114/1992 Sb., o ochraně přírody a krajiny, ve znění pozdějších předpisů; </w:t>
      </w:r>
    </w:p>
    <w:p w14:paraId="2C2E00AB" w14:textId="77777777" w:rsidR="00F41FBD" w:rsidRDefault="00F41FBD" w:rsidP="00613EB8">
      <w:pPr>
        <w:pStyle w:val="Text-Normaln"/>
        <w:widowControl w:val="0"/>
        <w:numPr>
          <w:ilvl w:val="0"/>
          <w:numId w:val="78"/>
        </w:numPr>
        <w:ind w:left="284" w:hanging="284"/>
      </w:pPr>
      <w:r>
        <w:t xml:space="preserve">Zákon č. 100/2001 Sb., o posuzování vlivů na životní prostředí a o změně některých souvisejících zákonů (zákon o posuzování vlivů na životní prostředí), ve znění pozdějších předpisů; </w:t>
      </w:r>
    </w:p>
    <w:p w14:paraId="737747CC" w14:textId="77777777" w:rsidR="00F41FBD" w:rsidRDefault="00F41FBD" w:rsidP="00613EB8">
      <w:pPr>
        <w:pStyle w:val="Text-Normaln"/>
        <w:widowControl w:val="0"/>
        <w:numPr>
          <w:ilvl w:val="0"/>
          <w:numId w:val="78"/>
        </w:numPr>
        <w:ind w:left="284" w:hanging="284"/>
      </w:pPr>
      <w:r>
        <w:t xml:space="preserve">Zákon č. 184/2006 Sb., o odnětí nebo omezení vlastnického práva k pozemku nebo ke stavbě </w:t>
      </w:r>
      <w:r>
        <w:lastRenderedPageBreak/>
        <w:t>(zákon o vyvlastnění), ve znění pozdějších předpisů;</w:t>
      </w:r>
    </w:p>
    <w:p w14:paraId="420A60D5" w14:textId="77777777" w:rsidR="00F41FBD" w:rsidRDefault="00F41FBD" w:rsidP="00613EB8">
      <w:pPr>
        <w:pStyle w:val="Text-Normaln"/>
        <w:widowControl w:val="0"/>
        <w:numPr>
          <w:ilvl w:val="0"/>
          <w:numId w:val="78"/>
        </w:numPr>
        <w:ind w:left="284" w:hanging="284"/>
      </w:pPr>
      <w:r>
        <w:t xml:space="preserve">Zákon č. 416/2009 Sb., o urychlení výstavby dopravní, vodní a energetické infrastruktury a infrastruktury elektronických komunikací, ve znění pozdějších předpisů; </w:t>
      </w:r>
    </w:p>
    <w:p w14:paraId="2331B1CF" w14:textId="77777777" w:rsidR="00F41FBD" w:rsidRDefault="00F41FBD" w:rsidP="00613EB8">
      <w:pPr>
        <w:pStyle w:val="Text-Normaln"/>
        <w:widowControl w:val="0"/>
        <w:numPr>
          <w:ilvl w:val="0"/>
          <w:numId w:val="78"/>
        </w:numPr>
        <w:ind w:left="284" w:hanging="284"/>
      </w:pPr>
      <w:r>
        <w:t xml:space="preserve">Zákon č. 194/2017 Sb., o opatřeních ke snížení nákladů na zavádění vysokorychlostních sítí elektronických komunikací, ve znění pozdějších předpisů; </w:t>
      </w:r>
    </w:p>
    <w:p w14:paraId="447F114A" w14:textId="77777777" w:rsidR="00F41FBD" w:rsidRDefault="00F41FBD" w:rsidP="00613EB8">
      <w:pPr>
        <w:pStyle w:val="Text-Normaln"/>
        <w:widowControl w:val="0"/>
        <w:numPr>
          <w:ilvl w:val="0"/>
          <w:numId w:val="78"/>
        </w:numPr>
        <w:ind w:left="284" w:hanging="284"/>
      </w:pPr>
      <w:r>
        <w:t xml:space="preserve">Zákon č. 289/1995 Sb., o lesích a o změně a doplnění některých zákonů (lesní zákon), ve znění pozdějších předpisů; </w:t>
      </w:r>
    </w:p>
    <w:p w14:paraId="59C71B79" w14:textId="77777777" w:rsidR="00F41FBD" w:rsidRDefault="00F41FBD" w:rsidP="00613EB8">
      <w:pPr>
        <w:pStyle w:val="Text-Normaln"/>
        <w:widowControl w:val="0"/>
        <w:numPr>
          <w:ilvl w:val="0"/>
          <w:numId w:val="78"/>
        </w:numPr>
        <w:ind w:left="284" w:hanging="284"/>
      </w:pPr>
      <w:r>
        <w:t>Zákon č. 13/1997 Sb., o pozemních komunikacích, ve znění pozdějších předpisů;</w:t>
      </w:r>
    </w:p>
    <w:p w14:paraId="4675D7C2" w14:textId="77777777" w:rsidR="00F41FBD" w:rsidRDefault="00F41FBD" w:rsidP="00613EB8">
      <w:pPr>
        <w:pStyle w:val="Text-Normaln"/>
        <w:widowControl w:val="0"/>
        <w:numPr>
          <w:ilvl w:val="0"/>
          <w:numId w:val="78"/>
        </w:numPr>
        <w:ind w:left="284" w:hanging="284"/>
      </w:pPr>
      <w:r>
        <w:t>Zákon č. 266/1994 Sb., o dráhách, ve znění pozdějších předpisů;</w:t>
      </w:r>
    </w:p>
    <w:p w14:paraId="2D9FC4AA" w14:textId="77777777" w:rsidR="00F41FBD" w:rsidRDefault="00F41FBD" w:rsidP="00613EB8">
      <w:pPr>
        <w:pStyle w:val="Text-Normaln"/>
        <w:widowControl w:val="0"/>
        <w:numPr>
          <w:ilvl w:val="0"/>
          <w:numId w:val="78"/>
        </w:numPr>
        <w:ind w:left="284" w:hanging="284"/>
      </w:pPr>
      <w:r>
        <w:t>Zákon č. 185/2001 Sb., o odpadech a o změně některých dalších zákonů, ve znění pozdějších předpisů;</w:t>
      </w:r>
    </w:p>
    <w:p w14:paraId="65487E27" w14:textId="77777777" w:rsidR="00F41FBD" w:rsidRDefault="00F41FBD" w:rsidP="00613EB8">
      <w:pPr>
        <w:pStyle w:val="Text-Normaln"/>
        <w:widowControl w:val="0"/>
        <w:numPr>
          <w:ilvl w:val="0"/>
          <w:numId w:val="78"/>
        </w:numPr>
        <w:ind w:left="284" w:hanging="284"/>
      </w:pPr>
      <w:r>
        <w:t>Zákon č. 254/2001 Sb., o vodách a o změně některých zákonů (vodní zákon), ve znění pozdějších předpisů;</w:t>
      </w:r>
    </w:p>
    <w:p w14:paraId="291C9A8D" w14:textId="77777777" w:rsidR="00F41FBD" w:rsidRDefault="00F41FBD" w:rsidP="00613EB8">
      <w:pPr>
        <w:pStyle w:val="Text-Normaln"/>
        <w:widowControl w:val="0"/>
        <w:numPr>
          <w:ilvl w:val="0"/>
          <w:numId w:val="78"/>
        </w:numPr>
        <w:ind w:left="284" w:hanging="284"/>
      </w:pPr>
      <w:r>
        <w:t>Zákon č. 274/2001 Sb., o vodovodech a kanalizacích pro veřejnou potřebu a o změně některých zákonů (zákon o vodovodech a kanalizacích), ve znění pozdějších předpisů;</w:t>
      </w:r>
    </w:p>
    <w:p w14:paraId="4961DAC7" w14:textId="77777777" w:rsidR="00F41FBD" w:rsidRDefault="00F41FBD" w:rsidP="00613EB8">
      <w:pPr>
        <w:pStyle w:val="Text-Normaln"/>
        <w:widowControl w:val="0"/>
        <w:numPr>
          <w:ilvl w:val="0"/>
          <w:numId w:val="78"/>
        </w:numPr>
        <w:ind w:left="284" w:hanging="284"/>
      </w:pPr>
      <w:r>
        <w:t>Zákon č. 201/2012 Sb., o ochraně ovzduší, ve znění pozdějších předpisů;</w:t>
      </w:r>
    </w:p>
    <w:p w14:paraId="4A12F00A" w14:textId="77777777" w:rsidR="00F41FBD" w:rsidRDefault="00F41FBD" w:rsidP="00613EB8">
      <w:pPr>
        <w:pStyle w:val="Text-Normaln"/>
        <w:widowControl w:val="0"/>
        <w:numPr>
          <w:ilvl w:val="0"/>
          <w:numId w:val="78"/>
        </w:numPr>
        <w:ind w:left="284" w:hanging="284"/>
      </w:pPr>
      <w:r>
        <w:t>Zákon č. 334/1992 Sb., o ochraně zemědělského půdního fondu, ve znění pozdějších předpisů;</w:t>
      </w:r>
    </w:p>
    <w:p w14:paraId="538F911D" w14:textId="77777777" w:rsidR="00F41FBD" w:rsidRDefault="00F41FBD" w:rsidP="00613EB8">
      <w:pPr>
        <w:pStyle w:val="Text-Normaln"/>
        <w:widowControl w:val="0"/>
        <w:numPr>
          <w:ilvl w:val="0"/>
          <w:numId w:val="78"/>
        </w:numPr>
        <w:ind w:left="284" w:hanging="284"/>
      </w:pPr>
      <w:r>
        <w:t>Zákon č. 139/2002 Sb., o pozemkových úpravách a pozemkových úřadech, ve znění pozdějších předpisů;</w:t>
      </w:r>
    </w:p>
    <w:p w14:paraId="485B02BA" w14:textId="77777777" w:rsidR="00F41FBD" w:rsidRDefault="00F41FBD" w:rsidP="00613EB8">
      <w:pPr>
        <w:pStyle w:val="Text-Normaln"/>
        <w:widowControl w:val="0"/>
        <w:numPr>
          <w:ilvl w:val="0"/>
          <w:numId w:val="78"/>
        </w:numPr>
        <w:ind w:left="284" w:hanging="284"/>
      </w:pPr>
      <w:r>
        <w:t>Zákon č. 44/1988 Sb., o ochraně a využití nerostného bohatství (horní zákon), ve znění pozdějších předpisů;</w:t>
      </w:r>
    </w:p>
    <w:p w14:paraId="668467A5" w14:textId="77777777" w:rsidR="00F41FBD" w:rsidRDefault="00F41FBD" w:rsidP="00613EB8">
      <w:pPr>
        <w:pStyle w:val="Text-Normaln"/>
        <w:widowControl w:val="0"/>
        <w:numPr>
          <w:ilvl w:val="0"/>
          <w:numId w:val="78"/>
        </w:numPr>
        <w:ind w:left="284" w:hanging="284"/>
      </w:pPr>
      <w:r>
        <w:t>Zákon č. 164/2001 Sb., o přírodních léčivých zdrojích, zdrojích přírodních minerálních vod, přírodních léčebných lázních a lázeňských místech a o změně některých souvisejících zákonů (lázeňský zákon), ve znění pozdějších předpisů;</w:t>
      </w:r>
    </w:p>
    <w:p w14:paraId="00890920" w14:textId="77777777" w:rsidR="00F41FBD" w:rsidRDefault="00F41FBD" w:rsidP="00613EB8">
      <w:pPr>
        <w:pStyle w:val="Text-Normaln"/>
        <w:widowControl w:val="0"/>
        <w:numPr>
          <w:ilvl w:val="0"/>
          <w:numId w:val="78"/>
        </w:numPr>
        <w:ind w:left="284" w:hanging="284"/>
      </w:pPr>
      <w:r>
        <w:t>Zákon č. 62/1988 Sb., o geologických pracích, ve znění pozdějších předpisů;</w:t>
      </w:r>
    </w:p>
    <w:p w14:paraId="242FBE7C" w14:textId="77777777" w:rsidR="00F41FBD" w:rsidRDefault="00F41FBD" w:rsidP="00613EB8">
      <w:pPr>
        <w:pStyle w:val="Text-Normaln"/>
        <w:widowControl w:val="0"/>
        <w:numPr>
          <w:ilvl w:val="0"/>
          <w:numId w:val="78"/>
        </w:numPr>
        <w:ind w:left="284" w:hanging="284"/>
      </w:pPr>
      <w:r>
        <w:t>Zákon č. 258/2000 Sb., o ochraně veřejného zdraví a o změně některých souvisejících zákonů, ve znění pozdějších předpisů;</w:t>
      </w:r>
    </w:p>
    <w:p w14:paraId="56AB54D1" w14:textId="77777777" w:rsidR="00F41FBD" w:rsidRDefault="00F41FBD" w:rsidP="00613EB8">
      <w:pPr>
        <w:pStyle w:val="Text-Normaln"/>
        <w:widowControl w:val="0"/>
        <w:numPr>
          <w:ilvl w:val="0"/>
          <w:numId w:val="78"/>
        </w:numPr>
        <w:ind w:left="284" w:hanging="284"/>
      </w:pPr>
      <w:r>
        <w:t>Zákon č. 406/2000 Sb., o hospodaření energií, ve znění pozdějších předpisů;</w:t>
      </w:r>
    </w:p>
    <w:p w14:paraId="05E1BCFE" w14:textId="77777777" w:rsidR="00F41FBD" w:rsidRDefault="00F41FBD" w:rsidP="00613EB8">
      <w:pPr>
        <w:pStyle w:val="Text-Normaln"/>
        <w:widowControl w:val="0"/>
        <w:numPr>
          <w:ilvl w:val="0"/>
          <w:numId w:val="78"/>
        </w:numPr>
        <w:ind w:left="284" w:hanging="284"/>
      </w:pPr>
      <w:r>
        <w:t>Zákon č. 76/2002 Sb., o integrované prevenci a omezování znečištění, o integrovaném registru znečišťování (zákon o integrované prevenci);</w:t>
      </w:r>
    </w:p>
    <w:p w14:paraId="401C1D03" w14:textId="77777777" w:rsidR="00F41FBD" w:rsidRDefault="00F41FBD" w:rsidP="00613EB8">
      <w:pPr>
        <w:pStyle w:val="Text-Normaln"/>
        <w:widowControl w:val="0"/>
        <w:numPr>
          <w:ilvl w:val="0"/>
          <w:numId w:val="78"/>
        </w:numPr>
        <w:ind w:left="284" w:hanging="284"/>
      </w:pPr>
      <w:r>
        <w:t>Zákon č. 18/1997 Sb., o mírovém využívání jaderné energie a ionizujícího záření (atomový zákon), ve znění pozdějších předpisů;</w:t>
      </w:r>
    </w:p>
    <w:p w14:paraId="1191D389" w14:textId="77777777" w:rsidR="00F41FBD" w:rsidRDefault="00F41FBD" w:rsidP="00613EB8">
      <w:pPr>
        <w:pStyle w:val="Text-Normaln"/>
        <w:widowControl w:val="0"/>
        <w:numPr>
          <w:ilvl w:val="0"/>
          <w:numId w:val="78"/>
        </w:numPr>
        <w:ind w:left="284" w:hanging="284"/>
      </w:pPr>
      <w:r>
        <w:t>Zákon č. 263/2016 Sb., atomový zákon, ve znění pozdějších předpisů;</w:t>
      </w:r>
    </w:p>
    <w:p w14:paraId="226CE146" w14:textId="77777777" w:rsidR="00F41FBD" w:rsidRDefault="00F41FBD" w:rsidP="00613EB8">
      <w:pPr>
        <w:pStyle w:val="Text-Normaln"/>
        <w:widowControl w:val="0"/>
        <w:numPr>
          <w:ilvl w:val="0"/>
          <w:numId w:val="78"/>
        </w:numPr>
        <w:ind w:left="284" w:hanging="284"/>
      </w:pPr>
      <w:r>
        <w:t>Zákon č. 458/2000 Sb., o podmínkách podnikání a o výkonu státní správy v energetických odvětvích (energetický zákon), ve znění pozdějších předpisů;</w:t>
      </w:r>
    </w:p>
    <w:p w14:paraId="460AFE3D" w14:textId="77777777" w:rsidR="00F41FBD" w:rsidRDefault="00F41FBD" w:rsidP="00613EB8">
      <w:pPr>
        <w:pStyle w:val="Text-Normaln"/>
        <w:widowControl w:val="0"/>
        <w:numPr>
          <w:ilvl w:val="0"/>
          <w:numId w:val="78"/>
        </w:numPr>
        <w:ind w:left="284" w:hanging="284"/>
      </w:pPr>
      <w:r>
        <w:t xml:space="preserve">Zákon č. 49/1997 Sb., o civilním letectví a o změně a doplnění zákona č. 455/1991 Sb., </w:t>
      </w:r>
      <w:r>
        <w:lastRenderedPageBreak/>
        <w:t>o živnostenském podnikání (živnostenský zákon), ve znění pozdějších předpisů;</w:t>
      </w:r>
    </w:p>
    <w:p w14:paraId="2EC852C3" w14:textId="77777777" w:rsidR="00F41FBD" w:rsidRDefault="00F41FBD" w:rsidP="00613EB8">
      <w:pPr>
        <w:pStyle w:val="Text-Normaln"/>
        <w:widowControl w:val="0"/>
        <w:numPr>
          <w:ilvl w:val="0"/>
          <w:numId w:val="78"/>
        </w:numPr>
        <w:ind w:left="284" w:hanging="284"/>
      </w:pPr>
      <w:r>
        <w:t>Zákon č. 20/1987 Sb., o státní památkové péči, ve znění pozdějších předpisů;</w:t>
      </w:r>
    </w:p>
    <w:p w14:paraId="7F998ABF" w14:textId="77777777" w:rsidR="00F41FBD" w:rsidRDefault="00F41FBD" w:rsidP="00613EB8">
      <w:pPr>
        <w:pStyle w:val="Text-Normaln"/>
        <w:widowControl w:val="0"/>
        <w:numPr>
          <w:ilvl w:val="0"/>
          <w:numId w:val="78"/>
        </w:numPr>
        <w:ind w:left="284" w:hanging="284"/>
      </w:pPr>
      <w:r>
        <w:t>a mnohé další.</w:t>
      </w:r>
    </w:p>
    <w:p w14:paraId="4A74E987" w14:textId="77777777" w:rsidR="00E06C8F" w:rsidRPr="00795817" w:rsidRDefault="00E06C8F" w:rsidP="006E2B38"/>
    <w:p w14:paraId="49C67736" w14:textId="4A5823A4" w:rsidR="00F24A78" w:rsidRPr="00795817" w:rsidRDefault="00F24A78" w:rsidP="004359AA">
      <w:pPr>
        <w:pStyle w:val="Nadpis20"/>
      </w:pPr>
      <w:bookmarkStart w:id="24" w:name="_Toc534419792"/>
      <w:bookmarkStart w:id="25" w:name="_Toc399509833"/>
      <w:r w:rsidRPr="00795817">
        <w:rPr>
          <w:rFonts w:eastAsia="Calibri"/>
        </w:rPr>
        <w:t>Identifikace dotčených subjektů</w:t>
      </w:r>
      <w:bookmarkEnd w:id="24"/>
      <w:r w:rsidRPr="00795817">
        <w:rPr>
          <w:rFonts w:eastAsia="Calibri"/>
        </w:rPr>
        <w:t xml:space="preserve"> </w:t>
      </w:r>
      <w:bookmarkStart w:id="26" w:name="_Toc99039541"/>
      <w:bookmarkStart w:id="27" w:name="_Toc99099875"/>
      <w:bookmarkStart w:id="28" w:name="_Toc99544564"/>
      <w:bookmarkEnd w:id="26"/>
      <w:bookmarkEnd w:id="27"/>
      <w:bookmarkEnd w:id="28"/>
    </w:p>
    <w:p w14:paraId="188E699E" w14:textId="1C77FA10" w:rsidR="009E3883" w:rsidRPr="009C70ED" w:rsidRDefault="009E3883" w:rsidP="009E3883">
      <w:pPr>
        <w:pStyle w:val="Normln-tun"/>
      </w:pPr>
      <w:r w:rsidRPr="009C70ED">
        <w:t xml:space="preserve">Návrh právní úpravy se dotkne především níže uvedených subjektů a institucí: </w:t>
      </w:r>
    </w:p>
    <w:p w14:paraId="734B31F4" w14:textId="77777777" w:rsidR="0062376C" w:rsidRPr="009C70ED" w:rsidRDefault="0062376C" w:rsidP="0062376C">
      <w:pPr>
        <w:widowControl w:val="0"/>
        <w:spacing w:line="24" w:lineRule="atLeast"/>
        <w:rPr>
          <w:i/>
          <w:iCs/>
          <w:u w:val="single"/>
        </w:rPr>
      </w:pPr>
      <w:r w:rsidRPr="009C70ED">
        <w:rPr>
          <w:i/>
          <w:iCs/>
          <w:u w:val="single"/>
        </w:rPr>
        <w:t xml:space="preserve">Orgány územního plánování </w:t>
      </w:r>
    </w:p>
    <w:p w14:paraId="26C84A5D" w14:textId="611C24F0" w:rsidR="0062376C" w:rsidRPr="009C70ED" w:rsidRDefault="0062376C" w:rsidP="0062376C">
      <w:pPr>
        <w:widowControl w:val="0"/>
        <w:spacing w:line="24" w:lineRule="atLeast"/>
        <w:rPr>
          <w:u w:val="single"/>
        </w:rPr>
      </w:pPr>
      <w:r w:rsidRPr="009C70ED">
        <w:rPr>
          <w:u w:val="single"/>
        </w:rPr>
        <w:t>Stavební úřady</w:t>
      </w:r>
    </w:p>
    <w:p w14:paraId="16A22820" w14:textId="0676DABC" w:rsidR="0062376C" w:rsidRPr="009C70ED" w:rsidRDefault="00E21B58" w:rsidP="0062376C">
      <w:pPr>
        <w:widowControl w:val="0"/>
        <w:spacing w:line="24" w:lineRule="atLeast"/>
        <w:rPr>
          <w:u w:val="single"/>
        </w:rPr>
      </w:pPr>
      <w:r>
        <w:rPr>
          <w:u w:val="single"/>
        </w:rPr>
        <w:t>D</w:t>
      </w:r>
      <w:r w:rsidR="0062376C" w:rsidRPr="009C70ED">
        <w:rPr>
          <w:u w:val="single"/>
        </w:rPr>
        <w:t xml:space="preserve">otčené orgány (DO) </w:t>
      </w:r>
    </w:p>
    <w:p w14:paraId="38A840E1" w14:textId="4A3845AC" w:rsidR="00C0488C" w:rsidRDefault="00C0488C" w:rsidP="00C0488C">
      <w:pPr>
        <w:widowControl w:val="0"/>
        <w:spacing w:line="24" w:lineRule="atLeast"/>
        <w:rPr>
          <w:u w:val="single"/>
        </w:rPr>
      </w:pPr>
      <w:r>
        <w:rPr>
          <w:u w:val="single"/>
        </w:rPr>
        <w:t>Další úředníci z obecních a krajských úřadů, kte</w:t>
      </w:r>
      <w:r w:rsidR="00413D7E">
        <w:rPr>
          <w:u w:val="single"/>
        </w:rPr>
        <w:t>ří</w:t>
      </w:r>
      <w:r>
        <w:rPr>
          <w:u w:val="single"/>
        </w:rPr>
        <w:t xml:space="preserve"> by se podíleli na transformaci</w:t>
      </w:r>
    </w:p>
    <w:p w14:paraId="2D8738BF" w14:textId="1CA985BC" w:rsidR="009C70ED" w:rsidRPr="009C70ED" w:rsidRDefault="009C70ED" w:rsidP="009C70ED">
      <w:pPr>
        <w:widowControl w:val="0"/>
        <w:spacing w:line="24" w:lineRule="atLeast"/>
        <w:rPr>
          <w:u w:val="single"/>
        </w:rPr>
      </w:pPr>
      <w:r w:rsidRPr="009C70ED">
        <w:rPr>
          <w:u w:val="single"/>
        </w:rPr>
        <w:t>Investoři (občané realizující stavby pro vlastní bydlení, ale i například ŘSD, SŽDC atd.)</w:t>
      </w:r>
    </w:p>
    <w:p w14:paraId="3798C550" w14:textId="77777777" w:rsidR="009C70ED" w:rsidRPr="00795817" w:rsidRDefault="009C70ED" w:rsidP="009C70ED">
      <w:pPr>
        <w:pStyle w:val="Normln-tun"/>
      </w:pPr>
      <w:r w:rsidRPr="009C70ED">
        <w:t>Mezi dotčenými stranami, které sice stavební zákon nezmiňuje, nicméně budou přímo benefitovat ze změny regulace jsou například stavební firmy a ostatní subjekty, jimž realizované stavby poskytují ekonomický benefit aj.</w:t>
      </w:r>
    </w:p>
    <w:p w14:paraId="4AD42DE5" w14:textId="72EEE3E3" w:rsidR="0062376C" w:rsidRPr="009C70ED" w:rsidRDefault="0062376C" w:rsidP="0062376C">
      <w:pPr>
        <w:widowControl w:val="0"/>
        <w:spacing w:line="24" w:lineRule="atLeast"/>
      </w:pPr>
      <w:r w:rsidRPr="009C70ED">
        <w:rPr>
          <w:u w:val="single"/>
        </w:rPr>
        <w:t>Vlastníci pozemků a staveb</w:t>
      </w:r>
      <w:r w:rsidRPr="009C70ED">
        <w:t>, na kterých má být požadovaný záměr uskutečněn; subjekt, který má věcné břemeno k pozemku, na kterém má být požadovaný záměr uskutečněn; vlastníci sousedních a přilehlých pozemků případně subjekty mající věcná břemena k těmto pozemkům, jejichž vlastnická nebo jiná práva mohou být rozhodnutím dotčena apod.</w:t>
      </w:r>
    </w:p>
    <w:p w14:paraId="0F819A8D" w14:textId="77777777" w:rsidR="009E3883" w:rsidRPr="00795817" w:rsidRDefault="009E3883" w:rsidP="005F6B40">
      <w:pPr>
        <w:pStyle w:val="Normln-tun"/>
        <w:rPr>
          <w:rStyle w:val="En-tte1"/>
          <w:rFonts w:eastAsiaTheme="majorEastAsia"/>
          <w:b/>
          <w:sz w:val="24"/>
          <w:szCs w:val="24"/>
        </w:rPr>
      </w:pPr>
    </w:p>
    <w:p w14:paraId="733F6C5F" w14:textId="77777777" w:rsidR="00F24A78" w:rsidRPr="00795817" w:rsidRDefault="00F24A78" w:rsidP="004359AA">
      <w:pPr>
        <w:pStyle w:val="Nadpis20"/>
        <w:rPr>
          <w:rFonts w:eastAsia="Calibri"/>
        </w:rPr>
      </w:pPr>
      <w:bookmarkStart w:id="29" w:name="_Toc534419793"/>
      <w:r w:rsidRPr="00795817">
        <w:rPr>
          <w:rFonts w:eastAsia="Calibri"/>
        </w:rPr>
        <w:t>Popis cílového stavu</w:t>
      </w:r>
      <w:bookmarkEnd w:id="29"/>
      <w:r w:rsidRPr="00795817">
        <w:rPr>
          <w:rFonts w:eastAsia="Calibri"/>
        </w:rPr>
        <w:t xml:space="preserve"> </w:t>
      </w:r>
      <w:bookmarkStart w:id="30" w:name="_Toc99039542"/>
      <w:bookmarkStart w:id="31" w:name="_Toc99099876"/>
      <w:bookmarkStart w:id="32" w:name="_Toc99544565"/>
      <w:bookmarkEnd w:id="30"/>
      <w:bookmarkEnd w:id="31"/>
      <w:bookmarkEnd w:id="32"/>
    </w:p>
    <w:p w14:paraId="4BB52BF2" w14:textId="3CA8CA8F" w:rsidR="00570A29" w:rsidRPr="00E7073F" w:rsidRDefault="00B25B7A" w:rsidP="00E7073F">
      <w:pPr>
        <w:pStyle w:val="Normln-tun"/>
      </w:pPr>
      <w:r>
        <w:t xml:space="preserve">V Příloze k RIA jsou uvedena relevantní ustanovení </w:t>
      </w:r>
      <w:r w:rsidR="00570A29" w:rsidRPr="00234F39">
        <w:t>aktuální koaliční smlouvy a programového prohlášení vlády, které se k tomuto tématu vyjadřují a ze kterých lze hlavní cíle, jichž je žádoucí dosáhnout, vyčíst</w:t>
      </w:r>
      <w:r w:rsidR="0048668B" w:rsidRPr="00234F39">
        <w:t>. Tyto dokumenty zároveň do určité míry stanovují meze možným volbám variant k dosažení stanovených cílů. Uvedené materiály tak budeme při volbě variant respektovat</w:t>
      </w:r>
      <w:r w:rsidR="00AD15F5">
        <w:t>.</w:t>
      </w:r>
      <w:r w:rsidR="0048668B" w:rsidRPr="00E7073F">
        <w:t xml:space="preserve"> </w:t>
      </w:r>
    </w:p>
    <w:p w14:paraId="5995716E" w14:textId="6A65C551" w:rsidR="001C1005" w:rsidRDefault="00D96769" w:rsidP="0029092C">
      <w:pPr>
        <w:pStyle w:val="Normln-tun"/>
      </w:pPr>
      <w:r>
        <w:t xml:space="preserve">Pokud porovnáme cíle nového stavebního zákona a </w:t>
      </w:r>
      <w:r w:rsidR="0029092C">
        <w:t>znění koaliční smlouvy/programového prohlášení</w:t>
      </w:r>
      <w:r>
        <w:t>,</w:t>
      </w:r>
      <w:r w:rsidR="0029092C">
        <w:t xml:space="preserve"> je zjevné, že mezi nimi není žádný rozpor. </w:t>
      </w:r>
      <w:r>
        <w:t xml:space="preserve"> </w:t>
      </w:r>
      <w:r w:rsidR="0029092C">
        <w:t>Rozdíl je však v tom, jak stanovených c</w:t>
      </w:r>
      <w:r w:rsidR="001C1005">
        <w:t>íl</w:t>
      </w:r>
      <w:r w:rsidR="0029092C">
        <w:t>ů</w:t>
      </w:r>
      <w:r w:rsidR="001C1005">
        <w:t xml:space="preserve"> dosáhnout</w:t>
      </w:r>
      <w:r w:rsidR="0029092C">
        <w:t>.</w:t>
      </w:r>
    </w:p>
    <w:p w14:paraId="0933E013" w14:textId="77777777" w:rsidR="003903F4" w:rsidRDefault="00D75619" w:rsidP="0029092C">
      <w:pPr>
        <w:pStyle w:val="Normln-tun"/>
        <w:rPr>
          <w:i/>
          <w:iCs/>
        </w:rPr>
      </w:pPr>
      <w:r w:rsidRPr="0029092C">
        <w:rPr>
          <w:b/>
          <w:i/>
          <w:iCs/>
        </w:rPr>
        <w:t>Původní c</w:t>
      </w:r>
      <w:r w:rsidR="00747B8D" w:rsidRPr="0029092C">
        <w:rPr>
          <w:b/>
          <w:i/>
          <w:iCs/>
        </w:rPr>
        <w:t>íl</w:t>
      </w:r>
      <w:r w:rsidR="0029092C">
        <w:rPr>
          <w:b/>
          <w:i/>
          <w:iCs/>
        </w:rPr>
        <w:t xml:space="preserve"> např. v RIA z Důvodové zprávy k novému stavebnímu zákonu</w:t>
      </w:r>
      <w:r w:rsidR="00747B8D" w:rsidRPr="0029092C">
        <w:rPr>
          <w:b/>
          <w:i/>
          <w:iCs/>
        </w:rPr>
        <w:t>:</w:t>
      </w:r>
      <w:r w:rsidR="00747B8D" w:rsidRPr="0029092C">
        <w:rPr>
          <w:i/>
          <w:iCs/>
        </w:rPr>
        <w:t xml:space="preserve"> </w:t>
      </w:r>
    </w:p>
    <w:p w14:paraId="6FE661C8" w14:textId="5BDC1A41" w:rsidR="00747B8D" w:rsidRDefault="00747B8D" w:rsidP="0029092C">
      <w:pPr>
        <w:pStyle w:val="Normln-tun"/>
        <w:rPr>
          <w:i/>
          <w:iCs/>
        </w:rPr>
      </w:pPr>
      <w:r w:rsidRPr="0029092C">
        <w:rPr>
          <w:i/>
          <w:iCs/>
        </w:rPr>
        <w:t>Cílovým stavem by měl být takový stav, kdy územně plánovací, stavební a vyvlastňovací úřady zohledňují při územním plánování či územním/stavebním, respektive vyvlastňovacím, řízení vyváženě zájmy všech dotčených subjektů</w:t>
      </w:r>
      <w:r w:rsidR="003903F4">
        <w:rPr>
          <w:i/>
          <w:iCs/>
        </w:rPr>
        <w:t>…</w:t>
      </w:r>
      <w:r w:rsidRPr="0029092C">
        <w:rPr>
          <w:i/>
          <w:iCs/>
        </w:rPr>
        <w:t xml:space="preserve"> Systém by měl umožňovat administrativně a transakčně nenáročnou koordinaci (jednak při zohledňování veřejných zájmů chráněných na základě jiných zákonů, jednak v oblasti řízení a metodiky atp.), a tak nejen sjednotit rozhodovací praxi úřadů napříč ČR, ale zároveň snížit objem (ať už formálně či věcně) chybných rozhodnutí (resp. úspěšných odvolání proti rozhodnutím stavebních úřadů) a s pomocí vzájemné diskuze </w:t>
      </w:r>
      <w:r w:rsidR="003903F4">
        <w:rPr>
          <w:i/>
          <w:iCs/>
        </w:rPr>
        <w:t>(</w:t>
      </w:r>
      <w:r w:rsidRPr="0029092C">
        <w:rPr>
          <w:i/>
          <w:iCs/>
        </w:rPr>
        <w:t>či jiné formy vzájemné interakce</w:t>
      </w:r>
      <w:r w:rsidR="003903F4">
        <w:rPr>
          <w:i/>
          <w:iCs/>
        </w:rPr>
        <w:t>)</w:t>
      </w:r>
      <w:r w:rsidRPr="0029092C">
        <w:rPr>
          <w:i/>
          <w:iCs/>
        </w:rPr>
        <w:t xml:space="preserve"> mezi stavebními úřady a DO zrychlit povolovací proces.</w:t>
      </w:r>
    </w:p>
    <w:p w14:paraId="536BC58B" w14:textId="6E2AE077" w:rsidR="003903F4" w:rsidRPr="003903F4" w:rsidRDefault="003903F4" w:rsidP="003903F4">
      <w:pPr>
        <w:pStyle w:val="Normln-tun"/>
        <w:rPr>
          <w:b/>
          <w:bCs/>
        </w:rPr>
      </w:pPr>
      <w:r w:rsidRPr="003903F4">
        <w:rPr>
          <w:b/>
          <w:bCs/>
        </w:rPr>
        <w:t>Cíle v</w:t>
      </w:r>
      <w:r>
        <w:rPr>
          <w:b/>
          <w:bCs/>
        </w:rPr>
        <w:t xml:space="preserve"> aktuální </w:t>
      </w:r>
      <w:r w:rsidRPr="003903F4">
        <w:rPr>
          <w:b/>
          <w:bCs/>
        </w:rPr>
        <w:t>koaliční smlouvě/programovém prohlášení:</w:t>
      </w:r>
    </w:p>
    <w:p w14:paraId="65DC5163" w14:textId="094B8E8E" w:rsidR="00BA3B63" w:rsidRPr="003903F4" w:rsidRDefault="003903F4" w:rsidP="00613EB8">
      <w:pPr>
        <w:pStyle w:val="Normln-tun"/>
        <w:numPr>
          <w:ilvl w:val="0"/>
          <w:numId w:val="81"/>
        </w:numPr>
        <w:ind w:left="425" w:hanging="425"/>
      </w:pPr>
      <w:r>
        <w:t>Z</w:t>
      </w:r>
      <w:r w:rsidR="00BA3B63" w:rsidRPr="003903F4">
        <w:t>ásadní zrychlení stavebního řízení ve spolupráci se samosprávami a při zachování ochrany ostatních zájmů</w:t>
      </w:r>
      <w:r>
        <w:t>;</w:t>
      </w:r>
    </w:p>
    <w:p w14:paraId="591C83C7" w14:textId="35F85BC9" w:rsidR="003903F4" w:rsidRPr="003903F4" w:rsidRDefault="003903F4" w:rsidP="00613EB8">
      <w:pPr>
        <w:pStyle w:val="Normln-tun"/>
        <w:numPr>
          <w:ilvl w:val="0"/>
          <w:numId w:val="81"/>
        </w:numPr>
        <w:ind w:left="425" w:hanging="425"/>
      </w:pPr>
      <w:r w:rsidRPr="003903F4">
        <w:t>Rychlé, transparentní, digitální a občanovi blízké stavební řízení</w:t>
      </w:r>
      <w:r>
        <w:t>;</w:t>
      </w:r>
    </w:p>
    <w:p w14:paraId="23C30714" w14:textId="761F887B" w:rsidR="00BA3B63" w:rsidRPr="003903F4" w:rsidRDefault="003903F4" w:rsidP="00613EB8">
      <w:pPr>
        <w:pStyle w:val="Normln-tun"/>
        <w:numPr>
          <w:ilvl w:val="0"/>
          <w:numId w:val="81"/>
        </w:numPr>
        <w:ind w:left="425" w:hanging="425"/>
      </w:pPr>
      <w:r>
        <w:t>P</w:t>
      </w:r>
      <w:r w:rsidR="00BA3B63" w:rsidRPr="003903F4">
        <w:t>ředvídatelné</w:t>
      </w:r>
      <w:r w:rsidRPr="003903F4">
        <w:t xml:space="preserve"> </w:t>
      </w:r>
      <w:r>
        <w:t>s</w:t>
      </w:r>
      <w:r w:rsidRPr="003903F4">
        <w:t>tavební řízení</w:t>
      </w:r>
      <w:r w:rsidR="00BA3B63" w:rsidRPr="003903F4">
        <w:t>, přizpůsobené různým typům staveb a vyvažující veřejné a soukromé zájmy</w:t>
      </w:r>
      <w:r>
        <w:t>;</w:t>
      </w:r>
      <w:r w:rsidR="00BA3B63" w:rsidRPr="003903F4">
        <w:t xml:space="preserve"> </w:t>
      </w:r>
    </w:p>
    <w:p w14:paraId="0412D137" w14:textId="0C74C112" w:rsidR="00BA3B63" w:rsidRPr="003903F4" w:rsidRDefault="00BA3B63" w:rsidP="00613EB8">
      <w:pPr>
        <w:pStyle w:val="Normln-tun"/>
        <w:numPr>
          <w:ilvl w:val="0"/>
          <w:numId w:val="81"/>
        </w:numPr>
        <w:ind w:left="425" w:hanging="425"/>
      </w:pPr>
      <w:r w:rsidRPr="003903F4">
        <w:lastRenderedPageBreak/>
        <w:t>Stavebník bude jednat jen s jedním úřadem a ten si sám zajistí další podklady</w:t>
      </w:r>
      <w:r w:rsidR="003903F4">
        <w:t>;</w:t>
      </w:r>
    </w:p>
    <w:p w14:paraId="03D02BFD" w14:textId="782D7298" w:rsidR="00AD3D08" w:rsidRPr="003903F4" w:rsidRDefault="003903F4" w:rsidP="00613EB8">
      <w:pPr>
        <w:pStyle w:val="Normln-tun"/>
        <w:numPr>
          <w:ilvl w:val="0"/>
          <w:numId w:val="81"/>
        </w:numPr>
        <w:ind w:left="425" w:hanging="425"/>
      </w:pPr>
      <w:r>
        <w:t>Z</w:t>
      </w:r>
      <w:r w:rsidR="00AD3D08" w:rsidRPr="003903F4">
        <w:t>apojení veřejnosti a její seznámení s investorskými záměry, aniž by to řízení zdržovalo.</w:t>
      </w:r>
    </w:p>
    <w:p w14:paraId="2D834245" w14:textId="7A0C583B" w:rsidR="00BA3B63" w:rsidRPr="00581EC4" w:rsidRDefault="00BA3B63" w:rsidP="00581EC4">
      <w:pPr>
        <w:pStyle w:val="Normln-tun"/>
        <w:rPr>
          <w:u w:val="single"/>
        </w:rPr>
      </w:pPr>
      <w:r w:rsidRPr="00581EC4">
        <w:rPr>
          <w:u w:val="single"/>
        </w:rPr>
        <w:t xml:space="preserve">Nástroje, které </w:t>
      </w:r>
      <w:r w:rsidR="00581EC4" w:rsidRPr="00581EC4">
        <w:rPr>
          <w:u w:val="single"/>
        </w:rPr>
        <w:t xml:space="preserve">jsou </w:t>
      </w:r>
      <w:r w:rsidR="00581EC4">
        <w:rPr>
          <w:u w:val="single"/>
        </w:rPr>
        <w:t>v institucionální oblasti</w:t>
      </w:r>
      <w:r w:rsidR="00581EC4" w:rsidRPr="00581EC4">
        <w:rPr>
          <w:u w:val="single"/>
        </w:rPr>
        <w:t xml:space="preserve"> </w:t>
      </w:r>
      <w:r w:rsidRPr="00581EC4">
        <w:rPr>
          <w:u w:val="single"/>
        </w:rPr>
        <w:t>prohlášení</w:t>
      </w:r>
      <w:r w:rsidR="00581EC4" w:rsidRPr="00581EC4">
        <w:rPr>
          <w:u w:val="single"/>
        </w:rPr>
        <w:t>mi</w:t>
      </w:r>
      <w:r w:rsidRPr="00581EC4">
        <w:rPr>
          <w:u w:val="single"/>
        </w:rPr>
        <w:t xml:space="preserve"> předjím</w:t>
      </w:r>
      <w:r w:rsidR="00581EC4" w:rsidRPr="00581EC4">
        <w:rPr>
          <w:u w:val="single"/>
        </w:rPr>
        <w:t>ány:</w:t>
      </w:r>
    </w:p>
    <w:p w14:paraId="294EA8CA" w14:textId="4582962C" w:rsidR="00BA3B63" w:rsidRPr="00581EC4" w:rsidRDefault="00BA3B63" w:rsidP="00613EB8">
      <w:pPr>
        <w:pStyle w:val="Normln-tun"/>
        <w:numPr>
          <w:ilvl w:val="0"/>
          <w:numId w:val="81"/>
        </w:numPr>
        <w:ind w:left="425" w:hanging="425"/>
      </w:pPr>
      <w:r w:rsidRPr="00581EC4">
        <w:t>Zachování smíšeného modelu veřejné správy</w:t>
      </w:r>
      <w:r w:rsidR="00581EC4">
        <w:t>;</w:t>
      </w:r>
    </w:p>
    <w:p w14:paraId="7E908A15" w14:textId="3DC7F957" w:rsidR="00890D21" w:rsidRDefault="00581EC4" w:rsidP="00613EB8">
      <w:pPr>
        <w:pStyle w:val="Normln-tun"/>
        <w:numPr>
          <w:ilvl w:val="0"/>
          <w:numId w:val="81"/>
        </w:numPr>
        <w:ind w:left="425" w:hanging="425"/>
      </w:pPr>
      <w:r w:rsidRPr="00581EC4">
        <w:t>Zachování</w:t>
      </w:r>
      <w:r w:rsidR="00BA3B63" w:rsidRPr="00BA3B63">
        <w:t xml:space="preserve"> stavební</w:t>
      </w:r>
      <w:r>
        <w:t>ch</w:t>
      </w:r>
      <w:r w:rsidR="00BA3B63" w:rsidRPr="00BA3B63">
        <w:t xml:space="preserve"> úřad</w:t>
      </w:r>
      <w:r>
        <w:t>ů</w:t>
      </w:r>
      <w:r w:rsidR="00BA3B63" w:rsidRPr="00BA3B63">
        <w:t xml:space="preserve"> na místní úrovni</w:t>
      </w:r>
      <w:r>
        <w:t>;</w:t>
      </w:r>
    </w:p>
    <w:p w14:paraId="06E19976" w14:textId="62B9209C" w:rsidR="00BA3B63" w:rsidRDefault="00581EC4" w:rsidP="00613EB8">
      <w:pPr>
        <w:pStyle w:val="Normln-tun"/>
        <w:numPr>
          <w:ilvl w:val="0"/>
          <w:numId w:val="81"/>
        </w:numPr>
        <w:ind w:left="425" w:hanging="425"/>
      </w:pPr>
      <w:r>
        <w:t xml:space="preserve">Zavedení </w:t>
      </w:r>
      <w:r w:rsidR="00BA3B63" w:rsidRPr="00BA3B63">
        <w:t>specializovaný</w:t>
      </w:r>
      <w:r>
        <w:t>ch</w:t>
      </w:r>
      <w:r w:rsidR="00BA3B63" w:rsidRPr="00BA3B63">
        <w:t xml:space="preserve"> stavební</w:t>
      </w:r>
      <w:r>
        <w:t>ch</w:t>
      </w:r>
      <w:r w:rsidR="00BA3B63" w:rsidRPr="00BA3B63">
        <w:t xml:space="preserve"> úřad</w:t>
      </w:r>
      <w:r>
        <w:t>ů</w:t>
      </w:r>
      <w:r w:rsidR="00BA3B63" w:rsidRPr="00BA3B63">
        <w:t xml:space="preserve"> pro strategické a rozsáhlejší liniové stavb</w:t>
      </w:r>
      <w:r>
        <w:t>y;</w:t>
      </w:r>
    </w:p>
    <w:p w14:paraId="66B8F7AF" w14:textId="24169D21" w:rsidR="00BA3B63" w:rsidRPr="00581EC4" w:rsidRDefault="00BA3B63" w:rsidP="00613EB8">
      <w:pPr>
        <w:pStyle w:val="Normln-tun"/>
        <w:numPr>
          <w:ilvl w:val="0"/>
          <w:numId w:val="81"/>
        </w:numPr>
        <w:ind w:left="425" w:hanging="425"/>
      </w:pPr>
      <w:r w:rsidRPr="00BA3B63">
        <w:t>Jednotné environmentální</w:t>
      </w:r>
      <w:r w:rsidR="00F1357B">
        <w:t xml:space="preserve"> závazné stanovisko</w:t>
      </w:r>
      <w:r w:rsidR="00581EC4">
        <w:t>;</w:t>
      </w:r>
    </w:p>
    <w:p w14:paraId="62003B73" w14:textId="6C2F7399" w:rsidR="00890D21" w:rsidRPr="00581EC4" w:rsidRDefault="00581EC4" w:rsidP="00613EB8">
      <w:pPr>
        <w:pStyle w:val="Normln-tun"/>
        <w:numPr>
          <w:ilvl w:val="0"/>
          <w:numId w:val="81"/>
        </w:numPr>
        <w:ind w:left="425" w:hanging="425"/>
      </w:pPr>
      <w:r>
        <w:t>P</w:t>
      </w:r>
      <w:r w:rsidRPr="00BA3B63">
        <w:t>osíl</w:t>
      </w:r>
      <w:r>
        <w:t>ení</w:t>
      </w:r>
      <w:r w:rsidRPr="00BA3B63">
        <w:t xml:space="preserve"> metodick</w:t>
      </w:r>
      <w:r>
        <w:t>é</w:t>
      </w:r>
      <w:r w:rsidRPr="00BA3B63">
        <w:t xml:space="preserve"> podpor</w:t>
      </w:r>
      <w:r>
        <w:t>y</w:t>
      </w:r>
      <w:r w:rsidRPr="00BA3B63">
        <w:t xml:space="preserve"> </w:t>
      </w:r>
      <w:r>
        <w:t>nam</w:t>
      </w:r>
      <w:r w:rsidR="00BA3B63" w:rsidRPr="00BA3B63">
        <w:t>ísto centralizace</w:t>
      </w:r>
      <w:r>
        <w:t>;</w:t>
      </w:r>
      <w:r w:rsidR="00BA3B63" w:rsidRPr="00BA3B63">
        <w:t xml:space="preserve"> </w:t>
      </w:r>
    </w:p>
    <w:p w14:paraId="3DFEAE26" w14:textId="1DE0A4E9" w:rsidR="00E8611D" w:rsidRPr="00E61B75" w:rsidRDefault="00E61B75" w:rsidP="00613EB8">
      <w:pPr>
        <w:pStyle w:val="Normln-tun"/>
        <w:numPr>
          <w:ilvl w:val="0"/>
          <w:numId w:val="81"/>
        </w:numPr>
        <w:ind w:left="425" w:hanging="425"/>
        <w:rPr>
          <w:i/>
          <w:iCs/>
        </w:rPr>
      </w:pPr>
      <w:r>
        <w:rPr>
          <w:i/>
          <w:iCs/>
        </w:rPr>
        <w:t>(</w:t>
      </w:r>
      <w:r w:rsidR="00E8611D" w:rsidRPr="00E61B75">
        <w:rPr>
          <w:i/>
          <w:iCs/>
        </w:rPr>
        <w:t>Zjednodušíme podmínky u jednoduchých staveb</w:t>
      </w:r>
      <w:r w:rsidR="00581EC4" w:rsidRPr="00E61B75">
        <w:rPr>
          <w:i/>
          <w:iCs/>
        </w:rPr>
        <w:t>;</w:t>
      </w:r>
    </w:p>
    <w:p w14:paraId="6E6BC65D" w14:textId="4E23368A" w:rsidR="00E8611D" w:rsidRPr="00E61B75" w:rsidRDefault="00E8611D" w:rsidP="00613EB8">
      <w:pPr>
        <w:pStyle w:val="Normln-tun"/>
        <w:numPr>
          <w:ilvl w:val="0"/>
          <w:numId w:val="81"/>
        </w:numPr>
        <w:ind w:left="425" w:hanging="425"/>
        <w:rPr>
          <w:i/>
          <w:iCs/>
        </w:rPr>
      </w:pPr>
      <w:r w:rsidRPr="00E61B75">
        <w:rPr>
          <w:i/>
          <w:iCs/>
        </w:rPr>
        <w:t>Podpoříme využívání plánovacích smluv</w:t>
      </w:r>
      <w:r w:rsidR="00E61B75">
        <w:rPr>
          <w:i/>
          <w:iCs/>
        </w:rPr>
        <w:t>)</w:t>
      </w:r>
      <w:r w:rsidRPr="00E61B75">
        <w:rPr>
          <w:i/>
          <w:iCs/>
        </w:rPr>
        <w:t>.</w:t>
      </w:r>
    </w:p>
    <w:p w14:paraId="56EAE1F5" w14:textId="77777777" w:rsidR="00386266" w:rsidRDefault="00386266" w:rsidP="00386266">
      <w:pPr>
        <w:widowControl w:val="0"/>
      </w:pPr>
    </w:p>
    <w:p w14:paraId="32D1A1BE" w14:textId="317E9B18" w:rsidR="00F24A78" w:rsidRPr="00795817" w:rsidRDefault="00F24A78" w:rsidP="004359AA">
      <w:pPr>
        <w:pStyle w:val="Nadpis20"/>
        <w:rPr>
          <w:rFonts w:eastAsia="Calibri"/>
        </w:rPr>
      </w:pPr>
      <w:bookmarkStart w:id="33" w:name="_Toc455736252"/>
      <w:bookmarkStart w:id="34" w:name="_Toc455740704"/>
      <w:bookmarkStart w:id="35" w:name="_Toc455740879"/>
      <w:bookmarkStart w:id="36" w:name="_Toc455741962"/>
      <w:bookmarkStart w:id="37" w:name="_Toc455743787"/>
      <w:bookmarkStart w:id="38" w:name="_Toc455749673"/>
      <w:bookmarkStart w:id="39" w:name="_Toc455750907"/>
      <w:bookmarkStart w:id="40" w:name="_Toc455751142"/>
      <w:bookmarkStart w:id="41" w:name="_Toc455751317"/>
      <w:bookmarkStart w:id="42" w:name="_Toc455751859"/>
      <w:bookmarkStart w:id="43" w:name="_Toc455752333"/>
      <w:bookmarkStart w:id="44" w:name="_Toc455752868"/>
      <w:bookmarkStart w:id="45" w:name="_Toc455753138"/>
      <w:bookmarkStart w:id="46" w:name="_Toc455754011"/>
      <w:bookmarkStart w:id="47" w:name="_Toc455755027"/>
      <w:bookmarkStart w:id="48" w:name="_Toc455755202"/>
      <w:bookmarkStart w:id="49" w:name="_Toc455755840"/>
      <w:bookmarkStart w:id="50" w:name="_Toc455756265"/>
      <w:bookmarkStart w:id="51" w:name="_Toc455756619"/>
      <w:bookmarkStart w:id="52" w:name="_Toc455756769"/>
      <w:bookmarkStart w:id="53" w:name="_Toc455756944"/>
      <w:bookmarkStart w:id="54" w:name="_Toc455757501"/>
      <w:bookmarkStart w:id="55" w:name="_Toc455757790"/>
      <w:bookmarkStart w:id="56" w:name="_Toc455758573"/>
      <w:bookmarkStart w:id="57" w:name="_Toc455759151"/>
      <w:bookmarkStart w:id="58" w:name="_Toc455759897"/>
      <w:bookmarkStart w:id="59" w:name="_Toc455760072"/>
      <w:bookmarkStart w:id="60" w:name="_Toc455757965"/>
      <w:bookmarkStart w:id="61" w:name="_Toc455761811"/>
      <w:bookmarkStart w:id="62" w:name="_Toc455762221"/>
      <w:bookmarkStart w:id="63" w:name="_Toc455762389"/>
      <w:bookmarkStart w:id="64" w:name="_Toc455762135"/>
      <w:bookmarkStart w:id="65" w:name="_Toc455762773"/>
      <w:bookmarkStart w:id="66" w:name="_Toc455763109"/>
      <w:bookmarkStart w:id="67" w:name="_Toc455762557"/>
      <w:bookmarkStart w:id="68" w:name="_Toc455762988"/>
      <w:bookmarkStart w:id="69" w:name="_Toc455763324"/>
      <w:bookmarkStart w:id="70" w:name="_Toc455763898"/>
      <w:bookmarkStart w:id="71" w:name="_Toc455764116"/>
      <w:bookmarkStart w:id="72" w:name="_Toc455764744"/>
      <w:bookmarkStart w:id="73" w:name="_Toc455764912"/>
      <w:bookmarkStart w:id="74" w:name="_Toc455765068"/>
      <w:bookmarkStart w:id="75" w:name="_Toc456015497"/>
      <w:bookmarkStart w:id="76" w:name="_Toc456016806"/>
      <w:bookmarkStart w:id="77" w:name="_Toc456017011"/>
      <w:bookmarkStart w:id="78" w:name="_Toc456017462"/>
      <w:bookmarkStart w:id="79" w:name="_Toc456017185"/>
      <w:bookmarkStart w:id="80" w:name="_Toc456025705"/>
      <w:bookmarkStart w:id="81" w:name="_Toc456026157"/>
      <w:bookmarkStart w:id="82" w:name="_Toc456110598"/>
      <w:bookmarkStart w:id="83" w:name="_Toc456111078"/>
      <w:bookmarkStart w:id="84" w:name="_Toc456111636"/>
      <w:bookmarkStart w:id="85" w:name="_Toc456111940"/>
      <w:bookmarkStart w:id="86" w:name="_Toc456113979"/>
      <w:bookmarkStart w:id="87" w:name="_Toc456114283"/>
      <w:bookmarkStart w:id="88" w:name="_Toc456114587"/>
      <w:bookmarkStart w:id="89" w:name="_Toc456114891"/>
      <w:bookmarkStart w:id="90" w:name="_Toc456115195"/>
      <w:bookmarkStart w:id="91" w:name="_Toc456118170"/>
      <w:bookmarkStart w:id="92" w:name="_Toc456260226"/>
      <w:bookmarkStart w:id="93" w:name="_Toc456260779"/>
      <w:bookmarkStart w:id="94" w:name="_Toc456261120"/>
      <w:bookmarkStart w:id="95" w:name="_Toc456261463"/>
      <w:bookmarkStart w:id="96" w:name="_Toc456261806"/>
      <w:bookmarkStart w:id="97" w:name="_Toc456262744"/>
      <w:bookmarkStart w:id="98" w:name="_Toc456264085"/>
      <w:bookmarkStart w:id="99" w:name="_Toc456625358"/>
      <w:bookmarkStart w:id="100" w:name="_Toc456625745"/>
      <w:bookmarkStart w:id="101" w:name="_Toc456626300"/>
      <w:bookmarkStart w:id="102" w:name="_Toc456627609"/>
      <w:bookmarkStart w:id="103" w:name="_Toc456627953"/>
      <w:bookmarkStart w:id="104" w:name="_Toc456628539"/>
      <w:bookmarkStart w:id="105" w:name="_Toc456628884"/>
      <w:bookmarkStart w:id="106" w:name="_Toc53441979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95817">
        <w:rPr>
          <w:rFonts w:eastAsia="Calibri"/>
        </w:rPr>
        <w:t>Zhodnocení rizik</w:t>
      </w:r>
      <w:bookmarkStart w:id="107" w:name="_Toc99039543"/>
      <w:bookmarkStart w:id="108" w:name="_Toc99099877"/>
      <w:bookmarkStart w:id="109" w:name="_Toc99544566"/>
      <w:bookmarkEnd w:id="106"/>
      <w:bookmarkEnd w:id="107"/>
      <w:bookmarkEnd w:id="108"/>
      <w:bookmarkEnd w:id="109"/>
    </w:p>
    <w:p w14:paraId="43A856E6" w14:textId="12D93BDB" w:rsidR="00E0052B" w:rsidRPr="00E0052B" w:rsidRDefault="00E0052B" w:rsidP="00E0052B">
      <w:pPr>
        <w:pStyle w:val="Normln-tun"/>
        <w:rPr>
          <w:rFonts w:eastAsia="MS Mincho"/>
          <w:highlight w:val="yellow"/>
        </w:rPr>
      </w:pPr>
      <w:r>
        <w:rPr>
          <w:lang w:eastAsia="cs-CZ"/>
        </w:rPr>
        <w:t xml:space="preserve">Klíčovým rizikem, které bylo i hlavním podnětem pro návrh změny regulace je možný </w:t>
      </w:r>
      <w:r w:rsidRPr="004C2539">
        <w:rPr>
          <w:lang w:eastAsia="cs-CZ"/>
        </w:rPr>
        <w:t>kolaps stavebního řízení v</w:t>
      </w:r>
      <w:r>
        <w:rPr>
          <w:lang w:eastAsia="cs-CZ"/>
        </w:rPr>
        <w:t> </w:t>
      </w:r>
      <w:r w:rsidRPr="004C2539">
        <w:rPr>
          <w:lang w:eastAsia="cs-CZ"/>
        </w:rPr>
        <w:t>ČR</w:t>
      </w:r>
      <w:r>
        <w:rPr>
          <w:lang w:eastAsia="cs-CZ"/>
        </w:rPr>
        <w:t xml:space="preserve"> v důsledku problémů při transformaci či v </w:t>
      </w:r>
      <w:r w:rsidRPr="004C2539">
        <w:rPr>
          <w:lang w:eastAsia="cs-CZ"/>
        </w:rPr>
        <w:t>důsledk</w:t>
      </w:r>
      <w:r>
        <w:rPr>
          <w:lang w:eastAsia="cs-CZ"/>
        </w:rPr>
        <w:t>u</w:t>
      </w:r>
      <w:r w:rsidRPr="004C2539">
        <w:rPr>
          <w:lang w:eastAsia="cs-CZ"/>
        </w:rPr>
        <w:t xml:space="preserve"> destrukce smíšeného modelu veřejné správy</w:t>
      </w:r>
      <w:r>
        <w:rPr>
          <w:lang w:eastAsia="cs-CZ"/>
        </w:rPr>
        <w:t xml:space="preserve"> (jak uvádí programové prohlášení)</w:t>
      </w:r>
      <w:r w:rsidRPr="005E1F82">
        <w:rPr>
          <w:lang w:eastAsia="cs-CZ"/>
        </w:rPr>
        <w:t>.</w:t>
      </w:r>
      <w:r>
        <w:rPr>
          <w:lang w:eastAsia="cs-CZ"/>
        </w:rPr>
        <w:t xml:space="preserve"> Dalším rizikem je přílišná nákladnost institucionální změny, která by nebyla vyvážena příslušnými přínosy z bezproblémového přípravného procesu stavebních záměrů.</w:t>
      </w:r>
    </w:p>
    <w:p w14:paraId="4FA3CF92" w14:textId="16676497" w:rsidR="008D1AD3" w:rsidRDefault="008D1AD3" w:rsidP="008D1AD3">
      <w:pPr>
        <w:widowControl w:val="0"/>
        <w:spacing w:before="0" w:after="160" w:line="254" w:lineRule="auto"/>
        <w:rPr>
          <w:rFonts w:eastAsia="MS Mincho"/>
        </w:rPr>
      </w:pPr>
    </w:p>
    <w:p w14:paraId="178AB7EB" w14:textId="7A4B232F" w:rsidR="00BD6BD3" w:rsidRPr="0005385B" w:rsidRDefault="00BD6BD3" w:rsidP="00BD6BD3">
      <w:pPr>
        <w:pStyle w:val="Nadpis10"/>
        <w:rPr>
          <w:rFonts w:eastAsia="MS Mincho"/>
        </w:rPr>
      </w:pPr>
      <w:r w:rsidRPr="00BD6BD3">
        <w:tab/>
      </w:r>
      <w:bookmarkStart w:id="110" w:name="_Toc99544567"/>
      <w:r w:rsidRPr="00BD6BD3">
        <w:t>Návrh variant řešení</w:t>
      </w:r>
      <w:bookmarkEnd w:id="110"/>
    </w:p>
    <w:p w14:paraId="073ACA5D" w14:textId="2FC34D0A" w:rsidR="00B25B7A" w:rsidRDefault="00B25B7A" w:rsidP="00B25B7A">
      <w:pPr>
        <w:pStyle w:val="Normln-tun"/>
      </w:pPr>
      <w:r>
        <w:t xml:space="preserve">Protože na způsobu řešení problémů v jiných věcných okruzích, se kterými nový stavební zákon přišel, panuje víceméně shoda, </w:t>
      </w:r>
      <w:r w:rsidR="007F00FD">
        <w:t xml:space="preserve">a prozatím nelze účinnost řešení ani vyhodnotit, </w:t>
      </w:r>
      <w:r>
        <w:t xml:space="preserve">zaměříme se při návrhu variant na </w:t>
      </w:r>
      <w:r w:rsidR="007F00FD">
        <w:t xml:space="preserve">silně kritizovanou </w:t>
      </w:r>
      <w:r>
        <w:t xml:space="preserve">oblast </w:t>
      </w:r>
      <w:r w:rsidR="007F00FD">
        <w:t>institucionální struktury</w:t>
      </w:r>
      <w:r>
        <w:t xml:space="preserve">. </w:t>
      </w:r>
    </w:p>
    <w:p w14:paraId="52A14BD4" w14:textId="52B51814" w:rsidR="00F16500" w:rsidRDefault="00F16500" w:rsidP="00F16500">
      <w:pPr>
        <w:pStyle w:val="Normln-tun"/>
        <w:rPr>
          <w:i/>
          <w:iCs/>
        </w:rPr>
      </w:pPr>
      <w:r w:rsidRPr="00F16500">
        <w:rPr>
          <w:b/>
          <w:i/>
          <w:iCs/>
        </w:rPr>
        <w:t>Varianta 0:</w:t>
      </w:r>
      <w:r w:rsidRPr="00F16500">
        <w:rPr>
          <w:i/>
          <w:iCs/>
        </w:rPr>
        <w:t xml:space="preserve"> </w:t>
      </w:r>
      <w:r>
        <w:rPr>
          <w:i/>
          <w:iCs/>
        </w:rPr>
        <w:t>V</w:t>
      </w:r>
      <w:r w:rsidRPr="00F16500">
        <w:rPr>
          <w:i/>
          <w:iCs/>
        </w:rPr>
        <w:t xml:space="preserve">ytvoření státní </w:t>
      </w:r>
      <w:r>
        <w:rPr>
          <w:i/>
          <w:iCs/>
        </w:rPr>
        <w:t xml:space="preserve">stavební </w:t>
      </w:r>
      <w:r w:rsidRPr="00F16500">
        <w:rPr>
          <w:i/>
          <w:iCs/>
        </w:rPr>
        <w:t xml:space="preserve">správy, v jejímž čele by stál NSÚ, který by byl nejvyšším článkem v oblasti územního plánování a stavebního řádu, s krajskými stavebními úřady; </w:t>
      </w:r>
      <w:bookmarkStart w:id="111" w:name="_Hlk99116961"/>
      <w:r>
        <w:rPr>
          <w:i/>
          <w:iCs/>
        </w:rPr>
        <w:t>vytvoření SOSÚ</w:t>
      </w:r>
      <w:r w:rsidR="00793578">
        <w:rPr>
          <w:i/>
          <w:iCs/>
        </w:rPr>
        <w:t>; i</w:t>
      </w:r>
      <w:r w:rsidR="000648F8">
        <w:rPr>
          <w:i/>
          <w:iCs/>
        </w:rPr>
        <w:t xml:space="preserve">ntegrace </w:t>
      </w:r>
      <w:r w:rsidR="00793578">
        <w:rPr>
          <w:i/>
          <w:iCs/>
        </w:rPr>
        <w:t>DO</w:t>
      </w:r>
      <w:r w:rsidR="00794FE0">
        <w:rPr>
          <w:i/>
          <w:iCs/>
        </w:rPr>
        <w:t>, neintegrované DO vydávají vyjádření, výjimečně závazné stanovisko</w:t>
      </w:r>
      <w:r w:rsidR="00FA0A00">
        <w:rPr>
          <w:i/>
          <w:iCs/>
        </w:rPr>
        <w:t>, j</w:t>
      </w:r>
      <w:r w:rsidR="00FA0A00" w:rsidRPr="00FA0A00">
        <w:rPr>
          <w:i/>
          <w:iCs/>
        </w:rPr>
        <w:t xml:space="preserve">e-li </w:t>
      </w:r>
      <w:r w:rsidR="00FA0A00">
        <w:rPr>
          <w:i/>
          <w:iCs/>
        </w:rPr>
        <w:t>DO</w:t>
      </w:r>
      <w:r w:rsidR="00FA0A00" w:rsidRPr="00FA0A00">
        <w:rPr>
          <w:i/>
          <w:iCs/>
        </w:rPr>
        <w:t xml:space="preserve"> tentýž orgán veřejné správy, vydá</w:t>
      </w:r>
      <w:r w:rsidR="00FA0A00">
        <w:rPr>
          <w:i/>
          <w:iCs/>
        </w:rPr>
        <w:t>vá</w:t>
      </w:r>
      <w:r w:rsidR="00FA0A00" w:rsidRPr="00FA0A00">
        <w:rPr>
          <w:i/>
          <w:iCs/>
        </w:rPr>
        <w:t xml:space="preserve"> namísto jednotlivých vyjádření koordinované vyjádření</w:t>
      </w:r>
      <w:r>
        <w:rPr>
          <w:i/>
          <w:iCs/>
        </w:rPr>
        <w:t xml:space="preserve"> </w:t>
      </w:r>
      <w:bookmarkEnd w:id="111"/>
      <w:r>
        <w:rPr>
          <w:i/>
          <w:iCs/>
        </w:rPr>
        <w:t>(detailní popis viz kapitola Popis současného stavu)</w:t>
      </w:r>
      <w:r w:rsidR="00FA0A00">
        <w:rPr>
          <w:i/>
          <w:iCs/>
        </w:rPr>
        <w:t>.</w:t>
      </w:r>
      <w:r w:rsidRPr="00F16500">
        <w:rPr>
          <w:i/>
          <w:iCs/>
        </w:rPr>
        <w:t xml:space="preserve"> </w:t>
      </w:r>
    </w:p>
    <w:p w14:paraId="2FA53746" w14:textId="7869097E" w:rsidR="00F16500" w:rsidRDefault="00F16500" w:rsidP="00880466">
      <w:pPr>
        <w:pStyle w:val="Normln-tun"/>
        <w:rPr>
          <w:b/>
          <w:i/>
          <w:iCs/>
        </w:rPr>
      </w:pPr>
      <w:r w:rsidRPr="00F16500">
        <w:rPr>
          <w:b/>
          <w:i/>
          <w:iCs/>
        </w:rPr>
        <w:t>Varianta 1:</w:t>
      </w:r>
      <w:r w:rsidR="009570D5" w:rsidRPr="009570D5">
        <w:t xml:space="preserve"> </w:t>
      </w:r>
      <w:r w:rsidR="0062642D" w:rsidRPr="0062642D">
        <w:rPr>
          <w:bCs/>
          <w:i/>
          <w:iCs/>
        </w:rPr>
        <w:t>Stávající institucionální model v téměř totožné podobě jako v současnosti</w:t>
      </w:r>
      <w:bookmarkStart w:id="112" w:name="_Hlk99323261"/>
      <w:r w:rsidR="009570D5">
        <w:rPr>
          <w:bCs/>
          <w:i/>
          <w:iCs/>
        </w:rPr>
        <w:t xml:space="preserve">, přičemž </w:t>
      </w:r>
      <w:r w:rsidR="0022289F">
        <w:rPr>
          <w:bCs/>
          <w:i/>
          <w:iCs/>
        </w:rPr>
        <w:t xml:space="preserve">prvoinstanční </w:t>
      </w:r>
      <w:r w:rsidR="009570D5" w:rsidRPr="009570D5">
        <w:rPr>
          <w:bCs/>
          <w:i/>
          <w:iCs/>
        </w:rPr>
        <w:t xml:space="preserve">SÚ </w:t>
      </w:r>
      <w:r w:rsidR="009570D5">
        <w:rPr>
          <w:bCs/>
          <w:i/>
          <w:iCs/>
        </w:rPr>
        <w:t>budou na obecních úřadech</w:t>
      </w:r>
      <w:r w:rsidR="009570D5" w:rsidRPr="009570D5">
        <w:rPr>
          <w:bCs/>
          <w:i/>
          <w:iCs/>
        </w:rPr>
        <w:t xml:space="preserve"> </w:t>
      </w:r>
      <w:r w:rsidR="009570D5" w:rsidRPr="00871107">
        <w:rPr>
          <w:b/>
          <w:i/>
          <w:iCs/>
        </w:rPr>
        <w:t>ORP</w:t>
      </w:r>
      <w:r w:rsidR="009570D5" w:rsidRPr="009570D5">
        <w:rPr>
          <w:bCs/>
          <w:i/>
          <w:iCs/>
        </w:rPr>
        <w:t xml:space="preserve"> </w:t>
      </w:r>
      <w:r w:rsidR="00B77245">
        <w:rPr>
          <w:bCs/>
          <w:i/>
          <w:iCs/>
        </w:rPr>
        <w:t xml:space="preserve">(stejně jako příslušné DO) </w:t>
      </w:r>
      <w:r w:rsidR="009570D5" w:rsidRPr="00871107">
        <w:rPr>
          <w:b/>
          <w:i/>
          <w:iCs/>
        </w:rPr>
        <w:t>a níže</w:t>
      </w:r>
      <w:r w:rsidR="009570D5" w:rsidRPr="009570D5">
        <w:rPr>
          <w:bCs/>
          <w:i/>
          <w:iCs/>
        </w:rPr>
        <w:t xml:space="preserve"> </w:t>
      </w:r>
      <w:r w:rsidR="009570D5">
        <w:rPr>
          <w:bCs/>
          <w:i/>
          <w:iCs/>
        </w:rPr>
        <w:t xml:space="preserve">budou </w:t>
      </w:r>
      <w:r w:rsidR="009570D5" w:rsidRPr="009570D5">
        <w:rPr>
          <w:bCs/>
          <w:i/>
          <w:iCs/>
        </w:rPr>
        <w:t xml:space="preserve">jen </w:t>
      </w:r>
      <w:r w:rsidR="009570D5" w:rsidRPr="00871107">
        <w:rPr>
          <w:b/>
          <w:i/>
          <w:iCs/>
        </w:rPr>
        <w:t>detašovaná pracoviště</w:t>
      </w:r>
      <w:r w:rsidR="00B77245">
        <w:rPr>
          <w:bCs/>
          <w:i/>
          <w:iCs/>
        </w:rPr>
        <w:t>;</w:t>
      </w:r>
      <w:r w:rsidR="0055684A">
        <w:rPr>
          <w:bCs/>
          <w:i/>
          <w:iCs/>
        </w:rPr>
        <w:t xml:space="preserve"> v</w:t>
      </w:r>
      <w:r w:rsidR="0055684A" w:rsidRPr="009570D5">
        <w:rPr>
          <w:i/>
          <w:iCs/>
        </w:rPr>
        <w:t>ytvoření SOSÚ</w:t>
      </w:r>
      <w:bookmarkEnd w:id="112"/>
      <w:r w:rsidR="000648F8">
        <w:rPr>
          <w:i/>
          <w:iCs/>
        </w:rPr>
        <w:t>; integrace DO</w:t>
      </w:r>
      <w:r w:rsidR="00794FE0">
        <w:rPr>
          <w:i/>
          <w:iCs/>
        </w:rPr>
        <w:t xml:space="preserve"> (v obdobné míře, jako u Varianty 0)</w:t>
      </w:r>
      <w:r w:rsidR="00FA0A00">
        <w:rPr>
          <w:i/>
          <w:iCs/>
        </w:rPr>
        <w:t>, neintegrované DO vydávají vyjádření, výjimečně závazné stanovisko, j</w:t>
      </w:r>
      <w:r w:rsidR="00FA0A00" w:rsidRPr="00FA0A00">
        <w:rPr>
          <w:i/>
          <w:iCs/>
        </w:rPr>
        <w:t xml:space="preserve">e-li </w:t>
      </w:r>
      <w:r w:rsidR="00FA0A00">
        <w:rPr>
          <w:i/>
          <w:iCs/>
        </w:rPr>
        <w:t>DO</w:t>
      </w:r>
      <w:r w:rsidR="00FA0A00" w:rsidRPr="00FA0A00">
        <w:rPr>
          <w:i/>
          <w:iCs/>
        </w:rPr>
        <w:t xml:space="preserve"> tentýž orgán veřejné správy, vydá</w:t>
      </w:r>
      <w:r w:rsidR="00FA0A00">
        <w:rPr>
          <w:i/>
          <w:iCs/>
        </w:rPr>
        <w:t>vá</w:t>
      </w:r>
      <w:r w:rsidR="00FA0A00" w:rsidRPr="00FA0A00">
        <w:rPr>
          <w:i/>
          <w:iCs/>
        </w:rPr>
        <w:t xml:space="preserve"> namísto jednotlivých vyjádření koordinované vyjádření</w:t>
      </w:r>
      <w:r w:rsidR="00FA0A00">
        <w:rPr>
          <w:i/>
          <w:iCs/>
        </w:rPr>
        <w:t>.</w:t>
      </w:r>
      <w:r w:rsidR="00794FE0">
        <w:rPr>
          <w:i/>
          <w:iCs/>
        </w:rPr>
        <w:t xml:space="preserve"> </w:t>
      </w:r>
    </w:p>
    <w:p w14:paraId="519BADF7" w14:textId="5F379CB7" w:rsidR="009403BC" w:rsidRDefault="0086600F" w:rsidP="00613EB8">
      <w:pPr>
        <w:pStyle w:val="Normln-tun"/>
        <w:numPr>
          <w:ilvl w:val="0"/>
          <w:numId w:val="82"/>
        </w:numPr>
        <w:ind w:left="426" w:hanging="426"/>
        <w:rPr>
          <w:i/>
          <w:iCs/>
        </w:rPr>
      </w:pPr>
      <w:r>
        <w:rPr>
          <w:i/>
          <w:iCs/>
        </w:rPr>
        <w:t>K</w:t>
      </w:r>
      <w:r w:rsidR="00143918" w:rsidRPr="00143918">
        <w:rPr>
          <w:i/>
          <w:iCs/>
        </w:rPr>
        <w:t xml:space="preserve">ompetence </w:t>
      </w:r>
      <w:r w:rsidR="00143918" w:rsidRPr="009403BC">
        <w:rPr>
          <w:i/>
          <w:iCs/>
          <w:u w:val="single"/>
        </w:rPr>
        <w:t xml:space="preserve">prvoinstančních </w:t>
      </w:r>
      <w:r w:rsidRPr="009403BC">
        <w:rPr>
          <w:i/>
          <w:iCs/>
          <w:u w:val="single"/>
        </w:rPr>
        <w:t>SÚ</w:t>
      </w:r>
      <w:r>
        <w:rPr>
          <w:i/>
          <w:iCs/>
        </w:rPr>
        <w:t xml:space="preserve"> </w:t>
      </w:r>
      <w:r w:rsidR="00143918" w:rsidRPr="00143918">
        <w:rPr>
          <w:i/>
          <w:iCs/>
        </w:rPr>
        <w:t xml:space="preserve">u všech staveb, vyjma staveb vyhrazených a staveb v kompetenci </w:t>
      </w:r>
      <w:r w:rsidR="00E242EE">
        <w:rPr>
          <w:i/>
          <w:iCs/>
        </w:rPr>
        <w:t>KÚ</w:t>
      </w:r>
      <w:r w:rsidR="00143918" w:rsidRPr="00143918">
        <w:rPr>
          <w:i/>
          <w:iCs/>
        </w:rPr>
        <w:t xml:space="preserve"> nebo jiných </w:t>
      </w:r>
      <w:r w:rsidR="00A076CE">
        <w:rPr>
          <w:i/>
          <w:iCs/>
        </w:rPr>
        <w:t>SÚ</w:t>
      </w:r>
      <w:r w:rsidR="00143918" w:rsidRPr="00143918">
        <w:rPr>
          <w:i/>
          <w:iCs/>
        </w:rPr>
        <w:t xml:space="preserve">, budou v </w:t>
      </w:r>
      <w:r>
        <w:rPr>
          <w:i/>
          <w:iCs/>
        </w:rPr>
        <w:t>PP</w:t>
      </w:r>
      <w:r w:rsidR="00143918" w:rsidRPr="00143918">
        <w:rPr>
          <w:i/>
          <w:iCs/>
        </w:rPr>
        <w:t xml:space="preserve"> vykonávat </w:t>
      </w:r>
      <w:r w:rsidR="00143918" w:rsidRPr="009403BC">
        <w:rPr>
          <w:i/>
          <w:iCs/>
          <w:u w:val="single"/>
        </w:rPr>
        <w:t xml:space="preserve">obecní úřady </w:t>
      </w:r>
      <w:r w:rsidRPr="009403BC">
        <w:rPr>
          <w:i/>
          <w:iCs/>
          <w:u w:val="single"/>
        </w:rPr>
        <w:t>ORP</w:t>
      </w:r>
      <w:r w:rsidR="00143918" w:rsidRPr="00143918">
        <w:rPr>
          <w:i/>
          <w:iCs/>
        </w:rPr>
        <w:t xml:space="preserve">, které budou mít </w:t>
      </w:r>
      <w:r w:rsidR="00143918" w:rsidRPr="009403BC">
        <w:rPr>
          <w:i/>
          <w:iCs/>
          <w:u w:val="single"/>
        </w:rPr>
        <w:t>detašovaná pracoviště</w:t>
      </w:r>
      <w:r w:rsidR="00143918" w:rsidRPr="00143918">
        <w:rPr>
          <w:i/>
          <w:iCs/>
        </w:rPr>
        <w:t xml:space="preserve"> na obecních úřadech stanovených prováděcí vyhláškou na základě zákonem stanovených kritérii; </w:t>
      </w:r>
    </w:p>
    <w:p w14:paraId="4E41E47D" w14:textId="3522085E" w:rsidR="00143918" w:rsidRPr="00234F39" w:rsidRDefault="009403BC" w:rsidP="00613EB8">
      <w:pPr>
        <w:pStyle w:val="Normln-tun"/>
        <w:numPr>
          <w:ilvl w:val="0"/>
          <w:numId w:val="82"/>
        </w:numPr>
        <w:ind w:left="426" w:hanging="426"/>
        <w:rPr>
          <w:i/>
          <w:iCs/>
        </w:rPr>
      </w:pPr>
      <w:r w:rsidRPr="00234F39">
        <w:rPr>
          <w:i/>
          <w:iCs/>
        </w:rPr>
        <w:t>V</w:t>
      </w:r>
      <w:r w:rsidR="00143918" w:rsidRPr="00234F39">
        <w:rPr>
          <w:i/>
          <w:iCs/>
        </w:rPr>
        <w:t xml:space="preserve">eřejné zájmy, podle zvláštních právních předpisů, budou, v případě projednávání záměru před </w:t>
      </w:r>
      <w:r w:rsidR="00DF7B45" w:rsidRPr="00234F39">
        <w:rPr>
          <w:i/>
          <w:iCs/>
        </w:rPr>
        <w:t>SÚ</w:t>
      </w:r>
      <w:r w:rsidR="00143918" w:rsidRPr="00234F39">
        <w:rPr>
          <w:i/>
          <w:iCs/>
        </w:rPr>
        <w:t xml:space="preserve">, hájit </w:t>
      </w:r>
      <w:r w:rsidR="0086600F" w:rsidRPr="00234F39">
        <w:rPr>
          <w:i/>
          <w:iCs/>
          <w:u w:val="single"/>
        </w:rPr>
        <w:t>DO</w:t>
      </w:r>
      <w:r w:rsidR="0086600F" w:rsidRPr="00234F39">
        <w:rPr>
          <w:i/>
          <w:iCs/>
        </w:rPr>
        <w:t>;</w:t>
      </w:r>
      <w:r w:rsidR="00143918" w:rsidRPr="00234F39">
        <w:rPr>
          <w:i/>
          <w:iCs/>
        </w:rPr>
        <w:t xml:space="preserve"> </w:t>
      </w:r>
      <w:r w:rsidR="00143918" w:rsidRPr="00234F39">
        <w:rPr>
          <w:i/>
          <w:iCs/>
          <w:u w:val="single"/>
        </w:rPr>
        <w:t xml:space="preserve">v případě, že tuto kompetenci vykonává obecní úřad </w:t>
      </w:r>
      <w:r w:rsidR="0086600F" w:rsidRPr="00234F39">
        <w:rPr>
          <w:i/>
          <w:iCs/>
          <w:u w:val="single"/>
        </w:rPr>
        <w:t>ORP</w:t>
      </w:r>
      <w:r w:rsidR="00143918" w:rsidRPr="00234F39">
        <w:rPr>
          <w:i/>
          <w:iCs/>
          <w:u w:val="single"/>
        </w:rPr>
        <w:t>, formou přímého podílu</w:t>
      </w:r>
      <w:r w:rsidR="0086600F" w:rsidRPr="00234F39">
        <w:rPr>
          <w:rStyle w:val="Znakapoznpodarou"/>
          <w:i/>
          <w:iCs/>
        </w:rPr>
        <w:footnoteReference w:id="4"/>
      </w:r>
      <w:r w:rsidR="00143918" w:rsidRPr="00234F39">
        <w:rPr>
          <w:i/>
          <w:iCs/>
        </w:rPr>
        <w:t xml:space="preserve"> na vypracování aktu </w:t>
      </w:r>
      <w:r w:rsidR="00143918" w:rsidRPr="00234F39">
        <w:rPr>
          <w:i/>
          <w:iCs/>
        </w:rPr>
        <w:lastRenderedPageBreak/>
        <w:t xml:space="preserve">prvoinstančního </w:t>
      </w:r>
      <w:r w:rsidR="0086600F" w:rsidRPr="00234F39">
        <w:rPr>
          <w:i/>
          <w:iCs/>
        </w:rPr>
        <w:t xml:space="preserve">SÚ </w:t>
      </w:r>
      <w:r w:rsidR="00143918" w:rsidRPr="00234F39">
        <w:rPr>
          <w:i/>
          <w:iCs/>
        </w:rPr>
        <w:t xml:space="preserve">tak, aby došlo k procesní integraci; ostatní </w:t>
      </w:r>
      <w:r w:rsidR="0086600F" w:rsidRPr="00234F39">
        <w:rPr>
          <w:i/>
          <w:iCs/>
        </w:rPr>
        <w:t>DO</w:t>
      </w:r>
      <w:r w:rsidR="00143918" w:rsidRPr="00234F39">
        <w:rPr>
          <w:i/>
          <w:iCs/>
        </w:rPr>
        <w:t xml:space="preserve"> budou svou kompetenci vykonávat </w:t>
      </w:r>
      <w:r w:rsidR="00871DE6" w:rsidRPr="00234F39">
        <w:rPr>
          <w:i/>
          <w:iCs/>
        </w:rPr>
        <w:t>formou koordinovaného vyjádření a závazného stanoviska</w:t>
      </w:r>
      <w:r w:rsidR="00143918" w:rsidRPr="00234F39">
        <w:rPr>
          <w:i/>
          <w:iCs/>
        </w:rPr>
        <w:t>;</w:t>
      </w:r>
    </w:p>
    <w:p w14:paraId="2ECF5671" w14:textId="77777777" w:rsidR="0050575B" w:rsidRPr="00234F39" w:rsidRDefault="0022289F" w:rsidP="00613EB8">
      <w:pPr>
        <w:pStyle w:val="Normln-tun"/>
        <w:numPr>
          <w:ilvl w:val="0"/>
          <w:numId w:val="82"/>
        </w:numPr>
        <w:ind w:left="426" w:hanging="426"/>
        <w:rPr>
          <w:i/>
          <w:iCs/>
        </w:rPr>
      </w:pPr>
      <w:r w:rsidRPr="00234F39">
        <w:rPr>
          <w:i/>
          <w:iCs/>
        </w:rPr>
        <w:t>K</w:t>
      </w:r>
      <w:r w:rsidR="00143918" w:rsidRPr="00234F39">
        <w:rPr>
          <w:i/>
          <w:iCs/>
        </w:rPr>
        <w:t xml:space="preserve">ompetence </w:t>
      </w:r>
      <w:r w:rsidR="00143918" w:rsidRPr="00234F39">
        <w:rPr>
          <w:i/>
          <w:iCs/>
          <w:u w:val="single"/>
        </w:rPr>
        <w:t>odvolacích</w:t>
      </w:r>
      <w:r w:rsidR="00143918" w:rsidRPr="00234F39">
        <w:rPr>
          <w:i/>
          <w:iCs/>
        </w:rPr>
        <w:t xml:space="preserve"> správních úřadů budou v</w:t>
      </w:r>
      <w:r w:rsidR="006758B6" w:rsidRPr="00234F39">
        <w:rPr>
          <w:i/>
          <w:iCs/>
        </w:rPr>
        <w:t xml:space="preserve"> PP</w:t>
      </w:r>
      <w:r w:rsidR="00143918" w:rsidRPr="00234F39">
        <w:rPr>
          <w:i/>
          <w:iCs/>
        </w:rPr>
        <w:t xml:space="preserve">, v případech, kdy v první instanci budou rozhodovat obecní úřady, vykonávat </w:t>
      </w:r>
      <w:r w:rsidR="006758B6" w:rsidRPr="00234F39">
        <w:rPr>
          <w:i/>
          <w:iCs/>
          <w:u w:val="single"/>
        </w:rPr>
        <w:t>KÚ</w:t>
      </w:r>
      <w:r w:rsidR="00143918" w:rsidRPr="00234F39">
        <w:rPr>
          <w:i/>
          <w:iCs/>
        </w:rPr>
        <w:t xml:space="preserve">; </w:t>
      </w:r>
    </w:p>
    <w:p w14:paraId="5AD9F59B" w14:textId="2A50B6FA" w:rsidR="00143918" w:rsidRPr="00234F39" w:rsidRDefault="0050575B" w:rsidP="00613EB8">
      <w:pPr>
        <w:pStyle w:val="Normln-tun"/>
        <w:numPr>
          <w:ilvl w:val="0"/>
          <w:numId w:val="82"/>
        </w:numPr>
        <w:ind w:left="426" w:hanging="426"/>
        <w:rPr>
          <w:i/>
          <w:iCs/>
        </w:rPr>
      </w:pPr>
      <w:r w:rsidRPr="00234F39">
        <w:rPr>
          <w:i/>
          <w:iCs/>
        </w:rPr>
        <w:t>V</w:t>
      </w:r>
      <w:r w:rsidR="00143918" w:rsidRPr="00234F39">
        <w:rPr>
          <w:i/>
          <w:iCs/>
        </w:rPr>
        <w:t xml:space="preserve">eřejné zájmy, podle zvláštních právních předpisů, budou, v případě projednávání záměru před nadřízeným správním orgánem, hájit </w:t>
      </w:r>
      <w:r w:rsidRPr="00234F39">
        <w:rPr>
          <w:i/>
          <w:iCs/>
          <w:u w:val="single"/>
        </w:rPr>
        <w:t>DO</w:t>
      </w:r>
      <w:r w:rsidR="00143918" w:rsidRPr="00234F39">
        <w:rPr>
          <w:i/>
          <w:iCs/>
          <w:u w:val="single"/>
        </w:rPr>
        <w:t xml:space="preserve">, v případě, že tuto kompetenci vykonává </w:t>
      </w:r>
      <w:r w:rsidRPr="00234F39">
        <w:rPr>
          <w:i/>
          <w:iCs/>
          <w:u w:val="single"/>
        </w:rPr>
        <w:t>KÚ</w:t>
      </w:r>
      <w:r w:rsidR="00143918" w:rsidRPr="00234F39">
        <w:rPr>
          <w:i/>
          <w:iCs/>
          <w:u w:val="single"/>
        </w:rPr>
        <w:t>, formou přímého podílu</w:t>
      </w:r>
      <w:r w:rsidR="00143918" w:rsidRPr="00234F39">
        <w:rPr>
          <w:i/>
          <w:iCs/>
        </w:rPr>
        <w:t xml:space="preserve"> na vypracování aktu nadřízeného správního orgánu tak, aby došlo k procesní integraci; ostatní nadřízené </w:t>
      </w:r>
      <w:r w:rsidR="00391AF9" w:rsidRPr="00234F39">
        <w:rPr>
          <w:i/>
          <w:iCs/>
        </w:rPr>
        <w:t>DO</w:t>
      </w:r>
      <w:r w:rsidR="00143918" w:rsidRPr="00234F39">
        <w:rPr>
          <w:i/>
          <w:iCs/>
        </w:rPr>
        <w:t xml:space="preserve"> budou svou kompetenci vykonávat formou </w:t>
      </w:r>
      <w:r w:rsidR="00871DE6" w:rsidRPr="00234F39">
        <w:rPr>
          <w:i/>
          <w:iCs/>
        </w:rPr>
        <w:t>koordinovaného vyjádření a závazného stanoviska</w:t>
      </w:r>
      <w:r w:rsidR="00143918" w:rsidRPr="00234F39">
        <w:rPr>
          <w:i/>
          <w:iCs/>
        </w:rPr>
        <w:t>;</w:t>
      </w:r>
    </w:p>
    <w:p w14:paraId="76B03391" w14:textId="0C2490B9" w:rsidR="00143918" w:rsidRPr="00234F39" w:rsidRDefault="00DF7B45" w:rsidP="00613EB8">
      <w:pPr>
        <w:pStyle w:val="Normln-tun"/>
        <w:numPr>
          <w:ilvl w:val="0"/>
          <w:numId w:val="82"/>
        </w:numPr>
        <w:ind w:left="426" w:hanging="426"/>
        <w:rPr>
          <w:i/>
          <w:iCs/>
        </w:rPr>
      </w:pPr>
      <w:r w:rsidRPr="00234F39">
        <w:rPr>
          <w:i/>
          <w:iCs/>
        </w:rPr>
        <w:t>K</w:t>
      </w:r>
      <w:r w:rsidR="00143918" w:rsidRPr="00234F39">
        <w:rPr>
          <w:i/>
          <w:iCs/>
        </w:rPr>
        <w:t xml:space="preserve">ompetence </w:t>
      </w:r>
      <w:r w:rsidR="00143918" w:rsidRPr="00234F39">
        <w:rPr>
          <w:i/>
          <w:iCs/>
          <w:u w:val="single"/>
        </w:rPr>
        <w:t xml:space="preserve">prvoinstančního </w:t>
      </w:r>
      <w:r w:rsidRPr="00234F39">
        <w:rPr>
          <w:i/>
          <w:iCs/>
          <w:u w:val="single"/>
        </w:rPr>
        <w:t>SÚ</w:t>
      </w:r>
      <w:r w:rsidR="00143918" w:rsidRPr="00234F39">
        <w:rPr>
          <w:i/>
          <w:iCs/>
          <w:u w:val="single"/>
        </w:rPr>
        <w:t xml:space="preserve"> u vyhrazených staveb</w:t>
      </w:r>
      <w:r w:rsidR="00143918" w:rsidRPr="00234F39">
        <w:rPr>
          <w:i/>
          <w:iCs/>
        </w:rPr>
        <w:t xml:space="preserve"> a </w:t>
      </w:r>
      <w:r w:rsidR="00143918" w:rsidRPr="00234F39">
        <w:rPr>
          <w:i/>
          <w:iCs/>
          <w:u w:val="single"/>
        </w:rPr>
        <w:t>odvolacího</w:t>
      </w:r>
      <w:r w:rsidR="00143918" w:rsidRPr="00234F39">
        <w:rPr>
          <w:i/>
          <w:iCs/>
        </w:rPr>
        <w:t xml:space="preserve"> správního úřadu u staveb, kde v </w:t>
      </w:r>
      <w:r w:rsidR="00143918" w:rsidRPr="00234F39">
        <w:rPr>
          <w:i/>
          <w:iCs/>
          <w:u w:val="single"/>
        </w:rPr>
        <w:t xml:space="preserve">první instanci bude rozhodovat </w:t>
      </w:r>
      <w:r w:rsidRPr="00234F39">
        <w:rPr>
          <w:i/>
          <w:iCs/>
          <w:u w:val="single"/>
        </w:rPr>
        <w:t>KÚ</w:t>
      </w:r>
      <w:r w:rsidR="00143918" w:rsidRPr="00234F39">
        <w:rPr>
          <w:i/>
          <w:iCs/>
        </w:rPr>
        <w:t xml:space="preserve">, bude vykonávat jako státní správu </w:t>
      </w:r>
      <w:r w:rsidRPr="00234F39">
        <w:rPr>
          <w:i/>
          <w:iCs/>
        </w:rPr>
        <w:t>SOSÚ</w:t>
      </w:r>
      <w:r w:rsidR="00143918" w:rsidRPr="00234F39">
        <w:rPr>
          <w:i/>
          <w:iCs/>
        </w:rPr>
        <w:t xml:space="preserve"> s celostátní působností se sídlem v</w:t>
      </w:r>
      <w:r w:rsidRPr="00234F39">
        <w:rPr>
          <w:i/>
          <w:iCs/>
        </w:rPr>
        <w:t> </w:t>
      </w:r>
      <w:r w:rsidR="00143918" w:rsidRPr="00234F39">
        <w:rPr>
          <w:i/>
          <w:iCs/>
        </w:rPr>
        <w:t>Praze</w:t>
      </w:r>
      <w:r w:rsidRPr="00234F39">
        <w:rPr>
          <w:i/>
          <w:iCs/>
        </w:rPr>
        <w:t xml:space="preserve"> a s </w:t>
      </w:r>
      <w:r w:rsidR="00143918" w:rsidRPr="00234F39">
        <w:rPr>
          <w:i/>
          <w:iCs/>
        </w:rPr>
        <w:t>detašovan</w:t>
      </w:r>
      <w:r w:rsidRPr="00234F39">
        <w:rPr>
          <w:i/>
          <w:iCs/>
        </w:rPr>
        <w:t>ými</w:t>
      </w:r>
      <w:r w:rsidR="00143918" w:rsidRPr="00234F39">
        <w:rPr>
          <w:i/>
          <w:iCs/>
        </w:rPr>
        <w:t xml:space="preserve"> pracovišt</w:t>
      </w:r>
      <w:r w:rsidRPr="00234F39">
        <w:rPr>
          <w:i/>
          <w:iCs/>
        </w:rPr>
        <w:t>i</w:t>
      </w:r>
      <w:r w:rsidR="00143918" w:rsidRPr="00234F39">
        <w:rPr>
          <w:i/>
          <w:iCs/>
        </w:rPr>
        <w:t xml:space="preserve">; tento stavební úřad bude také hájit většinu veřejných zájmů, podle zvláštních právních předpisů, formou přímého podílu na vypracování aktu správního orgánu; ostatní dotčené orgány budou svou kompetenci vykonávat </w:t>
      </w:r>
      <w:r w:rsidR="00871DE6" w:rsidRPr="00234F39">
        <w:rPr>
          <w:i/>
          <w:iCs/>
        </w:rPr>
        <w:t>formou koordinovaného vyjádření a závazného stanoviska</w:t>
      </w:r>
      <w:r w:rsidR="00143918" w:rsidRPr="00234F39">
        <w:rPr>
          <w:i/>
          <w:iCs/>
        </w:rPr>
        <w:t>;</w:t>
      </w:r>
    </w:p>
    <w:p w14:paraId="60B72FF8" w14:textId="3010F86E" w:rsidR="00143918" w:rsidRPr="00234F39" w:rsidRDefault="00EC2AD6" w:rsidP="00613EB8">
      <w:pPr>
        <w:pStyle w:val="Normln-tun"/>
        <w:numPr>
          <w:ilvl w:val="0"/>
          <w:numId w:val="82"/>
        </w:numPr>
        <w:ind w:left="426" w:hanging="426"/>
        <w:rPr>
          <w:i/>
          <w:iCs/>
        </w:rPr>
      </w:pPr>
      <w:r w:rsidRPr="00234F39">
        <w:rPr>
          <w:i/>
          <w:iCs/>
        </w:rPr>
        <w:t>Ústředním orgánem státní správy ve věcech územního plánování a stavebního řádu bude MMR</w:t>
      </w:r>
      <w:r w:rsidR="00143918" w:rsidRPr="00234F39">
        <w:rPr>
          <w:i/>
          <w:iCs/>
        </w:rPr>
        <w:t xml:space="preserve">; bude vykonávat činnosti odvolacího správního orgánu vůči </w:t>
      </w:r>
      <w:r w:rsidRPr="00234F39">
        <w:rPr>
          <w:i/>
          <w:iCs/>
        </w:rPr>
        <w:t>SOSÚ</w:t>
      </w:r>
      <w:r w:rsidR="00143918" w:rsidRPr="00234F39">
        <w:rPr>
          <w:i/>
          <w:iCs/>
        </w:rPr>
        <w:t xml:space="preserve"> a třetí instanci vůči </w:t>
      </w:r>
      <w:r w:rsidRPr="00234F39">
        <w:rPr>
          <w:i/>
          <w:iCs/>
        </w:rPr>
        <w:t>KÚ</w:t>
      </w:r>
      <w:r w:rsidR="00143918" w:rsidRPr="00234F39">
        <w:rPr>
          <w:i/>
          <w:iCs/>
        </w:rPr>
        <w:t xml:space="preserve"> a </w:t>
      </w:r>
      <w:r w:rsidRPr="00234F39">
        <w:rPr>
          <w:i/>
          <w:iCs/>
        </w:rPr>
        <w:t>SOSÚ</w:t>
      </w:r>
      <w:r w:rsidR="00143918" w:rsidRPr="00234F39">
        <w:rPr>
          <w:i/>
          <w:iCs/>
        </w:rPr>
        <w:t xml:space="preserve">; veřejné zájmy, podle zvláštních právních předpisů, budou v případě projednávání záměru </w:t>
      </w:r>
      <w:r w:rsidRPr="00234F39">
        <w:rPr>
          <w:i/>
          <w:iCs/>
        </w:rPr>
        <w:t>MMR</w:t>
      </w:r>
      <w:r w:rsidR="00143918" w:rsidRPr="00234F39">
        <w:rPr>
          <w:i/>
          <w:iCs/>
        </w:rPr>
        <w:t xml:space="preserve"> hájit </w:t>
      </w:r>
      <w:r w:rsidR="00795B0F" w:rsidRPr="00234F39">
        <w:rPr>
          <w:i/>
          <w:iCs/>
        </w:rPr>
        <w:t>DO</w:t>
      </w:r>
      <w:r w:rsidR="00143918" w:rsidRPr="00234F39">
        <w:rPr>
          <w:i/>
          <w:iCs/>
        </w:rPr>
        <w:t xml:space="preserve"> (ústřední správní úřady) </w:t>
      </w:r>
      <w:r w:rsidR="00871DE6" w:rsidRPr="00234F39">
        <w:rPr>
          <w:i/>
          <w:iCs/>
        </w:rPr>
        <w:t>formou koordinovaného vyjádření a závazného stanoviska</w:t>
      </w:r>
      <w:r w:rsidR="00143918" w:rsidRPr="00234F39">
        <w:rPr>
          <w:i/>
          <w:iCs/>
        </w:rPr>
        <w:t>.</w:t>
      </w:r>
    </w:p>
    <w:p w14:paraId="0F1B5CAE" w14:textId="5D506AAD" w:rsidR="00061D2C" w:rsidRDefault="009570D5" w:rsidP="00B77245">
      <w:pPr>
        <w:pStyle w:val="Normln-tun"/>
        <w:rPr>
          <w:i/>
          <w:iCs/>
        </w:rPr>
      </w:pPr>
      <w:r w:rsidRPr="00234F39">
        <w:rPr>
          <w:b/>
          <w:i/>
          <w:iCs/>
        </w:rPr>
        <w:t>Varianta 2:</w:t>
      </w:r>
      <w:r w:rsidR="00143918" w:rsidRPr="00234F39">
        <w:rPr>
          <w:i/>
          <w:iCs/>
        </w:rPr>
        <w:t xml:space="preserve"> </w:t>
      </w:r>
      <w:r w:rsidR="0062642D" w:rsidRPr="00234F39">
        <w:rPr>
          <w:i/>
          <w:iCs/>
        </w:rPr>
        <w:t>S</w:t>
      </w:r>
      <w:r w:rsidR="004F2D4D" w:rsidRPr="00234F39">
        <w:rPr>
          <w:i/>
          <w:iCs/>
        </w:rPr>
        <w:t>távající</w:t>
      </w:r>
      <w:r w:rsidR="00CF7E77" w:rsidRPr="00234F39">
        <w:rPr>
          <w:i/>
          <w:iCs/>
        </w:rPr>
        <w:t xml:space="preserve"> </w:t>
      </w:r>
      <w:r w:rsidR="0062642D" w:rsidRPr="00234F39">
        <w:rPr>
          <w:i/>
          <w:iCs/>
        </w:rPr>
        <w:t>institucionální model</w:t>
      </w:r>
      <w:r w:rsidR="004F2D4D" w:rsidRPr="00CF7E77">
        <w:rPr>
          <w:i/>
          <w:iCs/>
        </w:rPr>
        <w:t xml:space="preserve"> </w:t>
      </w:r>
      <w:r w:rsidR="0062642D">
        <w:rPr>
          <w:i/>
          <w:iCs/>
        </w:rPr>
        <w:t>v</w:t>
      </w:r>
      <w:r w:rsidR="00F6532C">
        <w:rPr>
          <w:i/>
          <w:iCs/>
        </w:rPr>
        <w:t> obdobné formě</w:t>
      </w:r>
      <w:r w:rsidR="004F2D4D" w:rsidRPr="00CF7E77">
        <w:rPr>
          <w:i/>
          <w:iCs/>
        </w:rPr>
        <w:t xml:space="preserve"> jako v</w:t>
      </w:r>
      <w:r w:rsidR="0062642D">
        <w:rPr>
          <w:i/>
          <w:iCs/>
        </w:rPr>
        <w:t> </w:t>
      </w:r>
      <w:r w:rsidR="004F2D4D" w:rsidRPr="00CF7E77">
        <w:rPr>
          <w:i/>
          <w:iCs/>
        </w:rPr>
        <w:t>současnosti</w:t>
      </w:r>
      <w:r w:rsidR="0062642D">
        <w:rPr>
          <w:i/>
          <w:iCs/>
        </w:rPr>
        <w:t xml:space="preserve">, tj. </w:t>
      </w:r>
      <w:r w:rsidR="00F36A2D" w:rsidRPr="00F36A2D">
        <w:rPr>
          <w:i/>
          <w:iCs/>
        </w:rPr>
        <w:t xml:space="preserve">prvoinstanční SÚ budou na obecních úřadech </w:t>
      </w:r>
      <w:r w:rsidR="00F36A2D" w:rsidRPr="00871107">
        <w:rPr>
          <w:b/>
          <w:bCs/>
          <w:i/>
          <w:iCs/>
        </w:rPr>
        <w:t>ORP</w:t>
      </w:r>
      <w:r w:rsidR="00F36A2D" w:rsidRPr="00F36A2D">
        <w:rPr>
          <w:i/>
          <w:iCs/>
        </w:rPr>
        <w:t xml:space="preserve"> (stejně jako příslušné DO) </w:t>
      </w:r>
      <w:r w:rsidR="00F36A2D" w:rsidRPr="00871107">
        <w:rPr>
          <w:b/>
          <w:bCs/>
          <w:i/>
          <w:iCs/>
        </w:rPr>
        <w:t xml:space="preserve">a na </w:t>
      </w:r>
      <w:r w:rsidR="00871107">
        <w:rPr>
          <w:b/>
          <w:bCs/>
          <w:i/>
          <w:iCs/>
        </w:rPr>
        <w:t xml:space="preserve">obecních </w:t>
      </w:r>
      <w:r w:rsidR="00F36A2D" w:rsidRPr="00871107">
        <w:rPr>
          <w:b/>
          <w:bCs/>
          <w:i/>
          <w:iCs/>
        </w:rPr>
        <w:t xml:space="preserve">úřadech </w:t>
      </w:r>
      <w:r w:rsidR="00F36A2D" w:rsidRPr="00871107">
        <w:rPr>
          <w:i/>
          <w:iCs/>
        </w:rPr>
        <w:t>dalších obcí</w:t>
      </w:r>
      <w:r w:rsidR="000A60C6" w:rsidRPr="00871107">
        <w:rPr>
          <w:i/>
          <w:iCs/>
        </w:rPr>
        <w:t xml:space="preserve">, </w:t>
      </w:r>
      <w:bookmarkStart w:id="113" w:name="_Hlk99323643"/>
      <w:r w:rsidR="00332D5D" w:rsidRPr="00871107">
        <w:rPr>
          <w:i/>
          <w:iCs/>
        </w:rPr>
        <w:t>u</w:t>
      </w:r>
      <w:r w:rsidR="00332D5D">
        <w:rPr>
          <w:i/>
          <w:iCs/>
        </w:rPr>
        <w:t xml:space="preserve"> nichž jsou </w:t>
      </w:r>
      <w:r w:rsidR="00332D5D" w:rsidRPr="00871107">
        <w:rPr>
          <w:b/>
          <w:bCs/>
          <w:i/>
          <w:iCs/>
        </w:rPr>
        <w:t>splněna</w:t>
      </w:r>
      <w:r w:rsidR="00F36A2D">
        <w:rPr>
          <w:i/>
          <w:iCs/>
        </w:rPr>
        <w:t xml:space="preserve"> předem stanovená </w:t>
      </w:r>
      <w:r w:rsidR="00F36A2D" w:rsidRPr="00871107">
        <w:rPr>
          <w:b/>
          <w:bCs/>
          <w:i/>
          <w:iCs/>
        </w:rPr>
        <w:t>kritéria</w:t>
      </w:r>
      <w:bookmarkEnd w:id="113"/>
      <w:r w:rsidR="00F36A2D">
        <w:rPr>
          <w:i/>
          <w:iCs/>
        </w:rPr>
        <w:t>;</w:t>
      </w:r>
      <w:r w:rsidR="00F36A2D" w:rsidRPr="00061D2C">
        <w:rPr>
          <w:i/>
          <w:iCs/>
        </w:rPr>
        <w:t xml:space="preserve"> </w:t>
      </w:r>
      <w:r w:rsidR="00F36A2D" w:rsidRPr="00F36A2D">
        <w:rPr>
          <w:i/>
          <w:iCs/>
        </w:rPr>
        <w:t>vytvoření SOSÚ</w:t>
      </w:r>
      <w:r w:rsidR="000648F8">
        <w:rPr>
          <w:i/>
          <w:iCs/>
        </w:rPr>
        <w:t>; DO nelze integrovat</w:t>
      </w:r>
      <w:r w:rsidR="00794FE0">
        <w:rPr>
          <w:i/>
          <w:iCs/>
        </w:rPr>
        <w:t xml:space="preserve">, </w:t>
      </w:r>
      <w:r w:rsidR="006D0F30">
        <w:rPr>
          <w:i/>
          <w:iCs/>
        </w:rPr>
        <w:t>DO</w:t>
      </w:r>
      <w:r w:rsidR="00FA0A00" w:rsidRPr="00FA0A00">
        <w:rPr>
          <w:i/>
          <w:iCs/>
        </w:rPr>
        <w:t xml:space="preserve"> vydává vyjádření, koordinované vyjádření nebo závazné stanovisko</w:t>
      </w:r>
      <w:r w:rsidR="00FA0A00">
        <w:rPr>
          <w:i/>
          <w:iCs/>
        </w:rPr>
        <w:t>, j</w:t>
      </w:r>
      <w:r w:rsidR="00794FE0" w:rsidRPr="00794FE0">
        <w:rPr>
          <w:i/>
          <w:iCs/>
        </w:rPr>
        <w:t xml:space="preserve">e-li </w:t>
      </w:r>
      <w:r w:rsidR="00FA0A00">
        <w:rPr>
          <w:i/>
          <w:iCs/>
        </w:rPr>
        <w:t>DO</w:t>
      </w:r>
      <w:r w:rsidR="00794FE0" w:rsidRPr="00794FE0">
        <w:rPr>
          <w:i/>
          <w:iCs/>
        </w:rPr>
        <w:t xml:space="preserve"> tentýž orgán veřejné správy, vydá</w:t>
      </w:r>
      <w:r w:rsidR="006D0F30">
        <w:rPr>
          <w:i/>
          <w:iCs/>
        </w:rPr>
        <w:t>vá</w:t>
      </w:r>
      <w:r w:rsidR="00794FE0" w:rsidRPr="00794FE0">
        <w:rPr>
          <w:i/>
          <w:iCs/>
        </w:rPr>
        <w:t xml:space="preserve"> namísto jednotlivých vyjádření koordinované vyjádření nebo koordinované závazné stanovisko</w:t>
      </w:r>
      <w:r w:rsidR="001F4F53">
        <w:rPr>
          <w:i/>
          <w:iCs/>
        </w:rPr>
        <w:t xml:space="preserve"> </w:t>
      </w:r>
      <w:r w:rsidR="004C4CC7">
        <w:rPr>
          <w:i/>
          <w:iCs/>
        </w:rPr>
        <w:t>(J</w:t>
      </w:r>
      <w:r w:rsidR="004C4CC7" w:rsidRPr="004C4CC7">
        <w:rPr>
          <w:i/>
          <w:iCs/>
        </w:rPr>
        <w:t>ednotné environmentálnímu závazné stanovisk</w:t>
      </w:r>
      <w:r w:rsidR="004C4CC7">
        <w:rPr>
          <w:i/>
          <w:iCs/>
        </w:rPr>
        <w:t>o,</w:t>
      </w:r>
      <w:r w:rsidR="004C4CC7" w:rsidRPr="004C4CC7">
        <w:rPr>
          <w:i/>
          <w:iCs/>
        </w:rPr>
        <w:t xml:space="preserve"> </w:t>
      </w:r>
      <w:r w:rsidR="004C4CC7">
        <w:rPr>
          <w:i/>
          <w:iCs/>
        </w:rPr>
        <w:t>dále též „</w:t>
      </w:r>
      <w:r w:rsidR="001F4F53">
        <w:rPr>
          <w:i/>
          <w:iCs/>
        </w:rPr>
        <w:t>JES</w:t>
      </w:r>
      <w:r w:rsidR="004C4CC7">
        <w:rPr>
          <w:i/>
          <w:iCs/>
        </w:rPr>
        <w:t>“</w:t>
      </w:r>
      <w:r w:rsidR="001F4F53">
        <w:rPr>
          <w:i/>
          <w:iCs/>
        </w:rPr>
        <w:t>)</w:t>
      </w:r>
      <w:r w:rsidR="00FA0A00">
        <w:rPr>
          <w:i/>
          <w:iCs/>
        </w:rPr>
        <w:t>.</w:t>
      </w:r>
    </w:p>
    <w:p w14:paraId="6BB65932" w14:textId="6CC95B1F" w:rsidR="002306E0" w:rsidRPr="00234F39" w:rsidRDefault="002306E0" w:rsidP="00613EB8">
      <w:pPr>
        <w:pStyle w:val="Normln-tun"/>
        <w:numPr>
          <w:ilvl w:val="0"/>
          <w:numId w:val="82"/>
        </w:numPr>
        <w:ind w:left="426" w:hanging="426"/>
        <w:rPr>
          <w:i/>
          <w:iCs/>
        </w:rPr>
      </w:pPr>
      <w:r>
        <w:rPr>
          <w:i/>
          <w:iCs/>
        </w:rPr>
        <w:t>K</w:t>
      </w:r>
      <w:r w:rsidRPr="00143918">
        <w:rPr>
          <w:i/>
          <w:iCs/>
        </w:rPr>
        <w:t xml:space="preserve">ompetence </w:t>
      </w:r>
      <w:r w:rsidRPr="009403BC">
        <w:rPr>
          <w:i/>
          <w:iCs/>
          <w:u w:val="single"/>
        </w:rPr>
        <w:t>prvoinstančních SÚ</w:t>
      </w:r>
      <w:r>
        <w:rPr>
          <w:i/>
          <w:iCs/>
        </w:rPr>
        <w:t xml:space="preserve"> </w:t>
      </w:r>
      <w:r w:rsidRPr="00143918">
        <w:rPr>
          <w:i/>
          <w:iCs/>
        </w:rPr>
        <w:t xml:space="preserve">u všech staveb, vyjma staveb vyhrazených a staveb v kompetenci </w:t>
      </w:r>
      <w:r>
        <w:rPr>
          <w:i/>
          <w:iCs/>
        </w:rPr>
        <w:t>KÚ</w:t>
      </w:r>
      <w:r w:rsidRPr="00143918">
        <w:rPr>
          <w:i/>
          <w:iCs/>
        </w:rPr>
        <w:t xml:space="preserve"> nebo jiných </w:t>
      </w:r>
      <w:r>
        <w:rPr>
          <w:i/>
          <w:iCs/>
        </w:rPr>
        <w:t>SÚ</w:t>
      </w:r>
      <w:r w:rsidRPr="00143918">
        <w:rPr>
          <w:i/>
          <w:iCs/>
        </w:rPr>
        <w:t xml:space="preserve">, budou v </w:t>
      </w:r>
      <w:r>
        <w:rPr>
          <w:i/>
          <w:iCs/>
        </w:rPr>
        <w:t>PP</w:t>
      </w:r>
      <w:r w:rsidRPr="00143918">
        <w:rPr>
          <w:i/>
          <w:iCs/>
        </w:rPr>
        <w:t xml:space="preserve"> vykonávat </w:t>
      </w:r>
      <w:r w:rsidRPr="009403BC">
        <w:rPr>
          <w:i/>
          <w:iCs/>
          <w:u w:val="single"/>
        </w:rPr>
        <w:t>obecní úřady ORP</w:t>
      </w:r>
      <w:r w:rsidR="00DD1533">
        <w:rPr>
          <w:i/>
          <w:iCs/>
        </w:rPr>
        <w:t xml:space="preserve"> a</w:t>
      </w:r>
      <w:r w:rsidRPr="00143918">
        <w:rPr>
          <w:i/>
          <w:iCs/>
        </w:rPr>
        <w:t xml:space="preserve"> obecní úřad</w:t>
      </w:r>
      <w:r w:rsidR="00DD1533">
        <w:rPr>
          <w:i/>
          <w:iCs/>
        </w:rPr>
        <w:t>y</w:t>
      </w:r>
      <w:r w:rsidRPr="00143918">
        <w:rPr>
          <w:i/>
          <w:iCs/>
        </w:rPr>
        <w:t xml:space="preserve"> </w:t>
      </w:r>
      <w:r w:rsidR="00DD1533">
        <w:rPr>
          <w:i/>
          <w:iCs/>
        </w:rPr>
        <w:t xml:space="preserve">obcí, u nichž objem stavební agendy či </w:t>
      </w:r>
      <w:r w:rsidR="00DD1533" w:rsidRPr="00234F39">
        <w:rPr>
          <w:i/>
          <w:iCs/>
        </w:rPr>
        <w:t>další parametry spl</w:t>
      </w:r>
      <w:r w:rsidR="00A41572" w:rsidRPr="00234F39">
        <w:rPr>
          <w:i/>
          <w:iCs/>
        </w:rPr>
        <w:t>n</w:t>
      </w:r>
      <w:r w:rsidR="00DD1533" w:rsidRPr="00234F39">
        <w:rPr>
          <w:i/>
          <w:iCs/>
        </w:rPr>
        <w:t>í předem stanovená kritéria</w:t>
      </w:r>
      <w:r w:rsidRPr="00234F39">
        <w:rPr>
          <w:i/>
          <w:iCs/>
        </w:rPr>
        <w:t xml:space="preserve">; </w:t>
      </w:r>
    </w:p>
    <w:p w14:paraId="193C57D6" w14:textId="77777777" w:rsidR="005F1D15" w:rsidRPr="00234F39" w:rsidRDefault="005F1D15" w:rsidP="00613EB8">
      <w:pPr>
        <w:pStyle w:val="Normln-tun"/>
        <w:numPr>
          <w:ilvl w:val="0"/>
          <w:numId w:val="82"/>
        </w:numPr>
        <w:ind w:left="426" w:hanging="426"/>
        <w:rPr>
          <w:i/>
          <w:iCs/>
        </w:rPr>
      </w:pPr>
      <w:r w:rsidRPr="00234F39">
        <w:rPr>
          <w:i/>
          <w:iCs/>
        </w:rPr>
        <w:t xml:space="preserve">Kompetence </w:t>
      </w:r>
      <w:r w:rsidRPr="00234F39">
        <w:rPr>
          <w:i/>
          <w:iCs/>
          <w:u w:val="single"/>
        </w:rPr>
        <w:t>odvolacích</w:t>
      </w:r>
      <w:r w:rsidRPr="00234F39">
        <w:rPr>
          <w:i/>
          <w:iCs/>
        </w:rPr>
        <w:t xml:space="preserve"> správních úřadů budou v PP, v případech, kdy v první instanci budou rozhodovat obecní úřady, vykonávat </w:t>
      </w:r>
      <w:r w:rsidRPr="00234F39">
        <w:rPr>
          <w:i/>
          <w:iCs/>
          <w:u w:val="single"/>
        </w:rPr>
        <w:t>KÚ</w:t>
      </w:r>
      <w:r w:rsidRPr="00234F39">
        <w:rPr>
          <w:i/>
          <w:iCs/>
        </w:rPr>
        <w:t xml:space="preserve">; </w:t>
      </w:r>
    </w:p>
    <w:p w14:paraId="47774B57" w14:textId="081CFED0" w:rsidR="005F1D15" w:rsidRPr="00234F39" w:rsidRDefault="005F1D15" w:rsidP="00613EB8">
      <w:pPr>
        <w:pStyle w:val="Normln-tun"/>
        <w:numPr>
          <w:ilvl w:val="0"/>
          <w:numId w:val="82"/>
        </w:numPr>
        <w:ind w:left="426" w:hanging="426"/>
        <w:rPr>
          <w:i/>
          <w:iCs/>
        </w:rPr>
      </w:pPr>
      <w:r w:rsidRPr="00234F39">
        <w:rPr>
          <w:i/>
          <w:iCs/>
        </w:rPr>
        <w:t xml:space="preserve">Kompetence </w:t>
      </w:r>
      <w:r w:rsidRPr="00234F39">
        <w:rPr>
          <w:i/>
          <w:iCs/>
          <w:u w:val="single"/>
        </w:rPr>
        <w:t>prvoinstančního SÚ u vyhrazených staveb</w:t>
      </w:r>
      <w:r w:rsidRPr="00234F39">
        <w:rPr>
          <w:i/>
          <w:iCs/>
        </w:rPr>
        <w:t xml:space="preserve"> a </w:t>
      </w:r>
      <w:r w:rsidRPr="00234F39">
        <w:rPr>
          <w:i/>
          <w:iCs/>
          <w:u w:val="single"/>
        </w:rPr>
        <w:t>odvolacího</w:t>
      </w:r>
      <w:r w:rsidRPr="00234F39">
        <w:rPr>
          <w:i/>
          <w:iCs/>
        </w:rPr>
        <w:t xml:space="preserve"> správního úřadu u staveb, kde v </w:t>
      </w:r>
      <w:r w:rsidRPr="00234F39">
        <w:rPr>
          <w:i/>
          <w:iCs/>
          <w:u w:val="single"/>
        </w:rPr>
        <w:t>první instanci bude rozhodovat KÚ</w:t>
      </w:r>
      <w:r w:rsidRPr="00234F39">
        <w:rPr>
          <w:i/>
          <w:iCs/>
        </w:rPr>
        <w:t xml:space="preserve">, bude vykonávat jako státní správu SOSÚ s celostátní působností se sídlem v Praze a s detašovanými pracovišti; tento stavební úřad bude také hájit většinu veřejných zájmů, podle zvláštních právních předpisů, formou přímého podílu na vypracování aktu správního orgánu; ostatní dotčené orgány budou svou kompetenci vykonávat formou </w:t>
      </w:r>
      <w:r w:rsidR="003F05A3" w:rsidRPr="00234F39">
        <w:rPr>
          <w:i/>
          <w:iCs/>
        </w:rPr>
        <w:t>koordinovaného vyjádření a závazného stanoviska</w:t>
      </w:r>
      <w:r w:rsidRPr="00234F39">
        <w:rPr>
          <w:i/>
          <w:iCs/>
        </w:rPr>
        <w:t>;</w:t>
      </w:r>
    </w:p>
    <w:p w14:paraId="4C0D9281" w14:textId="6D4C1796" w:rsidR="005F1D15" w:rsidRDefault="005F1D15" w:rsidP="00613EB8">
      <w:pPr>
        <w:pStyle w:val="Normln-tun"/>
        <w:numPr>
          <w:ilvl w:val="0"/>
          <w:numId w:val="82"/>
        </w:numPr>
        <w:ind w:left="426" w:hanging="426"/>
        <w:rPr>
          <w:i/>
          <w:iCs/>
        </w:rPr>
      </w:pPr>
      <w:r w:rsidRPr="00234F39">
        <w:rPr>
          <w:i/>
          <w:iCs/>
        </w:rPr>
        <w:t>Ústředním orgánem státní správy ve věcech územního plánování a stavebního řádu bude MMR; bude vykonávat činnosti odvolacího správního orgánu vůči SOSÚ a třetí instanci vůči KÚ a SOSÚ; veřejné zájmy, podle zvláštních právních předpisů, budou v případě projednávání záměru MMR hájit DO (ústřední správní úřady) formou závazných stanovisek</w:t>
      </w:r>
      <w:r w:rsidRPr="00871DE6">
        <w:rPr>
          <w:i/>
          <w:iCs/>
        </w:rPr>
        <w:t xml:space="preserve"> § 149 správního řádu/vyjádření ve smyslu § 154 a násl. správního řádu.</w:t>
      </w:r>
    </w:p>
    <w:p w14:paraId="1D1ECF74" w14:textId="1ED64A08" w:rsidR="00871DE6" w:rsidRPr="00871DE6" w:rsidRDefault="002306E0" w:rsidP="00613EB8">
      <w:pPr>
        <w:pStyle w:val="Normln-tun"/>
        <w:numPr>
          <w:ilvl w:val="0"/>
          <w:numId w:val="82"/>
        </w:numPr>
        <w:ind w:left="426" w:hanging="426"/>
        <w:rPr>
          <w:i/>
          <w:iCs/>
        </w:rPr>
      </w:pPr>
      <w:r w:rsidRPr="00871DE6">
        <w:rPr>
          <w:i/>
          <w:iCs/>
        </w:rPr>
        <w:lastRenderedPageBreak/>
        <w:t xml:space="preserve">Veřejné zájmy, podle zvláštních právních předpisů, budou, v případě projednávání záměru před SÚ, hájit DO; </w:t>
      </w:r>
      <w:r w:rsidR="00871DE6" w:rsidRPr="00871DE6">
        <w:rPr>
          <w:i/>
          <w:iCs/>
        </w:rPr>
        <w:t xml:space="preserve">fakticky se od procesní integrace upouští, resp. </w:t>
      </w:r>
      <w:r w:rsidR="00700152">
        <w:rPr>
          <w:i/>
          <w:iCs/>
        </w:rPr>
        <w:t>dojde k ní</w:t>
      </w:r>
      <w:r w:rsidR="00871DE6" w:rsidRPr="00871DE6">
        <w:rPr>
          <w:i/>
          <w:iCs/>
        </w:rPr>
        <w:t xml:space="preserve"> jen v minimálním rozsahu</w:t>
      </w:r>
      <w:r w:rsidR="00700152">
        <w:rPr>
          <w:i/>
          <w:iCs/>
        </w:rPr>
        <w:t>, neboť</w:t>
      </w:r>
      <w:r w:rsidR="00871DE6">
        <w:rPr>
          <w:i/>
          <w:iCs/>
        </w:rPr>
        <w:t xml:space="preserve"> </w:t>
      </w:r>
      <w:r w:rsidR="00700152">
        <w:rPr>
          <w:i/>
          <w:iCs/>
        </w:rPr>
        <w:t>s</w:t>
      </w:r>
      <w:r w:rsidR="00871DE6" w:rsidRPr="00871DE6">
        <w:rPr>
          <w:i/>
          <w:iCs/>
        </w:rPr>
        <w:t xml:space="preserve"> ohledem na to, že </w:t>
      </w:r>
      <w:r w:rsidR="00700152">
        <w:rPr>
          <w:i/>
          <w:iCs/>
        </w:rPr>
        <w:t>SÚ</w:t>
      </w:r>
      <w:r w:rsidR="00871DE6" w:rsidRPr="00871DE6">
        <w:rPr>
          <w:i/>
          <w:iCs/>
        </w:rPr>
        <w:t xml:space="preserve"> </w:t>
      </w:r>
      <w:r w:rsidR="00700152">
        <w:rPr>
          <w:i/>
          <w:iCs/>
        </w:rPr>
        <w:t>moh</w:t>
      </w:r>
      <w:r w:rsidR="00871DE6" w:rsidRPr="00871DE6">
        <w:rPr>
          <w:i/>
          <w:iCs/>
        </w:rPr>
        <w:t xml:space="preserve">ou </w:t>
      </w:r>
      <w:r w:rsidR="00700152">
        <w:rPr>
          <w:i/>
          <w:iCs/>
        </w:rPr>
        <w:t xml:space="preserve">být </w:t>
      </w:r>
      <w:r w:rsidR="00871DE6" w:rsidRPr="00871DE6">
        <w:rPr>
          <w:i/>
          <w:iCs/>
        </w:rPr>
        <w:t>i na obcích II. a I. typu, není procesní integrace možná</w:t>
      </w:r>
      <w:r w:rsidR="00700152">
        <w:rPr>
          <w:rStyle w:val="Znakapoznpodarou"/>
          <w:i/>
          <w:iCs/>
        </w:rPr>
        <w:footnoteReference w:id="5"/>
      </w:r>
      <w:r w:rsidR="00700152">
        <w:rPr>
          <w:i/>
          <w:iCs/>
        </w:rPr>
        <w:t>.</w:t>
      </w:r>
    </w:p>
    <w:p w14:paraId="73C12355" w14:textId="16763D80" w:rsidR="00B77245" w:rsidRPr="004334FD" w:rsidRDefault="004334FD" w:rsidP="00B77245">
      <w:pPr>
        <w:pStyle w:val="Normln-tun"/>
      </w:pPr>
      <w:r w:rsidRPr="004334FD">
        <w:t>V rámci varianty 2 pak lze dále pracovat s volbou kritérií a jejich hodnot</w:t>
      </w:r>
      <w:r w:rsidR="00AB35E8">
        <w:t xml:space="preserve">; příp. na stejném principu fungování struktury stanovit vedle SÚ na ORP další </w:t>
      </w:r>
      <w:r w:rsidR="00AB35E8" w:rsidRPr="00AB35E8">
        <w:t xml:space="preserve">SÚ na všech </w:t>
      </w:r>
      <w:r w:rsidR="00AB35E8">
        <w:t xml:space="preserve">úřadech </w:t>
      </w:r>
      <w:r w:rsidR="00AB35E8" w:rsidRPr="00AB35E8">
        <w:t>PO</w:t>
      </w:r>
      <w:r w:rsidR="00AB35E8">
        <w:t>Ú</w:t>
      </w:r>
      <w:r w:rsidR="00AB35E8" w:rsidRPr="00AB35E8">
        <w:t xml:space="preserve"> a níže nikoliv</w:t>
      </w:r>
      <w:r w:rsidR="00AB35E8">
        <w:t xml:space="preserve"> apod.</w:t>
      </w:r>
    </w:p>
    <w:p w14:paraId="7F1BC1DD" w14:textId="0E95C45F" w:rsidR="00CF7E77" w:rsidRDefault="00061D2C" w:rsidP="000342F2">
      <w:pPr>
        <w:pStyle w:val="Normln-tun"/>
      </w:pPr>
      <w:r>
        <w:t xml:space="preserve">Vedle </w:t>
      </w:r>
      <w:r w:rsidRPr="00585AFF">
        <w:t xml:space="preserve">struktury </w:t>
      </w:r>
      <w:r w:rsidR="00585AFF" w:rsidRPr="00585AFF">
        <w:t xml:space="preserve">ve Variantě 0, 1 i 2 budou existovat </w:t>
      </w:r>
      <w:r w:rsidRPr="00585AFF">
        <w:t>jiné stavební úřady (</w:t>
      </w:r>
      <w:r w:rsidR="00585AFF" w:rsidRPr="00585AFF">
        <w:t>Ministerstvo obrany (působnost u záměrů, které slouží k zajišťování obrany státu), Ministerstvo vnitra (působnost u záměrů pro bezpečnost státu) a Ministerstvo spravedlnosti (pro záměry staveb pro účely Vězeňské služby)</w:t>
      </w:r>
      <w:r w:rsidR="000342F2" w:rsidRPr="00585AFF">
        <w:t>)</w:t>
      </w:r>
      <w:r w:rsidR="00585AFF" w:rsidRPr="00585AFF">
        <w:t>.</w:t>
      </w:r>
    </w:p>
    <w:p w14:paraId="5D6EEEB5" w14:textId="65693EEC" w:rsidR="007105BE" w:rsidRDefault="007105BE" w:rsidP="007105BE">
      <w:pPr>
        <w:pStyle w:val="Titulek"/>
        <w:keepNext/>
      </w:pPr>
      <w:bookmarkStart w:id="114" w:name="_Ref100124810"/>
      <w:r>
        <w:t xml:space="preserve">Obrázek </w:t>
      </w:r>
      <w:r w:rsidR="004B0591">
        <w:fldChar w:fldCharType="begin"/>
      </w:r>
      <w:r w:rsidR="004B0591">
        <w:instrText xml:space="preserve"> SEQ Obrázek \* ARABIC </w:instrText>
      </w:r>
      <w:r w:rsidR="004B0591">
        <w:fldChar w:fldCharType="separate"/>
      </w:r>
      <w:r>
        <w:rPr>
          <w:noProof/>
        </w:rPr>
        <w:t>3</w:t>
      </w:r>
      <w:r w:rsidR="004B0591">
        <w:rPr>
          <w:noProof/>
        </w:rPr>
        <w:fldChar w:fldCharType="end"/>
      </w:r>
      <w:bookmarkEnd w:id="114"/>
      <w:r>
        <w:t>: Grafické schéma Varianty 0</w:t>
      </w:r>
    </w:p>
    <w:p w14:paraId="229B262A" w14:textId="11E7F8CD" w:rsidR="00051D09" w:rsidRDefault="00051D09" w:rsidP="000342F2">
      <w:pPr>
        <w:pStyle w:val="Normln-tun"/>
      </w:pPr>
      <w:r>
        <w:rPr>
          <w:noProof/>
          <w:lang w:eastAsia="cs-CZ"/>
        </w:rPr>
        <w:drawing>
          <wp:inline distT="0" distB="0" distL="0" distR="0" wp14:anchorId="5A01E06E" wp14:editId="73EE5E91">
            <wp:extent cx="4677712" cy="3291840"/>
            <wp:effectExtent l="0" t="0" r="889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2847" cy="3309528"/>
                    </a:xfrm>
                    <a:prstGeom prst="rect">
                      <a:avLst/>
                    </a:prstGeom>
                    <a:noFill/>
                  </pic:spPr>
                </pic:pic>
              </a:graphicData>
            </a:graphic>
          </wp:inline>
        </w:drawing>
      </w:r>
    </w:p>
    <w:p w14:paraId="69DF6B77" w14:textId="74C4EBFC" w:rsidR="007105BE" w:rsidRDefault="007105BE" w:rsidP="007105BE">
      <w:pPr>
        <w:pStyle w:val="Titulek"/>
        <w:keepNext/>
      </w:pPr>
      <w:r>
        <w:lastRenderedPageBreak/>
        <w:t xml:space="preserve">Obrázek </w:t>
      </w:r>
      <w:r w:rsidR="004B0591">
        <w:fldChar w:fldCharType="begin"/>
      </w:r>
      <w:r w:rsidR="004B0591">
        <w:instrText xml:space="preserve"> SEQ Obrázek \* ARABIC </w:instrText>
      </w:r>
      <w:r w:rsidR="004B0591">
        <w:fldChar w:fldCharType="separate"/>
      </w:r>
      <w:r>
        <w:rPr>
          <w:noProof/>
        </w:rPr>
        <w:t>4</w:t>
      </w:r>
      <w:r w:rsidR="004B0591">
        <w:rPr>
          <w:noProof/>
        </w:rPr>
        <w:fldChar w:fldCharType="end"/>
      </w:r>
      <w:r>
        <w:t>: Grafické schéma Varianty 1</w:t>
      </w:r>
    </w:p>
    <w:p w14:paraId="46C28FF4" w14:textId="211329E7" w:rsidR="00051D09" w:rsidRDefault="002F788B" w:rsidP="000342F2">
      <w:pPr>
        <w:pStyle w:val="Normln-tun"/>
      </w:pPr>
      <w:r>
        <w:rPr>
          <w:noProof/>
          <w:lang w:eastAsia="cs-CZ"/>
        </w:rPr>
        <w:drawing>
          <wp:inline distT="0" distB="0" distL="0" distR="0" wp14:anchorId="18CEB4A9" wp14:editId="42054B15">
            <wp:extent cx="4313094" cy="345186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8528" cy="3472215"/>
                    </a:xfrm>
                    <a:prstGeom prst="rect">
                      <a:avLst/>
                    </a:prstGeom>
                    <a:noFill/>
                  </pic:spPr>
                </pic:pic>
              </a:graphicData>
            </a:graphic>
          </wp:inline>
        </w:drawing>
      </w:r>
    </w:p>
    <w:p w14:paraId="773B4C6B" w14:textId="5E65B0A3" w:rsidR="00793578" w:rsidRDefault="00793578" w:rsidP="000342F2">
      <w:pPr>
        <w:pStyle w:val="Normln-tun"/>
      </w:pPr>
      <w:r>
        <w:rPr>
          <w:noProof/>
          <w:lang w:eastAsia="cs-CZ"/>
        </w:rPr>
        <w:drawing>
          <wp:inline distT="0" distB="0" distL="0" distR="0" wp14:anchorId="7E365300" wp14:editId="051B1586">
            <wp:extent cx="1280160" cy="219710"/>
            <wp:effectExtent l="0" t="0" r="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219710"/>
                    </a:xfrm>
                    <a:prstGeom prst="rect">
                      <a:avLst/>
                    </a:prstGeom>
                    <a:noFill/>
                  </pic:spPr>
                </pic:pic>
              </a:graphicData>
            </a:graphic>
          </wp:inline>
        </w:drawing>
      </w:r>
    </w:p>
    <w:p w14:paraId="0A9EE21B" w14:textId="31CF9DD6" w:rsidR="007105BE" w:rsidRDefault="007105BE" w:rsidP="007105BE">
      <w:pPr>
        <w:pStyle w:val="Titulek"/>
        <w:keepNext/>
      </w:pPr>
      <w:bookmarkStart w:id="115" w:name="_Ref100124818"/>
      <w:r>
        <w:t xml:space="preserve">Obrázek </w:t>
      </w:r>
      <w:r w:rsidR="004B0591">
        <w:fldChar w:fldCharType="begin"/>
      </w:r>
      <w:r w:rsidR="004B0591">
        <w:instrText xml:space="preserve"> SEQ Obrázek \* ARABIC </w:instrText>
      </w:r>
      <w:r w:rsidR="004B0591">
        <w:fldChar w:fldCharType="separate"/>
      </w:r>
      <w:r>
        <w:rPr>
          <w:noProof/>
        </w:rPr>
        <w:t>5</w:t>
      </w:r>
      <w:r w:rsidR="004B0591">
        <w:rPr>
          <w:noProof/>
        </w:rPr>
        <w:fldChar w:fldCharType="end"/>
      </w:r>
      <w:bookmarkEnd w:id="115"/>
      <w:r>
        <w:t>: Grafické schéma Varianty 2</w:t>
      </w:r>
    </w:p>
    <w:p w14:paraId="13EA022F" w14:textId="772AD9D6" w:rsidR="002F788B" w:rsidRDefault="007105BE" w:rsidP="000342F2">
      <w:pPr>
        <w:pStyle w:val="Normln-tun"/>
      </w:pPr>
      <w:r>
        <w:rPr>
          <w:noProof/>
          <w:lang w:eastAsia="cs-CZ"/>
        </w:rPr>
        <w:drawing>
          <wp:inline distT="0" distB="0" distL="0" distR="0" wp14:anchorId="2B041152" wp14:editId="432C904F">
            <wp:extent cx="4305300" cy="349482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4532" cy="3526668"/>
                    </a:xfrm>
                    <a:prstGeom prst="rect">
                      <a:avLst/>
                    </a:prstGeom>
                    <a:noFill/>
                  </pic:spPr>
                </pic:pic>
              </a:graphicData>
            </a:graphic>
          </wp:inline>
        </w:drawing>
      </w:r>
    </w:p>
    <w:p w14:paraId="251D0E85" w14:textId="6D5C30C5" w:rsidR="002F788B" w:rsidRDefault="00793578" w:rsidP="000342F2">
      <w:pPr>
        <w:pStyle w:val="Normln-tun"/>
      </w:pPr>
      <w:r>
        <w:rPr>
          <w:noProof/>
          <w:lang w:eastAsia="cs-CZ"/>
        </w:rPr>
        <w:drawing>
          <wp:inline distT="0" distB="0" distL="0" distR="0" wp14:anchorId="5B84AA9A" wp14:editId="09F093A1">
            <wp:extent cx="1280160" cy="219710"/>
            <wp:effectExtent l="0" t="0" r="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219710"/>
                    </a:xfrm>
                    <a:prstGeom prst="rect">
                      <a:avLst/>
                    </a:prstGeom>
                    <a:noFill/>
                  </pic:spPr>
                </pic:pic>
              </a:graphicData>
            </a:graphic>
          </wp:inline>
        </w:drawing>
      </w:r>
    </w:p>
    <w:p w14:paraId="5B8CA4D1" w14:textId="77777777" w:rsidR="002F788B" w:rsidRPr="00061D2C" w:rsidRDefault="002F788B" w:rsidP="000342F2">
      <w:pPr>
        <w:pStyle w:val="Normln-tun"/>
      </w:pPr>
    </w:p>
    <w:p w14:paraId="06CF66D8" w14:textId="479F52D5" w:rsidR="00BD6BD3" w:rsidRPr="00BD6BD3" w:rsidRDefault="00BD6BD3" w:rsidP="00BD6BD3">
      <w:pPr>
        <w:pStyle w:val="Nadpis10"/>
      </w:pPr>
      <w:r w:rsidRPr="00BD6BD3">
        <w:lastRenderedPageBreak/>
        <w:tab/>
      </w:r>
      <w:bookmarkStart w:id="116" w:name="_Toc99544568"/>
      <w:r w:rsidRPr="00BD6BD3">
        <w:t>Vyhodnocení nákladů a přínosů</w:t>
      </w:r>
      <w:bookmarkEnd w:id="116"/>
    </w:p>
    <w:p w14:paraId="3210EBD8" w14:textId="5A66C6B0" w:rsidR="00BD6BD3" w:rsidRDefault="00BD6BD3" w:rsidP="00A633E7">
      <w:pPr>
        <w:pStyle w:val="Nadpis20"/>
        <w:numPr>
          <w:ilvl w:val="0"/>
          <w:numId w:val="0"/>
        </w:numPr>
        <w:ind w:left="576" w:hanging="576"/>
        <w:rPr>
          <w:rFonts w:eastAsia="Calibri"/>
        </w:rPr>
      </w:pPr>
      <w:r w:rsidRPr="00BD6BD3">
        <w:rPr>
          <w:rFonts w:eastAsia="Calibri"/>
        </w:rPr>
        <w:t>3.1</w:t>
      </w:r>
      <w:r w:rsidRPr="00BD6BD3">
        <w:rPr>
          <w:rFonts w:eastAsia="Calibri"/>
        </w:rPr>
        <w:tab/>
        <w:t>Identifikace nákladů a přínosů</w:t>
      </w:r>
    </w:p>
    <w:p w14:paraId="23006BE3" w14:textId="58839A0E" w:rsidR="0005385B" w:rsidRDefault="0005385B" w:rsidP="0005385B">
      <w:pPr>
        <w:pStyle w:val="Titulek"/>
      </w:pPr>
      <w:r>
        <w:t xml:space="preserve">Tabulka </w:t>
      </w:r>
      <w:r>
        <w:rPr>
          <w:noProof/>
        </w:rPr>
        <w:fldChar w:fldCharType="begin"/>
      </w:r>
      <w:r>
        <w:rPr>
          <w:noProof/>
        </w:rPr>
        <w:instrText xml:space="preserve"> SEQ Tabulka \* ARABIC </w:instrText>
      </w:r>
      <w:r>
        <w:rPr>
          <w:noProof/>
        </w:rPr>
        <w:fldChar w:fldCharType="separate"/>
      </w:r>
      <w:r w:rsidR="0083191B">
        <w:rPr>
          <w:noProof/>
        </w:rPr>
        <w:t>13</w:t>
      </w:r>
      <w:r>
        <w:rPr>
          <w:noProof/>
        </w:rPr>
        <w:fldChar w:fldCharType="end"/>
      </w:r>
      <w:r>
        <w:t xml:space="preserve">: </w:t>
      </w:r>
      <w:r w:rsidRPr="00AF18EA">
        <w:t>Identifikace nákladů a přínosů:</w:t>
      </w:r>
    </w:p>
    <w:tbl>
      <w:tblPr>
        <w:tblW w:w="0" w:type="auto"/>
        <w:tblInd w:w="108" w:type="dxa"/>
        <w:tblBorders>
          <w:top w:val="single" w:sz="4" w:space="0" w:color="auto"/>
        </w:tblBorders>
        <w:shd w:val="clear" w:color="auto" w:fill="B6B002"/>
        <w:tblLook w:val="00A0" w:firstRow="1" w:lastRow="0" w:firstColumn="1" w:lastColumn="0" w:noHBand="0" w:noVBand="0"/>
      </w:tblPr>
      <w:tblGrid>
        <w:gridCol w:w="8962"/>
      </w:tblGrid>
      <w:tr w:rsidR="0005385B" w:rsidRPr="00234F39" w14:paraId="0D440F16" w14:textId="77777777" w:rsidTr="00197E1E">
        <w:trPr>
          <w:trHeight w:val="340"/>
        </w:trPr>
        <w:tc>
          <w:tcPr>
            <w:tcW w:w="8962" w:type="dxa"/>
            <w:tcBorders>
              <w:top w:val="single" w:sz="4" w:space="0" w:color="auto"/>
              <w:bottom w:val="single" w:sz="4" w:space="0" w:color="auto"/>
            </w:tcBorders>
            <w:shd w:val="clear" w:color="auto" w:fill="D9D9D9"/>
            <w:vAlign w:val="center"/>
          </w:tcPr>
          <w:p w14:paraId="6237AF11" w14:textId="77777777" w:rsidR="0005385B" w:rsidRPr="00234F39" w:rsidRDefault="0005385B" w:rsidP="00197E1E">
            <w:pPr>
              <w:widowControl w:val="0"/>
              <w:spacing w:before="0" w:after="0"/>
              <w:jc w:val="left"/>
              <w:rPr>
                <w:rFonts w:ascii="Calibri" w:hAnsi="Calibri"/>
                <w:b/>
                <w:color w:val="000000"/>
                <w:sz w:val="20"/>
                <w:szCs w:val="20"/>
              </w:rPr>
            </w:pPr>
            <w:r w:rsidRPr="00234F39">
              <w:rPr>
                <w:rFonts w:ascii="Calibri" w:hAnsi="Calibri"/>
                <w:b/>
                <w:color w:val="000000"/>
                <w:sz w:val="20"/>
                <w:szCs w:val="20"/>
              </w:rPr>
              <w:t>Náklady</w:t>
            </w:r>
          </w:p>
        </w:tc>
      </w:tr>
      <w:tr w:rsidR="0005385B" w:rsidRPr="00234F39" w14:paraId="59226A1B" w14:textId="77777777" w:rsidTr="00197E1E">
        <w:trPr>
          <w:trHeight w:val="340"/>
        </w:trPr>
        <w:tc>
          <w:tcPr>
            <w:tcW w:w="8962" w:type="dxa"/>
            <w:tcBorders>
              <w:top w:val="single" w:sz="4" w:space="0" w:color="auto"/>
              <w:bottom w:val="single" w:sz="4" w:space="0" w:color="auto"/>
            </w:tcBorders>
            <w:shd w:val="clear" w:color="auto" w:fill="auto"/>
            <w:vAlign w:val="center"/>
          </w:tcPr>
          <w:p w14:paraId="07036A01" w14:textId="77777777"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Mzdové a režijní náklady</w:t>
            </w:r>
          </w:p>
          <w:p w14:paraId="290665E2" w14:textId="16C79C5A"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 xml:space="preserve">Pronájem nových kancelářských prostor a vybavení </w:t>
            </w:r>
          </w:p>
          <w:p w14:paraId="757F4772" w14:textId="77777777"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Pronájem prostor pro ukládání spisů</w:t>
            </w:r>
          </w:p>
          <w:p w14:paraId="2EE4D108" w14:textId="77777777"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Nárůst administrativních nákladů na komunikaci mezi nově vzniklými úřady a samosprávami</w:t>
            </w:r>
          </w:p>
          <w:p w14:paraId="1B33FA0C" w14:textId="7F5F4A54"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 xml:space="preserve">Transformační náklady na vznik nových pracovních </w:t>
            </w:r>
            <w:r w:rsidR="00234F39" w:rsidRPr="00234F39">
              <w:rPr>
                <w:rFonts w:ascii="Calibri" w:hAnsi="Calibri"/>
                <w:sz w:val="20"/>
                <w:szCs w:val="20"/>
              </w:rPr>
              <w:t>míst – pořízení</w:t>
            </w:r>
            <w:r w:rsidRPr="00234F39">
              <w:rPr>
                <w:rFonts w:ascii="Calibri" w:hAnsi="Calibri"/>
                <w:sz w:val="20"/>
                <w:szCs w:val="20"/>
              </w:rPr>
              <w:t xml:space="preserve"> počítače, softwaru, vozového parku, kancelářského vybavení apod.</w:t>
            </w:r>
          </w:p>
          <w:p w14:paraId="340C658B" w14:textId="77777777"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IS – centrální evidence apod.</w:t>
            </w:r>
          </w:p>
          <w:p w14:paraId="5AA04E66" w14:textId="77777777" w:rsidR="0005385B" w:rsidRPr="00234F39" w:rsidRDefault="0005385B"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Náklady územně samosprávných celků</w:t>
            </w:r>
          </w:p>
          <w:p w14:paraId="52EC9524" w14:textId="77777777" w:rsidR="0005385B" w:rsidRPr="00234F39" w:rsidRDefault="0005385B" w:rsidP="00613EB8">
            <w:pPr>
              <w:pStyle w:val="Odstavecseseznamem"/>
              <w:widowControl w:val="0"/>
              <w:numPr>
                <w:ilvl w:val="0"/>
                <w:numId w:val="69"/>
              </w:numPr>
              <w:spacing w:before="0" w:after="0"/>
              <w:rPr>
                <w:rFonts w:ascii="Calibri" w:hAnsi="Calibri"/>
                <w:color w:val="000000"/>
                <w:sz w:val="20"/>
                <w:szCs w:val="20"/>
              </w:rPr>
            </w:pPr>
            <w:r w:rsidRPr="00234F39">
              <w:rPr>
                <w:rFonts w:ascii="Calibri" w:hAnsi="Calibri"/>
                <w:sz w:val="20"/>
                <w:szCs w:val="20"/>
              </w:rPr>
              <w:t xml:space="preserve">Náklady klientů veřejné správy dle lokace nových pracovišť vykonávajících PP apod. </w:t>
            </w:r>
          </w:p>
        </w:tc>
      </w:tr>
      <w:tr w:rsidR="0005385B" w:rsidRPr="00234F39" w14:paraId="6F5F9C83" w14:textId="77777777" w:rsidTr="00197E1E">
        <w:trPr>
          <w:trHeight w:val="340"/>
        </w:trPr>
        <w:tc>
          <w:tcPr>
            <w:tcW w:w="8962" w:type="dxa"/>
            <w:tcBorders>
              <w:top w:val="single" w:sz="4" w:space="0" w:color="auto"/>
              <w:bottom w:val="single" w:sz="4" w:space="0" w:color="auto"/>
            </w:tcBorders>
            <w:shd w:val="clear" w:color="auto" w:fill="D9D9D9"/>
            <w:vAlign w:val="center"/>
          </w:tcPr>
          <w:p w14:paraId="184D7A75" w14:textId="77777777" w:rsidR="0005385B" w:rsidRPr="00234F39" w:rsidRDefault="0005385B" w:rsidP="00197E1E">
            <w:pPr>
              <w:widowControl w:val="0"/>
              <w:spacing w:before="0" w:after="0"/>
              <w:rPr>
                <w:rFonts w:ascii="Calibri" w:hAnsi="Calibri"/>
                <w:b/>
                <w:color w:val="000000"/>
                <w:sz w:val="20"/>
                <w:szCs w:val="20"/>
              </w:rPr>
            </w:pPr>
            <w:r w:rsidRPr="00234F39">
              <w:rPr>
                <w:rFonts w:ascii="Calibri" w:hAnsi="Calibri"/>
                <w:b/>
                <w:color w:val="000000"/>
                <w:sz w:val="20"/>
                <w:szCs w:val="20"/>
              </w:rPr>
              <w:t>Přínosy</w:t>
            </w:r>
          </w:p>
        </w:tc>
      </w:tr>
      <w:tr w:rsidR="0005385B" w:rsidRPr="0011797D" w14:paraId="784E7BFB" w14:textId="77777777" w:rsidTr="00197E1E">
        <w:trPr>
          <w:trHeight w:val="340"/>
        </w:trPr>
        <w:tc>
          <w:tcPr>
            <w:tcW w:w="8962" w:type="dxa"/>
            <w:tcBorders>
              <w:top w:val="single" w:sz="4" w:space="0" w:color="auto"/>
              <w:bottom w:val="single" w:sz="4" w:space="0" w:color="auto"/>
            </w:tcBorders>
            <w:shd w:val="clear" w:color="auto" w:fill="FFFFFF"/>
            <w:vAlign w:val="center"/>
          </w:tcPr>
          <w:p w14:paraId="43BCE3F9" w14:textId="77777777" w:rsidR="00234F39" w:rsidRPr="00234F39" w:rsidRDefault="00234F39"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Vyšší efektivita zaměstnanců státní správy (možnost koncentrace či specializace), možnost sdílení personálních kapacit</w:t>
            </w:r>
            <w:r w:rsidRPr="00234F39">
              <w:rPr>
                <w:rFonts w:ascii="Calibri" w:hAnsi="Calibri"/>
                <w:sz w:val="20"/>
                <w:szCs w:val="20"/>
              </w:rPr>
              <w:tab/>
              <w:t xml:space="preserve"> </w:t>
            </w:r>
          </w:p>
          <w:p w14:paraId="40828D24" w14:textId="490C80F9" w:rsidR="00234F39" w:rsidRPr="00234F39" w:rsidRDefault="00234F39"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 xml:space="preserve">Eliminace podkladových aktů, které jsou opakovaně přezkoumávány či žalovány závazné lhůty) – u Varianty </w:t>
            </w:r>
            <w:r>
              <w:rPr>
                <w:rFonts w:ascii="Calibri" w:hAnsi="Calibri"/>
                <w:sz w:val="20"/>
                <w:szCs w:val="20"/>
              </w:rPr>
              <w:t>1</w:t>
            </w:r>
            <w:r w:rsidRPr="00234F39">
              <w:rPr>
                <w:rFonts w:ascii="Calibri" w:hAnsi="Calibri"/>
                <w:sz w:val="20"/>
                <w:szCs w:val="20"/>
              </w:rPr>
              <w:t xml:space="preserve"> </w:t>
            </w:r>
          </w:p>
          <w:p w14:paraId="6B6D7511" w14:textId="4FC361A9" w:rsidR="00234F39" w:rsidRPr="00234F39" w:rsidRDefault="00234F39"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 xml:space="preserve">Možnost jednotného metodického řízení, kontrolovatelnost, vynutitelnost </w:t>
            </w:r>
          </w:p>
          <w:p w14:paraId="613108F5" w14:textId="603BF641" w:rsidR="00234F39" w:rsidRPr="00234F39" w:rsidRDefault="00E00611" w:rsidP="00613EB8">
            <w:pPr>
              <w:pStyle w:val="Odstavecseseznamem"/>
              <w:widowControl w:val="0"/>
              <w:numPr>
                <w:ilvl w:val="0"/>
                <w:numId w:val="69"/>
              </w:numPr>
              <w:spacing w:before="0" w:after="0"/>
              <w:rPr>
                <w:rFonts w:ascii="Calibri" w:hAnsi="Calibri"/>
                <w:sz w:val="20"/>
                <w:szCs w:val="20"/>
              </w:rPr>
            </w:pPr>
            <w:r>
              <w:rPr>
                <w:rFonts w:ascii="Calibri" w:hAnsi="Calibri"/>
                <w:sz w:val="20"/>
                <w:szCs w:val="20"/>
              </w:rPr>
              <w:t>V</w:t>
            </w:r>
            <w:r w:rsidR="00234F39" w:rsidRPr="00234F39">
              <w:rPr>
                <w:rFonts w:ascii="Calibri" w:hAnsi="Calibri"/>
                <w:sz w:val="20"/>
                <w:szCs w:val="20"/>
              </w:rPr>
              <w:t>yšší transparentnost použití finančních prostředků státní správy (konkretizace účelovosti) – je třeba vybavit SÚ kvalitním HW a SW, pokud se má zlepšit stav/rychlost vyřizování; příp. i pro BIM</w:t>
            </w:r>
          </w:p>
          <w:p w14:paraId="31317B8B" w14:textId="2A389745" w:rsidR="00234F39" w:rsidRPr="00234F39" w:rsidRDefault="00234F39"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ab/>
            </w:r>
            <w:r w:rsidR="00E00611">
              <w:rPr>
                <w:rFonts w:ascii="Calibri" w:hAnsi="Calibri"/>
                <w:sz w:val="20"/>
                <w:szCs w:val="20"/>
              </w:rPr>
              <w:t>Z</w:t>
            </w:r>
            <w:r w:rsidRPr="00234F39">
              <w:rPr>
                <w:rFonts w:ascii="Calibri" w:hAnsi="Calibri"/>
                <w:sz w:val="20"/>
                <w:szCs w:val="20"/>
              </w:rPr>
              <w:t>výšení přehlednosti procesu a tím právní jistoty</w:t>
            </w:r>
          </w:p>
          <w:p w14:paraId="525D437C" w14:textId="7AD392E1" w:rsidR="00234F39" w:rsidRPr="00234F39" w:rsidRDefault="00234F39" w:rsidP="00613EB8">
            <w:pPr>
              <w:pStyle w:val="Odstavecseseznamem"/>
              <w:widowControl w:val="0"/>
              <w:numPr>
                <w:ilvl w:val="0"/>
                <w:numId w:val="69"/>
              </w:numPr>
              <w:spacing w:before="0" w:after="0"/>
              <w:rPr>
                <w:rFonts w:ascii="Calibri" w:hAnsi="Calibri"/>
                <w:sz w:val="20"/>
                <w:szCs w:val="20"/>
              </w:rPr>
            </w:pPr>
            <w:r w:rsidRPr="00234F39">
              <w:rPr>
                <w:rFonts w:ascii="Calibri" w:hAnsi="Calibri"/>
                <w:sz w:val="20"/>
                <w:szCs w:val="20"/>
              </w:rPr>
              <w:tab/>
            </w:r>
            <w:r w:rsidR="00E00611">
              <w:rPr>
                <w:rFonts w:ascii="Calibri" w:hAnsi="Calibri"/>
                <w:sz w:val="20"/>
                <w:szCs w:val="20"/>
              </w:rPr>
              <w:t>Z</w:t>
            </w:r>
            <w:r w:rsidRPr="00234F39">
              <w:rPr>
                <w:rFonts w:ascii="Calibri" w:hAnsi="Calibri"/>
                <w:sz w:val="20"/>
                <w:szCs w:val="20"/>
              </w:rPr>
              <w:t>jednodušení a zkrácení soudních řízení</w:t>
            </w:r>
          </w:p>
          <w:p w14:paraId="53E44C43" w14:textId="21FF6058" w:rsidR="0005385B" w:rsidRPr="00234F39" w:rsidRDefault="00234F39" w:rsidP="00613EB8">
            <w:pPr>
              <w:pStyle w:val="Odstavecseseznamem"/>
              <w:widowControl w:val="0"/>
              <w:numPr>
                <w:ilvl w:val="0"/>
                <w:numId w:val="69"/>
              </w:numPr>
              <w:spacing w:before="0" w:after="0"/>
              <w:rPr>
                <w:rFonts w:ascii="Calibri" w:hAnsi="Calibri"/>
                <w:color w:val="000000"/>
                <w:sz w:val="20"/>
                <w:szCs w:val="20"/>
              </w:rPr>
            </w:pPr>
            <w:r w:rsidRPr="00E00611">
              <w:rPr>
                <w:rFonts w:ascii="Calibri" w:hAnsi="Calibri"/>
                <w:sz w:val="20"/>
                <w:szCs w:val="20"/>
              </w:rPr>
              <w:tab/>
            </w:r>
            <w:r w:rsidR="00E00611">
              <w:rPr>
                <w:rFonts w:ascii="Calibri" w:hAnsi="Calibri"/>
                <w:sz w:val="20"/>
                <w:szCs w:val="20"/>
              </w:rPr>
              <w:t>V</w:t>
            </w:r>
            <w:r w:rsidRPr="00E00611">
              <w:rPr>
                <w:rFonts w:ascii="Calibri" w:hAnsi="Calibri"/>
                <w:sz w:val="20"/>
                <w:szCs w:val="20"/>
              </w:rPr>
              <w:t xml:space="preserve">ýznamný makroekonomický prorůstový faktor s pozitivním dopadem do příjmů státního rozpočtu (výběr daní a další výsledky multiplikačních efektů) </w:t>
            </w:r>
          </w:p>
        </w:tc>
      </w:tr>
    </w:tbl>
    <w:p w14:paraId="33E131AB" w14:textId="613B3DE4" w:rsidR="0005385B" w:rsidRDefault="0005385B" w:rsidP="0005385B">
      <w:pPr>
        <w:pStyle w:val="Normln-tun"/>
      </w:pPr>
    </w:p>
    <w:p w14:paraId="564E0FD4" w14:textId="38A66252" w:rsidR="00BD6BD3" w:rsidRDefault="00BD6BD3" w:rsidP="00A633E7">
      <w:pPr>
        <w:pStyle w:val="Nadpis20"/>
        <w:numPr>
          <w:ilvl w:val="0"/>
          <w:numId w:val="0"/>
        </w:numPr>
        <w:ind w:left="576" w:hanging="576"/>
        <w:rPr>
          <w:rFonts w:eastAsia="MS Mincho"/>
        </w:rPr>
      </w:pPr>
      <w:r w:rsidRPr="00BD6BD3">
        <w:rPr>
          <w:rFonts w:eastAsia="MS Mincho"/>
        </w:rPr>
        <w:t>3.2–3.3 Náklady a přínosy</w:t>
      </w:r>
    </w:p>
    <w:p w14:paraId="1A810B42" w14:textId="08006E06" w:rsidR="009E554A" w:rsidRDefault="009E554A" w:rsidP="009E554A">
      <w:pPr>
        <w:widowControl w:val="0"/>
      </w:pPr>
      <w:r w:rsidRPr="00E00611">
        <w:t>Úvodem je třeba zmínit, že hodnocení dopadů se nezabývá a nevyčísluje absolutní výši aktuálních a budoucích nákladů a přínosů, ale kvantifikuje jejich změnu (tj. nárůst či pokles) po zavedení vybraných variant. RIA kalkuluje s nejvýznamnějšími dopady na veškeré dotčené strany, marginální náklady a přínosy jsou hodnoceny jako zanedbatelné a nejsou pro jejich nepodstatnost detailně rozebírány.</w:t>
      </w:r>
    </w:p>
    <w:p w14:paraId="4ED10B7C" w14:textId="313088C7" w:rsidR="00B36649" w:rsidRPr="00281FDB" w:rsidRDefault="00B36649" w:rsidP="00B0176C">
      <w:pPr>
        <w:pStyle w:val="Normln-tun"/>
        <w:rPr>
          <w:u w:val="single"/>
        </w:rPr>
      </w:pPr>
      <w:r w:rsidRPr="00281FDB">
        <w:rPr>
          <w:u w:val="single"/>
        </w:rPr>
        <w:t xml:space="preserve">Výhody </w:t>
      </w:r>
      <w:r w:rsidR="00062F3F" w:rsidRPr="00281FDB">
        <w:rPr>
          <w:u w:val="single"/>
        </w:rPr>
        <w:t xml:space="preserve">a nevýhody </w:t>
      </w:r>
      <w:r w:rsidRPr="00281FDB">
        <w:rPr>
          <w:u w:val="single"/>
        </w:rPr>
        <w:t>Varianty 1</w:t>
      </w:r>
    </w:p>
    <w:p w14:paraId="58C7752F" w14:textId="4E32FB93" w:rsidR="00FA7629" w:rsidRDefault="00FA7629" w:rsidP="00B0176C">
      <w:pPr>
        <w:pStyle w:val="Normln-tun"/>
      </w:pPr>
      <w:r>
        <w:t>Důvodem</w:t>
      </w:r>
      <w:r w:rsidR="00B0176C">
        <w:t xml:space="preserve">, proč </w:t>
      </w:r>
      <w:r>
        <w:t xml:space="preserve">by stavební řízení </w:t>
      </w:r>
      <w:r w:rsidR="00B0176C">
        <w:t>mělo být v prvním stupni na ORP</w:t>
      </w:r>
      <w:r>
        <w:t>,</w:t>
      </w:r>
      <w:r w:rsidR="00B0176C">
        <w:t xml:space="preserve"> je procesní integrace</w:t>
      </w:r>
      <w:r>
        <w:t>. V</w:t>
      </w:r>
      <w:r w:rsidR="00B0176C">
        <w:t xml:space="preserve">e většině případů </w:t>
      </w:r>
      <w:r>
        <w:t xml:space="preserve">jsou </w:t>
      </w:r>
      <w:r w:rsidR="00B0176C">
        <w:t xml:space="preserve">DO </w:t>
      </w:r>
      <w:r>
        <w:t>přítomny na</w:t>
      </w:r>
      <w:r w:rsidR="00B0176C">
        <w:t xml:space="preserve"> ORP a krajích</w:t>
      </w:r>
      <w:r>
        <w:t>, tj.</w:t>
      </w:r>
      <w:r w:rsidR="00B0176C">
        <w:t xml:space="preserve"> </w:t>
      </w:r>
      <w:r>
        <w:t xml:space="preserve">pokud má být umožněna procesní integrace, je třeba, aby byl na stejném úřadu přítomen i stavební úřad. Pouze tak se budou moci složky úřadu </w:t>
      </w:r>
      <w:r w:rsidR="003B5B9C">
        <w:t>společně procesně podílet na řízení o vydání stavebního povolení. V případě, že by stavební úřady byly ponechány i na obcích II. a I. typu, tohoto principu nebude možné využít. Zrychlení přípravného procesu tak bude muset být dosaženo díky digitalizaci</w:t>
      </w:r>
      <w:r w:rsidR="00CD148F">
        <w:t xml:space="preserve"> nebo za pomoci odborné </w:t>
      </w:r>
      <w:r w:rsidR="00F1357B">
        <w:t xml:space="preserve">a procesní </w:t>
      </w:r>
      <w:r w:rsidR="00CD148F">
        <w:t>integrace (např. jednotné environmentální závazné stanovisko)</w:t>
      </w:r>
      <w:r w:rsidR="003B5B9C">
        <w:t>.</w:t>
      </w:r>
      <w:r w:rsidR="00B420C0">
        <w:t xml:space="preserve"> Blízkost občanům</w:t>
      </w:r>
      <w:r w:rsidR="00D533F6">
        <w:t xml:space="preserve">, pokud bude žádoucí, </w:t>
      </w:r>
      <w:r w:rsidR="00B420C0">
        <w:t xml:space="preserve">je pak třeba zajistit </w:t>
      </w:r>
      <w:r w:rsidR="00D533F6">
        <w:t xml:space="preserve">zřízením detašovaných pracovišť. </w:t>
      </w:r>
      <w:r w:rsidR="003B5B9C">
        <w:t xml:space="preserve">  </w:t>
      </w:r>
    </w:p>
    <w:p w14:paraId="6C22ACA4" w14:textId="64FD2B3C" w:rsidR="00FF5C5F" w:rsidRDefault="00CD148F" w:rsidP="00B0176C">
      <w:pPr>
        <w:pStyle w:val="Normln-tun"/>
      </w:pPr>
      <w:r>
        <w:t>Pokud by nedošlo k odborné integraci, p</w:t>
      </w:r>
      <w:r w:rsidR="00B0176C">
        <w:t xml:space="preserve">roblém </w:t>
      </w:r>
      <w:r w:rsidR="00755293">
        <w:t>by byl</w:t>
      </w:r>
      <w:r w:rsidR="00B0176C">
        <w:t xml:space="preserve"> v tom, že </w:t>
      </w:r>
      <w:r w:rsidR="000015DB">
        <w:t xml:space="preserve">místo aby rozhodnutí zahrnovalo všechny požadavky podle příslušných předpisů, </w:t>
      </w:r>
      <w:r w:rsidR="00755293">
        <w:t>existovaly</w:t>
      </w:r>
      <w:r w:rsidR="00B0176C">
        <w:t xml:space="preserve"> </w:t>
      </w:r>
      <w:r w:rsidR="000015DB">
        <w:t xml:space="preserve">by </w:t>
      </w:r>
      <w:r w:rsidR="002464FE">
        <w:t xml:space="preserve">opět </w:t>
      </w:r>
      <w:r w:rsidR="00B0176C" w:rsidRPr="00281FDB">
        <w:t>podkladov</w:t>
      </w:r>
      <w:r w:rsidR="00755293" w:rsidRPr="00281FDB">
        <w:t>é</w:t>
      </w:r>
      <w:r w:rsidR="00B0176C" w:rsidRPr="00281FDB">
        <w:t xml:space="preserve"> akt</w:t>
      </w:r>
      <w:r w:rsidR="00755293" w:rsidRPr="00281FDB">
        <w:t>y</w:t>
      </w:r>
      <w:r w:rsidR="0001033F" w:rsidRPr="00281FDB">
        <w:t xml:space="preserve"> a otevřený prostor obstrukcím</w:t>
      </w:r>
      <w:r w:rsidR="00FF5C5F" w:rsidRPr="00281FDB">
        <w:t>. Proti</w:t>
      </w:r>
      <w:r w:rsidR="00FF5C5F" w:rsidRPr="00FF5C5F">
        <w:t xml:space="preserve"> závazným stanoviskům je možné se bránit dle správního řádu</w:t>
      </w:r>
      <w:r w:rsidR="00FF5C5F">
        <w:t xml:space="preserve"> </w:t>
      </w:r>
      <w:r w:rsidR="00FF5C5F" w:rsidRPr="00FF5C5F">
        <w:t>v rámci (i) odvolacího řízení (</w:t>
      </w:r>
      <w:r w:rsidR="0094345A">
        <w:t>kdy</w:t>
      </w:r>
      <w:r w:rsidR="00FF5C5F" w:rsidRPr="00FF5C5F">
        <w:t xml:space="preserve"> předmětem řízení je odvolání proti správnímu rozhodnutí ve věci samé, které vycházelo ze závazného stanoviska)</w:t>
      </w:r>
      <w:r w:rsidR="00FF5C5F">
        <w:t xml:space="preserve"> </w:t>
      </w:r>
      <w:r w:rsidR="00FF5C5F" w:rsidRPr="00FF5C5F">
        <w:t>a/nebo (ii) přezkumného řízení (</w:t>
      </w:r>
      <w:r w:rsidR="0094345A">
        <w:t>kdy</w:t>
      </w:r>
      <w:r w:rsidR="00FF5C5F" w:rsidRPr="00FF5C5F">
        <w:t xml:space="preserve"> předmětem řízení je přezkum</w:t>
      </w:r>
      <w:r w:rsidR="0094345A">
        <w:t xml:space="preserve"> </w:t>
      </w:r>
      <w:r w:rsidR="00FF5C5F" w:rsidRPr="00FF5C5F">
        <w:t>závazného stanoviska</w:t>
      </w:r>
      <w:r w:rsidR="0094345A" w:rsidRPr="0094345A">
        <w:t xml:space="preserve"> </w:t>
      </w:r>
      <w:r w:rsidR="0094345A" w:rsidRPr="00FF5C5F">
        <w:t>samotného</w:t>
      </w:r>
      <w:r w:rsidR="00FF5C5F" w:rsidRPr="00FF5C5F">
        <w:t>).</w:t>
      </w:r>
    </w:p>
    <w:p w14:paraId="33F9F63D" w14:textId="6BD75B05" w:rsidR="0001033F" w:rsidRPr="0001033F" w:rsidRDefault="0001033F" w:rsidP="0001033F">
      <w:pPr>
        <w:pStyle w:val="Normln-tun"/>
      </w:pPr>
      <w:r w:rsidRPr="0001033F">
        <w:lastRenderedPageBreak/>
        <w:t xml:space="preserve">V rámci odvolání proti správnímu rozhodnutí, které vycházelo ze závazného stanoviska, je </w:t>
      </w:r>
      <w:r w:rsidR="0094345A">
        <w:t xml:space="preserve">tedy </w:t>
      </w:r>
      <w:r w:rsidRPr="0001033F">
        <w:t>možné napadat nejen rozhodnutí jako takové, ale také obsah závazného stanoviska, které účastník řízení považuje za věcně nesprávné nebo nezákonné. Odvolací orgán však nemůže závazné stanovisko sám změnit či zrušit, a proto si musí vyžádat potvrzení nebo změnu závazného stanoviska nadřízeným dotčeným orgánem toho orgánu, který závazné stanovisko vydal. Odvolací orgán poté rozhoduje o odvolání na základě závazného stanoviska nadřízeného dotčeného orgánu.</w:t>
      </w:r>
    </w:p>
    <w:p w14:paraId="3F336C9D" w14:textId="672EA504" w:rsidR="0001033F" w:rsidRPr="0001033F" w:rsidRDefault="0001033F" w:rsidP="0001033F">
      <w:pPr>
        <w:pStyle w:val="Normln-tun"/>
      </w:pPr>
      <w:r w:rsidRPr="0001033F">
        <w:t xml:space="preserve">V rámci přezkumného řízení, k němuž může dát podnět </w:t>
      </w:r>
      <w:r w:rsidR="0094345A" w:rsidRPr="0001033F">
        <w:t>nejen účastník řízení</w:t>
      </w:r>
      <w:r w:rsidR="0094345A">
        <w:t>, ale</w:t>
      </w:r>
      <w:r w:rsidR="0094345A" w:rsidRPr="0001033F">
        <w:t xml:space="preserve"> </w:t>
      </w:r>
      <w:r w:rsidRPr="0001033F">
        <w:t>kdokoliv, je možné napadat nezákonnost vydaného závazného stanoviska. Pokud se nadřízený orgán rozhodne závazné stanovisko přezkoumat, pak výsledek jeho činnosti může být dvojí: (i) závazné stanovisko zruší či jej změní, pokud dospěje k závěru, že závazné stanovisko bylo vydáno v rozporu s právními předpisy, nebo (ii) přezkumné řízení zastaví.</w:t>
      </w:r>
    </w:p>
    <w:p w14:paraId="39E8AED3" w14:textId="317C29CE" w:rsidR="001679A2" w:rsidRDefault="002E3C3E" w:rsidP="00B0176C">
      <w:pPr>
        <w:pStyle w:val="Normln-tun"/>
      </w:pPr>
      <w:r>
        <w:t xml:space="preserve">Dále </w:t>
      </w:r>
      <w:r w:rsidR="001679A2">
        <w:t xml:space="preserve">lze s obstrukcemi pokračovat </w:t>
      </w:r>
      <w:r w:rsidR="00B0176C">
        <w:t>v řízeních o žalobách před soudem</w:t>
      </w:r>
      <w:r w:rsidR="001679A2">
        <w:t xml:space="preserve">, kdy lze </w:t>
      </w:r>
      <w:r w:rsidR="00B0176C">
        <w:t>žalovat podkladové akty spolu s</w:t>
      </w:r>
      <w:r w:rsidR="001679A2">
        <w:t> </w:t>
      </w:r>
      <w:r w:rsidR="00B0176C">
        <w:t>žalobou</w:t>
      </w:r>
      <w:r w:rsidR="001679A2">
        <w:t xml:space="preserve"> </w:t>
      </w:r>
      <w:r w:rsidR="001679A2" w:rsidRPr="001679A2">
        <w:t>proti rozhodnutí</w:t>
      </w:r>
      <w:r w:rsidR="001679A2">
        <w:t xml:space="preserve">. </w:t>
      </w:r>
    </w:p>
    <w:p w14:paraId="035C869A" w14:textId="76CB8C68" w:rsidR="000274E1" w:rsidRPr="00D76B84" w:rsidRDefault="000274E1" w:rsidP="00B0176C">
      <w:pPr>
        <w:pStyle w:val="Normln-tun"/>
      </w:pPr>
      <w:r>
        <w:t xml:space="preserve">Méně přísná forma vyjádření z pohledu reflexe jeho obsahu stavebním úřadem v rozhodnutí o </w:t>
      </w:r>
      <w:r w:rsidRPr="00D76B84">
        <w:t xml:space="preserve">povolení stavby nemusí </w:t>
      </w:r>
      <w:r w:rsidR="00B36649" w:rsidRPr="00D76B84">
        <w:t>b</w:t>
      </w:r>
      <w:r w:rsidRPr="00D76B84">
        <w:t xml:space="preserve">ýt na druhou stranu přijatelná pro všechny </w:t>
      </w:r>
      <w:r w:rsidR="00153DA1">
        <w:t>DO</w:t>
      </w:r>
      <w:r w:rsidRPr="00D76B84">
        <w:t>.</w:t>
      </w:r>
    </w:p>
    <w:p w14:paraId="3E973E2B" w14:textId="4D8D00F3" w:rsidR="00D466A2" w:rsidRPr="00D76B84" w:rsidRDefault="00D466A2" w:rsidP="003328CC">
      <w:pPr>
        <w:pStyle w:val="Normln-tun"/>
      </w:pPr>
      <w:r w:rsidRPr="00D76B84">
        <w:t xml:space="preserve">(Dle nového stavebního zákona </w:t>
      </w:r>
      <w:r w:rsidR="00D76B84" w:rsidRPr="00D76B84">
        <w:t>integrované DO vydávají koordinované vyjádření. Podstatou koordinovaného vyjádření je dosažení souladu ochrany všech veřejných zájmů, proto musí koordinované vyjádření vždy obsahovat jeden závěr, ve kterém bude souhrnně uvedeno, zda je záměr z hlediska ochrany všech veřejných zájmů přípustný, případně za jakých podmínek. N</w:t>
      </w:r>
      <w:r w:rsidRPr="00D76B84">
        <w:t xml:space="preserve">ěkteré </w:t>
      </w:r>
      <w:r w:rsidR="00D76B84" w:rsidRPr="00D76B84">
        <w:t xml:space="preserve">neintegrované </w:t>
      </w:r>
      <w:r w:rsidRPr="00D76B84">
        <w:t>DO</w:t>
      </w:r>
      <w:r w:rsidR="00D76B84" w:rsidRPr="00D76B84">
        <w:t xml:space="preserve"> mají</w:t>
      </w:r>
      <w:r w:rsidRPr="00D76B84">
        <w:t xml:space="preserve">, zejména v případech specificky chráněných území, i nadále ve velmi omezené míře vydávat závazná stanoviska. Ostatní neintegrované DO </w:t>
      </w:r>
      <w:r w:rsidR="001E5D65" w:rsidRPr="00D76B84">
        <w:t xml:space="preserve">mají </w:t>
      </w:r>
      <w:r w:rsidRPr="00D76B84">
        <w:t>namísto závazných stanovisek, jako podklad</w:t>
      </w:r>
      <w:r w:rsidR="000971B5" w:rsidRPr="00D76B84">
        <w:t>u</w:t>
      </w:r>
      <w:r w:rsidRPr="00D76B84">
        <w:t xml:space="preserve"> pro vydání povolení záměru stavebním úřadem, vydávat vyjádření. Stavební úřad </w:t>
      </w:r>
      <w:r w:rsidR="000971B5" w:rsidRPr="00D76B84">
        <w:t>by měl</w:t>
      </w:r>
      <w:r w:rsidRPr="00D76B84">
        <w:t xml:space="preserve"> s každým vyjádřením či koordinovaným vyjádřením v řízení nakládat jako s podklady (důkazy) pro rozhodnutí. Jako takové </w:t>
      </w:r>
      <w:r w:rsidR="00B94E80" w:rsidRPr="00D76B84">
        <w:t xml:space="preserve">je </w:t>
      </w:r>
      <w:r w:rsidRPr="00D76B84">
        <w:t xml:space="preserve">povinen </w:t>
      </w:r>
      <w:r w:rsidR="00B94E80" w:rsidRPr="00D76B84">
        <w:t xml:space="preserve">je </w:t>
      </w:r>
      <w:r w:rsidRPr="00D76B84">
        <w:t>vyhodnotit a následně se s nimi vypořádat v rámci vydání meritorního rozhodnutí.</w:t>
      </w:r>
      <w:r w:rsidR="00B94E80" w:rsidRPr="00D76B84">
        <w:t xml:space="preserve"> </w:t>
      </w:r>
      <w:r w:rsidRPr="00D76B84">
        <w:t xml:space="preserve">Ve vyjádření </w:t>
      </w:r>
      <w:r w:rsidR="00194322" w:rsidRPr="00D76B84">
        <w:t>DO</w:t>
      </w:r>
      <w:r w:rsidRPr="00D76B84">
        <w:t xml:space="preserve"> </w:t>
      </w:r>
      <w:r w:rsidR="00B94E80" w:rsidRPr="00D76B84">
        <w:t xml:space="preserve">by měl </w:t>
      </w:r>
      <w:r w:rsidRPr="00D76B84">
        <w:t>vždy uv</w:t>
      </w:r>
      <w:r w:rsidR="00B94E80" w:rsidRPr="00D76B84">
        <w:t>ést</w:t>
      </w:r>
      <w:r w:rsidRPr="00D76B84">
        <w:t xml:space="preserve"> a současně odůvodn</w:t>
      </w:r>
      <w:r w:rsidR="00B94E80" w:rsidRPr="00D76B84">
        <w:t>it</w:t>
      </w:r>
      <w:r w:rsidRPr="00D76B84">
        <w:t>, zda je záměr z hlediska jím chráněných veřejných zájmů přípustný, případně za jakých podmínek je přípustný.)</w:t>
      </w:r>
    </w:p>
    <w:p w14:paraId="343B7292" w14:textId="7B3096D0" w:rsidR="00153DA1" w:rsidRDefault="00153DA1" w:rsidP="00261C36">
      <w:pPr>
        <w:pStyle w:val="Normln-tun"/>
      </w:pPr>
      <w:r>
        <w:t>Z</w:t>
      </w:r>
      <w:r w:rsidRPr="00153DA1">
        <w:t xml:space="preserve"> hlediska kontrolovatelnosti účelně vynaložených nákladů, administrace výkonů a jejich dostatečného personálního zajištění, </w:t>
      </w:r>
      <w:r>
        <w:t>je Varianta 1 horší než Varianta 0, nicméně lepší než Varianta</w:t>
      </w:r>
      <w:r w:rsidR="00281FDB">
        <w:t> </w:t>
      </w:r>
      <w:r>
        <w:t>2</w:t>
      </w:r>
      <w:r w:rsidRPr="00153DA1">
        <w:t>.</w:t>
      </w:r>
    </w:p>
    <w:p w14:paraId="0AD00C53" w14:textId="36546B08" w:rsidR="00340A82" w:rsidRDefault="00AF6105" w:rsidP="00261C36">
      <w:pPr>
        <w:pStyle w:val="Normln-tun"/>
      </w:pPr>
      <w:r>
        <w:t xml:space="preserve">Problémem </w:t>
      </w:r>
      <w:r w:rsidR="00153DA1">
        <w:t>V</w:t>
      </w:r>
      <w:r>
        <w:t xml:space="preserve">arianty </w:t>
      </w:r>
      <w:r w:rsidR="00153DA1">
        <w:t xml:space="preserve">1 však </w:t>
      </w:r>
      <w:r>
        <w:t xml:space="preserve">s velkou pravděpodobností bude, jakým způsobem tuto strukturu, resp. detašovaná pracoviště, zřídit. Pobočky v místech vybraných na základě objektivně zvolených kritérií a jejich hodnot by musely zřídit příslušné ORP, nicméně ani ve spolupráci s MV nebyl nalezen </w:t>
      </w:r>
      <w:r w:rsidR="006B70A4">
        <w:t xml:space="preserve">vhodný </w:t>
      </w:r>
      <w:r>
        <w:t>mechanizmus, jakým způsobem by</w:t>
      </w:r>
      <w:r w:rsidR="006B70A4">
        <w:t xml:space="preserve"> to bylo možné efektivně zajistit. </w:t>
      </w:r>
      <w:r w:rsidR="00340A82">
        <w:t xml:space="preserve">Nebyl shledán problém </w:t>
      </w:r>
      <w:r w:rsidR="006C46AE">
        <w:t>v oblasti</w:t>
      </w:r>
      <w:r w:rsidR="00340A82">
        <w:t xml:space="preserve"> financování výkonu agendy (</w:t>
      </w:r>
      <w:r w:rsidR="006C46AE">
        <w:t>nebyl by problém řešit/změnit princip distribuce finančních prostředků, část prostředků poskytovat ve vazbě na velikost obvodu a část ve vazbě na počet provedených úkonů; pokud bude možné nalézt několik hlavních homogenních výkonů, lze agendu financovat</w:t>
      </w:r>
      <w:r w:rsidR="006C46AE" w:rsidRPr="006C46AE">
        <w:t xml:space="preserve"> </w:t>
      </w:r>
      <w:r w:rsidR="006C46AE">
        <w:t xml:space="preserve">výkonově, tj. dosáhnout vyšší adresnosti rozdělení finančních prostředků), ale především v oblasti </w:t>
      </w:r>
      <w:r w:rsidR="00326E7B">
        <w:t xml:space="preserve">konkrétního </w:t>
      </w:r>
      <w:r w:rsidR="006C46AE">
        <w:t xml:space="preserve">nastavení </w:t>
      </w:r>
      <w:r w:rsidR="006C46AE" w:rsidRPr="00281FDB">
        <w:t xml:space="preserve">vzájemných </w:t>
      </w:r>
      <w:r w:rsidR="00326E7B" w:rsidRPr="00281FDB">
        <w:t xml:space="preserve">provozních </w:t>
      </w:r>
      <w:r w:rsidR="006C46AE" w:rsidRPr="00281FDB">
        <w:t>vztahů</w:t>
      </w:r>
      <w:r w:rsidR="00326E7B" w:rsidRPr="00281FDB">
        <w:t xml:space="preserve"> mezi</w:t>
      </w:r>
      <w:r w:rsidR="00326E7B">
        <w:t xml:space="preserve"> příslušným ORP a detašovaným pracovištěm. </w:t>
      </w:r>
      <w:r w:rsidR="006C46AE">
        <w:t xml:space="preserve"> </w:t>
      </w:r>
    </w:p>
    <w:p w14:paraId="689A4E9E" w14:textId="39B01595" w:rsidR="00261C36" w:rsidRDefault="006B70A4" w:rsidP="00261C36">
      <w:pPr>
        <w:pStyle w:val="Normln-tun"/>
      </w:pPr>
      <w:r>
        <w:t xml:space="preserve">MV byl zároveň uveden konkrétní příklad, kdy se pilotně </w:t>
      </w:r>
      <w:r w:rsidR="00795872">
        <w:t>testova</w:t>
      </w:r>
      <w:r>
        <w:t xml:space="preserve">lo vydávání občanských průkazů na </w:t>
      </w:r>
      <w:r w:rsidR="00795872">
        <w:t xml:space="preserve">dvou </w:t>
      </w:r>
      <w:r>
        <w:t xml:space="preserve">vybraných úřadech obcí </w:t>
      </w:r>
      <w:r w:rsidR="00FF5E24">
        <w:t>II. typ</w:t>
      </w:r>
      <w:r w:rsidR="00795872">
        <w:t>u</w:t>
      </w:r>
      <w:r w:rsidR="0050427B">
        <w:t>.</w:t>
      </w:r>
      <w:r w:rsidR="00795872">
        <w:t xml:space="preserve"> </w:t>
      </w:r>
      <w:r w:rsidR="0050427B">
        <w:t>Ú</w:t>
      </w:r>
      <w:r w:rsidR="00795872">
        <w:t>řad příslušné ORP měl zajistit každou</w:t>
      </w:r>
      <w:r w:rsidR="0050427B">
        <w:t xml:space="preserve"> druhou a čtvrtou středu v měsíci na těchto obcích s POÚ výdej občanských průkazů. Tento model nicméně dle informací MV nefungoval příliš dlouho, neboť s sebou přinesl velké množství logistických a pracovně právních problémů spojených s provozem detašovaného pracoviště (otázky související </w:t>
      </w:r>
      <w:r w:rsidR="0050427B">
        <w:lastRenderedPageBreak/>
        <w:t>s výší a způsobem finanční kompenzace</w:t>
      </w:r>
      <w:r w:rsidR="00261C36">
        <w:t xml:space="preserve"> (za objednání prostor, časovou kapacitu lokálního úředníka)</w:t>
      </w:r>
      <w:r w:rsidR="0050427B">
        <w:t>, s rozdělením odpovědnosti</w:t>
      </w:r>
      <w:r w:rsidR="00261C36">
        <w:t xml:space="preserve"> apod.). </w:t>
      </w:r>
      <w:r w:rsidR="00F74554">
        <w:t>Pilotní provoz tak skončil s negativním výsledkem, neboť problémy se zajištěním logistiky, prostor, technického připojení a celkového finančního zajištění převážily nad minimálními pozitivními dopady z hlediska zajištění služby pro veřejnost.</w:t>
      </w:r>
    </w:p>
    <w:p w14:paraId="3FC342C1" w14:textId="1F208C3A" w:rsidR="00326E7B" w:rsidRDefault="00326E7B" w:rsidP="00326E7B">
      <w:pPr>
        <w:pStyle w:val="Normln-tun"/>
      </w:pPr>
      <w:r>
        <w:t xml:space="preserve">Odmítnuta jako nesystémová a nerealizovatelná byla též možnost poskytování příspěvku na provoz detašovaného pracoviště přímo úřadu obce, kde by bylo detašované pracoviště umístěno. </w:t>
      </w:r>
      <w:r w:rsidR="0057557E">
        <w:t xml:space="preserve">Příspěvek na výkon agendy musí být hrazen tomu, kdo agendu vykonává, a ten se pak musí dvoustranně dohodnout s úřadem v místě, kde ji zamýšlí vykonávat. Nelze </w:t>
      </w:r>
      <w:r w:rsidR="00126108">
        <w:t xml:space="preserve">motivačně </w:t>
      </w:r>
      <w:r w:rsidR="0057557E">
        <w:t xml:space="preserve">vyplácet příspěvek subjektu, který agendu nevykonává, </w:t>
      </w:r>
      <w:r w:rsidR="00126108">
        <w:t>aby umožnil jinému subjektu agendu na svém úřadu vykonávat.</w:t>
      </w:r>
    </w:p>
    <w:p w14:paraId="273BDC1C" w14:textId="68FF1A69" w:rsidR="008817E9" w:rsidRDefault="008817E9" w:rsidP="008817E9">
      <w:pPr>
        <w:pStyle w:val="Normln-tun"/>
      </w:pPr>
      <w:r>
        <w:t>V souhrnu tak má Varianta 1 následující pro</w:t>
      </w:r>
      <w:r w:rsidR="00CD0B7A">
        <w:t>b</w:t>
      </w:r>
      <w:r>
        <w:t>lémy:</w:t>
      </w:r>
    </w:p>
    <w:p w14:paraId="3590594A" w14:textId="75D4D58F" w:rsidR="00F74554" w:rsidRDefault="001574A3" w:rsidP="00613EB8">
      <w:pPr>
        <w:pStyle w:val="Normln-tun"/>
        <w:numPr>
          <w:ilvl w:val="0"/>
          <w:numId w:val="86"/>
        </w:numPr>
        <w:ind w:left="426" w:hanging="426"/>
      </w:pPr>
      <w:r>
        <w:t>Nelze</w:t>
      </w:r>
      <w:r w:rsidR="00F74554">
        <w:t xml:space="preserve"> </w:t>
      </w:r>
      <w:r>
        <w:t>zajistit</w:t>
      </w:r>
      <w:r w:rsidR="00F74554">
        <w:t xml:space="preserve">, </w:t>
      </w:r>
      <w:r>
        <w:t>a</w:t>
      </w:r>
      <w:r w:rsidR="00F74554">
        <w:t xml:space="preserve">by detašovaná pracoviště vznikla skutečně tam, kde </w:t>
      </w:r>
      <w:r w:rsidR="001C42BB">
        <w:t>je to smysluplné (dle objemu agendy, tj. nové výstavby apod.)</w:t>
      </w:r>
      <w:r w:rsidR="00F74554">
        <w:t>.</w:t>
      </w:r>
      <w:r w:rsidR="007659BC">
        <w:t xml:space="preserve"> R</w:t>
      </w:r>
      <w:r w:rsidR="00F74554">
        <w:t xml:space="preserve">ozhodnutí o organizační struktuře obecního/městského úřadu náleží do kompetencí rady obce/města, </w:t>
      </w:r>
      <w:r w:rsidR="007659BC">
        <w:t xml:space="preserve">proto by v praxi </w:t>
      </w:r>
      <w:r w:rsidR="00F74554">
        <w:t xml:space="preserve">detašovaná pracoviště často </w:t>
      </w:r>
      <w:r w:rsidR="007659BC">
        <w:t xml:space="preserve">mohla </w:t>
      </w:r>
      <w:r w:rsidR="00F74554">
        <w:t>vzniknout tam, kde rada ORP rozhodne, a nikoliv tam, kde je to třeba.</w:t>
      </w:r>
      <w:r w:rsidR="007659BC" w:rsidRPr="007659BC">
        <w:t xml:space="preserve"> </w:t>
      </w:r>
      <w:r w:rsidR="007659BC">
        <w:t xml:space="preserve">Tato rozhodnutí by neměl </w:t>
      </w:r>
      <w:r w:rsidR="005F14AA">
        <w:t xml:space="preserve">zákon </w:t>
      </w:r>
      <w:r w:rsidR="007659BC">
        <w:t>limitovat do té míry, aby je de facto nahrazoval.</w:t>
      </w:r>
    </w:p>
    <w:p w14:paraId="7DBE4D83" w14:textId="2E09220F" w:rsidR="00F74554" w:rsidRDefault="00F74554" w:rsidP="00613EB8">
      <w:pPr>
        <w:pStyle w:val="Normln-tun"/>
        <w:numPr>
          <w:ilvl w:val="0"/>
          <w:numId w:val="86"/>
        </w:numPr>
        <w:ind w:left="426" w:hanging="426"/>
      </w:pPr>
      <w:r>
        <w:t>Personálně a logisticky by se jednalo o složit</w:t>
      </w:r>
      <w:r w:rsidR="007659BC">
        <w:t>é</w:t>
      </w:r>
      <w:r>
        <w:t xml:space="preserve"> řešení. Úředníci stávajících stavebních úřadů by museli být zákonem delimitováni </w:t>
      </w:r>
      <w:r w:rsidR="007659BC">
        <w:t xml:space="preserve">a museli by chtít přejít </w:t>
      </w:r>
      <w:r>
        <w:t>do stavebního úřadu ORP</w:t>
      </w:r>
      <w:r w:rsidR="007659BC">
        <w:t>.</w:t>
      </w:r>
      <w:r>
        <w:t xml:space="preserve"> </w:t>
      </w:r>
      <w:r w:rsidR="007659BC">
        <w:t>O</w:t>
      </w:r>
      <w:r>
        <w:t xml:space="preserve">bce, kde v současnosti existuje stavební úřad, </w:t>
      </w:r>
      <w:r w:rsidR="007659BC">
        <w:t>by musely</w:t>
      </w:r>
      <w:r>
        <w:t xml:space="preserve"> souhlasi</w:t>
      </w:r>
      <w:r w:rsidR="007659BC">
        <w:t>t</w:t>
      </w:r>
      <w:r>
        <w:t xml:space="preserve"> s pronájmem těchto prostor ORP. </w:t>
      </w:r>
      <w:r w:rsidR="0041000E">
        <w:t>ORP by se musela s obcí, kde by bylo zřízeno detašované pracoviště, dohodnout na konkrétních podmínkách spojených s provozem detašovaného pracoviště, přičemž tento model se v minulosti ukázal jako problematický. V neposlední řadě v</w:t>
      </w:r>
      <w:r>
        <w:t>zhledem k tomu, že zaměstnanci detašovaných pracovišť by byli podřízen</w:t>
      </w:r>
      <w:r w:rsidR="00562DEF">
        <w:t>i</w:t>
      </w:r>
      <w:r>
        <w:t xml:space="preserve"> tajemníkovi úřadu ORP, mohly by vzniknout problémy </w:t>
      </w:r>
      <w:r w:rsidR="00562DEF">
        <w:t xml:space="preserve">i </w:t>
      </w:r>
      <w:r>
        <w:t>z hlediska rozdílných pracovněprávních podmínek, systému odměňování i kontroly výkonu práce</w:t>
      </w:r>
      <w:r w:rsidR="00C04410">
        <w:t xml:space="preserve"> </w:t>
      </w:r>
      <w:r w:rsidR="0041000E">
        <w:t xml:space="preserve">úředníků na ORP </w:t>
      </w:r>
      <w:r w:rsidR="00C04410">
        <w:t xml:space="preserve">v porovnání se zaměstnanci úřadu </w:t>
      </w:r>
      <w:r w:rsidR="00D06ADB">
        <w:t>obc</w:t>
      </w:r>
      <w:r w:rsidR="00CF47E5">
        <w:t>e</w:t>
      </w:r>
      <w:r w:rsidR="00C04410">
        <w:t>, kde by bylo zřízeno detašované pracoviště</w:t>
      </w:r>
      <w:r>
        <w:t>.</w:t>
      </w:r>
    </w:p>
    <w:p w14:paraId="08B08E6F" w14:textId="5DC9D0DF" w:rsidR="00F74554" w:rsidRDefault="00A924D2" w:rsidP="00613EB8">
      <w:pPr>
        <w:pStyle w:val="Normln-tun"/>
        <w:numPr>
          <w:ilvl w:val="0"/>
          <w:numId w:val="86"/>
        </w:numPr>
        <w:ind w:left="426" w:hanging="426"/>
      </w:pPr>
      <w:r>
        <w:t xml:space="preserve">Obce II. a I. typu nelze </w:t>
      </w:r>
      <w:r w:rsidR="00CF47E5">
        <w:t xml:space="preserve">příspěvkem na výkon státní správy </w:t>
      </w:r>
      <w:r w:rsidR="00F74554">
        <w:t>finančn</w:t>
      </w:r>
      <w:r>
        <w:t>ě</w:t>
      </w:r>
      <w:r w:rsidR="00F74554">
        <w:t xml:space="preserve"> motiv</w:t>
      </w:r>
      <w:r>
        <w:t xml:space="preserve">ovat, aby detašovaná pracoviště </w:t>
      </w:r>
      <w:r w:rsidR="00F74554">
        <w:t xml:space="preserve">ve svých prostorách </w:t>
      </w:r>
      <w:r>
        <w:t>zřídily</w:t>
      </w:r>
      <w:r w:rsidR="00F74554">
        <w:t xml:space="preserve">, neboť příspěvek na výkon státní správy </w:t>
      </w:r>
      <w:r w:rsidR="009D393B">
        <w:t>může být</w:t>
      </w:r>
      <w:r w:rsidR="00F74554">
        <w:t xml:space="preserve"> </w:t>
      </w:r>
      <w:r w:rsidR="009D393B">
        <w:t>posílán</w:t>
      </w:r>
      <w:r w:rsidR="00F74554">
        <w:t xml:space="preserve"> pouze t</w:t>
      </w:r>
      <w:r w:rsidR="00CF47E5">
        <w:t>omu</w:t>
      </w:r>
      <w:r w:rsidR="00F74554">
        <w:t>, kd</w:t>
      </w:r>
      <w:r w:rsidR="00CF47E5">
        <w:t>o</w:t>
      </w:r>
      <w:r w:rsidR="00F74554">
        <w:t xml:space="preserve"> agend</w:t>
      </w:r>
      <w:r w:rsidR="00CF47E5">
        <w:t>u</w:t>
      </w:r>
      <w:r w:rsidR="00F74554">
        <w:t xml:space="preserve"> vykonává. Obdobně to platí i u inkasa správních poplatků, které jsou příjmem té obce, která je vybere. </w:t>
      </w:r>
      <w:r w:rsidR="009D393B">
        <w:t>Vyšší adresnosti platby za výkon agendy by bylo možné v</w:t>
      </w:r>
      <w:r w:rsidR="00F74554">
        <w:t xml:space="preserve"> budoucn</w:t>
      </w:r>
      <w:r w:rsidR="009D393B">
        <w:t>u</w:t>
      </w:r>
      <w:r w:rsidR="00F74554">
        <w:t xml:space="preserve"> </w:t>
      </w:r>
      <w:r w:rsidR="009D393B">
        <w:t xml:space="preserve">dosáhnout </w:t>
      </w:r>
      <w:r w:rsidR="00805979">
        <w:t xml:space="preserve">prostřednictvím výkonového financování, nicméně stále by bylo možné příspěvek posílat </w:t>
      </w:r>
      <w:r w:rsidR="00CF47E5">
        <w:t xml:space="preserve">pouze </w:t>
      </w:r>
      <w:r w:rsidR="00805979">
        <w:t xml:space="preserve">ORP, která by </w:t>
      </w:r>
      <w:r w:rsidR="00CF47E5">
        <w:t xml:space="preserve">až </w:t>
      </w:r>
      <w:r w:rsidR="00805979">
        <w:t xml:space="preserve">následně mohla poskytovat finanční plnění obci, ve které by </w:t>
      </w:r>
      <w:r w:rsidR="00CF47E5">
        <w:t xml:space="preserve">ORP </w:t>
      </w:r>
      <w:r w:rsidR="00805979">
        <w:t>měla zřízeno detašované pracoviště. Snížila by se však pravděpodobnost, že se v tomto bodě ORP a ob</w:t>
      </w:r>
      <w:r w:rsidR="00B340BE">
        <w:t>e</w:t>
      </w:r>
      <w:r w:rsidR="00805979">
        <w:t xml:space="preserve">c s umístěným detašovaným pracovištěm </w:t>
      </w:r>
      <w:r w:rsidR="00B340BE">
        <w:t>nedohodnou</w:t>
      </w:r>
      <w:r w:rsidR="005619A1">
        <w:t>, protože platba bude vázána na výkon</w:t>
      </w:r>
      <w:r w:rsidR="00805979">
        <w:t>.</w:t>
      </w:r>
    </w:p>
    <w:p w14:paraId="6BDE750A" w14:textId="70C94EF0" w:rsidR="00F74554" w:rsidRDefault="009D31B0" w:rsidP="00613EB8">
      <w:pPr>
        <w:pStyle w:val="Normln-tun"/>
        <w:numPr>
          <w:ilvl w:val="0"/>
          <w:numId w:val="86"/>
        </w:numPr>
        <w:ind w:left="426" w:hanging="426"/>
      </w:pPr>
      <w:r>
        <w:t>M</w:t>
      </w:r>
      <w:r w:rsidR="00F74554">
        <w:t xml:space="preserve">odel </w:t>
      </w:r>
      <w:r>
        <w:t xml:space="preserve">úřadů ORP s detašovanými pracovišti na úřadech obcí II. a I. typu </w:t>
      </w:r>
      <w:r w:rsidR="00F74554">
        <w:t xml:space="preserve">se v rámci současného výkonu přenesené působnosti neobjevuje. Mohl by se tak vytvořit negativní precedent i pro případné další agendy </w:t>
      </w:r>
      <w:r>
        <w:t xml:space="preserve">vykonávané v </w:t>
      </w:r>
      <w:r w:rsidR="00F74554">
        <w:t xml:space="preserve">přenesené působnosti, což by celkově mohlo vést k </w:t>
      </w:r>
      <w:r>
        <w:t xml:space="preserve">dalším nesystémovým krokům v organizaci veřejné správy, a tudíž </w:t>
      </w:r>
      <w:r w:rsidR="00F74554">
        <w:t xml:space="preserve">snížení </w:t>
      </w:r>
      <w:r>
        <w:t xml:space="preserve">její </w:t>
      </w:r>
      <w:r w:rsidR="00F74554">
        <w:t>přehlednosti.</w:t>
      </w:r>
    </w:p>
    <w:p w14:paraId="273729CF" w14:textId="4C580AD8" w:rsidR="00FE2F8F" w:rsidRDefault="00340A82" w:rsidP="009E2F20">
      <w:pPr>
        <w:pStyle w:val="Normln-tun"/>
      </w:pPr>
      <w:r>
        <w:t xml:space="preserve">Institucionálně čistší by tak byl model SÚ </w:t>
      </w:r>
      <w:r w:rsidR="00B0176C">
        <w:t>pouze</w:t>
      </w:r>
      <w:r>
        <w:t xml:space="preserve"> na</w:t>
      </w:r>
      <w:r w:rsidR="00B0176C">
        <w:t xml:space="preserve"> ORP bez detašovaných pracovišť.</w:t>
      </w:r>
      <w:r w:rsidR="009E2F20" w:rsidRPr="009E2F20">
        <w:t xml:space="preserve"> </w:t>
      </w:r>
      <w:r w:rsidR="00FE2F8F">
        <w:t xml:space="preserve">Na druhou stranu by se </w:t>
      </w:r>
      <w:r w:rsidR="00CF0F1E">
        <w:t xml:space="preserve">v porovnání s předchozí strukturou (SÚ na ORP s detašovanými pracovišti) </w:t>
      </w:r>
      <w:r w:rsidR="00FE2F8F">
        <w:t xml:space="preserve">jednalo o model </w:t>
      </w:r>
    </w:p>
    <w:p w14:paraId="7A560F92" w14:textId="79B5B59C" w:rsidR="00FE2F8F" w:rsidRDefault="00CF0F1E" w:rsidP="00613EB8">
      <w:pPr>
        <w:pStyle w:val="Normln-tun"/>
        <w:numPr>
          <w:ilvl w:val="0"/>
          <w:numId w:val="87"/>
        </w:numPr>
      </w:pPr>
      <w:r>
        <w:t>v</w:t>
      </w:r>
      <w:r w:rsidR="00FE2F8F">
        <w:t>zdálenější občanům;</w:t>
      </w:r>
    </w:p>
    <w:p w14:paraId="08589006" w14:textId="77777777" w:rsidR="00CF0F1E" w:rsidRDefault="00CF0F1E" w:rsidP="00613EB8">
      <w:pPr>
        <w:pStyle w:val="Normln-tun"/>
        <w:numPr>
          <w:ilvl w:val="0"/>
          <w:numId w:val="87"/>
        </w:numPr>
      </w:pPr>
      <w:r>
        <w:lastRenderedPageBreak/>
        <w:t>jednorázově nákladnější z pohledu nutného přesunu agendy ze stávajících SÚ při obcích II. a I. typu na ORP (zaměstnanců, spisů apod.);</w:t>
      </w:r>
    </w:p>
    <w:p w14:paraId="2D38E7F4" w14:textId="394BC9BD" w:rsidR="009E2F20" w:rsidRDefault="00CF0F1E" w:rsidP="00613EB8">
      <w:pPr>
        <w:pStyle w:val="Normln-tun"/>
        <w:numPr>
          <w:ilvl w:val="0"/>
          <w:numId w:val="87"/>
        </w:numPr>
      </w:pPr>
      <w:r>
        <w:t>rizikovější – v</w:t>
      </w:r>
      <w:r w:rsidR="009E2F20">
        <w:t xml:space="preserve"> rámci stavebních úřadů na úrovni ORP je realizováno přibližně 60 % všech úkonů v prvním stupni, zbývajících 40 % vykonávají obecné úřady na úrovni POÚ a obcí se základním rozsahem přenesené působnosti. S touto variantou je tak spojeno riziko, že po navržené redukci dotčené ORP svými silami nepokryjí potřebné množství úkonů, což by mohlo snížit výkon celého systému</w:t>
      </w:r>
      <w:r w:rsidR="00FE2F8F">
        <w:t xml:space="preserve"> a povolovací proces naopak zpomalit</w:t>
      </w:r>
      <w:r w:rsidR="009E2F20">
        <w:t>.</w:t>
      </w:r>
      <w:r w:rsidR="00FE2F8F">
        <w:t xml:space="preserve"> Podmínkou by musela být úplný přesun úředníků ze SÚ při</w:t>
      </w:r>
      <w:r w:rsidR="000C3AB8">
        <w:t>/</w:t>
      </w:r>
      <w:r w:rsidR="00FE2F8F">
        <w:t xml:space="preserve"> obcích II. a I. typu</w:t>
      </w:r>
      <w:r w:rsidR="009E2F20">
        <w:t xml:space="preserve"> </w:t>
      </w:r>
      <w:r w:rsidR="00FE2F8F">
        <w:t>na SÚ ORP.</w:t>
      </w:r>
      <w:r w:rsidR="00FE2F8F" w:rsidRPr="00FE2F8F">
        <w:t xml:space="preserve"> </w:t>
      </w:r>
    </w:p>
    <w:p w14:paraId="07F20CE2" w14:textId="2461D8BD" w:rsidR="00340A82" w:rsidRDefault="00CF0F1E" w:rsidP="00B0176C">
      <w:pPr>
        <w:pStyle w:val="Normln-tun"/>
      </w:pPr>
      <w:r>
        <w:t xml:space="preserve">Zároveň </w:t>
      </w:r>
      <w:r w:rsidR="000F2472">
        <w:t>u</w:t>
      </w:r>
      <w:r>
        <w:t xml:space="preserve"> to</w:t>
      </w:r>
      <w:r w:rsidR="000F2472">
        <w:t>ho</w:t>
      </w:r>
      <w:r>
        <w:t>to modelu (SÚ pouze na ORP) ne</w:t>
      </w:r>
      <w:r w:rsidR="000F2472">
        <w:t xml:space="preserve">došlo ke </w:t>
      </w:r>
      <w:r w:rsidR="00F1357B">
        <w:t xml:space="preserve">konsenzu mezi státem a územními partnery. </w:t>
      </w:r>
    </w:p>
    <w:p w14:paraId="6D8D65F8" w14:textId="15648E30" w:rsidR="009E2F20" w:rsidRPr="00281FDB" w:rsidRDefault="0070757E" w:rsidP="00B0176C">
      <w:pPr>
        <w:pStyle w:val="Normln-tun"/>
      </w:pPr>
      <w:r w:rsidRPr="00281FDB">
        <w:t>Pro doplnění</w:t>
      </w:r>
      <w:r w:rsidR="00281FDB" w:rsidRPr="00281FDB">
        <w:t xml:space="preserve"> uvádíme ještě data za dojezd občanů na úřady. Výrazný dopad v této oblasti také neshledáváme. </w:t>
      </w:r>
    </w:p>
    <w:p w14:paraId="40FFE721" w14:textId="46395624" w:rsidR="005957F6" w:rsidRPr="00281FDB" w:rsidRDefault="005957F6" w:rsidP="005957F6">
      <w:pPr>
        <w:pStyle w:val="Normln-tun"/>
      </w:pPr>
      <w:r w:rsidRPr="00281FDB">
        <w:t>Následující text je převzat z Analýzy vybraných prostorových aspektů veřejné správy a zlepšení dostupnosti jejích služeb (dále také Analýza (2018)</w:t>
      </w:r>
      <w:r w:rsidR="00766C1E" w:rsidRPr="00281FDB">
        <w:rPr>
          <w:rStyle w:val="Znakapoznpodarou"/>
        </w:rPr>
        <w:footnoteReference w:id="6"/>
      </w:r>
      <w:r w:rsidRPr="00281FDB">
        <w:t xml:space="preserve">), která mimo jiné zkoumala dostupnost státní správy pro občany. </w:t>
      </w:r>
    </w:p>
    <w:p w14:paraId="4DC6968E" w14:textId="3200CDDF" w:rsidR="005957F6" w:rsidRPr="00281FDB" w:rsidRDefault="005957F6" w:rsidP="005957F6">
      <w:pPr>
        <w:pStyle w:val="Normln-tun"/>
      </w:pPr>
      <w:r w:rsidRPr="00281FDB">
        <w:t>S rostoucí velikostí správního obvodu roste vzdálenost dojezdu do správního centra, průměrná vzdálenost je od 9 km do POÚ, 12 km do ORP až po 43 km do krajského města (údaje za horní k</w:t>
      </w:r>
      <w:r w:rsidR="00281FDB">
        <w:t>v</w:t>
      </w:r>
      <w:r w:rsidRPr="00281FDB">
        <w:t xml:space="preserve">artil </w:t>
      </w:r>
      <w:r w:rsidR="004778C4">
        <w:t>–</w:t>
      </w:r>
      <w:r w:rsidRPr="00281FDB">
        <w:t xml:space="preserve"> 75</w:t>
      </w:r>
      <w:r w:rsidR="004778C4">
        <w:t xml:space="preserve"> </w:t>
      </w:r>
      <w:r w:rsidRPr="00281FDB">
        <w:t>% obcí se vejde do 12/16/57 km). 50 % všech úřadů (tj. medián) je individuální dopravou</w:t>
      </w:r>
      <w:r w:rsidR="00D23BE8" w:rsidRPr="00281FDB">
        <w:t xml:space="preserve"> </w:t>
      </w:r>
      <w:r w:rsidRPr="00281FDB">
        <w:t xml:space="preserve">dostupných u POÚ do 8,6 min., u ORP </w:t>
      </w:r>
      <w:r w:rsidRPr="00281FDB">
        <w:rPr>
          <w:b/>
          <w:bCs/>
        </w:rPr>
        <w:t>do 11 min</w:t>
      </w:r>
      <w:r w:rsidRPr="00281FDB">
        <w:t xml:space="preserve">, a </w:t>
      </w:r>
      <w:r w:rsidR="004778C4">
        <w:t xml:space="preserve">u </w:t>
      </w:r>
      <w:r w:rsidRPr="00281FDB">
        <w:t>krajsk</w:t>
      </w:r>
      <w:r w:rsidR="004778C4">
        <w:t>ých</w:t>
      </w:r>
      <w:r w:rsidRPr="00281FDB">
        <w:t xml:space="preserve"> měst do 39,5 min. (</w:t>
      </w:r>
      <w:r w:rsidR="004778C4">
        <w:t xml:space="preserve">opět u </w:t>
      </w:r>
      <w:r w:rsidRPr="00281FDB">
        <w:t>horní</w:t>
      </w:r>
      <w:r w:rsidR="004778C4">
        <w:t>ho</w:t>
      </w:r>
      <w:r w:rsidRPr="00281FDB">
        <w:t xml:space="preserve"> kvartil</w:t>
      </w:r>
      <w:r w:rsidR="004778C4">
        <w:t>u je to</w:t>
      </w:r>
      <w:r w:rsidRPr="00281FDB">
        <w:t xml:space="preserve"> 12/16/54 min).</w:t>
      </w:r>
    </w:p>
    <w:p w14:paraId="168CCA89" w14:textId="2499936A" w:rsidR="00E70AE4" w:rsidRPr="00281FDB" w:rsidRDefault="004778C4" w:rsidP="005957F6">
      <w:pPr>
        <w:pStyle w:val="Normln-tun"/>
      </w:pPr>
      <w:r>
        <w:t>Pro p</w:t>
      </w:r>
      <w:r w:rsidR="00E70AE4" w:rsidRPr="00281FDB">
        <w:t xml:space="preserve">ět obcí s nejdelší dobou dojezdu od správního centra/okresu </w:t>
      </w:r>
      <w:r>
        <w:t>činí tento dojezd</w:t>
      </w:r>
      <w:r w:rsidR="00EE2B32">
        <w:t xml:space="preserve"> v sestupném pořadí</w:t>
      </w:r>
      <w:r w:rsidR="00766C1E" w:rsidRPr="00281FDB">
        <w:t xml:space="preserve"> 46,77</w:t>
      </w:r>
      <w:r w:rsidR="00EE2B32">
        <w:t xml:space="preserve"> </w:t>
      </w:r>
      <w:r w:rsidR="00EE2B32" w:rsidRPr="00281FDB">
        <w:t>min</w:t>
      </w:r>
      <w:r w:rsidR="00EE2B32">
        <w:t>.</w:t>
      </w:r>
      <w:r w:rsidR="00766C1E" w:rsidRPr="00281FDB">
        <w:t>/46,50</w:t>
      </w:r>
      <w:r w:rsidR="00EE2B32">
        <w:t xml:space="preserve"> m</w:t>
      </w:r>
      <w:r w:rsidR="00EE2B32" w:rsidRPr="00281FDB">
        <w:t>in</w:t>
      </w:r>
      <w:r w:rsidR="00EE2B32">
        <w:t>.</w:t>
      </w:r>
      <w:r w:rsidR="00766C1E" w:rsidRPr="00281FDB">
        <w:t>/44,03</w:t>
      </w:r>
      <w:r w:rsidR="00EE2B32">
        <w:t xml:space="preserve"> </w:t>
      </w:r>
      <w:r w:rsidR="00EE2B32" w:rsidRPr="00281FDB">
        <w:t>min</w:t>
      </w:r>
      <w:r w:rsidR="00EE2B32">
        <w:t>.</w:t>
      </w:r>
      <w:r w:rsidR="00766C1E" w:rsidRPr="00281FDB">
        <w:t>/43,22</w:t>
      </w:r>
      <w:r w:rsidR="00EE2B32" w:rsidRPr="00EE2B32">
        <w:t xml:space="preserve"> </w:t>
      </w:r>
      <w:r w:rsidR="00EE2B32" w:rsidRPr="00281FDB">
        <w:t>min</w:t>
      </w:r>
      <w:r w:rsidR="00EE2B32">
        <w:t>.</w:t>
      </w:r>
      <w:r w:rsidR="00766C1E" w:rsidRPr="00281FDB">
        <w:t>/41,</w:t>
      </w:r>
      <w:r w:rsidRPr="004778C4">
        <w:t xml:space="preserve"> </w:t>
      </w:r>
      <w:r w:rsidR="00766C1E" w:rsidRPr="00281FDB">
        <w:t>59</w:t>
      </w:r>
      <w:r w:rsidRPr="004778C4">
        <w:t xml:space="preserve"> </w:t>
      </w:r>
      <w:r w:rsidRPr="00281FDB">
        <w:t>min</w:t>
      </w:r>
      <w:r w:rsidR="00766C1E" w:rsidRPr="00281FDB">
        <w:t>.</w:t>
      </w:r>
    </w:p>
    <w:p w14:paraId="06F333E8" w14:textId="0C723050" w:rsidR="009376AC" w:rsidRPr="00281FDB" w:rsidRDefault="009376AC" w:rsidP="009376AC">
      <w:pPr>
        <w:pStyle w:val="Text-Normaln"/>
        <w:widowControl w:val="0"/>
        <w:rPr>
          <w:lang w:eastAsia="cs-CZ"/>
        </w:rPr>
      </w:pPr>
      <w:r w:rsidRPr="00281FDB">
        <w:rPr>
          <w:lang w:eastAsia="cs-CZ"/>
        </w:rPr>
        <w:t>Dopravní dostupnost</w:t>
      </w:r>
      <w:r w:rsidR="00EE2B32">
        <w:rPr>
          <w:lang w:eastAsia="cs-CZ"/>
        </w:rPr>
        <w:t xml:space="preserve"> veřejnou hromadnou dopravou je následující</w:t>
      </w:r>
      <w:r w:rsidRPr="00281FDB">
        <w:rPr>
          <w:lang w:eastAsia="cs-CZ"/>
        </w:rPr>
        <w:t xml:space="preserve">: do obce s POÚ trvá dojezd průměrně 19,43 min., do ORP </w:t>
      </w:r>
      <w:r w:rsidRPr="00281FDB">
        <w:rPr>
          <w:b/>
          <w:bCs/>
          <w:lang w:eastAsia="cs-CZ"/>
        </w:rPr>
        <w:t>25,61</w:t>
      </w:r>
      <w:r w:rsidRPr="00281FDB">
        <w:rPr>
          <w:lang w:eastAsia="cs-CZ"/>
        </w:rPr>
        <w:t xml:space="preserve"> min., do krajského města 71,03 min. </w:t>
      </w:r>
      <w:r w:rsidR="005D72E3" w:rsidRPr="00281FDB">
        <w:rPr>
          <w:lang w:eastAsia="cs-CZ"/>
        </w:rPr>
        <w:t>(</w:t>
      </w:r>
      <w:r w:rsidR="00EE2B32">
        <w:rPr>
          <w:lang w:eastAsia="cs-CZ"/>
        </w:rPr>
        <w:t>u horního</w:t>
      </w:r>
      <w:r w:rsidR="005D72E3" w:rsidRPr="00281FDB">
        <w:rPr>
          <w:lang w:eastAsia="cs-CZ"/>
        </w:rPr>
        <w:t xml:space="preserve"> kvartil</w:t>
      </w:r>
      <w:r w:rsidR="00EE2B32">
        <w:rPr>
          <w:lang w:eastAsia="cs-CZ"/>
        </w:rPr>
        <w:t>u</w:t>
      </w:r>
      <w:r w:rsidR="005D72E3" w:rsidRPr="00281FDB">
        <w:rPr>
          <w:lang w:eastAsia="cs-CZ"/>
        </w:rPr>
        <w:t xml:space="preserve"> </w:t>
      </w:r>
      <w:r w:rsidR="00EE2B32">
        <w:rPr>
          <w:lang w:eastAsia="cs-CZ"/>
        </w:rPr>
        <w:t xml:space="preserve">to činí </w:t>
      </w:r>
      <w:r w:rsidR="000C3AB8" w:rsidRPr="00281FDB">
        <w:rPr>
          <w:lang w:eastAsia="cs-CZ"/>
        </w:rPr>
        <w:t>27/35/94 min)</w:t>
      </w:r>
      <w:r w:rsidRPr="00281FDB">
        <w:rPr>
          <w:lang w:eastAsia="cs-CZ"/>
        </w:rPr>
        <w:t>. Průměrný počet spojení se pohybuje v rozmezí 6,9</w:t>
      </w:r>
      <w:r w:rsidR="000C3AB8" w:rsidRPr="00281FDB">
        <w:rPr>
          <w:lang w:eastAsia="cs-CZ"/>
        </w:rPr>
        <w:t>/7,42/</w:t>
      </w:r>
      <w:r w:rsidRPr="00281FDB">
        <w:rPr>
          <w:lang w:eastAsia="cs-CZ"/>
        </w:rPr>
        <w:t>8,41 spojů</w:t>
      </w:r>
      <w:r w:rsidR="000C3AB8" w:rsidRPr="00281FDB">
        <w:rPr>
          <w:lang w:eastAsia="cs-CZ"/>
        </w:rPr>
        <w:t xml:space="preserve"> (</w:t>
      </w:r>
      <w:r w:rsidR="00EE2B32">
        <w:rPr>
          <w:lang w:eastAsia="cs-CZ"/>
        </w:rPr>
        <w:t xml:space="preserve">opět u </w:t>
      </w:r>
      <w:r w:rsidR="000C3AB8" w:rsidRPr="00281FDB">
        <w:rPr>
          <w:lang w:eastAsia="cs-CZ"/>
        </w:rPr>
        <w:t>horní</w:t>
      </w:r>
      <w:r w:rsidR="00EE2B32">
        <w:rPr>
          <w:lang w:eastAsia="cs-CZ"/>
        </w:rPr>
        <w:t>ho</w:t>
      </w:r>
      <w:r w:rsidR="000C3AB8" w:rsidRPr="00281FDB">
        <w:rPr>
          <w:lang w:eastAsia="cs-CZ"/>
        </w:rPr>
        <w:t xml:space="preserve"> kvartil</w:t>
      </w:r>
      <w:r w:rsidR="00EE2B32">
        <w:rPr>
          <w:lang w:eastAsia="cs-CZ"/>
        </w:rPr>
        <w:t>u</w:t>
      </w:r>
      <w:r w:rsidR="000C3AB8" w:rsidRPr="00281FDB">
        <w:rPr>
          <w:lang w:eastAsia="cs-CZ"/>
        </w:rPr>
        <w:t xml:space="preserve"> 9/9/10</w:t>
      </w:r>
      <w:r w:rsidR="00EE2B32">
        <w:rPr>
          <w:lang w:eastAsia="cs-CZ"/>
        </w:rPr>
        <w:t xml:space="preserve"> spojů</w:t>
      </w:r>
      <w:r w:rsidR="000C3AB8" w:rsidRPr="00281FDB">
        <w:rPr>
          <w:lang w:eastAsia="cs-CZ"/>
        </w:rPr>
        <w:t>)</w:t>
      </w:r>
      <w:r w:rsidRPr="00281FDB">
        <w:rPr>
          <w:lang w:eastAsia="cs-CZ"/>
        </w:rPr>
        <w:t xml:space="preserve">, přičemž roste s významností centra. Stejně tak </w:t>
      </w:r>
      <w:r w:rsidR="00EE2B32">
        <w:rPr>
          <w:lang w:eastAsia="cs-CZ"/>
        </w:rPr>
        <w:t>je tomu u počtu</w:t>
      </w:r>
      <w:r w:rsidRPr="00281FDB">
        <w:rPr>
          <w:lang w:eastAsia="cs-CZ"/>
        </w:rPr>
        <w:t xml:space="preserve"> přestupů, kdy je do obcí s POÚ podíl spojů bez přestupů 91,67 %, do ORP 85,37 % a do krajského města 34,14 %. (pozn. autora – metodologie výpočtu je detailně popsána v Analýze (2018)).</w:t>
      </w:r>
    </w:p>
    <w:p w14:paraId="6505AE35" w14:textId="59DB9896" w:rsidR="00766C1E" w:rsidRDefault="00825549" w:rsidP="00B66CA1">
      <w:pPr>
        <w:pStyle w:val="Normln-tun"/>
      </w:pPr>
      <w:r w:rsidRPr="00281FDB">
        <w:t xml:space="preserve">Náklady občanů na dojezd na úřad ORP se mohou pohybovat v maximální výši nižších desítek milionů korun ročně (odhadem po vynásobení počtu úkonů SÚ provedených ročně na obcích II. a I. typu průměrnou dojezdovou vzdáleností tam a zpět a </w:t>
      </w:r>
      <w:r w:rsidR="00766C1E" w:rsidRPr="00281FDB">
        <w:t xml:space="preserve">náklady občanů s vazbou na průměrnou mzdu navýšenou </w:t>
      </w:r>
      <w:r w:rsidR="004778C4">
        <w:t>konzervativ</w:t>
      </w:r>
      <w:r w:rsidR="00766C1E" w:rsidRPr="00281FDB">
        <w:t>ně 1,5krát.)</w:t>
      </w:r>
      <w:r w:rsidR="00B66CA1" w:rsidRPr="00281FDB">
        <w:t>. Občané často spojují cestu na úřad s cestou s jiným účelem (do zaměstnání apod.).</w:t>
      </w:r>
    </w:p>
    <w:p w14:paraId="6CCD69B9" w14:textId="47D1D4A8" w:rsidR="004F5FAE" w:rsidRPr="004778C4" w:rsidRDefault="004F5FAE" w:rsidP="004F5FAE">
      <w:pPr>
        <w:pStyle w:val="Normln-tun"/>
      </w:pPr>
      <w:r w:rsidRPr="004778C4">
        <w:t>V porovnání s Variantou 0 dosahuje Varianta 1:</w:t>
      </w:r>
    </w:p>
    <w:p w14:paraId="1F5DBCD8" w14:textId="71465F8C" w:rsidR="004F5FAE" w:rsidRPr="004778C4" w:rsidRDefault="004F5FAE" w:rsidP="00613EB8">
      <w:pPr>
        <w:pStyle w:val="Normln-tun"/>
        <w:numPr>
          <w:ilvl w:val="0"/>
          <w:numId w:val="84"/>
        </w:numPr>
      </w:pPr>
      <w:r w:rsidRPr="004778C4">
        <w:t xml:space="preserve">nižší efektivity </w:t>
      </w:r>
      <w:r w:rsidR="00A26DD9">
        <w:t>výkonu stavební agendy</w:t>
      </w:r>
      <w:r w:rsidRPr="004778C4">
        <w:t xml:space="preserve"> (</w:t>
      </w:r>
      <w:r w:rsidR="001F4F53" w:rsidRPr="004778C4">
        <w:t xml:space="preserve">kvůli nižší </w:t>
      </w:r>
      <w:r w:rsidRPr="004778C4">
        <w:t>možnost</w:t>
      </w:r>
      <w:r w:rsidR="001F4F53" w:rsidRPr="004778C4">
        <w:t>i</w:t>
      </w:r>
      <w:r w:rsidRPr="004778C4">
        <w:t xml:space="preserve"> koncentrace </w:t>
      </w:r>
      <w:r w:rsidR="001F4F53" w:rsidRPr="004778C4">
        <w:t xml:space="preserve">znalostí </w:t>
      </w:r>
      <w:r w:rsidRPr="004778C4">
        <w:t>či specializace</w:t>
      </w:r>
      <w:r w:rsidR="00A26DD9">
        <w:t xml:space="preserve"> příslušných úředních osob</w:t>
      </w:r>
      <w:r w:rsidRPr="004778C4">
        <w:t xml:space="preserve">), </w:t>
      </w:r>
      <w:r w:rsidR="001F4F53" w:rsidRPr="004778C4">
        <w:t xml:space="preserve">nižší </w:t>
      </w:r>
      <w:r w:rsidRPr="004778C4">
        <w:t>možnost</w:t>
      </w:r>
      <w:r w:rsidR="001F4F53" w:rsidRPr="004778C4">
        <w:t>i</w:t>
      </w:r>
      <w:r w:rsidRPr="004778C4">
        <w:t xml:space="preserve"> sdílení personálních kapacit</w:t>
      </w:r>
      <w:r w:rsidRPr="004778C4">
        <w:tab/>
      </w:r>
      <w:r w:rsidR="001F4F53" w:rsidRPr="004778C4">
        <w:t xml:space="preserve"> (personální kapacity je možné sdílet pouze v rámci modrých rámečků viz </w:t>
      </w:r>
      <w:r w:rsidR="00395568" w:rsidRPr="004778C4">
        <w:fldChar w:fldCharType="begin"/>
      </w:r>
      <w:r w:rsidR="00395568" w:rsidRPr="004778C4">
        <w:instrText xml:space="preserve"> REF _Ref100124810 \h  \* MERGEFORMAT </w:instrText>
      </w:r>
      <w:r w:rsidR="00395568" w:rsidRPr="004778C4">
        <w:fldChar w:fldCharType="separate"/>
      </w:r>
      <w:r w:rsidR="00395568" w:rsidRPr="004778C4">
        <w:t xml:space="preserve">Obrázek </w:t>
      </w:r>
      <w:r w:rsidR="00395568" w:rsidRPr="004778C4">
        <w:rPr>
          <w:noProof/>
        </w:rPr>
        <w:t>3</w:t>
      </w:r>
      <w:r w:rsidR="00395568" w:rsidRPr="004778C4">
        <w:fldChar w:fldCharType="end"/>
      </w:r>
      <w:r w:rsidR="00395568" w:rsidRPr="004778C4">
        <w:t xml:space="preserve"> až </w:t>
      </w:r>
      <w:r w:rsidR="00395568" w:rsidRPr="004778C4">
        <w:fldChar w:fldCharType="begin"/>
      </w:r>
      <w:r w:rsidR="00395568" w:rsidRPr="004778C4">
        <w:instrText xml:space="preserve"> REF _Ref100124818 \h  \* MERGEFORMAT </w:instrText>
      </w:r>
      <w:r w:rsidR="00395568" w:rsidRPr="004778C4">
        <w:fldChar w:fldCharType="separate"/>
      </w:r>
      <w:r w:rsidR="00395568" w:rsidRPr="004778C4">
        <w:t xml:space="preserve">Obrázek </w:t>
      </w:r>
      <w:r w:rsidR="00395568" w:rsidRPr="004778C4">
        <w:rPr>
          <w:noProof/>
        </w:rPr>
        <w:t>5</w:t>
      </w:r>
      <w:r w:rsidR="00395568" w:rsidRPr="004778C4">
        <w:fldChar w:fldCharType="end"/>
      </w:r>
      <w:r w:rsidR="00395568" w:rsidRPr="004778C4">
        <w:t>)</w:t>
      </w:r>
      <w:r w:rsidR="004778C4">
        <w:t>;</w:t>
      </w:r>
    </w:p>
    <w:p w14:paraId="45DC432B" w14:textId="6205B1E0" w:rsidR="004F5FAE" w:rsidRPr="004778C4" w:rsidRDefault="001F4F53" w:rsidP="00613EB8">
      <w:pPr>
        <w:pStyle w:val="Normln-tun"/>
        <w:numPr>
          <w:ilvl w:val="0"/>
          <w:numId w:val="84"/>
        </w:numPr>
      </w:pPr>
      <w:r w:rsidRPr="004778C4">
        <w:lastRenderedPageBreak/>
        <w:t xml:space="preserve">nižší </w:t>
      </w:r>
      <w:r w:rsidR="004F5FAE" w:rsidRPr="004778C4">
        <w:t>možnost</w:t>
      </w:r>
      <w:r w:rsidRPr="004778C4">
        <w:t>i</w:t>
      </w:r>
      <w:r w:rsidR="004F5FAE" w:rsidRPr="004778C4">
        <w:t xml:space="preserve"> jednotného metodického řízení, kontrolovatelnost, vynutitelnost – </w:t>
      </w:r>
      <w:r w:rsidR="00395568" w:rsidRPr="004778C4">
        <w:t xml:space="preserve">je obtížnější motivovat </w:t>
      </w:r>
      <w:r w:rsidR="004F5FAE" w:rsidRPr="004778C4">
        <w:t>zaměstnance</w:t>
      </w:r>
      <w:r w:rsidR="00395568" w:rsidRPr="004778C4">
        <w:t xml:space="preserve"> jiného zaměstnavatele</w:t>
      </w:r>
      <w:r w:rsidR="004F5FAE" w:rsidRPr="004778C4">
        <w:t xml:space="preserve"> </w:t>
      </w:r>
      <w:r w:rsidR="00395568" w:rsidRPr="004778C4">
        <w:t xml:space="preserve">(lze opět pouze v rámci modrých rámečků viz </w:t>
      </w:r>
      <w:r w:rsidR="00395568" w:rsidRPr="004778C4">
        <w:fldChar w:fldCharType="begin"/>
      </w:r>
      <w:r w:rsidR="00395568" w:rsidRPr="004778C4">
        <w:instrText xml:space="preserve"> REF _Ref100124810 \h  \* MERGEFORMAT </w:instrText>
      </w:r>
      <w:r w:rsidR="00395568" w:rsidRPr="004778C4">
        <w:fldChar w:fldCharType="separate"/>
      </w:r>
      <w:r w:rsidR="00395568" w:rsidRPr="004778C4">
        <w:t xml:space="preserve">Obrázek </w:t>
      </w:r>
      <w:r w:rsidR="00395568" w:rsidRPr="004778C4">
        <w:rPr>
          <w:noProof/>
        </w:rPr>
        <w:t>3</w:t>
      </w:r>
      <w:r w:rsidR="00395568" w:rsidRPr="004778C4">
        <w:fldChar w:fldCharType="end"/>
      </w:r>
      <w:r w:rsidR="00395568" w:rsidRPr="004778C4">
        <w:t xml:space="preserve"> až </w:t>
      </w:r>
      <w:r w:rsidR="00395568" w:rsidRPr="004778C4">
        <w:fldChar w:fldCharType="begin"/>
      </w:r>
      <w:r w:rsidR="00395568" w:rsidRPr="004778C4">
        <w:instrText xml:space="preserve"> REF _Ref100124818 \h  \* MERGEFORMAT </w:instrText>
      </w:r>
      <w:r w:rsidR="00395568" w:rsidRPr="004778C4">
        <w:fldChar w:fldCharType="separate"/>
      </w:r>
      <w:r w:rsidR="00395568" w:rsidRPr="004778C4">
        <w:t xml:space="preserve">Obrázek </w:t>
      </w:r>
      <w:r w:rsidR="00395568" w:rsidRPr="004778C4">
        <w:rPr>
          <w:noProof/>
        </w:rPr>
        <w:t>5</w:t>
      </w:r>
      <w:r w:rsidR="00395568" w:rsidRPr="004778C4">
        <w:fldChar w:fldCharType="end"/>
      </w:r>
      <w:r w:rsidR="00395568" w:rsidRPr="004778C4">
        <w:t>)</w:t>
      </w:r>
      <w:r w:rsidR="004778C4">
        <w:t>;</w:t>
      </w:r>
    </w:p>
    <w:p w14:paraId="2E09AAB4" w14:textId="0F85D1B1" w:rsidR="004F5FAE" w:rsidRPr="004778C4" w:rsidRDefault="00395568" w:rsidP="00613EB8">
      <w:pPr>
        <w:pStyle w:val="Normln-tun"/>
        <w:numPr>
          <w:ilvl w:val="0"/>
          <w:numId w:val="84"/>
        </w:numPr>
      </w:pPr>
      <w:r w:rsidRPr="004778C4">
        <w:t>nižší</w:t>
      </w:r>
      <w:r w:rsidR="004F5FAE" w:rsidRPr="004778C4">
        <w:t xml:space="preserve"> transparentnost</w:t>
      </w:r>
      <w:r w:rsidR="004778C4">
        <w:t>i</w:t>
      </w:r>
      <w:r w:rsidR="004F5FAE" w:rsidRPr="004778C4">
        <w:t xml:space="preserve"> použití finančních prostředků státní správy </w:t>
      </w:r>
      <w:r w:rsidRPr="004778C4">
        <w:t xml:space="preserve">z pohledu jejich </w:t>
      </w:r>
      <w:r w:rsidR="004F5FAE" w:rsidRPr="004778C4">
        <w:t>konkr</w:t>
      </w:r>
      <w:r w:rsidRPr="004778C4">
        <w:t>étního využití</w:t>
      </w:r>
      <w:r w:rsidR="004778C4">
        <w:t>;</w:t>
      </w:r>
      <w:r w:rsidR="004F5FAE" w:rsidRPr="004778C4">
        <w:t xml:space="preserve"> </w:t>
      </w:r>
    </w:p>
    <w:p w14:paraId="43E68C50" w14:textId="6664519D" w:rsidR="004F5FAE" w:rsidRPr="004778C4" w:rsidRDefault="004F5FAE" w:rsidP="00613EB8">
      <w:pPr>
        <w:pStyle w:val="Normln-tun"/>
        <w:numPr>
          <w:ilvl w:val="0"/>
          <w:numId w:val="85"/>
        </w:numPr>
      </w:pPr>
      <w:r w:rsidRPr="004778C4">
        <w:tab/>
      </w:r>
      <w:r w:rsidRPr="004778C4">
        <w:tab/>
      </w:r>
      <w:r w:rsidR="00395568" w:rsidRPr="004778C4">
        <w:t>nižší</w:t>
      </w:r>
      <w:r w:rsidRPr="004778C4">
        <w:t xml:space="preserve"> přehlednosti procesu</w:t>
      </w:r>
      <w:r w:rsidR="004778C4">
        <w:t>;</w:t>
      </w:r>
    </w:p>
    <w:p w14:paraId="7EA1B97E" w14:textId="70BA8F3B" w:rsidR="004F5FAE" w:rsidRPr="004778C4" w:rsidRDefault="004C4CC7" w:rsidP="00613EB8">
      <w:pPr>
        <w:pStyle w:val="Normln-tun"/>
        <w:numPr>
          <w:ilvl w:val="0"/>
          <w:numId w:val="85"/>
        </w:numPr>
      </w:pPr>
      <w:r w:rsidRPr="004778C4">
        <w:t>menšího</w:t>
      </w:r>
      <w:r w:rsidR="004F5FAE" w:rsidRPr="004778C4">
        <w:t xml:space="preserve"> zkrácení </w:t>
      </w:r>
      <w:r w:rsidR="00A26DD9">
        <w:t xml:space="preserve">průměrné doby povolovacího procesu kvůli eliminaci menšího počtu </w:t>
      </w:r>
      <w:r w:rsidR="004F5FAE" w:rsidRPr="004778C4">
        <w:t>soudních řízení</w:t>
      </w:r>
      <w:r w:rsidR="004778C4">
        <w:t>;</w:t>
      </w:r>
    </w:p>
    <w:p w14:paraId="096BF5C7" w14:textId="4B0DE9B2" w:rsidR="004F5FAE" w:rsidRPr="004778C4" w:rsidRDefault="004F5FAE" w:rsidP="00613EB8">
      <w:pPr>
        <w:pStyle w:val="Normln-tun"/>
        <w:numPr>
          <w:ilvl w:val="0"/>
          <w:numId w:val="85"/>
        </w:numPr>
      </w:pPr>
      <w:r w:rsidRPr="004778C4">
        <w:tab/>
      </w:r>
      <w:r w:rsidRPr="004778C4">
        <w:tab/>
      </w:r>
      <w:r w:rsidR="004C4CC7" w:rsidRPr="004778C4">
        <w:t>nižšího</w:t>
      </w:r>
      <w:r w:rsidRPr="004778C4">
        <w:t xml:space="preserve"> makroekonomick</w:t>
      </w:r>
      <w:r w:rsidR="004C4CC7" w:rsidRPr="004778C4">
        <w:t>ého</w:t>
      </w:r>
      <w:r w:rsidRPr="004778C4">
        <w:t xml:space="preserve"> prorůstov</w:t>
      </w:r>
      <w:r w:rsidR="004C4CC7" w:rsidRPr="004778C4">
        <w:t>ého</w:t>
      </w:r>
      <w:r w:rsidRPr="004778C4">
        <w:t xml:space="preserve"> </w:t>
      </w:r>
      <w:r w:rsidR="004C4CC7" w:rsidRPr="004778C4">
        <w:t>efektu</w:t>
      </w:r>
      <w:r w:rsidRPr="004778C4">
        <w:t xml:space="preserve"> s pozitivním dopadem do příjmů státního rozpočtu (výběr daní a další výsledky multiplikačních efektů)</w:t>
      </w:r>
      <w:r w:rsidR="004778C4">
        <w:t>.</w:t>
      </w:r>
      <w:r w:rsidRPr="004778C4">
        <w:t xml:space="preserve"> </w:t>
      </w:r>
    </w:p>
    <w:p w14:paraId="2D892A8B" w14:textId="02F604A7" w:rsidR="004F5FAE" w:rsidRDefault="004C4CC7" w:rsidP="004F5FAE">
      <w:pPr>
        <w:pStyle w:val="Normln-tun"/>
      </w:pPr>
      <w:r>
        <w:t>Na druhou stranu n</w:t>
      </w:r>
      <w:r w:rsidR="004F5FAE">
        <w:t xml:space="preserve">ebude </w:t>
      </w:r>
      <w:r>
        <w:t xml:space="preserve">samozřejmě </w:t>
      </w:r>
      <w:r w:rsidR="004F5FAE">
        <w:t xml:space="preserve">třeba vynakládat prostředky na změnu institucionální struktury; k přesunu zaměstnanců dojde pouze </w:t>
      </w:r>
      <w:r w:rsidR="004F5FAE" w:rsidRPr="00E00611">
        <w:t>ze stavebních úřadů na obcích I. a II.</w:t>
      </w:r>
      <w:r w:rsidR="004F5FAE">
        <w:t xml:space="preserve"> typu na ORP a jejich detašovaná pracoviště, příp. ze zrušených úřadů na zachované stavební úřady. Celkově půjde o řádově stovky zaměstnanců dle konkrétního scénáře. S tímto nízkým objemem přesouvaným zaměstnanců by byl spojen i přesun spisů a spisová rozluka. Tyto náklady budou v porovnání s nulovou variantou zanedbatelné.</w:t>
      </w:r>
    </w:p>
    <w:p w14:paraId="1E2CE129" w14:textId="6F21E0F0" w:rsidR="00E56F3A" w:rsidRPr="00281FDB" w:rsidRDefault="00F74554" w:rsidP="00CC2D4D">
      <w:pPr>
        <w:pStyle w:val="Normln-tun"/>
        <w:rPr>
          <w:u w:val="single"/>
        </w:rPr>
      </w:pPr>
      <w:r w:rsidRPr="00281FDB">
        <w:rPr>
          <w:u w:val="single"/>
        </w:rPr>
        <w:t xml:space="preserve">Výhody a nevýhody </w:t>
      </w:r>
      <w:r w:rsidR="00E56F3A" w:rsidRPr="00281FDB">
        <w:rPr>
          <w:u w:val="single"/>
        </w:rPr>
        <w:t>Variant</w:t>
      </w:r>
      <w:r w:rsidRPr="00281FDB">
        <w:rPr>
          <w:u w:val="single"/>
        </w:rPr>
        <w:t>y</w:t>
      </w:r>
      <w:r w:rsidR="00E56F3A" w:rsidRPr="00281FDB">
        <w:rPr>
          <w:u w:val="single"/>
        </w:rPr>
        <w:t xml:space="preserve"> 2</w:t>
      </w:r>
    </w:p>
    <w:p w14:paraId="1DA805E5" w14:textId="482408F3" w:rsidR="006072DA" w:rsidRDefault="00AF6636" w:rsidP="00CC2D4D">
      <w:pPr>
        <w:pStyle w:val="Normln-tun"/>
        <w:rPr>
          <w:szCs w:val="24"/>
        </w:rPr>
      </w:pPr>
      <w:r>
        <w:rPr>
          <w:szCs w:val="24"/>
        </w:rPr>
        <w:t xml:space="preserve">Podle zákona č. 51/2020 Sb., o územně správním členění státu, představují správní obvody ORP základní jednotku územně správního členění, což evokuje nezbytnost existence stavebních úřadů právě na této úrovni. Avšak zachování stavebních úřadů pouze v 205 ORP a hl. m. Praze by představovalo příliš velký zásah do stávající struktury obecných stavebních úřadů, kterých v současné době existuje celkově 694 v 615 obcích. Snížení počtu stavebních úřadů o 70 %, tj. na 205+1, resp. koncentrace stavebního řízení v místech, kde dnes k takové koncentraci nedochází, by mohlo výrazně oslabit funkčnost budoucí soustavy obecných stavebních úřadů jako takových, a to zejména z personálních důvodů. Tímto by mohlo dojít i k oslabení smyslu navržených změn stavebního práva, které mají vést k rozsáhlému zjednodušení a zrychlení oproti současnému stavu. Z důvodu zachování dostatečné úřední kapacity stavební soustavy je </w:t>
      </w:r>
      <w:r w:rsidR="00E10D02">
        <w:rPr>
          <w:szCs w:val="24"/>
        </w:rPr>
        <w:t xml:space="preserve">ve Variantě 2 </w:t>
      </w:r>
      <w:r>
        <w:rPr>
          <w:szCs w:val="24"/>
        </w:rPr>
        <w:t>navrhováno, aby stavební úřady v ORP byly do budoucna doplněny o vybrané stávající obecné stavební úřady, které jsou situovány na obcích I. a II. typu.</w:t>
      </w:r>
      <w:r w:rsidR="006072DA">
        <w:rPr>
          <w:szCs w:val="24"/>
        </w:rPr>
        <w:t xml:space="preserve"> To je hlavní výhodou této varianty – tj. </w:t>
      </w:r>
      <w:r w:rsidR="00496FF6">
        <w:rPr>
          <w:szCs w:val="24"/>
        </w:rPr>
        <w:t xml:space="preserve">kopíruje </w:t>
      </w:r>
      <w:r w:rsidR="00ED05E8">
        <w:rPr>
          <w:szCs w:val="24"/>
        </w:rPr>
        <w:t>z hlediska výkonu agendy</w:t>
      </w:r>
      <w:r w:rsidR="00496FF6">
        <w:rPr>
          <w:szCs w:val="24"/>
        </w:rPr>
        <w:t xml:space="preserve"> současnou strukturu obecn</w:t>
      </w:r>
      <w:r w:rsidR="007A517F">
        <w:rPr>
          <w:szCs w:val="24"/>
        </w:rPr>
        <w:t>ý</w:t>
      </w:r>
      <w:r w:rsidR="00496FF6">
        <w:rPr>
          <w:szCs w:val="24"/>
        </w:rPr>
        <w:t xml:space="preserve">ch SÚ a minimalizuje náklady na přesun agendy stejně jako rizika spojená se změnou institucionální struktury.  </w:t>
      </w:r>
    </w:p>
    <w:p w14:paraId="4A10FD4F" w14:textId="77777777" w:rsidR="00ED05E8" w:rsidRDefault="00496FF6" w:rsidP="00CC2D4D">
      <w:pPr>
        <w:pStyle w:val="Normln-tun"/>
        <w:rPr>
          <w:szCs w:val="24"/>
        </w:rPr>
      </w:pPr>
      <w:r>
        <w:rPr>
          <w:szCs w:val="24"/>
        </w:rPr>
        <w:t xml:space="preserve">V rámci této varianty se pak lze více či méně blížit současné existující institucionální struktuře v návaznosti na volbu </w:t>
      </w:r>
      <w:r w:rsidR="00ED05E8">
        <w:rPr>
          <w:szCs w:val="24"/>
        </w:rPr>
        <w:t xml:space="preserve">konkrétních </w:t>
      </w:r>
      <w:r>
        <w:rPr>
          <w:szCs w:val="24"/>
        </w:rPr>
        <w:t>kritérií</w:t>
      </w:r>
      <w:r w:rsidR="00ED05E8">
        <w:rPr>
          <w:szCs w:val="24"/>
        </w:rPr>
        <w:t xml:space="preserve"> a jejich hodnot.</w:t>
      </w:r>
    </w:p>
    <w:p w14:paraId="0CA03AF0" w14:textId="7A44C053" w:rsidR="00B421F2" w:rsidRDefault="009B43CA" w:rsidP="00B421F2">
      <w:pPr>
        <w:pStyle w:val="Normln-tun"/>
      </w:pPr>
      <w:r>
        <w:rPr>
          <w:szCs w:val="24"/>
        </w:rPr>
        <w:t>Hlavní nevýhodou tohoto modelu je, že neumožňuje procesní integraci a snížení počtu podkladových aktů tak, aby bylo možné předejít úmyslným obstrukcím (viz popis výše u výhod varianty 1).</w:t>
      </w:r>
      <w:r w:rsidR="00B421F2" w:rsidRPr="00281FDB">
        <w:rPr>
          <w:szCs w:val="24"/>
        </w:rPr>
        <w:t xml:space="preserve"> </w:t>
      </w:r>
      <w:r w:rsidR="00F1357B">
        <w:rPr>
          <w:szCs w:val="24"/>
        </w:rPr>
        <w:t xml:space="preserve">Tato nevýhoda bude eliminována </w:t>
      </w:r>
      <w:r w:rsidR="004C4CC7" w:rsidRPr="004C4CC7">
        <w:t>odborn</w:t>
      </w:r>
      <w:r w:rsidR="00F1357B">
        <w:t xml:space="preserve">ou a procesní </w:t>
      </w:r>
      <w:r w:rsidR="004C4CC7" w:rsidRPr="004C4CC7">
        <w:t xml:space="preserve"> integrac</w:t>
      </w:r>
      <w:r w:rsidR="00F1357B">
        <w:t>í</w:t>
      </w:r>
      <w:r w:rsidR="004C4CC7" w:rsidRPr="004C4CC7">
        <w:t xml:space="preserve"> </w:t>
      </w:r>
      <w:r w:rsidR="00F1357B">
        <w:t xml:space="preserve">- </w:t>
      </w:r>
      <w:r w:rsidR="004C4CC7" w:rsidRPr="004C4CC7">
        <w:t>přijetí právní úpravy k jednotnému environmentálnímu závaznému stanovisku ve věcech stavebních záměrů.</w:t>
      </w:r>
      <w:r w:rsidR="004C4CC7">
        <w:t xml:space="preserve"> </w:t>
      </w:r>
    </w:p>
    <w:p w14:paraId="1CF637C2" w14:textId="2EBDA570" w:rsidR="004C4CC7" w:rsidRDefault="004C4CC7" w:rsidP="004C4CC7">
      <w:pPr>
        <w:pStyle w:val="Normln-tun"/>
      </w:pPr>
      <w:r>
        <w:t xml:space="preserve">V porovnání s Variantou 0 </w:t>
      </w:r>
      <w:r w:rsidR="00EE2B32">
        <w:t xml:space="preserve">a Variantou 1 </w:t>
      </w:r>
      <w:r>
        <w:t xml:space="preserve">dosahuje Varianta </w:t>
      </w:r>
      <w:r w:rsidR="00EE2B32">
        <w:t>2</w:t>
      </w:r>
      <w:r>
        <w:t>:</w:t>
      </w:r>
    </w:p>
    <w:p w14:paraId="2CC5C79F" w14:textId="30807CAC" w:rsidR="004C4CC7" w:rsidRPr="00AD71EB" w:rsidRDefault="00A26DD9" w:rsidP="00613EB8">
      <w:pPr>
        <w:pStyle w:val="Normln-tun"/>
        <w:numPr>
          <w:ilvl w:val="0"/>
          <w:numId w:val="84"/>
        </w:numPr>
      </w:pPr>
      <w:r>
        <w:t>nej</w:t>
      </w:r>
      <w:r w:rsidRPr="004778C4">
        <w:t xml:space="preserve">nižší efektivity </w:t>
      </w:r>
      <w:r>
        <w:t>výkonu stavební agendy</w:t>
      </w:r>
      <w:r w:rsidRPr="004778C4">
        <w:t xml:space="preserve"> (kvůli </w:t>
      </w:r>
      <w:r>
        <w:t>nej</w:t>
      </w:r>
      <w:r w:rsidRPr="004778C4">
        <w:t>nižší možnosti koncentrace znalostí či specializace</w:t>
      </w:r>
      <w:r>
        <w:t xml:space="preserve"> příslušných úředních osob</w:t>
      </w:r>
      <w:r w:rsidRPr="004778C4">
        <w:t>)</w:t>
      </w:r>
      <w:r>
        <w:t xml:space="preserve"> a</w:t>
      </w:r>
      <w:r w:rsidRPr="004778C4">
        <w:t xml:space="preserve"> </w:t>
      </w:r>
      <w:r>
        <w:t>nej</w:t>
      </w:r>
      <w:r w:rsidR="004C4CC7" w:rsidRPr="00395568">
        <w:t>nižší možnosti sdílení personálních kapacit</w:t>
      </w:r>
      <w:r w:rsidR="004C4CC7" w:rsidRPr="00395568">
        <w:tab/>
        <w:t xml:space="preserve"> (</w:t>
      </w:r>
      <w:r w:rsidR="004C4CC7" w:rsidRPr="00AD71EB">
        <w:t xml:space="preserve">personální kapacity je možné sdílet pouze v rámci modrých rámečků viz </w:t>
      </w:r>
      <w:r w:rsidR="004C4CC7" w:rsidRPr="00AD71EB">
        <w:fldChar w:fldCharType="begin"/>
      </w:r>
      <w:r w:rsidR="004C4CC7" w:rsidRPr="00AD71EB">
        <w:instrText xml:space="preserve"> REF _Ref100124810 \h  \* MERGEFORMAT </w:instrText>
      </w:r>
      <w:r w:rsidR="004C4CC7" w:rsidRPr="00AD71EB">
        <w:fldChar w:fldCharType="separate"/>
      </w:r>
      <w:r w:rsidR="004C4CC7" w:rsidRPr="00AD71EB">
        <w:t xml:space="preserve">Obrázek </w:t>
      </w:r>
      <w:r w:rsidR="004C4CC7" w:rsidRPr="00AD71EB">
        <w:rPr>
          <w:noProof/>
        </w:rPr>
        <w:t>3</w:t>
      </w:r>
      <w:r w:rsidR="004C4CC7" w:rsidRPr="00AD71EB">
        <w:fldChar w:fldCharType="end"/>
      </w:r>
      <w:r w:rsidR="004C4CC7" w:rsidRPr="00AD71EB">
        <w:t xml:space="preserve"> až </w:t>
      </w:r>
      <w:r w:rsidR="004C4CC7" w:rsidRPr="00AD71EB">
        <w:fldChar w:fldCharType="begin"/>
      </w:r>
      <w:r w:rsidR="004C4CC7" w:rsidRPr="00AD71EB">
        <w:instrText xml:space="preserve"> REF _Ref100124818 \h  \* MERGEFORMAT </w:instrText>
      </w:r>
      <w:r w:rsidR="004C4CC7" w:rsidRPr="00AD71EB">
        <w:fldChar w:fldCharType="separate"/>
      </w:r>
      <w:r w:rsidR="004C4CC7" w:rsidRPr="00AD71EB">
        <w:t xml:space="preserve">Obrázek </w:t>
      </w:r>
      <w:r w:rsidR="004C4CC7" w:rsidRPr="00AD71EB">
        <w:rPr>
          <w:noProof/>
        </w:rPr>
        <w:t>5</w:t>
      </w:r>
      <w:r w:rsidR="004C4CC7" w:rsidRPr="00AD71EB">
        <w:fldChar w:fldCharType="end"/>
      </w:r>
      <w:r w:rsidR="004C4CC7" w:rsidRPr="00AD71EB">
        <w:t>)</w:t>
      </w:r>
    </w:p>
    <w:p w14:paraId="3A87F6CE" w14:textId="41DF5D27" w:rsidR="004C4CC7" w:rsidRPr="00AD71EB" w:rsidRDefault="00AD71EB" w:rsidP="00613EB8">
      <w:pPr>
        <w:pStyle w:val="Normln-tun"/>
        <w:numPr>
          <w:ilvl w:val="0"/>
          <w:numId w:val="84"/>
        </w:numPr>
        <w:rPr>
          <w:color w:val="FF0000"/>
        </w:rPr>
      </w:pPr>
      <w:r w:rsidRPr="00AD71EB">
        <w:lastRenderedPageBreak/>
        <w:t xml:space="preserve">oproti Variantě 0 </w:t>
      </w:r>
      <w:r w:rsidR="004C4CC7" w:rsidRPr="00AD71EB">
        <w:t xml:space="preserve">nižší možnosti jednotného metodického řízení, kontrolovatelnost, vynutitelnost – je obtížnější motivovat zaměstnance jiného zaměstnavatele (lze opět pouze v rámci modrých rámečků viz </w:t>
      </w:r>
      <w:r w:rsidR="004C4CC7" w:rsidRPr="00AD71EB">
        <w:fldChar w:fldCharType="begin"/>
      </w:r>
      <w:r w:rsidR="004C4CC7" w:rsidRPr="00AD71EB">
        <w:instrText xml:space="preserve"> REF _Ref100124810 \h  \* MERGEFORMAT </w:instrText>
      </w:r>
      <w:r w:rsidR="004C4CC7" w:rsidRPr="00AD71EB">
        <w:fldChar w:fldCharType="separate"/>
      </w:r>
      <w:r w:rsidR="004C4CC7" w:rsidRPr="00AD71EB">
        <w:t xml:space="preserve">Obrázek </w:t>
      </w:r>
      <w:r w:rsidR="004C4CC7" w:rsidRPr="00AD71EB">
        <w:rPr>
          <w:noProof/>
        </w:rPr>
        <w:t>3</w:t>
      </w:r>
      <w:r w:rsidR="004C4CC7" w:rsidRPr="00AD71EB">
        <w:fldChar w:fldCharType="end"/>
      </w:r>
      <w:r w:rsidR="004C4CC7" w:rsidRPr="00AD71EB">
        <w:t xml:space="preserve"> až </w:t>
      </w:r>
      <w:r w:rsidR="004C4CC7" w:rsidRPr="00AD71EB">
        <w:fldChar w:fldCharType="begin"/>
      </w:r>
      <w:r w:rsidR="004C4CC7" w:rsidRPr="00AD71EB">
        <w:instrText xml:space="preserve"> REF _Ref100124818 \h  \* MERGEFORMAT </w:instrText>
      </w:r>
      <w:r w:rsidR="004C4CC7" w:rsidRPr="00AD71EB">
        <w:fldChar w:fldCharType="separate"/>
      </w:r>
      <w:r w:rsidR="004C4CC7" w:rsidRPr="00AD71EB">
        <w:t xml:space="preserve">Obrázek </w:t>
      </w:r>
      <w:r w:rsidR="004C4CC7" w:rsidRPr="00AD71EB">
        <w:rPr>
          <w:noProof/>
        </w:rPr>
        <w:t>5</w:t>
      </w:r>
      <w:r w:rsidR="004C4CC7" w:rsidRPr="00AD71EB">
        <w:fldChar w:fldCharType="end"/>
      </w:r>
      <w:r w:rsidR="004C4CC7" w:rsidRPr="00AD71EB">
        <w:t>)</w:t>
      </w:r>
    </w:p>
    <w:p w14:paraId="0D1400B9" w14:textId="7DB5DA49" w:rsidR="004C4CC7" w:rsidRPr="00AD71EB" w:rsidRDefault="00AD71EB" w:rsidP="00613EB8">
      <w:pPr>
        <w:pStyle w:val="Normln-tun"/>
        <w:numPr>
          <w:ilvl w:val="0"/>
          <w:numId w:val="84"/>
        </w:numPr>
      </w:pPr>
      <w:r w:rsidRPr="00AD71EB">
        <w:t xml:space="preserve">oproti Variantě 0 </w:t>
      </w:r>
      <w:r w:rsidR="004C4CC7" w:rsidRPr="00AD71EB">
        <w:t>nižší transparentnost</w:t>
      </w:r>
      <w:r w:rsidRPr="00AD71EB">
        <w:t>i</w:t>
      </w:r>
      <w:r w:rsidR="004C4CC7" w:rsidRPr="00AD71EB">
        <w:t xml:space="preserve"> použití finančních prostředků státní správy z pohledu jejich konkrétního využití </w:t>
      </w:r>
    </w:p>
    <w:p w14:paraId="536C8269" w14:textId="7BBC30F6" w:rsidR="004C4CC7" w:rsidRPr="00AD71EB" w:rsidRDefault="00AD71EB" w:rsidP="00613EB8">
      <w:pPr>
        <w:pStyle w:val="Normln-tun"/>
        <w:numPr>
          <w:ilvl w:val="0"/>
          <w:numId w:val="85"/>
        </w:numPr>
      </w:pPr>
      <w:r w:rsidRPr="00AD71EB">
        <w:t xml:space="preserve">oproti Variantě 0 </w:t>
      </w:r>
      <w:r w:rsidR="004C4CC7" w:rsidRPr="00AD71EB">
        <w:tab/>
      </w:r>
      <w:r w:rsidR="004C4CC7" w:rsidRPr="00AD71EB">
        <w:tab/>
        <w:t xml:space="preserve">nižší přehlednosti procesu </w:t>
      </w:r>
    </w:p>
    <w:p w14:paraId="1F75DC45" w14:textId="3A931F0C" w:rsidR="00A26DD9" w:rsidRPr="00AD71EB" w:rsidRDefault="00A26DD9" w:rsidP="00613EB8">
      <w:pPr>
        <w:pStyle w:val="Normln-tun"/>
        <w:numPr>
          <w:ilvl w:val="0"/>
          <w:numId w:val="85"/>
        </w:numPr>
      </w:pPr>
      <w:r w:rsidRPr="00AD71EB">
        <w:t xml:space="preserve">eliminace </w:t>
      </w:r>
      <w:r w:rsidR="00AD71EB" w:rsidRPr="00AD71EB">
        <w:t xml:space="preserve">nejnižšího počtu </w:t>
      </w:r>
      <w:r w:rsidRPr="00AD71EB">
        <w:t xml:space="preserve">podkladových aktů, které jsou opakovaně přezkoumávány či žalovány závazné lhůty </w:t>
      </w:r>
    </w:p>
    <w:p w14:paraId="04D3E1BF" w14:textId="2B9EAFE2" w:rsidR="004C4CC7" w:rsidRPr="00AD71EB" w:rsidRDefault="00AD71EB" w:rsidP="00613EB8">
      <w:pPr>
        <w:pStyle w:val="Normln-tun"/>
        <w:numPr>
          <w:ilvl w:val="0"/>
          <w:numId w:val="85"/>
        </w:numPr>
      </w:pPr>
      <w:r w:rsidRPr="00AD71EB">
        <w:t>nejmenšího zkrácení průměrné doby povolovacího procesu kvůli eliminaci menšího počtu soudních řízení</w:t>
      </w:r>
    </w:p>
    <w:p w14:paraId="4F880991" w14:textId="1156EF5A" w:rsidR="004C4CC7" w:rsidRDefault="00AD71EB" w:rsidP="00613EB8">
      <w:pPr>
        <w:pStyle w:val="Normln-tun"/>
        <w:numPr>
          <w:ilvl w:val="0"/>
          <w:numId w:val="85"/>
        </w:numPr>
      </w:pPr>
      <w:r>
        <w:t>nej</w:t>
      </w:r>
      <w:r w:rsidR="004C4CC7">
        <w:tab/>
      </w:r>
      <w:r w:rsidR="004C4CC7">
        <w:tab/>
        <w:t xml:space="preserve">nižšího makroekonomického prorůstového efektu s pozitivním dopadem do příjmů státního rozpočtu (výběr daní a další výsledky multiplikačních efektů) </w:t>
      </w:r>
    </w:p>
    <w:p w14:paraId="30E3EDD2" w14:textId="391AE29B" w:rsidR="004C4CC7" w:rsidRDefault="004C4CC7" w:rsidP="004C4CC7">
      <w:pPr>
        <w:pStyle w:val="Normln-tun"/>
      </w:pPr>
      <w:r>
        <w:t xml:space="preserve">Na druhou stranu nebude třeba vynakládat prostředky na změnu institucionální struktury; k přesunu zaměstnanců dojde pouze </w:t>
      </w:r>
      <w:r w:rsidRPr="00E00611">
        <w:t>ze stavebních úřadů na obcích I. a II.</w:t>
      </w:r>
      <w:r>
        <w:t xml:space="preserve"> typu na ORP a jejich detašovaná pracoviště, příp. ze zrušených úřadů na zachované stavební úřady. Celkově půjde o řádově stovky zaměstnanců dle konkrétního scénáře. S tímto nízkým objemem přesouvaným zaměstnanců by byl spojen i přesun spisů a spisová rozluka. Tyto náklady budou v porovnání s nulovou variantou zanedbatelné.</w:t>
      </w:r>
    </w:p>
    <w:p w14:paraId="781CBADF" w14:textId="77777777" w:rsidR="00EE2B32" w:rsidRPr="00354207" w:rsidRDefault="00EE2B32" w:rsidP="00354207">
      <w:pPr>
        <w:pStyle w:val="Normln-tun"/>
      </w:pPr>
    </w:p>
    <w:p w14:paraId="680CE3C6" w14:textId="34A16577" w:rsidR="00BD6BD3" w:rsidRDefault="00BD6BD3" w:rsidP="00A633E7">
      <w:pPr>
        <w:pStyle w:val="Nadpis20"/>
        <w:numPr>
          <w:ilvl w:val="0"/>
          <w:numId w:val="0"/>
        </w:numPr>
        <w:ind w:left="576" w:hanging="576"/>
        <w:rPr>
          <w:rFonts w:eastAsia="MS Mincho"/>
        </w:rPr>
      </w:pPr>
      <w:r w:rsidRPr="00BD6BD3">
        <w:rPr>
          <w:rFonts w:eastAsia="MS Mincho"/>
        </w:rPr>
        <w:t>3.4 Vyhodnocení variant</w:t>
      </w:r>
    </w:p>
    <w:p w14:paraId="0D0A3399" w14:textId="3AF74F06" w:rsidR="004A08E1" w:rsidRDefault="00281FDB" w:rsidP="007C116E">
      <w:pPr>
        <w:pStyle w:val="Normln-tun"/>
      </w:pPr>
      <w:r>
        <w:t>Výše uvedené varianty jsou vyhodnoceny na základě následujících kritérií</w:t>
      </w:r>
      <w:r w:rsidR="00D339DA">
        <w:rPr>
          <w:rStyle w:val="Znakapoznpodarou"/>
        </w:rPr>
        <w:footnoteReference w:id="7"/>
      </w:r>
      <w:r w:rsidR="007C116E">
        <w:t>:</w:t>
      </w:r>
      <w:r w:rsidR="001B3DB6">
        <w:t xml:space="preserve"> </w:t>
      </w:r>
    </w:p>
    <w:p w14:paraId="5B6A22D0" w14:textId="5157380C" w:rsidR="004A08E1" w:rsidRDefault="001B3DB6" w:rsidP="00613EB8">
      <w:pPr>
        <w:pStyle w:val="Normln-tun"/>
        <w:numPr>
          <w:ilvl w:val="0"/>
          <w:numId w:val="89"/>
        </w:numPr>
        <w:tabs>
          <w:tab w:val="left" w:pos="426"/>
        </w:tabs>
        <w:ind w:left="426" w:hanging="426"/>
      </w:pPr>
      <w:r>
        <w:t>účeln</w:t>
      </w:r>
      <w:r w:rsidR="00D1180D">
        <w:t>ost</w:t>
      </w:r>
      <w:r>
        <w:t xml:space="preserve">, </w:t>
      </w:r>
      <w:r w:rsidR="007C116E">
        <w:t>tj.</w:t>
      </w:r>
      <w:r>
        <w:t xml:space="preserve"> </w:t>
      </w:r>
      <w:r w:rsidR="00933C81">
        <w:t>intenzita</w:t>
      </w:r>
      <w:r w:rsidR="004A08E1">
        <w:t xml:space="preserve"> </w:t>
      </w:r>
      <w:r>
        <w:t>na</w:t>
      </w:r>
      <w:r w:rsidR="004A08E1">
        <w:t xml:space="preserve">plnění očekávání a </w:t>
      </w:r>
      <w:r>
        <w:t>stanovených</w:t>
      </w:r>
      <w:r w:rsidR="004A08E1">
        <w:t xml:space="preserve"> cílů</w:t>
      </w:r>
      <w:r w:rsidR="00D1180D">
        <w:t xml:space="preserve"> (projeví se především ve výši přínosů pro </w:t>
      </w:r>
      <w:r w:rsidR="00574FE2">
        <w:t>stavebníky</w:t>
      </w:r>
      <w:r w:rsidR="003E019B">
        <w:t xml:space="preserve"> – viz tabulka níže</w:t>
      </w:r>
      <w:r w:rsidR="00574FE2">
        <w:t>)</w:t>
      </w:r>
      <w:r w:rsidR="004A08E1">
        <w:t>;</w:t>
      </w:r>
      <w:r w:rsidR="00D1180D">
        <w:t xml:space="preserve"> </w:t>
      </w:r>
    </w:p>
    <w:p w14:paraId="11C6622D" w14:textId="7342C21E" w:rsidR="004A08E1" w:rsidRDefault="001B3DB6" w:rsidP="00613EB8">
      <w:pPr>
        <w:pStyle w:val="Normln-tun"/>
        <w:numPr>
          <w:ilvl w:val="0"/>
          <w:numId w:val="89"/>
        </w:numPr>
        <w:tabs>
          <w:tab w:val="left" w:pos="426"/>
        </w:tabs>
        <w:ind w:left="426" w:hanging="426"/>
      </w:pPr>
      <w:r>
        <w:t>náklad</w:t>
      </w:r>
      <w:r w:rsidR="00933C81">
        <w:t xml:space="preserve">nost, </w:t>
      </w:r>
      <w:r w:rsidR="007C116E">
        <w:t>tj.</w:t>
      </w:r>
      <w:r>
        <w:t xml:space="preserve"> ekonomické </w:t>
      </w:r>
      <w:r w:rsidR="004A08E1">
        <w:t>náklad</w:t>
      </w:r>
      <w:r>
        <w:t>y</w:t>
      </w:r>
      <w:r w:rsidR="004A08E1">
        <w:t xml:space="preserve"> </w:t>
      </w:r>
      <w:r w:rsidR="00933C81">
        <w:t>dosažení cílů</w:t>
      </w:r>
      <w:r w:rsidR="00574FE2">
        <w:t xml:space="preserve"> (projeví se především ve výši nákladů na změnu a přizpůsobení se regulaci</w:t>
      </w:r>
      <w:r w:rsidR="003E019B">
        <w:t xml:space="preserve"> – viz tabulka níže</w:t>
      </w:r>
      <w:r w:rsidR="00574FE2">
        <w:t>)</w:t>
      </w:r>
      <w:r w:rsidR="004A08E1">
        <w:t>;</w:t>
      </w:r>
      <w:r w:rsidR="00603895" w:rsidRPr="00603895">
        <w:t xml:space="preserve"> </w:t>
      </w:r>
    </w:p>
    <w:p w14:paraId="02B11F4F" w14:textId="68F3AF45" w:rsidR="004A08E1" w:rsidRDefault="004A08E1" w:rsidP="00613EB8">
      <w:pPr>
        <w:pStyle w:val="Normln-tun"/>
        <w:numPr>
          <w:ilvl w:val="0"/>
          <w:numId w:val="89"/>
        </w:numPr>
        <w:tabs>
          <w:tab w:val="left" w:pos="426"/>
        </w:tabs>
        <w:ind w:left="426" w:hanging="426"/>
      </w:pPr>
      <w:r>
        <w:t>relevan</w:t>
      </w:r>
      <w:r w:rsidR="00574FE2">
        <w:t>ce</w:t>
      </w:r>
      <w:r>
        <w:t xml:space="preserve"> pro současné a vznikající potřeby</w:t>
      </w:r>
      <w:r w:rsidR="00595272">
        <w:t xml:space="preserve"> a udržiteln</w:t>
      </w:r>
      <w:r w:rsidR="00574FE2">
        <w:t xml:space="preserve">ost (projeví se především ve výši dlouhodobých </w:t>
      </w:r>
      <w:r w:rsidR="00197BD0">
        <w:t>dopadů</w:t>
      </w:r>
      <w:r w:rsidR="003E019B">
        <w:t>, jak pozitivních</w:t>
      </w:r>
      <w:r w:rsidR="00470308" w:rsidRPr="00470308">
        <w:t xml:space="preserve"> </w:t>
      </w:r>
      <w:r w:rsidR="00470308">
        <w:t>(makroekonomických apod.)</w:t>
      </w:r>
      <w:r w:rsidR="003E019B">
        <w:t>, tak negativních (pravidelné náklady)</w:t>
      </w:r>
      <w:r w:rsidR="00470308">
        <w:t xml:space="preserve"> – viz tabulka níže)</w:t>
      </w:r>
      <w:r>
        <w:t>;</w:t>
      </w:r>
    </w:p>
    <w:p w14:paraId="600ACDB3" w14:textId="2D9A584A" w:rsidR="004A08E1" w:rsidRDefault="004A08E1" w:rsidP="00613EB8">
      <w:pPr>
        <w:pStyle w:val="Normln-tun"/>
        <w:numPr>
          <w:ilvl w:val="0"/>
          <w:numId w:val="89"/>
        </w:numPr>
        <w:tabs>
          <w:tab w:val="left" w:pos="426"/>
        </w:tabs>
        <w:ind w:left="426" w:hanging="426"/>
      </w:pPr>
      <w:r>
        <w:t>koheren</w:t>
      </w:r>
      <w:r w:rsidR="00574FE2">
        <w:t>ce</w:t>
      </w:r>
      <w:r w:rsidR="007C116E">
        <w:t>, tj. systémov</w:t>
      </w:r>
      <w:r w:rsidR="00574FE2">
        <w:t>ost</w:t>
      </w:r>
      <w:r w:rsidR="007C116E">
        <w:t xml:space="preserve"> a soulad s dalšími souvisejícími politikami</w:t>
      </w:r>
      <w:r w:rsidR="00574FE2">
        <w:t xml:space="preserve"> (projeví se především v</w:t>
      </w:r>
      <w:r w:rsidR="00205BA1">
        <w:t> </w:t>
      </w:r>
      <w:r w:rsidR="00205BA1" w:rsidRPr="00197BD0">
        <w:t xml:space="preserve">případných </w:t>
      </w:r>
      <w:r w:rsidR="00574FE2" w:rsidRPr="00197BD0">
        <w:t xml:space="preserve">dopadech </w:t>
      </w:r>
      <w:r w:rsidR="00205BA1" w:rsidRPr="00197BD0">
        <w:t>v dalších souvisejících oblastech – výkon státní správy obecně</w:t>
      </w:r>
      <w:r w:rsidR="00B92EA5">
        <w:t>;</w:t>
      </w:r>
      <w:r w:rsidR="00B92EA5" w:rsidRPr="00B92EA5">
        <w:t xml:space="preserve"> </w:t>
      </w:r>
      <w:r w:rsidR="00B92EA5" w:rsidRPr="00197BD0">
        <w:t>dostupnost služeb</w:t>
      </w:r>
      <w:r w:rsidR="00574FE2" w:rsidRPr="00197BD0">
        <w:t>)</w:t>
      </w:r>
      <w:r w:rsidRPr="00197BD0">
        <w:t>;</w:t>
      </w:r>
      <w:r>
        <w:t xml:space="preserve"> </w:t>
      </w:r>
    </w:p>
    <w:p w14:paraId="7287E2C4" w14:textId="73E23574" w:rsidR="00354207" w:rsidRDefault="00F657EC" w:rsidP="00613EB8">
      <w:pPr>
        <w:pStyle w:val="Normln-tun"/>
        <w:numPr>
          <w:ilvl w:val="0"/>
          <w:numId w:val="89"/>
        </w:numPr>
        <w:tabs>
          <w:tab w:val="left" w:pos="426"/>
        </w:tabs>
        <w:ind w:left="426" w:hanging="426"/>
      </w:pPr>
      <w:r>
        <w:t xml:space="preserve">je </w:t>
      </w:r>
      <w:r w:rsidR="0060610B">
        <w:t>proveditelná</w:t>
      </w:r>
      <w:r w:rsidR="00574FE2">
        <w:t xml:space="preserve"> (pro</w:t>
      </w:r>
      <w:r w:rsidR="00205BA1">
        <w:t>mítne</w:t>
      </w:r>
      <w:r w:rsidR="00574FE2">
        <w:t xml:space="preserve"> se především </w:t>
      </w:r>
      <w:r w:rsidR="00205BA1">
        <w:t>v míře, s jakou bude možné dosáhnout výše uvedených dopadů</w:t>
      </w:r>
      <w:r w:rsidR="00205BA1">
        <w:rPr>
          <w:rStyle w:val="Znakapoznpodarou"/>
        </w:rPr>
        <w:footnoteReference w:id="8"/>
      </w:r>
      <w:r w:rsidR="00574FE2">
        <w:t>)</w:t>
      </w:r>
      <w:r w:rsidR="004A08E1">
        <w:t>.</w:t>
      </w:r>
    </w:p>
    <w:p w14:paraId="48299D59" w14:textId="2D715A7A" w:rsidR="00281FDB" w:rsidRDefault="00281FDB" w:rsidP="00281FDB">
      <w:pPr>
        <w:pStyle w:val="Normln-tun"/>
        <w:tabs>
          <w:tab w:val="left" w:pos="426"/>
        </w:tabs>
      </w:pPr>
      <w:r>
        <w:t>Pro lepší pochopení vztahů jednotlivých prvků a kritérií uvádíme následující obrázek.</w:t>
      </w:r>
    </w:p>
    <w:p w14:paraId="7AF16139" w14:textId="79385820" w:rsidR="00433E94" w:rsidRDefault="00433E94" w:rsidP="008F7041">
      <w:pPr>
        <w:pStyle w:val="Normln-tun"/>
        <w:rPr>
          <w:highlight w:val="yellow"/>
        </w:rPr>
      </w:pPr>
      <w:r w:rsidRPr="00197BD0">
        <w:rPr>
          <w:noProof/>
          <w:lang w:eastAsia="cs-CZ"/>
        </w:rPr>
        <w:lastRenderedPageBreak/>
        <w:drawing>
          <wp:inline distT="0" distB="0" distL="0" distR="0" wp14:anchorId="245888EA" wp14:editId="42542FFE">
            <wp:extent cx="4743467" cy="207125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6390" cy="2081264"/>
                    </a:xfrm>
                    <a:prstGeom prst="rect">
                      <a:avLst/>
                    </a:prstGeom>
                    <a:noFill/>
                  </pic:spPr>
                </pic:pic>
              </a:graphicData>
            </a:graphic>
          </wp:inline>
        </w:drawing>
      </w:r>
    </w:p>
    <w:p w14:paraId="09492E66" w14:textId="77777777" w:rsidR="006877FB" w:rsidRDefault="006877FB" w:rsidP="006877FB">
      <w:pPr>
        <w:pStyle w:val="Normln-tun"/>
      </w:pPr>
      <w:r>
        <w:t xml:space="preserve">Varianty 1 a 2 byly hodnoceny na bodové škále (-4; 4). Bodování se odvíjelo od Varianty 0 (hodnocené 0 body) a Variantám 1 a 2 byly dle jejich míry naplnění kritérií připisovány plusové body, pokud si stály oproti variantě 0 lépe, a mínusové, pokud si stály hůře. Rozdíl jednoho bodu v míře naplnění kritéria znamenal mírný rozdíl mezi variantami, rozdíl dvou a více bodů rozdíl výraznější. V konečném hodnocení byla kritéria vážena stejnou hodnotou. Kritéria byla volena a definována tak, aby tentýž znak (ve výsledku ekonomický přínos/náklad) se v hodnocení objevil vždy pouze jednou. </w:t>
      </w:r>
    </w:p>
    <w:p w14:paraId="486A1762" w14:textId="39A40D91" w:rsidR="0083191B" w:rsidRDefault="0083191B" w:rsidP="00297776">
      <w:pPr>
        <w:pStyle w:val="Titulek"/>
        <w:keepNext/>
        <w:spacing w:after="120"/>
      </w:pPr>
      <w:r>
        <w:t xml:space="preserve">Tabulka </w:t>
      </w:r>
      <w:r w:rsidR="004B0591">
        <w:fldChar w:fldCharType="begin"/>
      </w:r>
      <w:r w:rsidR="004B0591">
        <w:instrText xml:space="preserve"> SEQ Tabulka \* ARABIC </w:instrText>
      </w:r>
      <w:r w:rsidR="004B0591">
        <w:fldChar w:fldCharType="separate"/>
      </w:r>
      <w:r>
        <w:rPr>
          <w:noProof/>
        </w:rPr>
        <w:t>15</w:t>
      </w:r>
      <w:r w:rsidR="004B0591">
        <w:rPr>
          <w:noProof/>
        </w:rPr>
        <w:fldChar w:fldCharType="end"/>
      </w:r>
      <w:r>
        <w:t xml:space="preserve">: Hodnocení variant na škále (-4; 4) </w:t>
      </w:r>
    </w:p>
    <w:tbl>
      <w:tblPr>
        <w:tblStyle w:val="Svtlstnovn1"/>
        <w:tblW w:w="9072" w:type="dxa"/>
        <w:tblBorders>
          <w:top w:val="dotted" w:sz="4" w:space="0" w:color="000000"/>
          <w:bottom w:val="dotted" w:sz="4" w:space="0" w:color="000000"/>
          <w:insideH w:val="dotted" w:sz="4" w:space="0" w:color="000000"/>
        </w:tblBorders>
        <w:tblLook w:val="04A0" w:firstRow="1" w:lastRow="0" w:firstColumn="1" w:lastColumn="0" w:noHBand="0" w:noVBand="1"/>
      </w:tblPr>
      <w:tblGrid>
        <w:gridCol w:w="851"/>
        <w:gridCol w:w="1370"/>
        <w:gridCol w:w="1370"/>
        <w:gridCol w:w="1370"/>
        <w:gridCol w:w="1370"/>
        <w:gridCol w:w="1370"/>
        <w:gridCol w:w="1371"/>
      </w:tblGrid>
      <w:tr w:rsidR="008F7041" w:rsidRPr="00281FDB" w14:paraId="25B549DD" w14:textId="77777777" w:rsidTr="00E757D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000000"/>
              <w:bottom w:val="dotted" w:sz="4" w:space="0" w:color="000000"/>
            </w:tcBorders>
            <w:shd w:val="clear" w:color="auto" w:fill="B6B002"/>
            <w:tcMar>
              <w:left w:w="28" w:type="dxa"/>
              <w:right w:w="28" w:type="dxa"/>
            </w:tcMar>
            <w:vAlign w:val="center"/>
            <w:hideMark/>
          </w:tcPr>
          <w:p w14:paraId="6343DF32" w14:textId="77777777" w:rsidR="008F7041" w:rsidRPr="00450372" w:rsidRDefault="008F7041">
            <w:pPr>
              <w:widowControl w:val="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Varianta</w:t>
            </w:r>
          </w:p>
        </w:tc>
        <w:tc>
          <w:tcPr>
            <w:tcW w:w="1370" w:type="dxa"/>
            <w:tcBorders>
              <w:top w:val="dotted" w:sz="4" w:space="0" w:color="000000"/>
              <w:bottom w:val="dotted" w:sz="4" w:space="0" w:color="000000"/>
            </w:tcBorders>
            <w:shd w:val="clear" w:color="auto" w:fill="B6B002"/>
            <w:tcMar>
              <w:left w:w="28" w:type="dxa"/>
              <w:right w:w="28" w:type="dxa"/>
            </w:tcMar>
            <w:vAlign w:val="center"/>
            <w:hideMark/>
          </w:tcPr>
          <w:p w14:paraId="3DD671A2" w14:textId="089FD090" w:rsidR="008F7041" w:rsidRPr="00450372" w:rsidRDefault="00CE33E0">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Účelnost</w:t>
            </w:r>
          </w:p>
        </w:tc>
        <w:tc>
          <w:tcPr>
            <w:tcW w:w="1370" w:type="dxa"/>
            <w:tcBorders>
              <w:top w:val="dotted" w:sz="4" w:space="0" w:color="000000"/>
              <w:bottom w:val="dotted" w:sz="4" w:space="0" w:color="000000"/>
            </w:tcBorders>
            <w:shd w:val="clear" w:color="auto" w:fill="B6B002"/>
            <w:tcMar>
              <w:left w:w="28" w:type="dxa"/>
              <w:right w:w="28" w:type="dxa"/>
            </w:tcMar>
            <w:vAlign w:val="center"/>
            <w:hideMark/>
          </w:tcPr>
          <w:p w14:paraId="66D21FFA" w14:textId="71FEA49C" w:rsidR="008F7041" w:rsidRPr="00450372" w:rsidRDefault="00933C81">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Nákladnost dosažení cílů</w:t>
            </w:r>
          </w:p>
        </w:tc>
        <w:tc>
          <w:tcPr>
            <w:tcW w:w="1370" w:type="dxa"/>
            <w:tcBorders>
              <w:top w:val="dotted" w:sz="4" w:space="0" w:color="000000"/>
              <w:bottom w:val="dotted" w:sz="4" w:space="0" w:color="000000"/>
            </w:tcBorders>
            <w:shd w:val="clear" w:color="auto" w:fill="B6B002"/>
            <w:tcMar>
              <w:left w:w="28" w:type="dxa"/>
              <w:right w:w="28" w:type="dxa"/>
            </w:tcMar>
            <w:vAlign w:val="center"/>
            <w:hideMark/>
          </w:tcPr>
          <w:p w14:paraId="2621A8A4" w14:textId="113AFAD0" w:rsidR="008F7041" w:rsidRPr="00450372" w:rsidRDefault="0060610B">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Relevance</w:t>
            </w:r>
            <w:r w:rsidR="00AF276B" w:rsidRPr="00450372">
              <w:rPr>
                <w:rFonts w:asciiTheme="minorHAnsi" w:hAnsiTheme="minorHAnsi" w:cstheme="minorHAnsi"/>
                <w:color w:val="FFFFFF" w:themeColor="background1"/>
                <w:sz w:val="20"/>
                <w:szCs w:val="20"/>
              </w:rPr>
              <w:t xml:space="preserve"> a udržitelnost</w:t>
            </w:r>
          </w:p>
        </w:tc>
        <w:tc>
          <w:tcPr>
            <w:tcW w:w="1370" w:type="dxa"/>
            <w:tcBorders>
              <w:top w:val="dotted" w:sz="4" w:space="0" w:color="000000"/>
              <w:bottom w:val="dotted" w:sz="4" w:space="0" w:color="000000"/>
            </w:tcBorders>
            <w:shd w:val="clear" w:color="auto" w:fill="B6B002"/>
            <w:tcMar>
              <w:left w:w="28" w:type="dxa"/>
              <w:right w:w="28" w:type="dxa"/>
            </w:tcMar>
            <w:vAlign w:val="center"/>
            <w:hideMark/>
          </w:tcPr>
          <w:p w14:paraId="744F67DA" w14:textId="77777777" w:rsidR="008F7041" w:rsidRPr="00450372" w:rsidRDefault="008F7041">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Koherence</w:t>
            </w:r>
          </w:p>
        </w:tc>
        <w:tc>
          <w:tcPr>
            <w:tcW w:w="1370" w:type="dxa"/>
            <w:tcBorders>
              <w:top w:val="dotted" w:sz="4" w:space="0" w:color="000000"/>
              <w:bottom w:val="dotted" w:sz="4" w:space="0" w:color="000000"/>
            </w:tcBorders>
            <w:shd w:val="clear" w:color="auto" w:fill="B6B002"/>
            <w:tcMar>
              <w:left w:w="28" w:type="dxa"/>
              <w:right w:w="28" w:type="dxa"/>
            </w:tcMar>
            <w:vAlign w:val="center"/>
            <w:hideMark/>
          </w:tcPr>
          <w:p w14:paraId="255012F4" w14:textId="77777777" w:rsidR="008F7041" w:rsidRPr="00450372" w:rsidRDefault="008F7041">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450372">
              <w:rPr>
                <w:rFonts w:asciiTheme="minorHAnsi" w:hAnsiTheme="minorHAnsi" w:cstheme="minorHAnsi"/>
                <w:color w:val="FFFFFF" w:themeColor="background1"/>
                <w:sz w:val="20"/>
                <w:szCs w:val="20"/>
              </w:rPr>
              <w:t>Proveditelnost</w:t>
            </w:r>
          </w:p>
        </w:tc>
        <w:tc>
          <w:tcPr>
            <w:tcW w:w="1371" w:type="dxa"/>
            <w:tcBorders>
              <w:top w:val="dotted" w:sz="4" w:space="0" w:color="000000"/>
              <w:bottom w:val="dotted" w:sz="4" w:space="0" w:color="000000"/>
            </w:tcBorders>
            <w:shd w:val="clear" w:color="auto" w:fill="FFFF99" w:themeFill="accent3"/>
            <w:tcMar>
              <w:left w:w="28" w:type="dxa"/>
              <w:right w:w="28" w:type="dxa"/>
            </w:tcMar>
            <w:vAlign w:val="center"/>
            <w:hideMark/>
          </w:tcPr>
          <w:p w14:paraId="0BF3DEC1" w14:textId="77777777" w:rsidR="008F7041" w:rsidRPr="00450372" w:rsidRDefault="008F7041">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E757D7">
              <w:rPr>
                <w:rFonts w:asciiTheme="minorHAnsi" w:hAnsiTheme="minorHAnsi" w:cstheme="minorHAnsi"/>
                <w:color w:val="auto"/>
                <w:sz w:val="20"/>
                <w:szCs w:val="20"/>
              </w:rPr>
              <w:t>Výběr varianty</w:t>
            </w:r>
          </w:p>
        </w:tc>
      </w:tr>
      <w:tr w:rsidR="008F7041" w:rsidRPr="00281FDB" w14:paraId="6D3784C1" w14:textId="77777777" w:rsidTr="00E757D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36DF5C28" w14:textId="77777777" w:rsidR="008F7041" w:rsidRPr="00281FDB" w:rsidRDefault="008F7041">
            <w:pPr>
              <w:widowControl w:val="0"/>
              <w:rPr>
                <w:rFonts w:asciiTheme="minorHAnsi" w:hAnsiTheme="minorHAnsi" w:cstheme="minorHAnsi"/>
                <w:b w:val="0"/>
                <w:i/>
                <w:iCs/>
                <w:sz w:val="20"/>
                <w:szCs w:val="20"/>
              </w:rPr>
            </w:pPr>
            <w:r w:rsidRPr="00281FDB">
              <w:rPr>
                <w:rFonts w:asciiTheme="minorHAnsi" w:hAnsiTheme="minorHAnsi" w:cstheme="minorHAnsi"/>
                <w:b w:val="0"/>
                <w:i/>
                <w:iCs/>
                <w:sz w:val="20"/>
                <w:szCs w:val="20"/>
              </w:rPr>
              <w:t>V0</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31DF3F34"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5C886B1B"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7881D401"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27AF2B77"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06234CE0"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c>
          <w:tcPr>
            <w:tcW w:w="1371" w:type="dxa"/>
            <w:tcBorders>
              <w:top w:val="dotted" w:sz="4" w:space="0" w:color="000000"/>
              <w:bottom w:val="dotted" w:sz="4" w:space="0" w:color="000000"/>
            </w:tcBorders>
            <w:shd w:val="clear" w:color="auto" w:fill="FFFF99" w:themeFill="accent3"/>
            <w:tcMar>
              <w:left w:w="28" w:type="dxa"/>
              <w:right w:w="28" w:type="dxa"/>
            </w:tcMar>
            <w:vAlign w:val="center"/>
            <w:hideMark/>
          </w:tcPr>
          <w:p w14:paraId="1348DC48" w14:textId="77777777" w:rsidR="008F7041" w:rsidRPr="00281FDB" w:rsidRDefault="008F704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sidRPr="00281FDB">
              <w:rPr>
                <w:rFonts w:asciiTheme="minorHAnsi" w:hAnsiTheme="minorHAnsi" w:cstheme="minorHAnsi"/>
                <w:i/>
                <w:iCs/>
                <w:sz w:val="20"/>
                <w:szCs w:val="20"/>
              </w:rPr>
              <w:t>0</w:t>
            </w:r>
          </w:p>
        </w:tc>
      </w:tr>
      <w:tr w:rsidR="008F7041" w:rsidRPr="00281FDB" w14:paraId="29B6B5FE" w14:textId="77777777" w:rsidTr="00E757D7">
        <w:trPr>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hideMark/>
          </w:tcPr>
          <w:p w14:paraId="05ECCEB6" w14:textId="629889C4" w:rsidR="008F7041" w:rsidRPr="00281FDB" w:rsidRDefault="008F7041">
            <w:pPr>
              <w:widowControl w:val="0"/>
              <w:rPr>
                <w:rFonts w:asciiTheme="minorHAnsi" w:hAnsiTheme="minorHAnsi" w:cstheme="minorHAnsi"/>
                <w:b w:val="0"/>
                <w:sz w:val="20"/>
                <w:szCs w:val="20"/>
              </w:rPr>
            </w:pPr>
            <w:r w:rsidRPr="00281FDB">
              <w:rPr>
                <w:rFonts w:asciiTheme="minorHAnsi" w:hAnsiTheme="minorHAnsi" w:cstheme="minorHAnsi"/>
                <w:b w:val="0"/>
                <w:sz w:val="20"/>
                <w:szCs w:val="20"/>
              </w:rPr>
              <w:t>V1</w:t>
            </w:r>
          </w:p>
        </w:tc>
        <w:tc>
          <w:tcPr>
            <w:tcW w:w="1370"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tcPr>
          <w:p w14:paraId="68C2D37D" w14:textId="67C244FA" w:rsidR="008F7041" w:rsidRPr="00281FDB" w:rsidRDefault="00595272">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w:t>
            </w:r>
            <w:r w:rsidR="00933C81" w:rsidRPr="00281FDB">
              <w:rPr>
                <w:rFonts w:asciiTheme="minorHAnsi" w:hAnsiTheme="minorHAnsi" w:cstheme="minorHAnsi"/>
                <w:bCs/>
                <w:sz w:val="20"/>
                <w:szCs w:val="20"/>
              </w:rPr>
              <w:t>2</w:t>
            </w:r>
          </w:p>
        </w:tc>
        <w:tc>
          <w:tcPr>
            <w:tcW w:w="1370"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tcPr>
          <w:p w14:paraId="1538452B" w14:textId="56A88790" w:rsidR="008F7041" w:rsidRPr="00281FDB" w:rsidRDefault="00933C81">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2</w:t>
            </w:r>
          </w:p>
        </w:tc>
        <w:tc>
          <w:tcPr>
            <w:tcW w:w="1370"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tcPr>
          <w:p w14:paraId="2AC24589" w14:textId="1194E4FE" w:rsidR="008F7041" w:rsidRPr="00281FDB" w:rsidRDefault="00DB1171">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w:t>
            </w:r>
            <w:r w:rsidR="00DF58C5" w:rsidRPr="00281FDB">
              <w:rPr>
                <w:rFonts w:asciiTheme="minorHAnsi" w:hAnsiTheme="minorHAnsi" w:cstheme="minorHAnsi"/>
                <w:bCs/>
                <w:sz w:val="20"/>
                <w:szCs w:val="20"/>
              </w:rPr>
              <w:t>3</w:t>
            </w:r>
          </w:p>
        </w:tc>
        <w:tc>
          <w:tcPr>
            <w:tcW w:w="1370"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tcPr>
          <w:p w14:paraId="79F2541C" w14:textId="326860B0" w:rsidR="008F7041" w:rsidRPr="00281FDB" w:rsidRDefault="00DF58C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2</w:t>
            </w:r>
          </w:p>
        </w:tc>
        <w:tc>
          <w:tcPr>
            <w:tcW w:w="1370" w:type="dxa"/>
            <w:tcBorders>
              <w:top w:val="dotted" w:sz="4" w:space="0" w:color="000000"/>
              <w:left w:val="nil"/>
              <w:bottom w:val="dotted" w:sz="4" w:space="0" w:color="000000"/>
              <w:right w:val="nil"/>
            </w:tcBorders>
            <w:shd w:val="clear" w:color="auto" w:fill="FFFFFF" w:themeFill="background1"/>
            <w:tcMar>
              <w:left w:w="28" w:type="dxa"/>
              <w:right w:w="28" w:type="dxa"/>
            </w:tcMar>
            <w:vAlign w:val="center"/>
          </w:tcPr>
          <w:p w14:paraId="6091B0FA" w14:textId="76A3B6FD" w:rsidR="008F7041" w:rsidRPr="00281FDB" w:rsidRDefault="00A246C1">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2</w:t>
            </w:r>
          </w:p>
        </w:tc>
        <w:tc>
          <w:tcPr>
            <w:tcW w:w="1371" w:type="dxa"/>
            <w:tcBorders>
              <w:top w:val="dotted" w:sz="4" w:space="0" w:color="000000"/>
              <w:left w:val="nil"/>
              <w:bottom w:val="dotted" w:sz="4" w:space="0" w:color="000000"/>
              <w:right w:val="nil"/>
            </w:tcBorders>
            <w:shd w:val="clear" w:color="auto" w:fill="FFFF99" w:themeFill="accent3"/>
            <w:tcMar>
              <w:left w:w="28" w:type="dxa"/>
              <w:right w:w="28" w:type="dxa"/>
            </w:tcMar>
            <w:vAlign w:val="center"/>
            <w:hideMark/>
          </w:tcPr>
          <w:p w14:paraId="503F5BEF" w14:textId="3EDBDEBA" w:rsidR="008F7041" w:rsidRPr="00281FDB" w:rsidRDefault="00CD0763">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81FDB">
              <w:rPr>
                <w:rFonts w:asciiTheme="minorHAnsi" w:hAnsiTheme="minorHAnsi" w:cstheme="minorHAnsi"/>
                <w:bCs/>
                <w:sz w:val="20"/>
                <w:szCs w:val="20"/>
              </w:rPr>
              <w:t>1</w:t>
            </w:r>
          </w:p>
        </w:tc>
      </w:tr>
      <w:tr w:rsidR="008F7041" w:rsidRPr="008F7041" w14:paraId="4EEEFC3F" w14:textId="77777777" w:rsidTr="00E757D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000000"/>
              <w:bottom w:val="dotted" w:sz="4" w:space="0" w:color="000000"/>
            </w:tcBorders>
            <w:shd w:val="clear" w:color="auto" w:fill="FFFFFF" w:themeFill="background1"/>
            <w:tcMar>
              <w:left w:w="28" w:type="dxa"/>
              <w:right w:w="28" w:type="dxa"/>
            </w:tcMar>
            <w:vAlign w:val="center"/>
            <w:hideMark/>
          </w:tcPr>
          <w:p w14:paraId="6170A6C4" w14:textId="7C36B87E" w:rsidR="008F7041" w:rsidRPr="00281FDB" w:rsidRDefault="008F7041">
            <w:pPr>
              <w:widowControl w:val="0"/>
              <w:rPr>
                <w:rFonts w:asciiTheme="minorHAnsi" w:hAnsiTheme="minorHAnsi" w:cstheme="minorHAnsi"/>
                <w:bCs w:val="0"/>
                <w:sz w:val="20"/>
                <w:szCs w:val="20"/>
              </w:rPr>
            </w:pPr>
            <w:r w:rsidRPr="00281FDB">
              <w:rPr>
                <w:rFonts w:asciiTheme="minorHAnsi" w:hAnsiTheme="minorHAnsi" w:cstheme="minorHAnsi"/>
                <w:bCs w:val="0"/>
                <w:sz w:val="20"/>
                <w:szCs w:val="20"/>
              </w:rPr>
              <w:t>V</w:t>
            </w:r>
            <w:r w:rsidR="008434C1" w:rsidRPr="00281FDB">
              <w:rPr>
                <w:rFonts w:asciiTheme="minorHAnsi" w:hAnsiTheme="minorHAnsi" w:cstheme="minorHAnsi"/>
                <w:bCs w:val="0"/>
                <w:sz w:val="20"/>
                <w:szCs w:val="20"/>
              </w:rPr>
              <w:t>2</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tcPr>
          <w:p w14:paraId="39BA90B5" w14:textId="192A3DF8" w:rsidR="008F7041" w:rsidRPr="00281FDB" w:rsidRDefault="00595272">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1FDB">
              <w:rPr>
                <w:rFonts w:asciiTheme="minorHAnsi" w:hAnsiTheme="minorHAnsi" w:cstheme="minorHAnsi"/>
                <w:b/>
                <w:sz w:val="20"/>
                <w:szCs w:val="20"/>
              </w:rPr>
              <w:t>-</w:t>
            </w:r>
            <w:r w:rsidR="00933C81" w:rsidRPr="00281FDB">
              <w:rPr>
                <w:rFonts w:asciiTheme="minorHAnsi" w:hAnsiTheme="minorHAnsi" w:cstheme="minorHAnsi"/>
                <w:b/>
                <w:sz w:val="20"/>
                <w:szCs w:val="20"/>
              </w:rPr>
              <w:t>4</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tcPr>
          <w:p w14:paraId="454E51FC" w14:textId="45D0D1B4" w:rsidR="008F7041" w:rsidRPr="00281FDB" w:rsidRDefault="00933C8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1FDB">
              <w:rPr>
                <w:rFonts w:asciiTheme="minorHAnsi" w:hAnsiTheme="minorHAnsi" w:cstheme="minorHAnsi"/>
                <w:b/>
                <w:sz w:val="20"/>
                <w:szCs w:val="20"/>
              </w:rPr>
              <w:t>4</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tcPr>
          <w:p w14:paraId="68AC0F67" w14:textId="5B575777" w:rsidR="008F7041" w:rsidRPr="00281FDB" w:rsidRDefault="00DB1171">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1FDB">
              <w:rPr>
                <w:rFonts w:asciiTheme="minorHAnsi" w:hAnsiTheme="minorHAnsi" w:cstheme="minorHAnsi"/>
                <w:b/>
                <w:sz w:val="20"/>
                <w:szCs w:val="20"/>
              </w:rPr>
              <w:t>-</w:t>
            </w:r>
            <w:r w:rsidR="00DF58C5" w:rsidRPr="00281FDB">
              <w:rPr>
                <w:rFonts w:asciiTheme="minorHAnsi" w:hAnsiTheme="minorHAnsi" w:cstheme="minorHAnsi"/>
                <w:b/>
                <w:sz w:val="20"/>
                <w:szCs w:val="20"/>
              </w:rPr>
              <w:t>4</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tcPr>
          <w:p w14:paraId="2BD7E0F9" w14:textId="6CCB9782" w:rsidR="008F7041" w:rsidRPr="00281FDB" w:rsidRDefault="0029777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3</w:t>
            </w:r>
          </w:p>
        </w:tc>
        <w:tc>
          <w:tcPr>
            <w:tcW w:w="1370" w:type="dxa"/>
            <w:tcBorders>
              <w:top w:val="dotted" w:sz="4" w:space="0" w:color="000000"/>
              <w:bottom w:val="dotted" w:sz="4" w:space="0" w:color="000000"/>
            </w:tcBorders>
            <w:shd w:val="clear" w:color="auto" w:fill="FFFFFF" w:themeFill="background1"/>
            <w:tcMar>
              <w:left w:w="28" w:type="dxa"/>
              <w:right w:w="28" w:type="dxa"/>
            </w:tcMar>
            <w:vAlign w:val="center"/>
          </w:tcPr>
          <w:p w14:paraId="13DE8248" w14:textId="77088A58" w:rsidR="008F7041" w:rsidRPr="00281FDB" w:rsidRDefault="00DF58C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1FDB">
              <w:rPr>
                <w:rFonts w:asciiTheme="minorHAnsi" w:hAnsiTheme="minorHAnsi" w:cstheme="minorHAnsi"/>
                <w:b/>
                <w:sz w:val="20"/>
                <w:szCs w:val="20"/>
              </w:rPr>
              <w:t>4</w:t>
            </w:r>
          </w:p>
        </w:tc>
        <w:tc>
          <w:tcPr>
            <w:tcW w:w="1371" w:type="dxa"/>
            <w:tcBorders>
              <w:top w:val="dotted" w:sz="4" w:space="0" w:color="000000"/>
              <w:bottom w:val="dotted" w:sz="4" w:space="0" w:color="000000"/>
            </w:tcBorders>
            <w:shd w:val="clear" w:color="auto" w:fill="FFFF99" w:themeFill="accent3"/>
            <w:tcMar>
              <w:left w:w="28" w:type="dxa"/>
              <w:right w:w="28" w:type="dxa"/>
            </w:tcMar>
            <w:vAlign w:val="center"/>
            <w:hideMark/>
          </w:tcPr>
          <w:p w14:paraId="5A38C51E" w14:textId="2A193BF3" w:rsidR="008F7041" w:rsidRPr="00281FDB" w:rsidRDefault="0029777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3</w:t>
            </w:r>
          </w:p>
        </w:tc>
      </w:tr>
    </w:tbl>
    <w:p w14:paraId="26DC1883" w14:textId="7A91F282" w:rsidR="00D16F1C" w:rsidRPr="00D16F1C" w:rsidRDefault="00D16F1C" w:rsidP="00A173F5">
      <w:pPr>
        <w:pStyle w:val="Normln-tun"/>
        <w:rPr>
          <w:u w:val="single"/>
        </w:rPr>
      </w:pPr>
      <w:r w:rsidRPr="00D16F1C">
        <w:rPr>
          <w:u w:val="single"/>
        </w:rPr>
        <w:t>K účelnosti:</w:t>
      </w:r>
    </w:p>
    <w:p w14:paraId="5CABE0E9" w14:textId="77777777" w:rsidR="00D16F1C" w:rsidRPr="00545489" w:rsidRDefault="00D16F1C" w:rsidP="00D16F1C">
      <w:pPr>
        <w:pStyle w:val="Normln-tun"/>
        <w:rPr>
          <w:i/>
          <w:iCs/>
        </w:rPr>
      </w:pPr>
      <w:r w:rsidRPr="00545489">
        <w:rPr>
          <w:i/>
          <w:iCs/>
        </w:rPr>
        <w:t>Cíle v aktuální koaliční smlouvě/programovém prohlášení:</w:t>
      </w:r>
    </w:p>
    <w:p w14:paraId="48E0248F" w14:textId="77777777" w:rsidR="00D16F1C" w:rsidRPr="00545489" w:rsidRDefault="00D16F1C" w:rsidP="00613EB8">
      <w:pPr>
        <w:pStyle w:val="Normln-tun"/>
        <w:numPr>
          <w:ilvl w:val="0"/>
          <w:numId w:val="81"/>
        </w:numPr>
        <w:ind w:left="425" w:hanging="425"/>
        <w:rPr>
          <w:i/>
          <w:iCs/>
        </w:rPr>
      </w:pPr>
      <w:r w:rsidRPr="00545489">
        <w:rPr>
          <w:i/>
          <w:iCs/>
        </w:rPr>
        <w:t>Zásadní zrychlení stavebního řízení ve spolupráci se samosprávami a při zachování ochrany ostatních zájmů;</w:t>
      </w:r>
    </w:p>
    <w:p w14:paraId="59E75A97" w14:textId="77777777" w:rsidR="00D16F1C" w:rsidRPr="00545489" w:rsidRDefault="00D16F1C" w:rsidP="00613EB8">
      <w:pPr>
        <w:pStyle w:val="Normln-tun"/>
        <w:numPr>
          <w:ilvl w:val="0"/>
          <w:numId w:val="81"/>
        </w:numPr>
        <w:ind w:left="425" w:hanging="425"/>
        <w:rPr>
          <w:i/>
          <w:iCs/>
        </w:rPr>
      </w:pPr>
      <w:r w:rsidRPr="00545489">
        <w:rPr>
          <w:i/>
          <w:iCs/>
        </w:rPr>
        <w:t>Rychlé, transparentní, digitální a občanovi blízké stavební řízení;</w:t>
      </w:r>
    </w:p>
    <w:p w14:paraId="1B8B2820" w14:textId="77777777" w:rsidR="00D16F1C" w:rsidRPr="00545489" w:rsidRDefault="00D16F1C" w:rsidP="00613EB8">
      <w:pPr>
        <w:pStyle w:val="Normln-tun"/>
        <w:numPr>
          <w:ilvl w:val="0"/>
          <w:numId w:val="81"/>
        </w:numPr>
        <w:ind w:left="425" w:hanging="425"/>
        <w:rPr>
          <w:i/>
          <w:iCs/>
        </w:rPr>
      </w:pPr>
      <w:r w:rsidRPr="00545489">
        <w:rPr>
          <w:i/>
          <w:iCs/>
        </w:rPr>
        <w:t xml:space="preserve">Předvídatelné stavební řízení, přizpůsobené různým typům staveb a vyvažující veřejné a soukromé zájmy; </w:t>
      </w:r>
    </w:p>
    <w:p w14:paraId="448F223A" w14:textId="77777777" w:rsidR="00D16F1C" w:rsidRPr="00545489" w:rsidRDefault="00D16F1C" w:rsidP="00613EB8">
      <w:pPr>
        <w:pStyle w:val="Normln-tun"/>
        <w:numPr>
          <w:ilvl w:val="0"/>
          <w:numId w:val="81"/>
        </w:numPr>
        <w:ind w:left="425" w:hanging="425"/>
        <w:rPr>
          <w:i/>
          <w:iCs/>
        </w:rPr>
      </w:pPr>
      <w:r w:rsidRPr="00545489">
        <w:rPr>
          <w:i/>
          <w:iCs/>
        </w:rPr>
        <w:t>Stavebník bude jednat jen s jedním úřadem a ten si sám zajistí další podklady;</w:t>
      </w:r>
    </w:p>
    <w:p w14:paraId="4220D34D" w14:textId="06E34147" w:rsidR="00D16F1C" w:rsidRDefault="00D16F1C" w:rsidP="00613EB8">
      <w:pPr>
        <w:pStyle w:val="Normln-tun"/>
        <w:numPr>
          <w:ilvl w:val="0"/>
          <w:numId w:val="81"/>
        </w:numPr>
        <w:ind w:left="425" w:hanging="425"/>
        <w:rPr>
          <w:i/>
          <w:iCs/>
        </w:rPr>
      </w:pPr>
      <w:r w:rsidRPr="00545489">
        <w:rPr>
          <w:i/>
          <w:iCs/>
        </w:rPr>
        <w:t>Zapojení veřejnosti a její seznámení s investorskými záměry, aniž by to řízení zdržovalo.</w:t>
      </w:r>
    </w:p>
    <w:p w14:paraId="574BFC36" w14:textId="49243C29" w:rsidR="00DA718D" w:rsidRDefault="00DA718D" w:rsidP="00DA718D">
      <w:pPr>
        <w:pStyle w:val="Normln-tun"/>
      </w:pPr>
      <w:r>
        <w:t xml:space="preserve">Pokud jsou stanoveny výše uvedené cíle, Varianta 1 jich </w:t>
      </w:r>
      <w:r w:rsidR="005D5FDB">
        <w:t>může dosáhnout hůře než Varianta 0, Varianta 2 pak ještě hůře – a to jednak z titulu nemožnosti integrace DO (tj. předpokládáme větší počet a delší odvolací a soudní řízení), zároveň nelze zajistit takové zvýšení kvality rozhodování a vynutitelnost jako ve Variantě 0</w:t>
      </w:r>
      <w:r w:rsidR="00FB43A1">
        <w:t xml:space="preserve"> (viz i položka Přínosy v tabulce níže)</w:t>
      </w:r>
      <w:r w:rsidR="00285DD6">
        <w:t>. Nemožnost integrace DO se navrhuje částečně kompenzovat přijetím úpravy JES.</w:t>
      </w:r>
    </w:p>
    <w:p w14:paraId="362AD825" w14:textId="1A738CB3" w:rsidR="00933C81" w:rsidRPr="00450372" w:rsidRDefault="00450372" w:rsidP="00933C81">
      <w:pPr>
        <w:pStyle w:val="Text-Normaln"/>
        <w:spacing w:before="0" w:after="0"/>
      </w:pPr>
      <w:r w:rsidRPr="00450372">
        <w:t xml:space="preserve">K menšímu </w:t>
      </w:r>
      <w:r w:rsidR="00643152">
        <w:t xml:space="preserve">průměrnému </w:t>
      </w:r>
      <w:r w:rsidRPr="00450372">
        <w:t xml:space="preserve">zkrácení dojde především </w:t>
      </w:r>
      <w:r w:rsidR="00197BD0">
        <w:t>díky</w:t>
      </w:r>
      <w:r w:rsidRPr="00450372">
        <w:t xml:space="preserve"> </w:t>
      </w:r>
      <w:r w:rsidR="00197BD0">
        <w:t>větší incidenci přezkumných a soudních řízení</w:t>
      </w:r>
      <w:r w:rsidRPr="00450372">
        <w:t xml:space="preserve"> </w:t>
      </w:r>
      <w:r w:rsidR="00197BD0">
        <w:t xml:space="preserve">(viz vyznačené </w:t>
      </w:r>
      <w:r w:rsidRPr="00450372">
        <w:t>sloupc</w:t>
      </w:r>
      <w:r w:rsidR="00197BD0">
        <w:t>e)</w:t>
      </w:r>
      <w:r w:rsidRPr="00450372">
        <w:t>.</w:t>
      </w:r>
    </w:p>
    <w:p w14:paraId="24B2C5AE" w14:textId="77777777" w:rsidR="00933C81" w:rsidRDefault="00933C81" w:rsidP="00933C81">
      <w:pPr>
        <w:pStyle w:val="Text-Normaln"/>
        <w:spacing w:before="0" w:after="0"/>
      </w:pPr>
    </w:p>
    <w:tbl>
      <w:tblPr>
        <w:tblStyle w:val="Barevntabulkaseznamu6zvraznn51"/>
        <w:tblW w:w="9072" w:type="dxa"/>
        <w:tblLayout w:type="fixed"/>
        <w:tblLook w:val="04A0" w:firstRow="1" w:lastRow="0" w:firstColumn="1" w:lastColumn="0" w:noHBand="0" w:noVBand="1"/>
      </w:tblPr>
      <w:tblGrid>
        <w:gridCol w:w="1907"/>
        <w:gridCol w:w="1023"/>
        <w:gridCol w:w="1024"/>
        <w:gridCol w:w="1023"/>
        <w:gridCol w:w="1024"/>
        <w:gridCol w:w="1023"/>
        <w:gridCol w:w="1024"/>
        <w:gridCol w:w="1024"/>
      </w:tblGrid>
      <w:tr w:rsidR="00933C81" w:rsidRPr="00450372" w14:paraId="3437C612" w14:textId="77777777" w:rsidTr="00197E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79566D90" w14:textId="77777777" w:rsidR="00933C81" w:rsidRPr="00450372" w:rsidRDefault="00933C81" w:rsidP="00197E1E">
            <w:pPr>
              <w:spacing w:before="0" w:after="0"/>
              <w:jc w:val="center"/>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 </w:t>
            </w:r>
          </w:p>
        </w:tc>
        <w:tc>
          <w:tcPr>
            <w:tcW w:w="1023" w:type="dxa"/>
            <w:vAlign w:val="center"/>
            <w:hideMark/>
          </w:tcPr>
          <w:p w14:paraId="03B626DA" w14:textId="77777777" w:rsidR="00933C81" w:rsidRPr="00450372"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1.stupeň</w:t>
            </w:r>
          </w:p>
        </w:tc>
        <w:tc>
          <w:tcPr>
            <w:tcW w:w="1024" w:type="dxa"/>
            <w:vAlign w:val="center"/>
            <w:hideMark/>
          </w:tcPr>
          <w:p w14:paraId="7DFD1E48" w14:textId="77777777" w:rsidR="00933C81" w:rsidRPr="00285DD6"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85DD6">
              <w:rPr>
                <w:rFonts w:asciiTheme="minorHAnsi" w:hAnsiTheme="minorHAnsi" w:cstheme="minorHAnsi"/>
                <w:color w:val="000000"/>
                <w:sz w:val="20"/>
                <w:szCs w:val="20"/>
              </w:rPr>
              <w:t>Přezkum (+60)</w:t>
            </w:r>
          </w:p>
        </w:tc>
        <w:tc>
          <w:tcPr>
            <w:tcW w:w="1023" w:type="dxa"/>
            <w:vAlign w:val="center"/>
            <w:hideMark/>
          </w:tcPr>
          <w:p w14:paraId="727FACFC" w14:textId="77777777" w:rsidR="00933C81" w:rsidRPr="00285DD6"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285DD6">
              <w:rPr>
                <w:rFonts w:asciiTheme="minorHAnsi" w:hAnsiTheme="minorHAnsi" w:cstheme="minorHAnsi"/>
                <w:b w:val="0"/>
                <w:bCs w:val="0"/>
                <w:i/>
                <w:iCs/>
                <w:color w:val="000000"/>
                <w:sz w:val="20"/>
                <w:szCs w:val="20"/>
              </w:rPr>
              <w:t>Celkem v letech</w:t>
            </w:r>
          </w:p>
        </w:tc>
        <w:tc>
          <w:tcPr>
            <w:tcW w:w="1024" w:type="dxa"/>
            <w:vAlign w:val="center"/>
            <w:hideMark/>
          </w:tcPr>
          <w:p w14:paraId="271C3111" w14:textId="77777777" w:rsidR="00933C81" w:rsidRPr="00285DD6"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85DD6">
              <w:rPr>
                <w:rFonts w:asciiTheme="minorHAnsi" w:hAnsiTheme="minorHAnsi" w:cstheme="minorHAnsi"/>
                <w:color w:val="000000"/>
                <w:sz w:val="20"/>
                <w:szCs w:val="20"/>
              </w:rPr>
              <w:t>Případné soudní řízení 1. a 2. stupeň – 2*120 dní (+240)</w:t>
            </w:r>
          </w:p>
        </w:tc>
        <w:tc>
          <w:tcPr>
            <w:tcW w:w="1023" w:type="dxa"/>
            <w:vAlign w:val="center"/>
            <w:hideMark/>
          </w:tcPr>
          <w:p w14:paraId="7F9313D7" w14:textId="77777777" w:rsidR="00933C81" w:rsidRPr="00450372"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450372">
              <w:rPr>
                <w:rFonts w:asciiTheme="minorHAnsi" w:hAnsiTheme="minorHAnsi" w:cstheme="minorHAnsi"/>
                <w:b w:val="0"/>
                <w:bCs w:val="0"/>
                <w:i/>
                <w:iCs/>
                <w:color w:val="000000"/>
                <w:sz w:val="20"/>
                <w:szCs w:val="20"/>
              </w:rPr>
              <w:t>Celkem v letech</w:t>
            </w:r>
          </w:p>
        </w:tc>
        <w:tc>
          <w:tcPr>
            <w:tcW w:w="1024" w:type="dxa"/>
            <w:vAlign w:val="center"/>
            <w:hideMark/>
          </w:tcPr>
          <w:p w14:paraId="486D27ED" w14:textId="77777777" w:rsidR="00933C81" w:rsidRPr="00450372"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450372">
              <w:rPr>
                <w:rFonts w:asciiTheme="minorHAnsi" w:hAnsiTheme="minorHAnsi" w:cstheme="minorHAnsi"/>
                <w:b w:val="0"/>
                <w:bCs w:val="0"/>
                <w:i/>
                <w:iCs/>
                <w:color w:val="000000"/>
                <w:sz w:val="20"/>
                <w:szCs w:val="20"/>
              </w:rPr>
              <w:t>Získání vyjádření DO před zahájením řízení (+90)</w:t>
            </w:r>
          </w:p>
        </w:tc>
        <w:tc>
          <w:tcPr>
            <w:tcW w:w="1024" w:type="dxa"/>
            <w:vAlign w:val="center"/>
            <w:hideMark/>
          </w:tcPr>
          <w:p w14:paraId="1EA17CA7" w14:textId="77777777" w:rsidR="00933C81" w:rsidRPr="00450372" w:rsidRDefault="00933C81"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450372">
              <w:rPr>
                <w:rFonts w:asciiTheme="minorHAnsi" w:hAnsiTheme="minorHAnsi" w:cstheme="minorHAnsi"/>
                <w:b w:val="0"/>
                <w:bCs w:val="0"/>
                <w:i/>
                <w:iCs/>
                <w:color w:val="000000"/>
                <w:sz w:val="20"/>
                <w:szCs w:val="20"/>
              </w:rPr>
              <w:t>Celkem v letech</w:t>
            </w:r>
          </w:p>
        </w:tc>
      </w:tr>
      <w:tr w:rsidR="00933C81" w:rsidRPr="00450372" w14:paraId="024FA91A" w14:textId="77777777" w:rsidTr="00197E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5AB66B3E"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30 (jednoduché stavby)</w:t>
            </w:r>
          </w:p>
        </w:tc>
        <w:tc>
          <w:tcPr>
            <w:tcW w:w="1023" w:type="dxa"/>
            <w:vAlign w:val="center"/>
            <w:hideMark/>
          </w:tcPr>
          <w:p w14:paraId="233D0709"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30</w:t>
            </w:r>
          </w:p>
        </w:tc>
        <w:tc>
          <w:tcPr>
            <w:tcW w:w="1024" w:type="dxa"/>
            <w:vAlign w:val="center"/>
            <w:hideMark/>
          </w:tcPr>
          <w:p w14:paraId="7743B21E"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=90</w:t>
            </w:r>
          </w:p>
        </w:tc>
        <w:tc>
          <w:tcPr>
            <w:tcW w:w="1023" w:type="dxa"/>
            <w:vAlign w:val="center"/>
            <w:hideMark/>
          </w:tcPr>
          <w:p w14:paraId="7B151E88"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0,25</w:t>
            </w:r>
          </w:p>
        </w:tc>
        <w:tc>
          <w:tcPr>
            <w:tcW w:w="1024" w:type="dxa"/>
            <w:vAlign w:val="center"/>
            <w:hideMark/>
          </w:tcPr>
          <w:p w14:paraId="74414E80"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=330</w:t>
            </w:r>
          </w:p>
        </w:tc>
        <w:tc>
          <w:tcPr>
            <w:tcW w:w="1023" w:type="dxa"/>
            <w:vAlign w:val="center"/>
            <w:hideMark/>
          </w:tcPr>
          <w:p w14:paraId="086D7186"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0,90</w:t>
            </w:r>
          </w:p>
        </w:tc>
        <w:tc>
          <w:tcPr>
            <w:tcW w:w="1024" w:type="dxa"/>
            <w:vAlign w:val="center"/>
            <w:hideMark/>
          </w:tcPr>
          <w:p w14:paraId="69A8E03E"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=420</w:t>
            </w:r>
          </w:p>
        </w:tc>
        <w:tc>
          <w:tcPr>
            <w:tcW w:w="1024" w:type="dxa"/>
            <w:vAlign w:val="center"/>
            <w:hideMark/>
          </w:tcPr>
          <w:p w14:paraId="0EAF9E11"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1,15</w:t>
            </w:r>
          </w:p>
        </w:tc>
      </w:tr>
      <w:tr w:rsidR="00933C81" w:rsidRPr="00450372" w14:paraId="3277DCB6" w14:textId="77777777" w:rsidTr="00197E1E">
        <w:trPr>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45170364"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30+30 (jednoduché stavby + složitý případ)</w:t>
            </w:r>
          </w:p>
        </w:tc>
        <w:tc>
          <w:tcPr>
            <w:tcW w:w="1023" w:type="dxa"/>
            <w:vAlign w:val="center"/>
            <w:hideMark/>
          </w:tcPr>
          <w:p w14:paraId="1EE9EEF8"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60</w:t>
            </w:r>
          </w:p>
        </w:tc>
        <w:tc>
          <w:tcPr>
            <w:tcW w:w="1024" w:type="dxa"/>
            <w:vAlign w:val="center"/>
            <w:hideMark/>
          </w:tcPr>
          <w:p w14:paraId="0F817032"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=120</w:t>
            </w:r>
          </w:p>
        </w:tc>
        <w:tc>
          <w:tcPr>
            <w:tcW w:w="1023" w:type="dxa"/>
            <w:vAlign w:val="center"/>
            <w:hideMark/>
          </w:tcPr>
          <w:p w14:paraId="73B9E84E"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0,33</w:t>
            </w:r>
          </w:p>
        </w:tc>
        <w:tc>
          <w:tcPr>
            <w:tcW w:w="1024" w:type="dxa"/>
            <w:vAlign w:val="center"/>
            <w:hideMark/>
          </w:tcPr>
          <w:p w14:paraId="3E11F6BE"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=360</w:t>
            </w:r>
          </w:p>
        </w:tc>
        <w:tc>
          <w:tcPr>
            <w:tcW w:w="1023" w:type="dxa"/>
            <w:vAlign w:val="center"/>
            <w:hideMark/>
          </w:tcPr>
          <w:p w14:paraId="52339AFC"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0,99</w:t>
            </w:r>
          </w:p>
        </w:tc>
        <w:tc>
          <w:tcPr>
            <w:tcW w:w="1024" w:type="dxa"/>
            <w:vAlign w:val="center"/>
            <w:hideMark/>
          </w:tcPr>
          <w:p w14:paraId="20CD85B9"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=450</w:t>
            </w:r>
          </w:p>
        </w:tc>
        <w:tc>
          <w:tcPr>
            <w:tcW w:w="1024" w:type="dxa"/>
            <w:vAlign w:val="center"/>
            <w:hideMark/>
          </w:tcPr>
          <w:p w14:paraId="078FCB53"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1,23</w:t>
            </w:r>
          </w:p>
        </w:tc>
      </w:tr>
      <w:tr w:rsidR="00933C81" w:rsidRPr="00450372" w14:paraId="7F0E7BBA" w14:textId="77777777" w:rsidTr="00197E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3B5AF661"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60 (ostatní stavby)</w:t>
            </w:r>
          </w:p>
        </w:tc>
        <w:tc>
          <w:tcPr>
            <w:tcW w:w="1023" w:type="dxa"/>
            <w:vAlign w:val="center"/>
            <w:hideMark/>
          </w:tcPr>
          <w:p w14:paraId="2BAAACEC"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60</w:t>
            </w:r>
          </w:p>
        </w:tc>
        <w:tc>
          <w:tcPr>
            <w:tcW w:w="1024" w:type="dxa"/>
            <w:vAlign w:val="center"/>
            <w:hideMark/>
          </w:tcPr>
          <w:p w14:paraId="4DB8B0BA"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=120</w:t>
            </w:r>
          </w:p>
        </w:tc>
        <w:tc>
          <w:tcPr>
            <w:tcW w:w="1023" w:type="dxa"/>
            <w:vAlign w:val="center"/>
            <w:hideMark/>
          </w:tcPr>
          <w:p w14:paraId="4160A4FD"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0,33</w:t>
            </w:r>
          </w:p>
        </w:tc>
        <w:tc>
          <w:tcPr>
            <w:tcW w:w="1024" w:type="dxa"/>
            <w:vAlign w:val="center"/>
            <w:hideMark/>
          </w:tcPr>
          <w:p w14:paraId="33A65A73"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=360</w:t>
            </w:r>
          </w:p>
        </w:tc>
        <w:tc>
          <w:tcPr>
            <w:tcW w:w="1023" w:type="dxa"/>
            <w:vAlign w:val="center"/>
            <w:hideMark/>
          </w:tcPr>
          <w:p w14:paraId="0FE8ADC5"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0,99</w:t>
            </w:r>
          </w:p>
        </w:tc>
        <w:tc>
          <w:tcPr>
            <w:tcW w:w="1024" w:type="dxa"/>
            <w:vAlign w:val="center"/>
            <w:hideMark/>
          </w:tcPr>
          <w:p w14:paraId="6C5F16AF"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=450</w:t>
            </w:r>
          </w:p>
        </w:tc>
        <w:tc>
          <w:tcPr>
            <w:tcW w:w="1024" w:type="dxa"/>
            <w:vAlign w:val="center"/>
            <w:hideMark/>
          </w:tcPr>
          <w:p w14:paraId="16F639A7"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450372">
              <w:rPr>
                <w:rFonts w:asciiTheme="minorHAnsi" w:hAnsiTheme="minorHAnsi" w:cstheme="minorHAnsi"/>
                <w:i/>
                <w:iCs/>
                <w:color w:val="000000"/>
                <w:sz w:val="20"/>
                <w:szCs w:val="20"/>
              </w:rPr>
              <w:t>1,23</w:t>
            </w:r>
          </w:p>
        </w:tc>
      </w:tr>
      <w:tr w:rsidR="00933C81" w:rsidRPr="00450372" w14:paraId="47DD1B75" w14:textId="77777777" w:rsidTr="00197E1E">
        <w:trPr>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69AD9A62"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60+30 (ostatní stavby + složitý případ)</w:t>
            </w:r>
          </w:p>
        </w:tc>
        <w:tc>
          <w:tcPr>
            <w:tcW w:w="1023" w:type="dxa"/>
            <w:vAlign w:val="center"/>
            <w:hideMark/>
          </w:tcPr>
          <w:p w14:paraId="44089FB5"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90</w:t>
            </w:r>
          </w:p>
        </w:tc>
        <w:tc>
          <w:tcPr>
            <w:tcW w:w="1024" w:type="dxa"/>
            <w:vAlign w:val="center"/>
            <w:hideMark/>
          </w:tcPr>
          <w:p w14:paraId="19E3B122"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=150</w:t>
            </w:r>
          </w:p>
        </w:tc>
        <w:tc>
          <w:tcPr>
            <w:tcW w:w="1023" w:type="dxa"/>
            <w:vAlign w:val="center"/>
            <w:hideMark/>
          </w:tcPr>
          <w:p w14:paraId="4F0F18AD"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0,41</w:t>
            </w:r>
          </w:p>
        </w:tc>
        <w:tc>
          <w:tcPr>
            <w:tcW w:w="1024" w:type="dxa"/>
            <w:vAlign w:val="center"/>
            <w:hideMark/>
          </w:tcPr>
          <w:p w14:paraId="11328EF3"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=390</w:t>
            </w:r>
          </w:p>
        </w:tc>
        <w:tc>
          <w:tcPr>
            <w:tcW w:w="1023" w:type="dxa"/>
            <w:vAlign w:val="center"/>
            <w:hideMark/>
          </w:tcPr>
          <w:p w14:paraId="5BA2BB8B"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1,07</w:t>
            </w:r>
          </w:p>
        </w:tc>
        <w:tc>
          <w:tcPr>
            <w:tcW w:w="1024" w:type="dxa"/>
            <w:vAlign w:val="center"/>
            <w:hideMark/>
          </w:tcPr>
          <w:p w14:paraId="0D01B757"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=480</w:t>
            </w:r>
          </w:p>
        </w:tc>
        <w:tc>
          <w:tcPr>
            <w:tcW w:w="1024" w:type="dxa"/>
            <w:vAlign w:val="center"/>
            <w:hideMark/>
          </w:tcPr>
          <w:p w14:paraId="15E3310A"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1,32</w:t>
            </w:r>
          </w:p>
        </w:tc>
      </w:tr>
      <w:tr w:rsidR="00933C81" w:rsidRPr="00450372" w14:paraId="684A7AE5" w14:textId="77777777" w:rsidTr="00197E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087334A5"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60+60 (ostatní stavby + velký počet účastníků)</w:t>
            </w:r>
          </w:p>
        </w:tc>
        <w:tc>
          <w:tcPr>
            <w:tcW w:w="1023" w:type="dxa"/>
            <w:vAlign w:val="center"/>
            <w:hideMark/>
          </w:tcPr>
          <w:p w14:paraId="46B748F3"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120</w:t>
            </w:r>
          </w:p>
        </w:tc>
        <w:tc>
          <w:tcPr>
            <w:tcW w:w="1024" w:type="dxa"/>
            <w:vAlign w:val="center"/>
            <w:hideMark/>
          </w:tcPr>
          <w:p w14:paraId="00767629"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=180</w:t>
            </w:r>
          </w:p>
        </w:tc>
        <w:tc>
          <w:tcPr>
            <w:tcW w:w="1023" w:type="dxa"/>
            <w:vAlign w:val="center"/>
            <w:hideMark/>
          </w:tcPr>
          <w:p w14:paraId="5B9FBB3D"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0,49</w:t>
            </w:r>
          </w:p>
        </w:tc>
        <w:tc>
          <w:tcPr>
            <w:tcW w:w="1024" w:type="dxa"/>
            <w:vAlign w:val="center"/>
            <w:hideMark/>
          </w:tcPr>
          <w:p w14:paraId="19DF03C8"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=420</w:t>
            </w:r>
          </w:p>
        </w:tc>
        <w:tc>
          <w:tcPr>
            <w:tcW w:w="1023" w:type="dxa"/>
            <w:vAlign w:val="center"/>
            <w:hideMark/>
          </w:tcPr>
          <w:p w14:paraId="1BA0CED3"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1,15</w:t>
            </w:r>
          </w:p>
        </w:tc>
        <w:tc>
          <w:tcPr>
            <w:tcW w:w="1024" w:type="dxa"/>
            <w:vAlign w:val="center"/>
            <w:hideMark/>
          </w:tcPr>
          <w:p w14:paraId="032B2CDA"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=510</w:t>
            </w:r>
          </w:p>
        </w:tc>
        <w:tc>
          <w:tcPr>
            <w:tcW w:w="1024" w:type="dxa"/>
            <w:vAlign w:val="center"/>
            <w:hideMark/>
          </w:tcPr>
          <w:p w14:paraId="2A646384"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1,40</w:t>
            </w:r>
          </w:p>
        </w:tc>
      </w:tr>
      <w:tr w:rsidR="00933C81" w:rsidRPr="00450372" w14:paraId="1BA8FA86" w14:textId="77777777" w:rsidTr="00197E1E">
        <w:trPr>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0C59A007"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120 (záměry EIA)</w:t>
            </w:r>
          </w:p>
        </w:tc>
        <w:tc>
          <w:tcPr>
            <w:tcW w:w="1023" w:type="dxa"/>
            <w:vAlign w:val="center"/>
            <w:hideMark/>
          </w:tcPr>
          <w:p w14:paraId="655CD12E"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120</w:t>
            </w:r>
          </w:p>
        </w:tc>
        <w:tc>
          <w:tcPr>
            <w:tcW w:w="1024" w:type="dxa"/>
            <w:vAlign w:val="center"/>
            <w:hideMark/>
          </w:tcPr>
          <w:p w14:paraId="34D1CB19"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=180</w:t>
            </w:r>
          </w:p>
        </w:tc>
        <w:tc>
          <w:tcPr>
            <w:tcW w:w="1023" w:type="dxa"/>
            <w:vAlign w:val="center"/>
            <w:hideMark/>
          </w:tcPr>
          <w:p w14:paraId="6F693B72"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0,49</w:t>
            </w:r>
          </w:p>
        </w:tc>
        <w:tc>
          <w:tcPr>
            <w:tcW w:w="1024" w:type="dxa"/>
            <w:vAlign w:val="center"/>
            <w:hideMark/>
          </w:tcPr>
          <w:p w14:paraId="331A7B8D"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=420</w:t>
            </w:r>
          </w:p>
        </w:tc>
        <w:tc>
          <w:tcPr>
            <w:tcW w:w="1023" w:type="dxa"/>
            <w:vAlign w:val="center"/>
            <w:hideMark/>
          </w:tcPr>
          <w:p w14:paraId="1A02A2DF"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1,15</w:t>
            </w:r>
          </w:p>
        </w:tc>
        <w:tc>
          <w:tcPr>
            <w:tcW w:w="1024" w:type="dxa"/>
            <w:vAlign w:val="center"/>
            <w:hideMark/>
          </w:tcPr>
          <w:p w14:paraId="722F05E6"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=510</w:t>
            </w:r>
          </w:p>
        </w:tc>
        <w:tc>
          <w:tcPr>
            <w:tcW w:w="1024" w:type="dxa"/>
            <w:vAlign w:val="center"/>
            <w:hideMark/>
          </w:tcPr>
          <w:p w14:paraId="11022DF0"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1,40</w:t>
            </w:r>
          </w:p>
        </w:tc>
      </w:tr>
      <w:tr w:rsidR="00933C81" w:rsidRPr="00450372" w14:paraId="34E09CAF" w14:textId="77777777" w:rsidTr="00197E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3C9FB235"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120+30 (záměry EIA + složitý případ)</w:t>
            </w:r>
          </w:p>
        </w:tc>
        <w:tc>
          <w:tcPr>
            <w:tcW w:w="1023" w:type="dxa"/>
            <w:vAlign w:val="center"/>
            <w:hideMark/>
          </w:tcPr>
          <w:p w14:paraId="558478B0" w14:textId="77777777" w:rsidR="00933C81" w:rsidRPr="00450372"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150</w:t>
            </w:r>
          </w:p>
        </w:tc>
        <w:tc>
          <w:tcPr>
            <w:tcW w:w="1024" w:type="dxa"/>
            <w:vAlign w:val="center"/>
            <w:hideMark/>
          </w:tcPr>
          <w:p w14:paraId="5616E52F"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=210</w:t>
            </w:r>
          </w:p>
        </w:tc>
        <w:tc>
          <w:tcPr>
            <w:tcW w:w="1023" w:type="dxa"/>
            <w:vAlign w:val="center"/>
            <w:hideMark/>
          </w:tcPr>
          <w:p w14:paraId="47630F78"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0,58</w:t>
            </w:r>
          </w:p>
        </w:tc>
        <w:tc>
          <w:tcPr>
            <w:tcW w:w="1024" w:type="dxa"/>
            <w:vAlign w:val="center"/>
            <w:hideMark/>
          </w:tcPr>
          <w:p w14:paraId="3E554ECD" w14:textId="77777777" w:rsidR="00933C81" w:rsidRPr="00285DD6"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=450</w:t>
            </w:r>
          </w:p>
        </w:tc>
        <w:tc>
          <w:tcPr>
            <w:tcW w:w="1023" w:type="dxa"/>
            <w:vAlign w:val="center"/>
            <w:hideMark/>
          </w:tcPr>
          <w:p w14:paraId="69BCF100"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1,23</w:t>
            </w:r>
          </w:p>
        </w:tc>
        <w:tc>
          <w:tcPr>
            <w:tcW w:w="1024" w:type="dxa"/>
            <w:vAlign w:val="center"/>
            <w:hideMark/>
          </w:tcPr>
          <w:p w14:paraId="107687BC"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=540</w:t>
            </w:r>
          </w:p>
        </w:tc>
        <w:tc>
          <w:tcPr>
            <w:tcW w:w="1024" w:type="dxa"/>
            <w:vAlign w:val="center"/>
            <w:hideMark/>
          </w:tcPr>
          <w:p w14:paraId="2E41FF01" w14:textId="77777777" w:rsidR="00933C81" w:rsidRPr="009E0EA9" w:rsidRDefault="00933C81"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1,48</w:t>
            </w:r>
          </w:p>
        </w:tc>
      </w:tr>
      <w:tr w:rsidR="00933C81" w:rsidRPr="00450372" w14:paraId="6A55B2F2" w14:textId="77777777" w:rsidTr="00197E1E">
        <w:trPr>
          <w:trHeight w:val="20"/>
        </w:trPr>
        <w:tc>
          <w:tcPr>
            <w:cnfStyle w:val="001000000000" w:firstRow="0" w:lastRow="0" w:firstColumn="1" w:lastColumn="0" w:oddVBand="0" w:evenVBand="0" w:oddHBand="0" w:evenHBand="0" w:firstRowFirstColumn="0" w:firstRowLastColumn="0" w:lastRowFirstColumn="0" w:lastRowLastColumn="0"/>
            <w:tcW w:w="1907" w:type="dxa"/>
            <w:vAlign w:val="center"/>
            <w:hideMark/>
          </w:tcPr>
          <w:p w14:paraId="27E7BED1" w14:textId="77777777" w:rsidR="00933C81" w:rsidRPr="00450372" w:rsidRDefault="00933C81" w:rsidP="00197E1E">
            <w:pPr>
              <w:spacing w:before="0" w:after="0"/>
              <w:jc w:val="left"/>
              <w:rPr>
                <w:rFonts w:asciiTheme="minorHAnsi" w:hAnsiTheme="minorHAnsi" w:cstheme="minorHAnsi"/>
                <w:b w:val="0"/>
                <w:bCs w:val="0"/>
                <w:color w:val="000000"/>
                <w:sz w:val="20"/>
                <w:szCs w:val="20"/>
              </w:rPr>
            </w:pPr>
            <w:r w:rsidRPr="00450372">
              <w:rPr>
                <w:rFonts w:asciiTheme="minorHAnsi" w:hAnsiTheme="minorHAnsi" w:cstheme="minorHAnsi"/>
                <w:b w:val="0"/>
                <w:bCs w:val="0"/>
                <w:color w:val="000000"/>
                <w:sz w:val="20"/>
                <w:szCs w:val="20"/>
              </w:rPr>
              <w:t>120+60 (záměry EIA + velký počet účastníků)</w:t>
            </w:r>
          </w:p>
        </w:tc>
        <w:tc>
          <w:tcPr>
            <w:tcW w:w="1023" w:type="dxa"/>
            <w:vAlign w:val="center"/>
            <w:hideMark/>
          </w:tcPr>
          <w:p w14:paraId="00901838" w14:textId="77777777" w:rsidR="00933C81" w:rsidRPr="00450372"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0372">
              <w:rPr>
                <w:rFonts w:asciiTheme="minorHAnsi" w:hAnsiTheme="minorHAnsi" w:cstheme="minorHAnsi"/>
                <w:color w:val="000000"/>
                <w:sz w:val="20"/>
                <w:szCs w:val="20"/>
              </w:rPr>
              <w:t>180</w:t>
            </w:r>
          </w:p>
        </w:tc>
        <w:tc>
          <w:tcPr>
            <w:tcW w:w="1024" w:type="dxa"/>
            <w:vAlign w:val="center"/>
            <w:hideMark/>
          </w:tcPr>
          <w:p w14:paraId="32FDC9FA"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=240</w:t>
            </w:r>
          </w:p>
        </w:tc>
        <w:tc>
          <w:tcPr>
            <w:tcW w:w="1023" w:type="dxa"/>
            <w:vAlign w:val="center"/>
            <w:hideMark/>
          </w:tcPr>
          <w:p w14:paraId="4D3A470D"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20"/>
                <w:szCs w:val="20"/>
              </w:rPr>
            </w:pPr>
            <w:r w:rsidRPr="00285DD6">
              <w:rPr>
                <w:rFonts w:asciiTheme="minorHAnsi" w:hAnsiTheme="minorHAnsi" w:cstheme="minorHAnsi"/>
                <w:i/>
                <w:iCs/>
                <w:color w:val="000000"/>
                <w:sz w:val="20"/>
                <w:szCs w:val="20"/>
              </w:rPr>
              <w:t>0,66</w:t>
            </w:r>
          </w:p>
        </w:tc>
        <w:tc>
          <w:tcPr>
            <w:tcW w:w="1024" w:type="dxa"/>
            <w:vAlign w:val="center"/>
            <w:hideMark/>
          </w:tcPr>
          <w:p w14:paraId="4FC48AC9" w14:textId="77777777" w:rsidR="00933C81" w:rsidRPr="00285DD6"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85DD6">
              <w:rPr>
                <w:rFonts w:asciiTheme="minorHAnsi" w:hAnsiTheme="minorHAnsi" w:cstheme="minorHAnsi"/>
                <w:b/>
                <w:bCs/>
                <w:color w:val="000000"/>
                <w:sz w:val="20"/>
                <w:szCs w:val="20"/>
              </w:rPr>
              <w:t>=480</w:t>
            </w:r>
          </w:p>
        </w:tc>
        <w:tc>
          <w:tcPr>
            <w:tcW w:w="1023" w:type="dxa"/>
            <w:vAlign w:val="center"/>
            <w:hideMark/>
          </w:tcPr>
          <w:p w14:paraId="420D2712"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1,32</w:t>
            </w:r>
          </w:p>
        </w:tc>
        <w:tc>
          <w:tcPr>
            <w:tcW w:w="1024" w:type="dxa"/>
            <w:vAlign w:val="center"/>
            <w:hideMark/>
          </w:tcPr>
          <w:p w14:paraId="0DA0C684"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=570</w:t>
            </w:r>
          </w:p>
        </w:tc>
        <w:tc>
          <w:tcPr>
            <w:tcW w:w="1024" w:type="dxa"/>
            <w:vAlign w:val="center"/>
            <w:hideMark/>
          </w:tcPr>
          <w:p w14:paraId="6BEC7BC9" w14:textId="77777777" w:rsidR="00933C81" w:rsidRPr="009E0EA9" w:rsidRDefault="00933C81"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9E0EA9">
              <w:rPr>
                <w:rFonts w:asciiTheme="minorHAnsi" w:hAnsiTheme="minorHAnsi" w:cstheme="minorHAnsi"/>
                <w:i/>
                <w:iCs/>
                <w:color w:val="auto"/>
                <w:sz w:val="20"/>
                <w:szCs w:val="20"/>
              </w:rPr>
              <w:t>1,56</w:t>
            </w:r>
          </w:p>
        </w:tc>
      </w:tr>
    </w:tbl>
    <w:p w14:paraId="74BEE187" w14:textId="77777777" w:rsidR="00933C81" w:rsidRDefault="00933C81" w:rsidP="00933C81">
      <w:pPr>
        <w:pStyle w:val="Text-Normaln"/>
        <w:rPr>
          <w:rFonts w:eastAsiaTheme="minorHAnsi"/>
          <w:sz w:val="20"/>
          <w:szCs w:val="20"/>
        </w:rPr>
      </w:pPr>
    </w:p>
    <w:p w14:paraId="48101F37" w14:textId="63187FDA" w:rsidR="00FE0DCF" w:rsidRPr="00450372" w:rsidRDefault="00FE0DCF" w:rsidP="00FE0DCF">
      <w:pPr>
        <w:pStyle w:val="Normln-tun"/>
        <w:rPr>
          <w:u w:val="single"/>
        </w:rPr>
      </w:pPr>
      <w:r w:rsidRPr="00450372">
        <w:rPr>
          <w:u w:val="single"/>
        </w:rPr>
        <w:t>K nákladové efektivnosti</w:t>
      </w:r>
    </w:p>
    <w:p w14:paraId="2F0C4EAD" w14:textId="0D1F6236" w:rsidR="00FE0DCF" w:rsidRPr="00450372" w:rsidRDefault="00230BE1" w:rsidP="00FE0DCF">
      <w:pPr>
        <w:pStyle w:val="Normln-tun"/>
        <w:rPr>
          <w:u w:val="single"/>
        </w:rPr>
      </w:pPr>
      <w:r w:rsidRPr="00450372">
        <w:t>Suverénně n</w:t>
      </w:r>
      <w:r w:rsidR="00FE0DCF" w:rsidRPr="00450372">
        <w:t xml:space="preserve">ejnákladnější variantou z pohledu jednorázových nákladů je </w:t>
      </w:r>
      <w:r w:rsidR="00E50EEB" w:rsidRPr="00450372">
        <w:t>V</w:t>
      </w:r>
      <w:r w:rsidR="00FE0DCF" w:rsidRPr="00450372">
        <w:t>arianta</w:t>
      </w:r>
      <w:r w:rsidR="00E50EEB" w:rsidRPr="00450372">
        <w:t xml:space="preserve"> 0. </w:t>
      </w:r>
      <w:r w:rsidRPr="00450372">
        <w:t>Nejméně nákladnou pak Varianta 2, v níž dochází k nejmenším přesun</w:t>
      </w:r>
      <w:r w:rsidR="00E3789E" w:rsidRPr="00450372">
        <w:t>ům agendy.</w:t>
      </w:r>
      <w:r w:rsidRPr="00450372">
        <w:t xml:space="preserve"> </w:t>
      </w:r>
    </w:p>
    <w:p w14:paraId="065C7011" w14:textId="5D7E06F1" w:rsidR="00FE0DCF" w:rsidRPr="00450372" w:rsidRDefault="00FE0DCF" w:rsidP="00FE0DCF">
      <w:pPr>
        <w:pStyle w:val="Normln-tun"/>
        <w:rPr>
          <w:u w:val="single"/>
        </w:rPr>
      </w:pPr>
      <w:r w:rsidRPr="00450372">
        <w:rPr>
          <w:u w:val="single"/>
        </w:rPr>
        <w:t>K relevanci a udržitelnosti</w:t>
      </w:r>
    </w:p>
    <w:p w14:paraId="107FE111" w14:textId="69B8E73A" w:rsidR="00FE0DCF" w:rsidRPr="00450372" w:rsidRDefault="00E3789E" w:rsidP="00FE0DCF">
      <w:pPr>
        <w:pStyle w:val="Normln-tun"/>
      </w:pPr>
      <w:r w:rsidRPr="00450372">
        <w:t>J</w:t>
      </w:r>
      <w:r w:rsidR="00FE0DCF" w:rsidRPr="00450372">
        <w:t xml:space="preserve">ako nejefektivnější (ve smyslu dlouhodobého fungování) se jeví </w:t>
      </w:r>
      <w:r w:rsidRPr="00450372">
        <w:t>V</w:t>
      </w:r>
      <w:r w:rsidR="00FE0DCF" w:rsidRPr="00450372">
        <w:t>ariant</w:t>
      </w:r>
      <w:r w:rsidRPr="00450372">
        <w:t xml:space="preserve">a 0 (tj. pokud již jednou stavební správu ztransformuji, </w:t>
      </w:r>
      <w:r w:rsidR="00F17D24" w:rsidRPr="00450372">
        <w:t xml:space="preserve">dlouhodobé </w:t>
      </w:r>
      <w:r w:rsidRPr="00450372">
        <w:t xml:space="preserve">přínosy jsou </w:t>
      </w:r>
      <w:r w:rsidR="00F17D24" w:rsidRPr="00450372">
        <w:t xml:space="preserve">kontinuálně nejvyšší). Varianta 2 vychází hůře než varianta 1, nicméně dlouhodobě mezi nimi není velmi výrazný rozdíl.  </w:t>
      </w:r>
    </w:p>
    <w:p w14:paraId="6169FD49" w14:textId="77777777" w:rsidR="00B92EA5" w:rsidRDefault="00B92EA5" w:rsidP="00B92EA5">
      <w:pPr>
        <w:widowControl w:val="0"/>
      </w:pPr>
      <w:r w:rsidRPr="00BD4BAE">
        <w:t xml:space="preserve">Následující </w:t>
      </w:r>
      <w:r>
        <w:t>tabulky shrnuje závěry uvedené v předchozích částech RIA.</w:t>
      </w:r>
    </w:p>
    <w:tbl>
      <w:tblPr>
        <w:tblStyle w:val="Tabulkaseznamu21"/>
        <w:tblW w:w="8926" w:type="dxa"/>
        <w:tblLayout w:type="fixed"/>
        <w:tblLook w:val="04A0" w:firstRow="1" w:lastRow="0" w:firstColumn="1" w:lastColumn="0" w:noHBand="0" w:noVBand="1"/>
      </w:tblPr>
      <w:tblGrid>
        <w:gridCol w:w="2975"/>
        <w:gridCol w:w="2975"/>
        <w:gridCol w:w="2976"/>
      </w:tblGrid>
      <w:tr w:rsidR="00B92EA5" w:rsidRPr="0062790A" w14:paraId="2B8B00F9" w14:textId="77777777" w:rsidTr="00197E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3A26C0D9" w14:textId="77777777" w:rsidR="00B92EA5" w:rsidRPr="0062790A" w:rsidRDefault="00B92EA5" w:rsidP="00197E1E">
            <w:pPr>
              <w:widowControl w:val="0"/>
              <w:spacing w:beforeLines="40" w:before="96" w:afterLines="40" w:after="96"/>
              <w:jc w:val="center"/>
              <w:rPr>
                <w:rFonts w:asciiTheme="minorHAnsi" w:hAnsiTheme="minorHAnsi" w:cstheme="minorHAnsi"/>
                <w:bCs w:val="0"/>
                <w:i/>
                <w:iCs/>
                <w:color w:val="000000"/>
                <w:sz w:val="20"/>
                <w:szCs w:val="20"/>
              </w:rPr>
            </w:pPr>
            <w:r>
              <w:rPr>
                <w:rFonts w:asciiTheme="minorHAnsi" w:hAnsiTheme="minorHAnsi" w:cstheme="minorHAnsi"/>
                <w:bCs w:val="0"/>
                <w:i/>
                <w:iCs/>
                <w:color w:val="000000"/>
                <w:sz w:val="20"/>
                <w:szCs w:val="20"/>
              </w:rPr>
              <w:t>Varianta 0 dle výpočtů z RIA k novému stavebnímu zákonu a dalších materiálů</w:t>
            </w:r>
          </w:p>
        </w:tc>
        <w:tc>
          <w:tcPr>
            <w:tcW w:w="2975"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7BC10AD0" w14:textId="77777777" w:rsidR="00B92EA5" w:rsidRPr="00A17704" w:rsidRDefault="00B92EA5" w:rsidP="00197E1E">
            <w:pPr>
              <w:widowControl w:v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color w:val="000000"/>
                <w:sz w:val="20"/>
                <w:szCs w:val="20"/>
              </w:rPr>
            </w:pPr>
            <w:r>
              <w:rPr>
                <w:rFonts w:asciiTheme="minorHAnsi" w:hAnsiTheme="minorHAnsi" w:cstheme="minorHAnsi"/>
                <w:bCs w:val="0"/>
                <w:i/>
                <w:color w:val="000000"/>
                <w:sz w:val="20"/>
                <w:szCs w:val="20"/>
              </w:rPr>
              <w:t>Varianta 1</w:t>
            </w:r>
          </w:p>
        </w:tc>
        <w:tc>
          <w:tcPr>
            <w:tcW w:w="29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C8C06E" w14:textId="77777777" w:rsidR="00B92EA5" w:rsidRDefault="00B92EA5" w:rsidP="00197E1E">
            <w:pPr>
              <w:widowControl w:v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color w:val="000000"/>
                <w:sz w:val="20"/>
                <w:szCs w:val="20"/>
              </w:rPr>
            </w:pPr>
            <w:r>
              <w:rPr>
                <w:rFonts w:asciiTheme="minorHAnsi" w:hAnsiTheme="minorHAnsi" w:cstheme="minorHAnsi"/>
                <w:bCs w:val="0"/>
                <w:i/>
                <w:color w:val="000000"/>
                <w:sz w:val="20"/>
                <w:szCs w:val="20"/>
              </w:rPr>
              <w:t>Varianta 2</w:t>
            </w:r>
          </w:p>
        </w:tc>
      </w:tr>
      <w:tr w:rsidR="00B92EA5" w:rsidRPr="0062790A" w14:paraId="481CB57B" w14:textId="77777777" w:rsidTr="00197E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926" w:type="dxa"/>
            <w:gridSpan w:val="3"/>
            <w:tcBorders>
              <w:top w:val="single" w:sz="4" w:space="0" w:color="auto"/>
              <w:left w:val="single" w:sz="4" w:space="0" w:color="auto"/>
              <w:bottom w:val="single" w:sz="4" w:space="0" w:color="auto"/>
              <w:right w:val="single" w:sz="4" w:space="0" w:color="auto"/>
            </w:tcBorders>
            <w:shd w:val="clear" w:color="auto" w:fill="FDF97D" w:themeFill="accent1" w:themeFillTint="66"/>
            <w:noWrap/>
            <w:tcMar>
              <w:left w:w="57" w:type="dxa"/>
              <w:right w:w="57" w:type="dxa"/>
            </w:tcMar>
            <w:vAlign w:val="center"/>
            <w:hideMark/>
          </w:tcPr>
          <w:p w14:paraId="5804B83C" w14:textId="2C2408B6" w:rsidR="00B92EA5" w:rsidRPr="0062790A" w:rsidRDefault="00B92EA5" w:rsidP="00197E1E">
            <w:pPr>
              <w:widowControl w:val="0"/>
              <w:spacing w:beforeLines="40" w:before="96" w:afterLines="40" w:after="96"/>
              <w:rPr>
                <w:rFonts w:asciiTheme="minorHAnsi" w:hAnsiTheme="minorHAnsi" w:cstheme="minorHAnsi"/>
                <w:bCs w:val="0"/>
                <w:color w:val="000000"/>
                <w:sz w:val="20"/>
                <w:szCs w:val="20"/>
              </w:rPr>
            </w:pPr>
            <w:r w:rsidRPr="005F152F">
              <w:rPr>
                <w:rFonts w:asciiTheme="minorHAnsi" w:hAnsiTheme="minorHAnsi" w:cstheme="minorHAnsi"/>
                <w:iCs/>
                <w:smallCaps/>
                <w:color w:val="000000"/>
                <w:sz w:val="28"/>
                <w:szCs w:val="28"/>
              </w:rPr>
              <w:t xml:space="preserve">Náklady jednorázové </w:t>
            </w:r>
          </w:p>
        </w:tc>
      </w:tr>
      <w:tr w:rsidR="00B92EA5" w:rsidRPr="0062790A" w14:paraId="1D4BE6B5" w14:textId="77777777" w:rsidTr="00197E1E">
        <w:trPr>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106B07CD" w14:textId="77777777" w:rsidR="00B92EA5" w:rsidRPr="00824EC0" w:rsidRDefault="00B92EA5" w:rsidP="00197E1E">
            <w:pPr>
              <w:widowControl w:val="0"/>
              <w:spacing w:beforeLines="40" w:before="96" w:afterLines="40" w:after="96"/>
              <w:jc w:val="center"/>
              <w:rPr>
                <w:rFonts w:asciiTheme="minorHAnsi" w:hAnsiTheme="minorHAnsi" w:cstheme="minorHAnsi"/>
                <w:b w:val="0"/>
                <w:bCs w:val="0"/>
                <w:color w:val="000000"/>
                <w:sz w:val="20"/>
                <w:szCs w:val="20"/>
              </w:rPr>
            </w:pPr>
            <w:r w:rsidRPr="00824EC0">
              <w:rPr>
                <w:rFonts w:asciiTheme="minorHAnsi" w:hAnsiTheme="minorHAnsi" w:cstheme="minorHAnsi"/>
                <w:b w:val="0"/>
                <w:bCs w:val="0"/>
                <w:color w:val="000000"/>
                <w:sz w:val="20"/>
                <w:szCs w:val="20"/>
              </w:rPr>
              <w:t>Náklady spojené s vytvořením 1 pracovního místa (nákup výpočetní techniky a kancelářského vybavení aj.)</w:t>
            </w:r>
            <w:r w:rsidRPr="00824EC0">
              <w:rPr>
                <w:rFonts w:asciiTheme="minorHAnsi" w:hAnsiTheme="minorHAnsi" w:cstheme="minorHAnsi"/>
                <w:b w:val="0"/>
                <w:bCs w:val="0"/>
                <w:sz w:val="20"/>
                <w:szCs w:val="20"/>
              </w:rPr>
              <w:t xml:space="preserve"> </w:t>
            </w:r>
            <w:r w:rsidRPr="002D150A">
              <w:rPr>
                <w:rFonts w:asciiTheme="minorHAnsi" w:hAnsiTheme="minorHAnsi" w:cstheme="minorHAnsi"/>
                <w:sz w:val="20"/>
                <w:szCs w:val="20"/>
              </w:rPr>
              <w:t>100 tis. Kč na každé pracovní místo</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75170E53" w14:textId="77777777" w:rsidR="00B92EA5" w:rsidRPr="00C015AD" w:rsidRDefault="00B92EA5" w:rsidP="00197E1E">
            <w:pPr>
              <w:pStyle w:val="Default"/>
              <w:spacing w:beforeLines="40" w:before="96" w:afterLines="40" w:after="96"/>
              <w:ind w:right="-2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Dochází k přesunu 1078 pracovních úvazků (z obcí II. a I. typu na ORP a jejich detašovaná pracoviště)</w:t>
            </w:r>
            <w:r w:rsidRPr="002D150A">
              <w:rPr>
                <w:rFonts w:asciiTheme="minorHAnsi" w:hAnsiTheme="minorHAnsi" w:cstheme="minorHAnsi"/>
                <w:sz w:val="20"/>
                <w:szCs w:val="20"/>
              </w:rPr>
              <w:t xml:space="preserve"> </w:t>
            </w:r>
            <w:r w:rsidRPr="002D150A">
              <w:rPr>
                <w:rFonts w:asciiTheme="minorHAnsi" w:hAnsiTheme="minorHAnsi" w:cstheme="minorHAnsi"/>
                <w:b/>
                <w:bCs/>
                <w:sz w:val="20"/>
                <w:szCs w:val="20"/>
              </w:rPr>
              <w:t>100 tis. Kč na každé pracovní místo</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08D719A" w14:textId="77777777" w:rsidR="00B92EA5" w:rsidRPr="00C015AD" w:rsidRDefault="00B92EA5" w:rsidP="00197E1E">
            <w:pPr>
              <w:pStyle w:val="Default"/>
              <w:spacing w:beforeLines="40" w:before="96" w:afterLines="40" w:after="96"/>
              <w:ind w:right="-2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Dochází k přesunu 372 pracovních úvazků (ze zrušených SÚ)</w:t>
            </w:r>
            <w:r w:rsidRPr="002D150A">
              <w:rPr>
                <w:rFonts w:asciiTheme="minorHAnsi" w:hAnsiTheme="minorHAnsi" w:cstheme="minorHAnsi"/>
                <w:sz w:val="20"/>
                <w:szCs w:val="20"/>
              </w:rPr>
              <w:t xml:space="preserve"> </w:t>
            </w:r>
            <w:r w:rsidRPr="002D150A">
              <w:rPr>
                <w:rFonts w:asciiTheme="minorHAnsi" w:hAnsiTheme="minorHAnsi" w:cstheme="minorHAnsi"/>
                <w:b/>
                <w:bCs/>
                <w:sz w:val="20"/>
                <w:szCs w:val="20"/>
              </w:rPr>
              <w:t>100 tis.</w:t>
            </w:r>
            <w:r>
              <w:rPr>
                <w:rFonts w:asciiTheme="minorHAnsi" w:hAnsiTheme="minorHAnsi" w:cstheme="minorHAnsi"/>
                <w:b/>
                <w:bCs/>
                <w:sz w:val="20"/>
                <w:szCs w:val="20"/>
              </w:rPr>
              <w:t> </w:t>
            </w:r>
            <w:r w:rsidRPr="002D150A">
              <w:rPr>
                <w:rFonts w:asciiTheme="minorHAnsi" w:hAnsiTheme="minorHAnsi" w:cstheme="minorHAnsi"/>
                <w:b/>
                <w:bCs/>
                <w:sz w:val="20"/>
                <w:szCs w:val="20"/>
              </w:rPr>
              <w:t>Kč na každé pracovní místo</w:t>
            </w:r>
          </w:p>
        </w:tc>
      </w:tr>
      <w:tr w:rsidR="00B92EA5" w:rsidRPr="0062790A" w14:paraId="428174E8" w14:textId="77777777" w:rsidTr="00197E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03DE655B" w14:textId="77777777" w:rsidR="00B92EA5" w:rsidRPr="00824EC0" w:rsidRDefault="00B92EA5" w:rsidP="00197E1E">
            <w:pPr>
              <w:widowControl w:val="0"/>
              <w:spacing w:beforeLines="40" w:before="96" w:afterLines="40" w:after="96"/>
              <w:jc w:val="center"/>
              <w:rPr>
                <w:rFonts w:asciiTheme="minorHAnsi" w:hAnsiTheme="minorHAnsi" w:cstheme="minorHAnsi"/>
                <w:b w:val="0"/>
                <w:bCs w:val="0"/>
                <w:color w:val="000000"/>
                <w:sz w:val="20"/>
                <w:szCs w:val="20"/>
              </w:rPr>
            </w:pPr>
            <w:r w:rsidRPr="00824EC0">
              <w:rPr>
                <w:rFonts w:asciiTheme="minorHAnsi" w:hAnsiTheme="minorHAnsi" w:cstheme="minorHAnsi"/>
                <w:b w:val="0"/>
                <w:bCs w:val="0"/>
                <w:color w:val="000000"/>
                <w:sz w:val="20"/>
                <w:szCs w:val="20"/>
              </w:rPr>
              <w:lastRenderedPageBreak/>
              <w:t>Jednorázové výdaje na zajištění vyšší specializace a profesionalizace zaměstnanců SÚ (zaškolení všech pracovníků, i na OSÚ a ÚÚP)</w:t>
            </w:r>
            <w:r w:rsidRPr="00C015AD">
              <w:rPr>
                <w:rFonts w:asciiTheme="minorHAnsi" w:hAnsiTheme="minorHAnsi" w:cstheme="minorHAnsi"/>
                <w:sz w:val="20"/>
                <w:szCs w:val="20"/>
              </w:rPr>
              <w:t xml:space="preserve"> 3 000 Kč na osobu</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05E2FEFF" w14:textId="77777777" w:rsidR="00B92EA5" w:rsidRPr="00C015AD" w:rsidRDefault="00B92EA5" w:rsidP="00197E1E">
            <w:pPr>
              <w:pStyle w:val="Default"/>
              <w:spacing w:beforeLines="40" w:before="96" w:afterLines="40" w:after="96"/>
              <w:ind w:right="-2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Dochází k přesunu 1078 pracovních úvazků (z obcí II. a I. typu na ORP a jejich detašovaná pracoviště)</w:t>
            </w:r>
            <w:r w:rsidRPr="00C015AD">
              <w:rPr>
                <w:rFonts w:asciiTheme="minorHAnsi" w:hAnsiTheme="minorHAnsi" w:cstheme="minorHAnsi"/>
                <w:sz w:val="20"/>
                <w:szCs w:val="20"/>
              </w:rPr>
              <w:t xml:space="preserve"> </w:t>
            </w:r>
            <w:r w:rsidRPr="002D150A">
              <w:rPr>
                <w:rFonts w:asciiTheme="minorHAnsi" w:hAnsiTheme="minorHAnsi" w:cstheme="minorHAnsi"/>
                <w:b/>
                <w:bCs/>
                <w:sz w:val="20"/>
                <w:szCs w:val="20"/>
              </w:rPr>
              <w:t>3 000 Kč na osobu</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705D332F" w14:textId="77777777" w:rsidR="00B92EA5" w:rsidRPr="00C015AD" w:rsidRDefault="00B92EA5" w:rsidP="00197E1E">
            <w:pPr>
              <w:pStyle w:val="Default"/>
              <w:spacing w:beforeLines="40" w:before="96" w:afterLines="40" w:after="96"/>
              <w:ind w:right="-2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Dochází k přesunu 372 pracovních úvazků (ze zrušených SÚ)</w:t>
            </w:r>
            <w:r w:rsidRPr="00C015AD">
              <w:rPr>
                <w:rFonts w:asciiTheme="minorHAnsi" w:hAnsiTheme="minorHAnsi" w:cstheme="minorHAnsi"/>
                <w:sz w:val="20"/>
                <w:szCs w:val="20"/>
              </w:rPr>
              <w:t xml:space="preserve"> </w:t>
            </w:r>
            <w:r w:rsidRPr="002D150A">
              <w:rPr>
                <w:rFonts w:asciiTheme="minorHAnsi" w:hAnsiTheme="minorHAnsi" w:cstheme="minorHAnsi"/>
                <w:b/>
                <w:bCs/>
                <w:sz w:val="20"/>
                <w:szCs w:val="20"/>
              </w:rPr>
              <w:t>3 000 Kč na osobu</w:t>
            </w:r>
          </w:p>
        </w:tc>
      </w:tr>
      <w:tr w:rsidR="00B92EA5" w:rsidRPr="0062790A" w14:paraId="7F5F92F5" w14:textId="77777777" w:rsidTr="00197E1E">
        <w:trPr>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7B6EB23B" w14:textId="77777777" w:rsidR="00B92EA5" w:rsidRPr="00824EC0" w:rsidRDefault="00B92EA5" w:rsidP="00197E1E">
            <w:pPr>
              <w:widowControl w:val="0"/>
              <w:spacing w:beforeLines="40" w:before="96" w:afterLines="40" w:after="96"/>
              <w:contextualSpacing/>
              <w:jc w:val="center"/>
              <w:rPr>
                <w:rFonts w:asciiTheme="minorHAnsi" w:hAnsiTheme="minorHAnsi" w:cstheme="minorHAnsi"/>
                <w:b w:val="0"/>
                <w:bCs w:val="0"/>
                <w:sz w:val="20"/>
                <w:szCs w:val="20"/>
              </w:rPr>
            </w:pPr>
            <w:r w:rsidRPr="00824EC0">
              <w:rPr>
                <w:rFonts w:asciiTheme="minorHAnsi" w:hAnsiTheme="minorHAnsi" w:cstheme="minorHAnsi"/>
                <w:b w:val="0"/>
                <w:bCs w:val="0"/>
                <w:color w:val="000000"/>
                <w:sz w:val="20"/>
                <w:szCs w:val="20"/>
              </w:rPr>
              <w:t xml:space="preserve">Náklady na migraci digitálních dat </w:t>
            </w:r>
            <w:r w:rsidRPr="00C015AD">
              <w:rPr>
                <w:rFonts w:asciiTheme="minorHAnsi" w:hAnsiTheme="minorHAnsi" w:cstheme="minorHAnsi"/>
                <w:color w:val="000000"/>
                <w:sz w:val="20"/>
                <w:szCs w:val="20"/>
              </w:rPr>
              <w:t>Řádově desítky mil. Kč</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60B88C59" w14:textId="77777777" w:rsidR="00B92EA5" w:rsidRPr="00C015AD" w:rsidRDefault="00B92EA5" w:rsidP="00197E1E">
            <w:pPr>
              <w:autoSpaceDE w:val="0"/>
              <w:autoSpaceDN w:val="0"/>
              <w:adjustRightInd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15AD">
              <w:rPr>
                <w:rFonts w:asciiTheme="minorHAnsi" w:hAnsiTheme="minorHAnsi" w:cstheme="minorHAnsi"/>
                <w:color w:val="000000"/>
                <w:sz w:val="20"/>
                <w:szCs w:val="20"/>
              </w:rPr>
              <w:t>Řádově mil. Kč</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2ED298C" w14:textId="77777777" w:rsidR="00B92EA5" w:rsidRPr="00C015AD" w:rsidRDefault="00B92EA5" w:rsidP="00197E1E">
            <w:pPr>
              <w:autoSpaceDE w:val="0"/>
              <w:autoSpaceDN w:val="0"/>
              <w:adjustRightInd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15AD">
              <w:rPr>
                <w:rFonts w:asciiTheme="minorHAnsi" w:hAnsiTheme="minorHAnsi" w:cstheme="minorHAnsi"/>
                <w:color w:val="000000"/>
                <w:sz w:val="20"/>
                <w:szCs w:val="20"/>
              </w:rPr>
              <w:t>Řádově mil. Kč</w:t>
            </w:r>
          </w:p>
        </w:tc>
      </w:tr>
      <w:tr w:rsidR="00B92EA5" w:rsidRPr="0062790A" w14:paraId="048566F5" w14:textId="77777777" w:rsidTr="00197E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1095BC90" w14:textId="77777777" w:rsidR="00B92EA5" w:rsidRPr="00824EC0" w:rsidRDefault="00B92EA5" w:rsidP="00197E1E">
            <w:pPr>
              <w:widowControl w:val="0"/>
              <w:spacing w:beforeLines="40" w:before="96" w:afterLines="40" w:after="96"/>
              <w:jc w:val="center"/>
              <w:rPr>
                <w:rFonts w:asciiTheme="minorHAnsi" w:hAnsiTheme="minorHAnsi" w:cstheme="minorHAnsi"/>
                <w:b w:val="0"/>
                <w:bCs w:val="0"/>
                <w:color w:val="000000"/>
                <w:sz w:val="20"/>
                <w:szCs w:val="20"/>
              </w:rPr>
            </w:pPr>
            <w:r w:rsidRPr="00824EC0">
              <w:rPr>
                <w:rFonts w:asciiTheme="minorHAnsi" w:hAnsiTheme="minorHAnsi" w:cstheme="minorHAnsi"/>
                <w:b w:val="0"/>
                <w:bCs w:val="0"/>
                <w:color w:val="000000"/>
                <w:sz w:val="20"/>
                <w:szCs w:val="20"/>
              </w:rPr>
              <w:t xml:space="preserve">Náklady na spisovou rozluku živých spisů (stěhování archiválií, pokud bude nutné, bude možné realizovat postupně) </w:t>
            </w:r>
            <w:r w:rsidRPr="00C015AD">
              <w:rPr>
                <w:rFonts w:asciiTheme="minorHAnsi" w:hAnsiTheme="minorHAnsi" w:cstheme="minorHAnsi"/>
                <w:color w:val="000000"/>
                <w:sz w:val="20"/>
                <w:szCs w:val="20"/>
              </w:rPr>
              <w:t>Řádově desítky mil. Kč</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5B6FA804" w14:textId="77777777" w:rsidR="00B92EA5" w:rsidRPr="00C015AD"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15AD">
              <w:rPr>
                <w:rFonts w:asciiTheme="minorHAnsi" w:hAnsiTheme="minorHAnsi" w:cstheme="minorHAnsi"/>
                <w:color w:val="000000"/>
                <w:sz w:val="20"/>
                <w:szCs w:val="20"/>
              </w:rPr>
              <w:t>Řádově mil. Kč</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58D9B22" w14:textId="77777777" w:rsidR="00B92EA5" w:rsidRPr="00C015AD"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15AD">
              <w:rPr>
                <w:rFonts w:asciiTheme="minorHAnsi" w:hAnsiTheme="minorHAnsi" w:cstheme="minorHAnsi"/>
                <w:color w:val="000000"/>
                <w:sz w:val="20"/>
                <w:szCs w:val="20"/>
              </w:rPr>
              <w:t>Řádově mil. Kč</w:t>
            </w:r>
          </w:p>
        </w:tc>
      </w:tr>
      <w:tr w:rsidR="00B92EA5" w:rsidRPr="0062790A" w14:paraId="51A140AD" w14:textId="77777777" w:rsidTr="00197E1E">
        <w:trPr>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0CCB854C" w14:textId="77777777" w:rsidR="00B92EA5" w:rsidRPr="00C015AD" w:rsidRDefault="00B92EA5" w:rsidP="00197E1E">
            <w:pPr>
              <w:widowControl w:val="0"/>
              <w:spacing w:beforeLines="40" w:before="96" w:afterLines="40" w:after="96"/>
              <w:jc w:val="center"/>
              <w:rPr>
                <w:rFonts w:asciiTheme="minorHAnsi" w:hAnsiTheme="minorHAnsi" w:cstheme="minorHAnsi"/>
                <w:bCs w:val="0"/>
                <w:sz w:val="20"/>
                <w:szCs w:val="20"/>
              </w:rPr>
            </w:pPr>
            <w:r>
              <w:rPr>
                <w:rFonts w:asciiTheme="minorHAnsi" w:hAnsiTheme="minorHAnsi" w:cstheme="minorHAnsi"/>
                <w:bCs w:val="0"/>
                <w:smallCaps/>
                <w:color w:val="000000"/>
                <w:sz w:val="28"/>
                <w:szCs w:val="28"/>
              </w:rPr>
              <w:t>3,5</w:t>
            </w:r>
            <w:r w:rsidRPr="00C015AD">
              <w:rPr>
                <w:rFonts w:asciiTheme="minorHAnsi" w:hAnsiTheme="minorHAnsi" w:cstheme="minorHAnsi"/>
                <w:bCs w:val="0"/>
                <w:smallCaps/>
                <w:color w:val="000000"/>
                <w:sz w:val="28"/>
                <w:szCs w:val="28"/>
              </w:rPr>
              <w:t xml:space="preserve"> mld. Kč</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76C5623D" w14:textId="77777777" w:rsidR="00B92EA5" w:rsidRPr="00C015AD" w:rsidRDefault="00B92EA5" w:rsidP="00197E1E">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Pr>
                <w:rFonts w:asciiTheme="minorHAnsi" w:hAnsiTheme="minorHAnsi" w:cstheme="minorHAnsi"/>
                <w:b/>
                <w:color w:val="000000"/>
                <w:sz w:val="20"/>
                <w:szCs w:val="20"/>
              </w:rPr>
              <w:t>Více než 100 mil. Kč</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D56AFC1" w14:textId="77777777" w:rsidR="00B92EA5" w:rsidRPr="00C015AD" w:rsidRDefault="00B92EA5" w:rsidP="00197E1E">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Pr>
                <w:rFonts w:asciiTheme="minorHAnsi" w:hAnsiTheme="minorHAnsi" w:cstheme="minorHAnsi"/>
                <w:b/>
                <w:color w:val="000000"/>
                <w:sz w:val="20"/>
                <w:szCs w:val="20"/>
              </w:rPr>
              <w:t>Do 100 mil. Kč</w:t>
            </w:r>
          </w:p>
        </w:tc>
      </w:tr>
      <w:tr w:rsidR="00B92EA5" w:rsidRPr="0062790A" w14:paraId="44C78659" w14:textId="77777777" w:rsidTr="00197E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926" w:type="dxa"/>
            <w:gridSpan w:val="3"/>
            <w:tcBorders>
              <w:top w:val="single" w:sz="4" w:space="0" w:color="auto"/>
              <w:left w:val="single" w:sz="4" w:space="0" w:color="auto"/>
              <w:bottom w:val="single" w:sz="4" w:space="0" w:color="auto"/>
              <w:right w:val="single" w:sz="4" w:space="0" w:color="auto"/>
            </w:tcBorders>
            <w:shd w:val="clear" w:color="auto" w:fill="FDF97D" w:themeFill="accent1" w:themeFillTint="66"/>
            <w:noWrap/>
            <w:tcMar>
              <w:left w:w="57" w:type="dxa"/>
              <w:right w:w="57" w:type="dxa"/>
            </w:tcMar>
            <w:vAlign w:val="center"/>
            <w:hideMark/>
          </w:tcPr>
          <w:p w14:paraId="105916AC" w14:textId="7965D164" w:rsidR="00B92EA5" w:rsidRPr="0062790A" w:rsidRDefault="00B92EA5" w:rsidP="00B92EA5">
            <w:pPr>
              <w:widowControl w:val="0"/>
              <w:spacing w:beforeLines="40" w:before="96" w:afterLines="40" w:after="96"/>
              <w:jc w:val="left"/>
              <w:rPr>
                <w:rFonts w:asciiTheme="minorHAnsi" w:hAnsiTheme="minorHAnsi" w:cstheme="minorHAnsi"/>
                <w:bCs w:val="0"/>
                <w:color w:val="000000"/>
                <w:sz w:val="20"/>
                <w:szCs w:val="20"/>
              </w:rPr>
            </w:pPr>
            <w:r w:rsidRPr="00223FC4">
              <w:rPr>
                <w:rFonts w:asciiTheme="minorHAnsi" w:hAnsiTheme="minorHAnsi" w:cstheme="minorHAnsi"/>
                <w:iCs/>
                <w:smallCaps/>
                <w:color w:val="000000"/>
                <w:sz w:val="28"/>
                <w:szCs w:val="28"/>
              </w:rPr>
              <w:t>Roční provozní náklady</w:t>
            </w:r>
          </w:p>
        </w:tc>
      </w:tr>
      <w:tr w:rsidR="00B92EA5" w:rsidRPr="0062790A" w14:paraId="0AD2BF62" w14:textId="77777777" w:rsidTr="00197E1E">
        <w:trPr>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3579D136" w14:textId="77777777" w:rsidR="00B92EA5" w:rsidRPr="003F49BF" w:rsidRDefault="00B92EA5" w:rsidP="00197E1E">
            <w:pPr>
              <w:widowControl w:val="0"/>
              <w:spacing w:beforeLines="40" w:before="96" w:afterLines="40" w:after="96"/>
              <w:jc w:val="center"/>
              <w:rPr>
                <w:rFonts w:asciiTheme="minorHAnsi" w:hAnsiTheme="minorHAnsi" w:cstheme="minorHAnsi"/>
                <w:b w:val="0"/>
                <w:bCs w:val="0"/>
                <w:color w:val="000000"/>
                <w:sz w:val="20"/>
                <w:szCs w:val="20"/>
              </w:rPr>
            </w:pPr>
            <w:r w:rsidRPr="003F49BF">
              <w:rPr>
                <w:rFonts w:asciiTheme="minorHAnsi" w:hAnsiTheme="minorHAnsi" w:cstheme="minorHAnsi"/>
                <w:b w:val="0"/>
                <w:bCs w:val="0"/>
                <w:color w:val="000000"/>
                <w:sz w:val="20"/>
                <w:szCs w:val="20"/>
              </w:rPr>
              <w:t>Mzdové a ostatní provozní náklady</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1D5BC608" w14:textId="77777777" w:rsidR="00B92EA5" w:rsidRPr="00223FC4" w:rsidRDefault="00B92EA5" w:rsidP="00197E1E">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64C8EA56" w14:textId="77777777" w:rsidR="00B92EA5" w:rsidRPr="00223FC4" w:rsidRDefault="00B92EA5" w:rsidP="00197E1E">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92EA5" w:rsidRPr="0062790A" w14:paraId="40E71F52" w14:textId="77777777" w:rsidTr="00197E1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204D9C8" w14:textId="77777777" w:rsidR="00B92EA5" w:rsidRPr="00C015AD" w:rsidRDefault="00B92EA5" w:rsidP="00197E1E">
            <w:pPr>
              <w:widowControl w:val="0"/>
              <w:spacing w:beforeLines="40" w:before="96" w:afterLines="40" w:after="96"/>
              <w:jc w:val="center"/>
              <w:rPr>
                <w:rFonts w:asciiTheme="minorHAnsi" w:hAnsiTheme="minorHAnsi" w:cstheme="minorHAnsi"/>
                <w:bCs w:val="0"/>
                <w:color w:val="000000"/>
                <w:sz w:val="20"/>
                <w:szCs w:val="20"/>
              </w:rPr>
            </w:pPr>
            <w:r w:rsidRPr="00C015AD">
              <w:rPr>
                <w:rFonts w:asciiTheme="minorHAnsi" w:hAnsiTheme="minorHAnsi" w:cstheme="minorHAnsi"/>
                <w:bCs w:val="0"/>
                <w:smallCaps/>
                <w:color w:val="000000"/>
                <w:sz w:val="28"/>
                <w:szCs w:val="28"/>
              </w:rPr>
              <w:t>4 mld. Kč za rok</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tcPr>
          <w:p w14:paraId="1F23BCED" w14:textId="77777777" w:rsidR="00B92EA5" w:rsidRPr="0048670F"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48670F">
              <w:rPr>
                <w:rFonts w:asciiTheme="minorHAnsi" w:hAnsiTheme="minorHAnsi" w:cstheme="minorHAnsi"/>
                <w:bCs/>
                <w:color w:val="000000"/>
                <w:sz w:val="20"/>
                <w:szCs w:val="20"/>
              </w:rPr>
              <w:t xml:space="preserve">Teoreticky, pokud by byl zachován obdobný počet pracovních pozic (agenda bude objemově ve všech variantách stejná), </w:t>
            </w:r>
            <w:r>
              <w:rPr>
                <w:rFonts w:asciiTheme="minorHAnsi" w:hAnsiTheme="minorHAnsi" w:cstheme="minorHAnsi"/>
                <w:bCs/>
                <w:color w:val="000000"/>
                <w:sz w:val="20"/>
                <w:szCs w:val="20"/>
              </w:rPr>
              <w:t>měly by být</w:t>
            </w:r>
            <w:r w:rsidRPr="0048670F">
              <w:rPr>
                <w:rFonts w:asciiTheme="minorHAnsi" w:hAnsiTheme="minorHAnsi" w:cstheme="minorHAnsi"/>
                <w:bCs/>
                <w:color w:val="000000"/>
                <w:sz w:val="20"/>
                <w:szCs w:val="20"/>
              </w:rPr>
              <w:t xml:space="preserve"> náklady obdobné</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9139FD2" w14:textId="77777777" w:rsidR="00B92EA5" w:rsidRPr="00C015AD"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48670F">
              <w:rPr>
                <w:rFonts w:asciiTheme="minorHAnsi" w:hAnsiTheme="minorHAnsi" w:cstheme="minorHAnsi"/>
                <w:bCs/>
                <w:color w:val="000000"/>
                <w:sz w:val="20"/>
                <w:szCs w:val="20"/>
              </w:rPr>
              <w:t xml:space="preserve">Teoreticky, pokud by byl zachován obdobný počet pracovních pozic (agenda bude objemově ve všech variantách stejná), </w:t>
            </w:r>
            <w:r>
              <w:rPr>
                <w:rFonts w:asciiTheme="minorHAnsi" w:hAnsiTheme="minorHAnsi" w:cstheme="minorHAnsi"/>
                <w:bCs/>
                <w:color w:val="000000"/>
                <w:sz w:val="20"/>
                <w:szCs w:val="20"/>
              </w:rPr>
              <w:t>měly by být</w:t>
            </w:r>
            <w:r w:rsidRPr="0048670F">
              <w:rPr>
                <w:rFonts w:asciiTheme="minorHAnsi" w:hAnsiTheme="minorHAnsi" w:cstheme="minorHAnsi"/>
                <w:bCs/>
                <w:color w:val="000000"/>
                <w:sz w:val="20"/>
                <w:szCs w:val="20"/>
              </w:rPr>
              <w:t xml:space="preserve"> náklady obdobné</w:t>
            </w:r>
          </w:p>
        </w:tc>
      </w:tr>
      <w:tr w:rsidR="00B92EA5" w:rsidRPr="0062790A" w14:paraId="68921FB1" w14:textId="77777777" w:rsidTr="00197E1E">
        <w:trPr>
          <w:trHeight w:val="454"/>
        </w:trPr>
        <w:tc>
          <w:tcPr>
            <w:cnfStyle w:val="001000000000" w:firstRow="0" w:lastRow="0" w:firstColumn="1" w:lastColumn="0" w:oddVBand="0" w:evenVBand="0" w:oddHBand="0" w:evenHBand="0" w:firstRowFirstColumn="0" w:firstRowLastColumn="0" w:lastRowFirstColumn="0" w:lastRowLastColumn="0"/>
            <w:tcW w:w="8926" w:type="dxa"/>
            <w:gridSpan w:val="3"/>
            <w:tcBorders>
              <w:top w:val="single" w:sz="4" w:space="0" w:color="auto"/>
              <w:left w:val="single" w:sz="4" w:space="0" w:color="auto"/>
              <w:bottom w:val="single" w:sz="4" w:space="0" w:color="auto"/>
              <w:right w:val="single" w:sz="4" w:space="0" w:color="auto"/>
            </w:tcBorders>
            <w:shd w:val="clear" w:color="auto" w:fill="FDF97D" w:themeFill="accent1" w:themeFillTint="66"/>
            <w:noWrap/>
            <w:tcMar>
              <w:left w:w="57" w:type="dxa"/>
              <w:right w:w="57" w:type="dxa"/>
            </w:tcMar>
            <w:vAlign w:val="center"/>
            <w:hideMark/>
          </w:tcPr>
          <w:p w14:paraId="59F008E5" w14:textId="3F6C3F47" w:rsidR="00B92EA5" w:rsidRPr="0062790A" w:rsidRDefault="00B92EA5" w:rsidP="00B92EA5">
            <w:pPr>
              <w:widowControl w:val="0"/>
              <w:spacing w:beforeLines="40" w:before="96" w:afterLines="40" w:after="96"/>
              <w:jc w:val="left"/>
              <w:rPr>
                <w:rFonts w:asciiTheme="minorHAnsi" w:hAnsiTheme="minorHAnsi" w:cstheme="minorHAnsi"/>
                <w:bCs w:val="0"/>
                <w:color w:val="000000"/>
                <w:sz w:val="20"/>
                <w:szCs w:val="20"/>
              </w:rPr>
            </w:pPr>
            <w:r w:rsidRPr="00257620">
              <w:rPr>
                <w:rFonts w:asciiTheme="minorHAnsi" w:hAnsiTheme="minorHAnsi" w:cstheme="minorHAnsi"/>
                <w:iCs/>
                <w:smallCaps/>
                <w:color w:val="000000"/>
                <w:sz w:val="28"/>
                <w:szCs w:val="28"/>
              </w:rPr>
              <w:t>Roční přínosy</w:t>
            </w:r>
          </w:p>
        </w:tc>
      </w:tr>
      <w:tr w:rsidR="00B92EA5" w:rsidRPr="0062790A" w14:paraId="4A6C3DAA" w14:textId="77777777" w:rsidTr="0047030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5C1BB654" w14:textId="0528127D" w:rsidR="00470308" w:rsidRDefault="00470308" w:rsidP="00470308">
            <w:pPr>
              <w:widowControl w:val="0"/>
              <w:spacing w:beforeLines="40" w:before="96" w:afterLines="40" w:after="96"/>
              <w:jc w:val="center"/>
              <w:rPr>
                <w:rFonts w:asciiTheme="minorHAnsi" w:hAnsiTheme="minorHAnsi" w:cstheme="minorHAnsi"/>
                <w:color w:val="000000"/>
                <w:sz w:val="20"/>
                <w:szCs w:val="20"/>
              </w:rPr>
            </w:pPr>
            <w:r>
              <w:rPr>
                <w:rFonts w:asciiTheme="minorHAnsi" w:hAnsiTheme="minorHAnsi" w:cstheme="minorHAnsi"/>
                <w:b w:val="0"/>
                <w:bCs w:val="0"/>
                <w:color w:val="000000"/>
                <w:sz w:val="20"/>
                <w:szCs w:val="20"/>
              </w:rPr>
              <w:t>Přímé přínosy pro investory/uživatele staveb (na základě IRR záměrů), multiplikační efekty u prostředků vložených do výstavby, úspory u v termínu realizovaných staveb</w:t>
            </w:r>
          </w:p>
          <w:p w14:paraId="488A9BAE" w14:textId="78F7F916" w:rsidR="00B92EA5" w:rsidRDefault="00B92EA5" w:rsidP="00470308">
            <w:pPr>
              <w:widowControl w:val="0"/>
              <w:spacing w:beforeLines="40" w:before="96" w:afterLines="40" w:after="96"/>
              <w:jc w:val="center"/>
              <w:rPr>
                <w:rFonts w:asciiTheme="minorHAnsi" w:hAnsiTheme="minorHAnsi" w:cstheme="minorHAnsi"/>
                <w:color w:val="000000"/>
                <w:sz w:val="20"/>
                <w:szCs w:val="20"/>
              </w:rPr>
            </w:pPr>
            <w:r w:rsidRPr="00196321">
              <w:rPr>
                <w:rFonts w:asciiTheme="minorHAnsi" w:hAnsiTheme="minorHAnsi" w:cstheme="minorHAnsi"/>
                <w:b w:val="0"/>
                <w:bCs w:val="0"/>
                <w:color w:val="000000"/>
                <w:sz w:val="20"/>
                <w:szCs w:val="20"/>
              </w:rPr>
              <w:t>Předpokládané roční globální přínosy ze zkrácení povolovacích procesů o rok 7,1 mld. Kč</w:t>
            </w:r>
            <w:r w:rsidRPr="00196321">
              <w:rPr>
                <w:rStyle w:val="Znakapoznpodarou"/>
                <w:rFonts w:asciiTheme="minorHAnsi" w:hAnsiTheme="minorHAnsi" w:cstheme="minorHAnsi"/>
                <w:b w:val="0"/>
                <w:bCs w:val="0"/>
                <w:color w:val="000000"/>
                <w:sz w:val="20"/>
                <w:szCs w:val="20"/>
              </w:rPr>
              <w:footnoteReference w:id="9"/>
            </w:r>
            <w:r w:rsidRPr="00196321">
              <w:rPr>
                <w:rFonts w:asciiTheme="minorHAnsi" w:hAnsiTheme="minorHAnsi" w:cstheme="minorHAnsi"/>
                <w:b w:val="0"/>
                <w:bCs w:val="0"/>
                <w:color w:val="000000"/>
                <w:sz w:val="20"/>
                <w:szCs w:val="20"/>
              </w:rPr>
              <w:t xml:space="preserve"> při zkrácení povolovacích procesů o 1 rok</w:t>
            </w:r>
          </w:p>
          <w:p w14:paraId="48D6B5B9" w14:textId="186CB897" w:rsidR="00470308" w:rsidRPr="00196321" w:rsidRDefault="00470308" w:rsidP="00197E1E">
            <w:pPr>
              <w:widowControl w:val="0"/>
              <w:spacing w:beforeLines="40" w:before="96" w:afterLines="40" w:after="96"/>
              <w:jc w:val="center"/>
              <w:rPr>
                <w:rFonts w:asciiTheme="minorHAnsi" w:hAnsiTheme="minorHAnsi" w:cstheme="minorHAnsi"/>
                <w:b w:val="0"/>
                <w:bCs w:val="0"/>
                <w:color w:val="000000"/>
                <w:sz w:val="20"/>
                <w:szCs w:val="20"/>
              </w:rPr>
            </w:pP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A3D20B3" w14:textId="77777777" w:rsidR="00470308" w:rsidRPr="00470308" w:rsidRDefault="00470308" w:rsidP="00470308">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0308">
              <w:rPr>
                <w:rFonts w:asciiTheme="minorHAnsi" w:hAnsiTheme="minorHAnsi" w:cstheme="minorHAnsi"/>
                <w:color w:val="000000"/>
                <w:sz w:val="20"/>
                <w:szCs w:val="20"/>
              </w:rPr>
              <w:t>Přímé přínosy pro investory/uživatele staveb (na základě IRR záměrů), multiplikační efekty u prostředků vložených do výstavby, úspory u v termínu realizovaných staveb</w:t>
            </w:r>
          </w:p>
          <w:p w14:paraId="70064DAD" w14:textId="4A3AAE18" w:rsidR="00B92EA5" w:rsidRPr="00196321"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96321">
              <w:rPr>
                <w:rFonts w:asciiTheme="minorHAnsi" w:hAnsiTheme="minorHAnsi" w:cstheme="minorHAnsi"/>
                <w:color w:val="000000"/>
                <w:sz w:val="20"/>
                <w:szCs w:val="20"/>
              </w:rPr>
              <w:t>Předpokládané roční globální přínosy ze zkrácení povolovacích procesů o rok 7,1 mld. Kč při zkrácení povolovacích procesů o 1 rok</w:t>
            </w:r>
            <w:r>
              <w:rPr>
                <w:rFonts w:asciiTheme="minorHAnsi" w:hAnsiTheme="minorHAnsi" w:cstheme="minorHAnsi"/>
                <w:color w:val="000000"/>
                <w:sz w:val="20"/>
                <w:szCs w:val="20"/>
              </w:rPr>
              <w:t>; předpokládá se menší zkrácení</w:t>
            </w:r>
            <w:r w:rsidR="008A1329">
              <w:rPr>
                <w:rFonts w:asciiTheme="minorHAnsi" w:hAnsiTheme="minorHAnsi" w:cstheme="minorHAnsi"/>
                <w:color w:val="000000"/>
                <w:sz w:val="20"/>
                <w:szCs w:val="20"/>
              </w:rPr>
              <w:t xml:space="preserve"> oproti Variantě 0</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61C6179" w14:textId="77777777" w:rsidR="00470308" w:rsidRPr="00470308" w:rsidRDefault="00470308" w:rsidP="00470308">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0308">
              <w:rPr>
                <w:rFonts w:asciiTheme="minorHAnsi" w:hAnsiTheme="minorHAnsi" w:cstheme="minorHAnsi"/>
                <w:color w:val="000000"/>
                <w:sz w:val="20"/>
                <w:szCs w:val="20"/>
              </w:rPr>
              <w:t>Přímé přínosy pro investory/uživatele staveb (na základě IRR záměrů), multiplikační efekty u prostředků vložených do výstavby, úspory u v termínu realizovaných staveb</w:t>
            </w:r>
          </w:p>
          <w:p w14:paraId="3CDECD06" w14:textId="0A0489C5" w:rsidR="00B92EA5" w:rsidRPr="00196321" w:rsidRDefault="00B92EA5" w:rsidP="00197E1E">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96321">
              <w:rPr>
                <w:rFonts w:asciiTheme="minorHAnsi" w:hAnsiTheme="minorHAnsi" w:cstheme="minorHAnsi"/>
                <w:color w:val="000000"/>
                <w:sz w:val="20"/>
                <w:szCs w:val="20"/>
              </w:rPr>
              <w:t>Předpokládané roční globální přínosy ze zkrácení povolovacích procesů o rok 7,1 mld. Kč při zkrácení povolovacích procesů o 1 rok</w:t>
            </w:r>
            <w:r>
              <w:rPr>
                <w:rFonts w:asciiTheme="minorHAnsi" w:hAnsiTheme="minorHAnsi" w:cstheme="minorHAnsi"/>
                <w:color w:val="000000"/>
                <w:sz w:val="20"/>
                <w:szCs w:val="20"/>
              </w:rPr>
              <w:t>; předpokládá se výrazně menší zkrácení</w:t>
            </w:r>
            <w:r w:rsidR="008A1329">
              <w:rPr>
                <w:rFonts w:asciiTheme="minorHAnsi" w:hAnsiTheme="minorHAnsi" w:cstheme="minorHAnsi"/>
                <w:color w:val="000000"/>
                <w:sz w:val="20"/>
                <w:szCs w:val="20"/>
              </w:rPr>
              <w:t xml:space="preserve"> oproti Variantě 0</w:t>
            </w:r>
          </w:p>
        </w:tc>
      </w:tr>
    </w:tbl>
    <w:p w14:paraId="761DDF42" w14:textId="06E6B139" w:rsidR="00FE0DCF" w:rsidRPr="00450372" w:rsidRDefault="00FE0DCF" w:rsidP="00FE0DCF">
      <w:pPr>
        <w:pStyle w:val="Normln-tun"/>
        <w:rPr>
          <w:u w:val="single"/>
        </w:rPr>
      </w:pPr>
      <w:r w:rsidRPr="00450372">
        <w:rPr>
          <w:u w:val="single"/>
        </w:rPr>
        <w:lastRenderedPageBreak/>
        <w:t>Ke koherenci</w:t>
      </w:r>
    </w:p>
    <w:p w14:paraId="4CCAEC98" w14:textId="743848B6" w:rsidR="00FE0DCF" w:rsidRPr="00450372" w:rsidRDefault="00013CE0" w:rsidP="00FE0DCF">
      <w:pPr>
        <w:pStyle w:val="Normln-tun"/>
      </w:pPr>
      <w:r w:rsidRPr="00450372">
        <w:t xml:space="preserve">Varianta 0 znamená </w:t>
      </w:r>
      <w:r w:rsidR="00DF58C5" w:rsidRPr="00450372">
        <w:t xml:space="preserve">totální změnu institucionálního uspořádání, která může mít vliv na spojený model veřejné správy. Varianta 0 je tak z tohoto pohledu hodnocena nejhůře. Nejlépe vychází varianta 2, poté varianta 1, která kvůli návrhu vzniku detašovaných pracovišť do modelu vnáší také prvek </w:t>
      </w:r>
      <w:r w:rsidR="00DF58C5" w:rsidRPr="001F40BE">
        <w:t>nesystémovosti.</w:t>
      </w:r>
      <w:r w:rsidR="002C01D9" w:rsidRPr="001F40BE">
        <w:t xml:space="preserve"> </w:t>
      </w:r>
      <w:r w:rsidR="00297776" w:rsidRPr="001F40BE">
        <w:t xml:space="preserve">Protože však i Varianty 1 a 2 zavádí prvky odlišné od výkonu státní správy v jiných oblastech politiky, </w:t>
      </w:r>
      <w:r w:rsidR="00273FEA" w:rsidRPr="001F40BE">
        <w:t>nema</w:t>
      </w:r>
      <w:r w:rsidR="00297776" w:rsidRPr="001F40BE">
        <w:t xml:space="preserve">jí </w:t>
      </w:r>
      <w:r w:rsidR="00273FEA" w:rsidRPr="001F40BE">
        <w:t>plný počet možných bodů</w:t>
      </w:r>
      <w:r w:rsidR="00297776" w:rsidRPr="001F40BE">
        <w:t>.</w:t>
      </w:r>
    </w:p>
    <w:p w14:paraId="730AEF7E" w14:textId="1F9BFCEA" w:rsidR="00FE0DCF" w:rsidRPr="00450372" w:rsidRDefault="00FE0DCF" w:rsidP="00FE0DCF">
      <w:pPr>
        <w:pStyle w:val="Normln-tun"/>
        <w:rPr>
          <w:u w:val="single"/>
        </w:rPr>
      </w:pPr>
      <w:r w:rsidRPr="00450372">
        <w:rPr>
          <w:u w:val="single"/>
        </w:rPr>
        <w:t>K proveditelnosti</w:t>
      </w:r>
    </w:p>
    <w:p w14:paraId="3F23D4EA" w14:textId="1DF8E68A" w:rsidR="00D16F1C" w:rsidRPr="00450372" w:rsidRDefault="0083191B" w:rsidP="00A173F5">
      <w:pPr>
        <w:pStyle w:val="Normln-tun"/>
      </w:pPr>
      <w:r w:rsidRPr="00450372">
        <w:t xml:space="preserve">Jak vyplývá z předcházející kapitoly, </w:t>
      </w:r>
      <w:r w:rsidR="00FE0DCF" w:rsidRPr="00450372">
        <w:tab/>
        <w:t xml:space="preserve">nejlépe proveditelné (z </w:t>
      </w:r>
      <w:r w:rsidR="0006004E" w:rsidRPr="0006004E">
        <w:t>technicko-administrativní</w:t>
      </w:r>
      <w:r w:rsidR="0006004E">
        <w:t>ho hlediska či</w:t>
      </w:r>
      <w:r w:rsidR="0006004E" w:rsidRPr="00450372">
        <w:t xml:space="preserve"> </w:t>
      </w:r>
      <w:r w:rsidR="0006004E">
        <w:t xml:space="preserve">z </w:t>
      </w:r>
      <w:r w:rsidR="00FE0DCF" w:rsidRPr="00450372">
        <w:t>pohledu</w:t>
      </w:r>
      <w:r w:rsidR="00E822B3">
        <w:t xml:space="preserve"> konsenzu mezi státem a územními partnery</w:t>
      </w:r>
      <w:r w:rsidR="00FE0DCF" w:rsidRPr="00450372">
        <w:t>) j</w:t>
      </w:r>
      <w:r w:rsidRPr="00450372">
        <w:t>e Varianta 2, dále pak Varianta 1 a v posledním případě Varianta 0.</w:t>
      </w:r>
    </w:p>
    <w:p w14:paraId="34062499" w14:textId="6355A129" w:rsidR="00EF2532" w:rsidRDefault="00FE0DCF" w:rsidP="00FE0DCF">
      <w:pPr>
        <w:pStyle w:val="Normln-tun"/>
      </w:pPr>
      <w:r w:rsidRPr="00450372">
        <w:t>Z </w:t>
      </w:r>
      <w:r w:rsidR="00C63B50" w:rsidRPr="00450372">
        <w:t>celkového</w:t>
      </w:r>
      <w:r w:rsidRPr="00450372">
        <w:t xml:space="preserve"> pohledu se jako nejvhodnější jeví Varianta V2.</w:t>
      </w:r>
    </w:p>
    <w:p w14:paraId="67149881" w14:textId="77777777" w:rsidR="00470308" w:rsidRDefault="00470308" w:rsidP="00FE0DCF">
      <w:pPr>
        <w:pStyle w:val="Normln-tun"/>
      </w:pPr>
    </w:p>
    <w:p w14:paraId="6B8BAED3" w14:textId="730C85B8" w:rsidR="00BD6BD3" w:rsidRDefault="00C63B50" w:rsidP="00BD6BD3">
      <w:pPr>
        <w:pStyle w:val="Nadpis10"/>
        <w:rPr>
          <w:rFonts w:eastAsia="MS Mincho"/>
        </w:rPr>
      </w:pPr>
      <w:bookmarkStart w:id="117" w:name="_Toc99544569"/>
      <w:r>
        <w:rPr>
          <w:rFonts w:eastAsia="MS Mincho"/>
        </w:rPr>
        <w:t>V</w:t>
      </w:r>
      <w:r w:rsidR="00BD6BD3" w:rsidRPr="00BD6BD3">
        <w:rPr>
          <w:rFonts w:eastAsia="MS Mincho"/>
        </w:rPr>
        <w:t>ýběr nejvhodnějšího řešení</w:t>
      </w:r>
      <w:bookmarkEnd w:id="117"/>
    </w:p>
    <w:p w14:paraId="7373FFAC" w14:textId="1869FB95" w:rsidR="00C63B50" w:rsidRDefault="00C63B50" w:rsidP="009B43CA">
      <w:pPr>
        <w:pStyle w:val="Normln-tun"/>
        <w:rPr>
          <w:szCs w:val="24"/>
        </w:rPr>
      </w:pPr>
      <w:r>
        <w:rPr>
          <w:szCs w:val="24"/>
        </w:rPr>
        <w:t xml:space="preserve">Na základě výše uvedeného hodnocení </w:t>
      </w:r>
      <w:r w:rsidR="004B4456">
        <w:rPr>
          <w:szCs w:val="24"/>
        </w:rPr>
        <w:t>doporučujeme</w:t>
      </w:r>
      <w:r>
        <w:rPr>
          <w:szCs w:val="24"/>
        </w:rPr>
        <w:t xml:space="preserve"> Variantu 2.</w:t>
      </w:r>
    </w:p>
    <w:p w14:paraId="2074E8AB" w14:textId="22FA859D" w:rsidR="002750B2" w:rsidRDefault="002750B2" w:rsidP="002750B2">
      <w:pPr>
        <w:pStyle w:val="Normln-tun"/>
        <w:rPr>
          <w:szCs w:val="24"/>
        </w:rPr>
      </w:pPr>
      <w:r>
        <w:rPr>
          <w:szCs w:val="24"/>
        </w:rPr>
        <w:t>Ve Variantě 2 navrhováno, aby stavební úřady v ORP byly do budoucna doplněny o vybrané stávající obecné stavební úřady, které jsou situovány na obcích I. a II. typu. V rámci této varianty se pak lze více či méně blížit současné existující institucionální struktuře v návaznosti na volbu konkrétních kritérií a jejich hodnot.</w:t>
      </w:r>
    </w:p>
    <w:p w14:paraId="61210898" w14:textId="7C140E70" w:rsidR="009B43CA" w:rsidRPr="00456AEC" w:rsidRDefault="00456AEC" w:rsidP="009B43CA">
      <w:pPr>
        <w:pStyle w:val="Normln-tun"/>
        <w:rPr>
          <w:szCs w:val="24"/>
        </w:rPr>
      </w:pPr>
      <w:r w:rsidRPr="00456AEC">
        <w:rPr>
          <w:szCs w:val="24"/>
        </w:rPr>
        <w:t>Jak již bylo uvedeno výše, d</w:t>
      </w:r>
      <w:r w:rsidR="009B43CA" w:rsidRPr="00456AEC">
        <w:rPr>
          <w:szCs w:val="24"/>
        </w:rPr>
        <w:t xml:space="preserve">le analýzy výkonu stavebních úřadů vycházející z pravidelného statistického zjišťování </w:t>
      </w:r>
      <w:r w:rsidRPr="00456AEC">
        <w:rPr>
          <w:szCs w:val="24"/>
        </w:rPr>
        <w:t>ÚÚR</w:t>
      </w:r>
      <w:r w:rsidR="009B43CA" w:rsidRPr="00456AEC">
        <w:rPr>
          <w:szCs w:val="24"/>
        </w:rPr>
        <w:t xml:space="preserve"> je celkové zatížení úřadů objemem agendy i jejich personální kapacita výrazně nerovnoměrná. Existuje velké množství úřadů se zcela minimálním výkonem agendy a zároveň s nízkým počtem zaměstnanců (často jeden či dva úředníci). To významně ovlivňuje funkčnost celého systému, kdy malé úřady mohou mít problém se zajištěním adekvátního personálního obsazení úřadů zajištujícího kvalitní výkon veřejné správy v této oblasti. </w:t>
      </w:r>
    </w:p>
    <w:p w14:paraId="4B539066" w14:textId="4BF5EB03" w:rsidR="009B43CA" w:rsidRDefault="009B43CA" w:rsidP="009B43CA">
      <w:pPr>
        <w:pStyle w:val="Normln-tun"/>
        <w:rPr>
          <w:szCs w:val="24"/>
        </w:rPr>
      </w:pPr>
      <w:r w:rsidRPr="00456AEC">
        <w:rPr>
          <w:szCs w:val="24"/>
        </w:rPr>
        <w:t xml:space="preserve">Zmíněná stávající soustava 694 stavebních úřadů je navíc značně nesourodá co do velikosti správních obvodů, počtu pracovních úvazků pro výkon správních činností i co do počtu úkonů ve stavebním řízení. K výběru funkčních stavebních úřadů je tak nutné zkoumat právě tato výše uvedená věcná kritéria, a nikoliv správní úroveň, na které stavební úřady v současnosti existují. Případné plošné ponechání stavebních úřadů na obcích II. typu, kterých je celkově 187, by neodpovídalo jejich významu ve stávající struktuře obecných stavebních úřadů. Proto </w:t>
      </w:r>
      <w:r w:rsidR="009D0E63">
        <w:rPr>
          <w:szCs w:val="24"/>
        </w:rPr>
        <w:t>je vhodné</w:t>
      </w:r>
      <w:r w:rsidRPr="00456AEC">
        <w:rPr>
          <w:szCs w:val="24"/>
        </w:rPr>
        <w:t xml:space="preserve"> zvol</w:t>
      </w:r>
      <w:r w:rsidR="009D0E63">
        <w:rPr>
          <w:szCs w:val="24"/>
        </w:rPr>
        <w:t>it</w:t>
      </w:r>
      <w:r w:rsidRPr="00456AEC">
        <w:rPr>
          <w:szCs w:val="24"/>
        </w:rPr>
        <w:t xml:space="preserve"> jiný způsob výběru dalších stavebních úřadů nad rámec ORP a Prahy s cílem vybrat z nich ty nejvíce potřebné. Zároveň je potřeba pro nastavení sítě identifikovat ta místa, kde dochází k výraznému náporu na stavební agendu, jako jsou např. aglomerace velkých měst nebo rekreační oblasti, a to tak, aby nedošlo k paralyzování celého systému.</w:t>
      </w:r>
      <w:r w:rsidR="004B4456" w:rsidRPr="00456AEC">
        <w:rPr>
          <w:szCs w:val="24"/>
        </w:rPr>
        <w:t xml:space="preserve"> </w:t>
      </w:r>
    </w:p>
    <w:p w14:paraId="5FD78972" w14:textId="77777777" w:rsidR="009B43CA" w:rsidRDefault="009B43CA" w:rsidP="009B43CA">
      <w:pPr>
        <w:pStyle w:val="Normln-tun"/>
        <w:rPr>
          <w:szCs w:val="24"/>
        </w:rPr>
      </w:pPr>
      <w:r>
        <w:rPr>
          <w:szCs w:val="24"/>
        </w:rPr>
        <w:t xml:space="preserve">Ke stanovení dodatečných stavebních úřadů byla využita jednotná kritéria. Obecným smyslem bylo vybrat takové stavební úřady, které </w:t>
      </w:r>
    </w:p>
    <w:p w14:paraId="6AC0C5EF" w14:textId="77777777" w:rsidR="009B43CA" w:rsidRDefault="009B43CA" w:rsidP="00613EB8">
      <w:pPr>
        <w:pStyle w:val="Normln-tun"/>
        <w:numPr>
          <w:ilvl w:val="0"/>
          <w:numId w:val="88"/>
        </w:numPr>
        <w:rPr>
          <w:szCs w:val="24"/>
        </w:rPr>
      </w:pPr>
      <w:r>
        <w:rPr>
          <w:szCs w:val="24"/>
        </w:rPr>
        <w:t xml:space="preserve">svou působnost vykonávají pro dostatečný počet klientů veřejné správy, </w:t>
      </w:r>
    </w:p>
    <w:p w14:paraId="007654C5" w14:textId="77777777" w:rsidR="009B43CA" w:rsidRDefault="009B43CA" w:rsidP="00613EB8">
      <w:pPr>
        <w:pStyle w:val="Normln-tun"/>
        <w:numPr>
          <w:ilvl w:val="0"/>
          <w:numId w:val="88"/>
        </w:numPr>
        <w:rPr>
          <w:szCs w:val="24"/>
        </w:rPr>
      </w:pPr>
      <w:r>
        <w:rPr>
          <w:szCs w:val="24"/>
        </w:rPr>
        <w:t xml:space="preserve">jsou dostatečně personálně vybavené a </w:t>
      </w:r>
    </w:p>
    <w:p w14:paraId="569EAF1B" w14:textId="77777777" w:rsidR="009B43CA" w:rsidRDefault="009B43CA" w:rsidP="00613EB8">
      <w:pPr>
        <w:pStyle w:val="Normln-tun"/>
        <w:numPr>
          <w:ilvl w:val="0"/>
          <w:numId w:val="88"/>
        </w:numPr>
        <w:rPr>
          <w:szCs w:val="24"/>
        </w:rPr>
      </w:pPr>
      <w:r>
        <w:rPr>
          <w:szCs w:val="24"/>
        </w:rPr>
        <w:t xml:space="preserve">činí každoročně dostatečný počet úkonů ve stavebním řízení, což ospravedlňuje jejich další existenci, neboť je o ně v území ze strany klientů veřejné správy zájem. </w:t>
      </w:r>
    </w:p>
    <w:p w14:paraId="20B078BA" w14:textId="77777777" w:rsidR="009B43CA" w:rsidRDefault="009B43CA" w:rsidP="009B43CA">
      <w:pPr>
        <w:pStyle w:val="Normln-tun"/>
        <w:rPr>
          <w:szCs w:val="24"/>
        </w:rPr>
      </w:pPr>
      <w:r>
        <w:rPr>
          <w:szCs w:val="24"/>
        </w:rPr>
        <w:t xml:space="preserve">Tato základní kritéria výběru stavebních úřadů byla doplněna </w:t>
      </w:r>
    </w:p>
    <w:p w14:paraId="2D143550" w14:textId="2821452A" w:rsidR="009B43CA" w:rsidRDefault="009B43CA" w:rsidP="00613EB8">
      <w:pPr>
        <w:pStyle w:val="Normln-tun"/>
        <w:numPr>
          <w:ilvl w:val="0"/>
          <w:numId w:val="88"/>
        </w:numPr>
        <w:rPr>
          <w:szCs w:val="24"/>
        </w:rPr>
      </w:pPr>
      <w:r>
        <w:rPr>
          <w:szCs w:val="24"/>
        </w:rPr>
        <w:lastRenderedPageBreak/>
        <w:t>pomocným kritériem maximální vzdálenosti tak, aby nová struktura obecn</w:t>
      </w:r>
      <w:r w:rsidR="00462668">
        <w:rPr>
          <w:szCs w:val="24"/>
        </w:rPr>
        <w:t>í</w:t>
      </w:r>
      <w:r>
        <w:rPr>
          <w:szCs w:val="24"/>
        </w:rPr>
        <w:t xml:space="preserve">ch stavebních úřadů mimo ORP a Prahu byla ve všech oblastech Česka skutečně fyzicky dostupná. </w:t>
      </w:r>
    </w:p>
    <w:p w14:paraId="7B4E0B4F" w14:textId="51A51C04" w:rsidR="009B43CA" w:rsidRDefault="009B43CA" w:rsidP="009B43CA">
      <w:pPr>
        <w:pStyle w:val="Normln-tun"/>
        <w:rPr>
          <w:szCs w:val="24"/>
        </w:rPr>
      </w:pPr>
      <w:r>
        <w:rPr>
          <w:szCs w:val="24"/>
        </w:rPr>
        <w:t>K zařazení do seznamu stavebních úřadů využitelných v nové struktuře obecn</w:t>
      </w:r>
      <w:r w:rsidR="00462668">
        <w:rPr>
          <w:szCs w:val="24"/>
        </w:rPr>
        <w:t>í</w:t>
      </w:r>
      <w:r>
        <w:rPr>
          <w:szCs w:val="24"/>
        </w:rPr>
        <w:t xml:space="preserve">ch stavebních úřadů postačilo splnění jednoho ze tří základních kritérií, resp. splnění pomocného kritéria dostupnosti v odůvodněných případech. Nicméně za zásadní je považováno dodržení personální kapacity daného úřadu. Nemělo by se tak do budoucna stát, že působnost stavebního úřadu bude na dané obci vykonávána pouze jednou úřední osobou. Z celkového navrženého počtu 165 stavebních úřadů, které mají doplňovat stavební úřady v ORP a Praze, </w:t>
      </w:r>
    </w:p>
    <w:p w14:paraId="7C14E050" w14:textId="77777777" w:rsidR="009B43CA" w:rsidRDefault="009B43CA" w:rsidP="00613EB8">
      <w:pPr>
        <w:pStyle w:val="Normln-tun"/>
        <w:numPr>
          <w:ilvl w:val="0"/>
          <w:numId w:val="88"/>
        </w:numPr>
        <w:rPr>
          <w:szCs w:val="24"/>
        </w:rPr>
      </w:pPr>
      <w:r>
        <w:rPr>
          <w:szCs w:val="24"/>
        </w:rPr>
        <w:t xml:space="preserve">27 z nich splňuje všechna tři kritéria (16 %), </w:t>
      </w:r>
    </w:p>
    <w:p w14:paraId="47EE5EC3" w14:textId="77777777" w:rsidR="009B43CA" w:rsidRDefault="009B43CA" w:rsidP="00613EB8">
      <w:pPr>
        <w:pStyle w:val="Normln-tun"/>
        <w:numPr>
          <w:ilvl w:val="0"/>
          <w:numId w:val="88"/>
        </w:numPr>
        <w:rPr>
          <w:szCs w:val="24"/>
        </w:rPr>
      </w:pPr>
      <w:r>
        <w:rPr>
          <w:szCs w:val="24"/>
        </w:rPr>
        <w:t xml:space="preserve">41 </w:t>
      </w:r>
      <w:r w:rsidRPr="003A6882">
        <w:rPr>
          <w:szCs w:val="24"/>
        </w:rPr>
        <w:t xml:space="preserve">z nich </w:t>
      </w:r>
      <w:r>
        <w:rPr>
          <w:szCs w:val="24"/>
        </w:rPr>
        <w:t xml:space="preserve">splňuje přesně dvě kritéria (25 %), </w:t>
      </w:r>
    </w:p>
    <w:p w14:paraId="1EB648DE" w14:textId="77777777" w:rsidR="009B43CA" w:rsidRDefault="009B43CA" w:rsidP="00613EB8">
      <w:pPr>
        <w:pStyle w:val="Normln-tun"/>
        <w:numPr>
          <w:ilvl w:val="0"/>
          <w:numId w:val="88"/>
        </w:numPr>
        <w:rPr>
          <w:szCs w:val="24"/>
        </w:rPr>
      </w:pPr>
      <w:r>
        <w:rPr>
          <w:szCs w:val="24"/>
        </w:rPr>
        <w:t>89 z nich splňuje pouze jedno kritérium (54 %) a</w:t>
      </w:r>
    </w:p>
    <w:p w14:paraId="521620F3" w14:textId="77777777" w:rsidR="009B43CA" w:rsidRDefault="009B43CA" w:rsidP="00613EB8">
      <w:pPr>
        <w:pStyle w:val="Normln-tun"/>
        <w:numPr>
          <w:ilvl w:val="0"/>
          <w:numId w:val="88"/>
        </w:numPr>
        <w:rPr>
          <w:szCs w:val="24"/>
        </w:rPr>
      </w:pPr>
      <w:r>
        <w:rPr>
          <w:szCs w:val="24"/>
        </w:rPr>
        <w:t xml:space="preserve">8 stavebních úřadů (5 %) je navrženo zachovat z důvodu kritéria dostupnosti. </w:t>
      </w:r>
    </w:p>
    <w:p w14:paraId="35FADBE0" w14:textId="77777777" w:rsidR="009B43CA" w:rsidRDefault="009B43CA" w:rsidP="009B43CA">
      <w:pPr>
        <w:pStyle w:val="Normln-tun"/>
        <w:rPr>
          <w:szCs w:val="24"/>
        </w:rPr>
      </w:pPr>
      <w:r>
        <w:rPr>
          <w:szCs w:val="24"/>
        </w:rPr>
        <w:t xml:space="preserve">Varianta 2 tak počítá celkově s 371 stavebními úřady (205 ORP + Praha + 165 dalších). </w:t>
      </w:r>
    </w:p>
    <w:p w14:paraId="73D1F2CB" w14:textId="77777777" w:rsidR="009B43CA" w:rsidRPr="007E0BAF" w:rsidRDefault="009B43CA" w:rsidP="009B43CA">
      <w:pPr>
        <w:pStyle w:val="Normln-tun"/>
        <w:rPr>
          <w:szCs w:val="24"/>
          <w:u w:val="single"/>
        </w:rPr>
      </w:pPr>
      <w:r w:rsidRPr="007E0BAF">
        <w:rPr>
          <w:szCs w:val="24"/>
          <w:u w:val="single"/>
        </w:rPr>
        <w:t xml:space="preserve">Kritérium velikosti správního obvodu </w:t>
      </w:r>
    </w:p>
    <w:p w14:paraId="585C4E74" w14:textId="77777777" w:rsidR="009B43CA" w:rsidRDefault="009B43CA" w:rsidP="009B43CA">
      <w:pPr>
        <w:pStyle w:val="Normln-tun"/>
        <w:rPr>
          <w:szCs w:val="24"/>
        </w:rPr>
      </w:pPr>
      <w:r>
        <w:rPr>
          <w:szCs w:val="24"/>
        </w:rPr>
        <w:t xml:space="preserve">První kritérium, podle kterého byly stávající obecné stavební úřady mimo ORP a Prahu posuzovány, je velikost správního obvodu. Na základě tohoto kritéria byly vybrány všechny stavební úřady, jejichž správní obvod je větší nebo roven 10 000 obyvatel k 31. prosinci 2020. Toto kritérium bylo zvoleno z důvodu zachování takových stavebních úřadů, které dlouhodobě využívá vysoký počet klientů, a kde by případné změny v místní příslušnosti mohly způsobit problémy většímu počtu obyvatel než v jiných případech. Stanovení kritéria velikosti správního obvodu 10 000 obyvatel cílilo na skutečně velké (stávající) stavební úřady, které většinou splnily ještě další kritéria, což se skutečně potvrdilo. </w:t>
      </w:r>
    </w:p>
    <w:p w14:paraId="683AA9F4" w14:textId="77777777" w:rsidR="009B43CA" w:rsidRDefault="009B43CA" w:rsidP="009B43CA">
      <w:pPr>
        <w:pStyle w:val="Normln-tun"/>
        <w:rPr>
          <w:szCs w:val="24"/>
        </w:rPr>
      </w:pPr>
      <w:r>
        <w:rPr>
          <w:szCs w:val="24"/>
        </w:rPr>
        <w:t>Z celkového počtu 89 stavebních úřadů (nepočítaje 205 ORP a Prahu), které splňují jen jediné kritérium, splnily kritérium velikosti správního obvodu pouze 2.</w:t>
      </w:r>
    </w:p>
    <w:p w14:paraId="2D96F279" w14:textId="77777777" w:rsidR="009B43CA" w:rsidRPr="00AB316F" w:rsidRDefault="009B43CA" w:rsidP="009B43CA">
      <w:pPr>
        <w:pStyle w:val="Normln-tun"/>
        <w:rPr>
          <w:szCs w:val="24"/>
          <w:u w:val="single"/>
        </w:rPr>
      </w:pPr>
      <w:r w:rsidRPr="00AB316F">
        <w:rPr>
          <w:szCs w:val="24"/>
          <w:u w:val="single"/>
        </w:rPr>
        <w:t xml:space="preserve">Kritérium počtu zaměstnaneckých úvazků </w:t>
      </w:r>
    </w:p>
    <w:p w14:paraId="12E0D6F7" w14:textId="55BA2B1F" w:rsidR="009B43CA" w:rsidRDefault="009B43CA" w:rsidP="009B43CA">
      <w:pPr>
        <w:pStyle w:val="Normln-tun"/>
        <w:rPr>
          <w:szCs w:val="24"/>
        </w:rPr>
      </w:pPr>
      <w:r>
        <w:rPr>
          <w:szCs w:val="24"/>
        </w:rPr>
        <w:t>Druhé kritérium představoval počet zaměstnaneckých úvazků k 31. prosinci 2020. Jde o zaměstnanecké úvazky oprávněných úředních osob, tj. osob, které v dané oblasti mají zkoušku odborné způsobilosti a mají tedy oprávnění stavební agendu vykonávat. Podle statistických údajů činil v roce 2020 počet zaměstnaneckých úvazků na obecn</w:t>
      </w:r>
      <w:r w:rsidR="00462668">
        <w:rPr>
          <w:szCs w:val="24"/>
        </w:rPr>
        <w:t>í</w:t>
      </w:r>
      <w:r>
        <w:rPr>
          <w:szCs w:val="24"/>
        </w:rPr>
        <w:t xml:space="preserve">ch stavebních úřadech celostátně průměrně 4,8 úvazku, přičemž nejčastější (mediánová) hodnota činila 3 úvazky. </w:t>
      </w:r>
    </w:p>
    <w:p w14:paraId="56A36E63" w14:textId="77777777" w:rsidR="009B43CA" w:rsidRDefault="009B43CA" w:rsidP="009B43CA">
      <w:pPr>
        <w:pStyle w:val="Normln-tun"/>
        <w:rPr>
          <w:szCs w:val="24"/>
        </w:rPr>
      </w:pPr>
      <w:r>
        <w:rPr>
          <w:szCs w:val="24"/>
        </w:rPr>
        <w:t>Pro stanovení kritéria počtu zaměstnaneckých úvazků je tak rovněž cíleno na hodnotu 3 úvazků, a to zejména z praktických důvodů zajištění zastupitelnosti a kontinuity výkonu agendy. Právě až při 3 úvazcích je zaručeno, že na pracovišti mohou být současně 2 zaměstnanci, kteří jsou nezbytní pro výkon činností ve stavební oblasti. V případě, že by kritériem byly například pouze 2 úvazky, došlo by po odpočítání zákonné dovolené a ostatní nepřítomnosti</w:t>
      </w:r>
      <w:r>
        <w:rPr>
          <w:rStyle w:val="Znakapoznpodarou"/>
          <w:rFonts w:cstheme="minorHAnsi"/>
          <w:szCs w:val="24"/>
        </w:rPr>
        <w:footnoteReference w:id="10"/>
      </w:r>
      <w:r>
        <w:rPr>
          <w:szCs w:val="24"/>
        </w:rPr>
        <w:t xml:space="preserve"> k situaci, kdy by až v 90 pracovních dnech v kalendářním roce byla přítomna jen 1 úřední osoba, což není z hlediska funkčnosti stavební soustavy optimální stav.</w:t>
      </w:r>
    </w:p>
    <w:p w14:paraId="56CEAFB1" w14:textId="77777777" w:rsidR="009B43CA" w:rsidRDefault="009B43CA" w:rsidP="009B43CA">
      <w:pPr>
        <w:pStyle w:val="Normln-tun"/>
        <w:rPr>
          <w:szCs w:val="24"/>
        </w:rPr>
      </w:pPr>
      <w:r>
        <w:rPr>
          <w:szCs w:val="24"/>
        </w:rPr>
        <w:lastRenderedPageBreak/>
        <w:t>Hodnota 3 úvazků zároveň umožňuje i určitou funkční specializaci mezi jednotlivými zaměstnanci, což přispívá k vyšší efektivitě výkonu dané agendy.  V neposlední řadě poskytuje tento stav i širší prostor k častějšímu provádění místních šetření, neboť při počtu 3 úvazků lze kalkulovat s počtem až 115 dní v roce, kdy se na pracovišti sejdou všechny úřední osoby.</w:t>
      </w:r>
    </w:p>
    <w:p w14:paraId="52371070" w14:textId="77777777" w:rsidR="009B43CA" w:rsidRDefault="009B43CA" w:rsidP="009B43CA">
      <w:pPr>
        <w:pStyle w:val="Normln-tun"/>
        <w:rPr>
          <w:szCs w:val="24"/>
        </w:rPr>
      </w:pPr>
      <w:r>
        <w:rPr>
          <w:szCs w:val="24"/>
        </w:rPr>
        <w:t xml:space="preserve">Z celkového počtu 89 stavebních úřadů (nepočítaje 205 ORP a Prahu), které splňují jen jediné kritérium, splňovalo kritérium zaměstnaneckých úvazků 78. </w:t>
      </w:r>
    </w:p>
    <w:p w14:paraId="257E6B2F" w14:textId="77777777" w:rsidR="009B43CA" w:rsidRPr="00AB316F" w:rsidRDefault="009B43CA" w:rsidP="009B43CA">
      <w:pPr>
        <w:pStyle w:val="Normln-tun"/>
        <w:rPr>
          <w:szCs w:val="24"/>
          <w:u w:val="single"/>
        </w:rPr>
      </w:pPr>
      <w:r w:rsidRPr="00AB316F">
        <w:rPr>
          <w:szCs w:val="24"/>
          <w:u w:val="single"/>
        </w:rPr>
        <w:t>Kritérium počtu úkonů ve stavebním řízení</w:t>
      </w:r>
    </w:p>
    <w:p w14:paraId="7DE2C363" w14:textId="77777777" w:rsidR="009B43CA" w:rsidRDefault="009B43CA" w:rsidP="009B43CA">
      <w:pPr>
        <w:pStyle w:val="Normln-tun"/>
        <w:rPr>
          <w:szCs w:val="24"/>
        </w:rPr>
      </w:pPr>
      <w:r>
        <w:rPr>
          <w:szCs w:val="24"/>
        </w:rPr>
        <w:t>Třetí kritérium představuje dostatečný počet úkonů ve vybraných oblastech správního řízení. Celkově sleduje Ústav územního rozvoje v rámci své statistické činnosti 52 různých zákonných činností, z kterých bylo vybráno 11 nejčastějších</w:t>
      </w:r>
      <w:r>
        <w:rPr>
          <w:rStyle w:val="Znakapoznpodarou"/>
          <w:rFonts w:cstheme="minorHAnsi"/>
          <w:szCs w:val="24"/>
        </w:rPr>
        <w:footnoteReference w:id="11"/>
      </w:r>
      <w:r>
        <w:rPr>
          <w:szCs w:val="24"/>
        </w:rPr>
        <w:t>. V celostátním průměru (bez započtení extrémních případů</w:t>
      </w:r>
      <w:r>
        <w:rPr>
          <w:rStyle w:val="Znakapoznpodarou"/>
          <w:rFonts w:cstheme="minorHAnsi"/>
          <w:szCs w:val="24"/>
        </w:rPr>
        <w:footnoteReference w:id="12"/>
      </w:r>
      <w:r>
        <w:rPr>
          <w:szCs w:val="24"/>
        </w:rPr>
        <w:t xml:space="preserve">) je v rámci těchto nejčastějších činností vykonáváno 225 úkonů ročně podle informací k 31. prosinci 2020. </w:t>
      </w:r>
    </w:p>
    <w:p w14:paraId="7F6E9A95" w14:textId="77777777" w:rsidR="009B43CA" w:rsidRDefault="009B43CA" w:rsidP="009B43CA">
      <w:pPr>
        <w:pStyle w:val="Normln-tun"/>
        <w:rPr>
          <w:szCs w:val="24"/>
        </w:rPr>
      </w:pPr>
      <w:r>
        <w:rPr>
          <w:szCs w:val="24"/>
        </w:rPr>
        <w:t>Z celkového počtu 89 stavebních úřadů (nepočítaje 205 ORP a Prahu), které splňují jen jediné kritérium, splňovalo kritérium počtu úkonů ve stavebním řízení 9.</w:t>
      </w:r>
    </w:p>
    <w:p w14:paraId="512D3C71" w14:textId="77777777" w:rsidR="009B43CA" w:rsidRPr="00AB316F" w:rsidRDefault="009B43CA" w:rsidP="009B43CA">
      <w:pPr>
        <w:pStyle w:val="Normln-tun"/>
        <w:rPr>
          <w:szCs w:val="24"/>
          <w:u w:val="single"/>
        </w:rPr>
      </w:pPr>
      <w:r w:rsidRPr="00AB316F">
        <w:rPr>
          <w:szCs w:val="24"/>
          <w:u w:val="single"/>
        </w:rPr>
        <w:t>Pomocné kritérium</w:t>
      </w:r>
    </w:p>
    <w:p w14:paraId="4F748DB2" w14:textId="77777777" w:rsidR="009B43CA" w:rsidRDefault="009B43CA" w:rsidP="009B43CA">
      <w:pPr>
        <w:pStyle w:val="Normln-tun"/>
        <w:rPr>
          <w:szCs w:val="24"/>
        </w:rPr>
      </w:pPr>
      <w:r>
        <w:rPr>
          <w:szCs w:val="24"/>
        </w:rPr>
        <w:t>Z důvodu zachování srovnatelné dostupnosti stavebních úřadů na celém území Česka bylo zvoleno dodatečné kritérium maximální vzdálenosti 35 km mezi sídlem a stavebním úřadem. Tímto způsobem byl počet navržených stavebních úřadů v nové struktuře rozšířen celkově o 8 stavebních úřadů.</w:t>
      </w:r>
      <w:r>
        <w:rPr>
          <w:rStyle w:val="Znakapoznpodarou"/>
          <w:rFonts w:cstheme="minorHAnsi"/>
          <w:szCs w:val="24"/>
        </w:rPr>
        <w:footnoteReference w:id="13"/>
      </w:r>
      <w:r>
        <w:rPr>
          <w:szCs w:val="24"/>
        </w:rPr>
        <w:t xml:space="preserve"> Tato vzdálenost je měřena mezi jádrovými sídly obou obcí po silničních komunikacích. </w:t>
      </w:r>
    </w:p>
    <w:tbl>
      <w:tblPr>
        <w:tblW w:w="9067" w:type="dxa"/>
        <w:tblBorders>
          <w:top w:val="dotted" w:sz="4" w:space="0" w:color="262626" w:themeColor="accent5"/>
          <w:left w:val="dotted" w:sz="4" w:space="0" w:color="262626" w:themeColor="accent5"/>
          <w:bottom w:val="dotted" w:sz="4" w:space="0" w:color="262626" w:themeColor="accent5"/>
          <w:right w:val="dotted" w:sz="4" w:space="0" w:color="262626" w:themeColor="accent5"/>
          <w:insideH w:val="dotted" w:sz="4" w:space="0" w:color="262626" w:themeColor="accent5"/>
          <w:insideV w:val="dotted" w:sz="4" w:space="0" w:color="262626" w:themeColor="accent5"/>
        </w:tblBorders>
        <w:tblCellMar>
          <w:left w:w="70" w:type="dxa"/>
          <w:right w:w="70" w:type="dxa"/>
        </w:tblCellMar>
        <w:tblLook w:val="04A0" w:firstRow="1" w:lastRow="0" w:firstColumn="1" w:lastColumn="0" w:noHBand="0" w:noVBand="1"/>
      </w:tblPr>
      <w:tblGrid>
        <w:gridCol w:w="2547"/>
        <w:gridCol w:w="6520"/>
      </w:tblGrid>
      <w:tr w:rsidR="007912FA" w:rsidRPr="007912FA" w14:paraId="4799C89F" w14:textId="77777777" w:rsidTr="00197E1E">
        <w:trPr>
          <w:trHeight w:val="312"/>
        </w:trPr>
        <w:tc>
          <w:tcPr>
            <w:tcW w:w="9067" w:type="dxa"/>
            <w:gridSpan w:val="2"/>
            <w:shd w:val="clear" w:color="auto" w:fill="D9D9D9" w:themeFill="background1" w:themeFillShade="D9"/>
            <w:noWrap/>
            <w:vAlign w:val="center"/>
            <w:hideMark/>
          </w:tcPr>
          <w:p w14:paraId="36DDA78B" w14:textId="7FA102EF" w:rsidR="007912FA" w:rsidRPr="00CF2204" w:rsidRDefault="007912FA" w:rsidP="007912FA">
            <w:pPr>
              <w:spacing w:before="0" w:after="0"/>
              <w:jc w:val="left"/>
              <w:rPr>
                <w:rFonts w:asciiTheme="minorHAnsi" w:eastAsia="Times New Roman" w:hAnsiTheme="minorHAnsi" w:cstheme="minorHAnsi"/>
                <w:b/>
                <w:bCs/>
                <w:color w:val="000000"/>
                <w:sz w:val="20"/>
                <w:szCs w:val="20"/>
                <w:lang w:eastAsia="cs-CZ"/>
              </w:rPr>
            </w:pPr>
            <w:r>
              <w:rPr>
                <w:rFonts w:asciiTheme="minorHAnsi" w:eastAsia="Times New Roman" w:hAnsiTheme="minorHAnsi" w:cstheme="minorHAnsi"/>
                <w:b/>
                <w:bCs/>
                <w:color w:val="000000"/>
                <w:sz w:val="20"/>
                <w:szCs w:val="20"/>
                <w:lang w:eastAsia="cs-CZ"/>
              </w:rPr>
              <w:t>Podv</w:t>
            </w:r>
            <w:r w:rsidRPr="00CF2204">
              <w:rPr>
                <w:rFonts w:asciiTheme="minorHAnsi" w:eastAsia="Times New Roman" w:hAnsiTheme="minorHAnsi" w:cstheme="minorHAnsi"/>
                <w:b/>
                <w:bCs/>
                <w:color w:val="000000"/>
                <w:sz w:val="20"/>
                <w:szCs w:val="20"/>
                <w:lang w:eastAsia="cs-CZ"/>
              </w:rPr>
              <w:t xml:space="preserve">arianta </w:t>
            </w:r>
            <w:r>
              <w:rPr>
                <w:rFonts w:asciiTheme="minorHAnsi" w:eastAsia="Times New Roman" w:hAnsiTheme="minorHAnsi" w:cstheme="minorHAnsi"/>
                <w:b/>
                <w:bCs/>
                <w:color w:val="000000"/>
                <w:sz w:val="20"/>
                <w:szCs w:val="20"/>
                <w:lang w:eastAsia="cs-CZ"/>
              </w:rPr>
              <w:t>„</w:t>
            </w:r>
            <w:r w:rsidRPr="00CF2204">
              <w:rPr>
                <w:rFonts w:asciiTheme="minorHAnsi" w:eastAsia="Times New Roman" w:hAnsiTheme="minorHAnsi" w:cstheme="minorHAnsi"/>
                <w:b/>
                <w:bCs/>
                <w:color w:val="000000"/>
                <w:sz w:val="20"/>
                <w:szCs w:val="20"/>
                <w:lang w:eastAsia="cs-CZ"/>
              </w:rPr>
              <w:t>322</w:t>
            </w:r>
            <w:r>
              <w:rPr>
                <w:rFonts w:asciiTheme="minorHAnsi" w:eastAsia="Times New Roman" w:hAnsiTheme="minorHAnsi" w:cstheme="minorHAnsi"/>
                <w:b/>
                <w:bCs/>
                <w:color w:val="000000"/>
                <w:sz w:val="20"/>
                <w:szCs w:val="20"/>
                <w:lang w:eastAsia="cs-CZ"/>
              </w:rPr>
              <w:t>“</w:t>
            </w:r>
            <w:r w:rsidRPr="00CF2204">
              <w:rPr>
                <w:rFonts w:asciiTheme="minorHAnsi" w:eastAsia="Times New Roman" w:hAnsiTheme="minorHAnsi" w:cstheme="minorHAnsi"/>
                <w:b/>
                <w:bCs/>
                <w:color w:val="000000"/>
                <w:sz w:val="20"/>
                <w:szCs w:val="20"/>
                <w:lang w:eastAsia="cs-CZ"/>
              </w:rPr>
              <w:t xml:space="preserve"> zachovaných úřadů </w:t>
            </w:r>
          </w:p>
        </w:tc>
      </w:tr>
      <w:tr w:rsidR="0071744C" w:rsidRPr="007912FA" w14:paraId="165F2E6E" w14:textId="77777777" w:rsidTr="0071744C">
        <w:trPr>
          <w:trHeight w:val="288"/>
        </w:trPr>
        <w:tc>
          <w:tcPr>
            <w:tcW w:w="2547" w:type="dxa"/>
            <w:vMerge w:val="restart"/>
            <w:shd w:val="clear" w:color="auto" w:fill="auto"/>
            <w:noWrap/>
            <w:vAlign w:val="center"/>
            <w:hideMark/>
          </w:tcPr>
          <w:p w14:paraId="71B2524D" w14:textId="77777777" w:rsidR="0071744C" w:rsidRPr="00CF2204" w:rsidRDefault="0071744C" w:rsidP="007912FA">
            <w:pPr>
              <w:spacing w:before="0" w:after="0"/>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Kritéria:</w:t>
            </w:r>
          </w:p>
        </w:tc>
        <w:tc>
          <w:tcPr>
            <w:tcW w:w="6520" w:type="dxa"/>
            <w:shd w:val="clear" w:color="auto" w:fill="auto"/>
            <w:noWrap/>
            <w:vAlign w:val="center"/>
            <w:hideMark/>
          </w:tcPr>
          <w:p w14:paraId="610C4C4E"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správní obvod min. </w:t>
            </w:r>
            <w:r w:rsidRPr="00CF2204">
              <w:rPr>
                <w:rFonts w:asciiTheme="minorHAnsi" w:eastAsia="Times New Roman" w:hAnsiTheme="minorHAnsi" w:cstheme="minorHAnsi"/>
                <w:b/>
                <w:bCs/>
                <w:color w:val="000000"/>
                <w:sz w:val="20"/>
                <w:szCs w:val="20"/>
                <w:lang w:eastAsia="cs-CZ"/>
              </w:rPr>
              <w:t>10 000</w:t>
            </w:r>
            <w:r w:rsidRPr="00CF2204">
              <w:rPr>
                <w:rFonts w:asciiTheme="minorHAnsi" w:eastAsia="Times New Roman" w:hAnsiTheme="minorHAnsi" w:cstheme="minorHAnsi"/>
                <w:color w:val="000000"/>
                <w:sz w:val="20"/>
                <w:szCs w:val="20"/>
                <w:lang w:eastAsia="cs-CZ"/>
              </w:rPr>
              <w:t xml:space="preserve"> obyvatel</w:t>
            </w:r>
          </w:p>
        </w:tc>
      </w:tr>
      <w:tr w:rsidR="0071744C" w:rsidRPr="007912FA" w14:paraId="5716864F" w14:textId="77777777" w:rsidTr="0071744C">
        <w:trPr>
          <w:trHeight w:val="288"/>
        </w:trPr>
        <w:tc>
          <w:tcPr>
            <w:tcW w:w="2547" w:type="dxa"/>
            <w:vMerge/>
            <w:vAlign w:val="center"/>
            <w:hideMark/>
          </w:tcPr>
          <w:p w14:paraId="5C84F6F8"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74036D18"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min. počet úkonů </w:t>
            </w:r>
            <w:r w:rsidRPr="00CF2204">
              <w:rPr>
                <w:rFonts w:asciiTheme="minorHAnsi" w:eastAsia="Times New Roman" w:hAnsiTheme="minorHAnsi" w:cstheme="minorHAnsi"/>
                <w:b/>
                <w:bCs/>
                <w:color w:val="000000"/>
                <w:sz w:val="20"/>
                <w:szCs w:val="20"/>
                <w:lang w:eastAsia="cs-CZ"/>
              </w:rPr>
              <w:t>225</w:t>
            </w:r>
            <w:r w:rsidRPr="00CF2204">
              <w:rPr>
                <w:rFonts w:asciiTheme="minorHAnsi" w:eastAsia="Times New Roman" w:hAnsiTheme="minorHAnsi" w:cstheme="minorHAnsi"/>
                <w:color w:val="000000"/>
                <w:sz w:val="20"/>
                <w:szCs w:val="20"/>
                <w:lang w:eastAsia="cs-CZ"/>
              </w:rPr>
              <w:t xml:space="preserve"> za rok (počítáno 11 nejčastějších)</w:t>
            </w:r>
          </w:p>
        </w:tc>
      </w:tr>
      <w:tr w:rsidR="0071744C" w:rsidRPr="007912FA" w14:paraId="3E9976F8" w14:textId="77777777" w:rsidTr="0071744C">
        <w:trPr>
          <w:trHeight w:val="288"/>
        </w:trPr>
        <w:tc>
          <w:tcPr>
            <w:tcW w:w="2547" w:type="dxa"/>
            <w:vMerge/>
            <w:vAlign w:val="center"/>
            <w:hideMark/>
          </w:tcPr>
          <w:p w14:paraId="162B6B5B"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1AC22FB1"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min. </w:t>
            </w:r>
            <w:r w:rsidRPr="00CF2204">
              <w:rPr>
                <w:rFonts w:asciiTheme="minorHAnsi" w:eastAsia="Times New Roman" w:hAnsiTheme="minorHAnsi" w:cstheme="minorHAnsi"/>
                <w:b/>
                <w:bCs/>
                <w:color w:val="000000"/>
                <w:sz w:val="20"/>
                <w:szCs w:val="20"/>
                <w:lang w:eastAsia="cs-CZ"/>
              </w:rPr>
              <w:t>4</w:t>
            </w:r>
            <w:r w:rsidRPr="00CF2204">
              <w:rPr>
                <w:rFonts w:asciiTheme="minorHAnsi" w:eastAsia="Times New Roman" w:hAnsiTheme="minorHAnsi" w:cstheme="minorHAnsi"/>
                <w:color w:val="000000"/>
                <w:sz w:val="20"/>
                <w:szCs w:val="20"/>
                <w:lang w:eastAsia="cs-CZ"/>
              </w:rPr>
              <w:t xml:space="preserve"> pracovní místa se ZOZ na stavební řád</w:t>
            </w:r>
          </w:p>
        </w:tc>
      </w:tr>
      <w:tr w:rsidR="0071744C" w:rsidRPr="007912FA" w14:paraId="10240694" w14:textId="77777777" w:rsidTr="0071744C">
        <w:trPr>
          <w:trHeight w:val="288"/>
        </w:trPr>
        <w:tc>
          <w:tcPr>
            <w:tcW w:w="2547" w:type="dxa"/>
            <w:vMerge/>
            <w:vAlign w:val="center"/>
            <w:hideMark/>
          </w:tcPr>
          <w:p w14:paraId="2075DF76"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650A83C3"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dostupnost </w:t>
            </w:r>
            <w:r w:rsidRPr="00CF2204">
              <w:rPr>
                <w:rFonts w:asciiTheme="minorHAnsi" w:eastAsia="Times New Roman" w:hAnsiTheme="minorHAnsi" w:cstheme="minorHAnsi"/>
                <w:b/>
                <w:bCs/>
                <w:color w:val="000000"/>
                <w:sz w:val="20"/>
                <w:szCs w:val="20"/>
                <w:lang w:eastAsia="cs-CZ"/>
              </w:rPr>
              <w:t>35</w:t>
            </w:r>
            <w:r w:rsidRPr="00CF2204">
              <w:rPr>
                <w:rFonts w:asciiTheme="minorHAnsi" w:eastAsia="Times New Roman" w:hAnsiTheme="minorHAnsi" w:cstheme="minorHAnsi"/>
                <w:color w:val="000000"/>
                <w:sz w:val="20"/>
                <w:szCs w:val="20"/>
                <w:lang w:eastAsia="cs-CZ"/>
              </w:rPr>
              <w:t xml:space="preserve"> km z libovolné obce do obce se stavebním úřadem</w:t>
            </w:r>
          </w:p>
        </w:tc>
      </w:tr>
      <w:tr w:rsidR="007912FA" w:rsidRPr="007912FA" w14:paraId="03C21968" w14:textId="77777777" w:rsidTr="007912FA">
        <w:trPr>
          <w:trHeight w:val="288"/>
        </w:trPr>
        <w:tc>
          <w:tcPr>
            <w:tcW w:w="2547" w:type="dxa"/>
            <w:shd w:val="clear" w:color="auto" w:fill="auto"/>
            <w:noWrap/>
            <w:vAlign w:val="center"/>
            <w:hideMark/>
          </w:tcPr>
          <w:p w14:paraId="110A9A77" w14:textId="1535D6D3" w:rsidR="007912FA" w:rsidRPr="007912FA"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Počet zachovaných SÚ </w:t>
            </w:r>
          </w:p>
        </w:tc>
        <w:tc>
          <w:tcPr>
            <w:tcW w:w="6520" w:type="dxa"/>
            <w:shd w:val="clear" w:color="auto" w:fill="auto"/>
            <w:vAlign w:val="center"/>
          </w:tcPr>
          <w:p w14:paraId="27ECE468" w14:textId="4C8B407D" w:rsidR="007912FA" w:rsidRPr="00CF2204" w:rsidRDefault="007912FA" w:rsidP="00CF2204">
            <w:pPr>
              <w:spacing w:before="0" w:after="0"/>
              <w:jc w:val="left"/>
              <w:rPr>
                <w:rFonts w:asciiTheme="minorHAnsi" w:eastAsia="Times New Roman" w:hAnsiTheme="minorHAnsi" w:cstheme="minorHAnsi"/>
                <w:b/>
                <w:bCs/>
                <w:color w:val="000000"/>
                <w:sz w:val="20"/>
                <w:szCs w:val="20"/>
                <w:lang w:eastAsia="cs-CZ"/>
              </w:rPr>
            </w:pPr>
            <w:r w:rsidRPr="00CF2204">
              <w:rPr>
                <w:rFonts w:asciiTheme="minorHAnsi" w:eastAsia="Times New Roman" w:hAnsiTheme="minorHAnsi" w:cstheme="minorHAnsi"/>
                <w:b/>
                <w:bCs/>
                <w:color w:val="000000"/>
                <w:sz w:val="20"/>
                <w:szCs w:val="20"/>
                <w:lang w:eastAsia="cs-CZ"/>
              </w:rPr>
              <w:t>322</w:t>
            </w:r>
          </w:p>
        </w:tc>
      </w:tr>
      <w:tr w:rsidR="0071744C" w:rsidRPr="007912FA" w14:paraId="0FA1C82A" w14:textId="77777777" w:rsidTr="0071744C">
        <w:trPr>
          <w:trHeight w:val="288"/>
        </w:trPr>
        <w:tc>
          <w:tcPr>
            <w:tcW w:w="2547" w:type="dxa"/>
            <w:vMerge w:val="restart"/>
            <w:shd w:val="clear" w:color="auto" w:fill="auto"/>
            <w:noWrap/>
            <w:vAlign w:val="center"/>
            <w:hideMark/>
          </w:tcPr>
          <w:p w14:paraId="48556034"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z toho:</w:t>
            </w:r>
          </w:p>
        </w:tc>
        <w:tc>
          <w:tcPr>
            <w:tcW w:w="6520" w:type="dxa"/>
            <w:shd w:val="clear" w:color="auto" w:fill="auto"/>
            <w:noWrap/>
            <w:vAlign w:val="center"/>
            <w:hideMark/>
          </w:tcPr>
          <w:p w14:paraId="0E58984A"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205 obcí ORP</w:t>
            </w:r>
          </w:p>
        </w:tc>
      </w:tr>
      <w:tr w:rsidR="0071744C" w:rsidRPr="007912FA" w14:paraId="7A377739" w14:textId="77777777" w:rsidTr="0071744C">
        <w:trPr>
          <w:trHeight w:val="288"/>
        </w:trPr>
        <w:tc>
          <w:tcPr>
            <w:tcW w:w="2547" w:type="dxa"/>
            <w:vMerge/>
            <w:vAlign w:val="center"/>
            <w:hideMark/>
          </w:tcPr>
          <w:p w14:paraId="4C88B053"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32E13B6B"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Praha</w:t>
            </w:r>
          </w:p>
        </w:tc>
      </w:tr>
      <w:tr w:rsidR="0071744C" w:rsidRPr="007912FA" w14:paraId="3CB6BEE0" w14:textId="77777777" w:rsidTr="0071744C">
        <w:trPr>
          <w:trHeight w:val="288"/>
        </w:trPr>
        <w:tc>
          <w:tcPr>
            <w:tcW w:w="2547" w:type="dxa"/>
            <w:vMerge/>
            <w:vAlign w:val="center"/>
            <w:hideMark/>
          </w:tcPr>
          <w:p w14:paraId="3CE5C16A"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5539D526"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85 obcí POU</w:t>
            </w:r>
          </w:p>
        </w:tc>
      </w:tr>
      <w:tr w:rsidR="0071744C" w:rsidRPr="007912FA" w14:paraId="69C48949" w14:textId="77777777" w:rsidTr="0071744C">
        <w:trPr>
          <w:trHeight w:val="288"/>
        </w:trPr>
        <w:tc>
          <w:tcPr>
            <w:tcW w:w="2547" w:type="dxa"/>
            <w:vMerge/>
            <w:vAlign w:val="center"/>
            <w:hideMark/>
          </w:tcPr>
          <w:p w14:paraId="49C576FC"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377272B2"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31 obcí I. typu</w:t>
            </w:r>
          </w:p>
        </w:tc>
      </w:tr>
      <w:tr w:rsidR="007912FA" w:rsidRPr="007912FA" w14:paraId="07060CE7" w14:textId="77777777" w:rsidTr="0071744C">
        <w:trPr>
          <w:trHeight w:val="288"/>
        </w:trPr>
        <w:tc>
          <w:tcPr>
            <w:tcW w:w="2547" w:type="dxa"/>
            <w:vMerge w:val="restart"/>
            <w:shd w:val="clear" w:color="auto" w:fill="auto"/>
            <w:noWrap/>
            <w:vAlign w:val="center"/>
            <w:hideMark/>
          </w:tcPr>
          <w:p w14:paraId="4B761EC2" w14:textId="754B0E5D" w:rsidR="007912FA" w:rsidRPr="00CF2204" w:rsidRDefault="007912FA" w:rsidP="007912FA">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lastRenderedPageBreak/>
              <w:t> Rozsah zachované agendy</w:t>
            </w:r>
          </w:p>
        </w:tc>
        <w:tc>
          <w:tcPr>
            <w:tcW w:w="6520" w:type="dxa"/>
            <w:shd w:val="clear" w:color="auto" w:fill="auto"/>
            <w:noWrap/>
            <w:vAlign w:val="center"/>
            <w:hideMark/>
          </w:tcPr>
          <w:p w14:paraId="0D86DAF0" w14:textId="1EEB71D0"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u 11 nejčastějších úkonů</w:t>
            </w:r>
            <w:r w:rsidRPr="007912FA">
              <w:rPr>
                <w:rFonts w:asciiTheme="minorHAnsi" w:eastAsia="Times New Roman" w:hAnsiTheme="minorHAnsi" w:cstheme="minorHAnsi"/>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82</w:t>
            </w:r>
            <w:r w:rsidRPr="007912FA">
              <w:rPr>
                <w:rFonts w:asciiTheme="minorHAnsi" w:eastAsia="Times New Roman" w:hAnsiTheme="minorHAnsi" w:cstheme="minorHAnsi"/>
                <w:b/>
                <w:bCs/>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w:t>
            </w:r>
          </w:p>
        </w:tc>
      </w:tr>
      <w:tr w:rsidR="007912FA" w:rsidRPr="007912FA" w14:paraId="2346B3FF" w14:textId="77777777" w:rsidTr="0071744C">
        <w:trPr>
          <w:trHeight w:val="288"/>
        </w:trPr>
        <w:tc>
          <w:tcPr>
            <w:tcW w:w="2547" w:type="dxa"/>
            <w:vMerge/>
            <w:shd w:val="clear" w:color="auto" w:fill="auto"/>
            <w:noWrap/>
            <w:vAlign w:val="center"/>
            <w:hideMark/>
          </w:tcPr>
          <w:p w14:paraId="0E29A681" w14:textId="726EDBAB"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6EE55942" w14:textId="4979F1E2"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ze všech sledovaných úkonů</w:t>
            </w:r>
            <w:r w:rsidRPr="007912FA">
              <w:rPr>
                <w:rFonts w:asciiTheme="minorHAnsi" w:eastAsia="Times New Roman" w:hAnsiTheme="minorHAnsi" w:cstheme="minorHAnsi"/>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82</w:t>
            </w:r>
            <w:r w:rsidRPr="007912FA">
              <w:rPr>
                <w:rFonts w:asciiTheme="minorHAnsi" w:eastAsia="Times New Roman" w:hAnsiTheme="minorHAnsi" w:cstheme="minorHAnsi"/>
                <w:b/>
                <w:bCs/>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w:t>
            </w:r>
          </w:p>
        </w:tc>
      </w:tr>
      <w:tr w:rsidR="007912FA" w:rsidRPr="007912FA" w14:paraId="4FA89469" w14:textId="77777777" w:rsidTr="0071744C">
        <w:trPr>
          <w:trHeight w:val="288"/>
        </w:trPr>
        <w:tc>
          <w:tcPr>
            <w:tcW w:w="2547" w:type="dxa"/>
            <w:vMerge/>
            <w:shd w:val="clear" w:color="auto" w:fill="auto"/>
            <w:noWrap/>
            <w:vAlign w:val="center"/>
            <w:hideMark/>
          </w:tcPr>
          <w:p w14:paraId="6A73FB27" w14:textId="48BC8006"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7E76E5E0" w14:textId="05D386EA"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počet </w:t>
            </w:r>
            <w:r w:rsidRPr="007912FA">
              <w:rPr>
                <w:rFonts w:asciiTheme="minorHAnsi" w:eastAsia="Times New Roman" w:hAnsiTheme="minorHAnsi" w:cstheme="minorHAnsi"/>
                <w:color w:val="000000"/>
                <w:sz w:val="20"/>
                <w:szCs w:val="20"/>
                <w:lang w:eastAsia="cs-CZ"/>
              </w:rPr>
              <w:t>přesunovaných</w:t>
            </w:r>
            <w:r w:rsidRPr="00CF2204">
              <w:rPr>
                <w:rFonts w:asciiTheme="minorHAnsi" w:eastAsia="Times New Roman" w:hAnsiTheme="minorHAnsi" w:cstheme="minorHAnsi"/>
                <w:color w:val="000000"/>
                <w:sz w:val="20"/>
                <w:szCs w:val="20"/>
                <w:lang w:eastAsia="cs-CZ"/>
              </w:rPr>
              <w:t xml:space="preserve"> pracovních </w:t>
            </w:r>
            <w:r w:rsidRPr="007912FA">
              <w:rPr>
                <w:rFonts w:asciiTheme="minorHAnsi" w:eastAsia="Times New Roman" w:hAnsiTheme="minorHAnsi" w:cstheme="minorHAnsi"/>
                <w:color w:val="000000"/>
                <w:sz w:val="20"/>
                <w:szCs w:val="20"/>
                <w:lang w:eastAsia="cs-CZ"/>
              </w:rPr>
              <w:t xml:space="preserve">úvazků </w:t>
            </w:r>
            <w:r w:rsidRPr="00CF2204">
              <w:rPr>
                <w:rFonts w:asciiTheme="minorHAnsi" w:eastAsia="Times New Roman" w:hAnsiTheme="minorHAnsi" w:cstheme="minorHAnsi"/>
                <w:b/>
                <w:bCs/>
                <w:color w:val="000000"/>
                <w:sz w:val="20"/>
                <w:szCs w:val="20"/>
                <w:lang w:eastAsia="cs-CZ"/>
              </w:rPr>
              <w:t>520</w:t>
            </w:r>
          </w:p>
        </w:tc>
      </w:tr>
      <w:tr w:rsidR="007912FA" w:rsidRPr="007912FA" w14:paraId="0526F0B6" w14:textId="77777777" w:rsidTr="0071744C">
        <w:trPr>
          <w:trHeight w:val="288"/>
        </w:trPr>
        <w:tc>
          <w:tcPr>
            <w:tcW w:w="2547" w:type="dxa"/>
            <w:vMerge/>
            <w:shd w:val="clear" w:color="auto" w:fill="auto"/>
            <w:noWrap/>
            <w:vAlign w:val="center"/>
          </w:tcPr>
          <w:p w14:paraId="2617A7CC" w14:textId="77777777" w:rsidR="007912FA" w:rsidRPr="007912FA"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tcPr>
          <w:p w14:paraId="748CF4B4" w14:textId="595833D2" w:rsidR="007912FA" w:rsidRPr="007912FA"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Nutno přerozdělit </w:t>
            </w:r>
            <w:r w:rsidRPr="00CF2204">
              <w:rPr>
                <w:rFonts w:asciiTheme="minorHAnsi" w:eastAsia="Times New Roman" w:hAnsiTheme="minorHAnsi" w:cstheme="minorHAnsi"/>
                <w:b/>
                <w:bCs/>
                <w:color w:val="000000"/>
                <w:sz w:val="20"/>
                <w:szCs w:val="20"/>
                <w:lang w:eastAsia="cs-CZ"/>
              </w:rPr>
              <w:t>18 %</w:t>
            </w:r>
            <w:r w:rsidRPr="00CF2204">
              <w:rPr>
                <w:rFonts w:asciiTheme="minorHAnsi" w:eastAsia="Times New Roman" w:hAnsiTheme="minorHAnsi" w:cstheme="minorHAnsi"/>
                <w:color w:val="000000"/>
                <w:sz w:val="20"/>
                <w:szCs w:val="20"/>
                <w:lang w:eastAsia="cs-CZ"/>
              </w:rPr>
              <w:t xml:space="preserve"> agendy stavebních úřadů za celou ČR</w:t>
            </w:r>
          </w:p>
        </w:tc>
      </w:tr>
      <w:tr w:rsidR="007912FA" w:rsidRPr="007912FA" w14:paraId="44ACE3F8" w14:textId="77777777" w:rsidTr="00197E1E">
        <w:trPr>
          <w:trHeight w:val="312"/>
        </w:trPr>
        <w:tc>
          <w:tcPr>
            <w:tcW w:w="9067" w:type="dxa"/>
            <w:gridSpan w:val="2"/>
            <w:shd w:val="clear" w:color="auto" w:fill="FEFCBE" w:themeFill="accent1" w:themeFillTint="33"/>
            <w:noWrap/>
            <w:vAlign w:val="center"/>
            <w:hideMark/>
          </w:tcPr>
          <w:p w14:paraId="56CFF008" w14:textId="3907E9CC" w:rsidR="007912FA" w:rsidRPr="00CF2204" w:rsidRDefault="007912FA" w:rsidP="007912FA">
            <w:pPr>
              <w:spacing w:before="0" w:after="0"/>
              <w:jc w:val="left"/>
              <w:rPr>
                <w:rFonts w:asciiTheme="minorHAnsi" w:eastAsia="Times New Roman" w:hAnsiTheme="minorHAnsi" w:cstheme="minorHAnsi"/>
                <w:b/>
                <w:bCs/>
                <w:color w:val="000000"/>
                <w:sz w:val="20"/>
                <w:szCs w:val="20"/>
                <w:lang w:eastAsia="cs-CZ"/>
              </w:rPr>
            </w:pPr>
            <w:r>
              <w:rPr>
                <w:rFonts w:asciiTheme="minorHAnsi" w:eastAsia="Times New Roman" w:hAnsiTheme="minorHAnsi" w:cstheme="minorHAnsi"/>
                <w:b/>
                <w:bCs/>
                <w:color w:val="000000"/>
                <w:sz w:val="20"/>
                <w:szCs w:val="20"/>
                <w:lang w:eastAsia="cs-CZ"/>
              </w:rPr>
              <w:t>Podv</w:t>
            </w:r>
            <w:r w:rsidRPr="00CF2204">
              <w:rPr>
                <w:rFonts w:asciiTheme="minorHAnsi" w:eastAsia="Times New Roman" w:hAnsiTheme="minorHAnsi" w:cstheme="minorHAnsi"/>
                <w:b/>
                <w:bCs/>
                <w:color w:val="000000"/>
                <w:sz w:val="20"/>
                <w:szCs w:val="20"/>
                <w:lang w:eastAsia="cs-CZ"/>
              </w:rPr>
              <w:t xml:space="preserve">arianta </w:t>
            </w:r>
            <w:r>
              <w:rPr>
                <w:rFonts w:asciiTheme="minorHAnsi" w:eastAsia="Times New Roman" w:hAnsiTheme="minorHAnsi" w:cstheme="minorHAnsi"/>
                <w:b/>
                <w:bCs/>
                <w:color w:val="000000"/>
                <w:sz w:val="20"/>
                <w:szCs w:val="20"/>
                <w:lang w:eastAsia="cs-CZ"/>
              </w:rPr>
              <w:t>„</w:t>
            </w:r>
            <w:r w:rsidRPr="00CF2204">
              <w:rPr>
                <w:rFonts w:asciiTheme="minorHAnsi" w:eastAsia="Times New Roman" w:hAnsiTheme="minorHAnsi" w:cstheme="minorHAnsi"/>
                <w:b/>
                <w:bCs/>
                <w:color w:val="000000"/>
                <w:sz w:val="20"/>
                <w:szCs w:val="20"/>
                <w:lang w:eastAsia="cs-CZ"/>
              </w:rPr>
              <w:t>371</w:t>
            </w:r>
            <w:r>
              <w:rPr>
                <w:rFonts w:asciiTheme="minorHAnsi" w:eastAsia="Times New Roman" w:hAnsiTheme="minorHAnsi" w:cstheme="minorHAnsi"/>
                <w:b/>
                <w:bCs/>
                <w:color w:val="000000"/>
                <w:sz w:val="20"/>
                <w:szCs w:val="20"/>
                <w:lang w:eastAsia="cs-CZ"/>
              </w:rPr>
              <w:t>“</w:t>
            </w:r>
            <w:r w:rsidRPr="00CF2204">
              <w:rPr>
                <w:rFonts w:asciiTheme="minorHAnsi" w:eastAsia="Times New Roman" w:hAnsiTheme="minorHAnsi" w:cstheme="minorHAnsi"/>
                <w:b/>
                <w:bCs/>
                <w:color w:val="000000"/>
                <w:sz w:val="20"/>
                <w:szCs w:val="20"/>
                <w:lang w:eastAsia="cs-CZ"/>
              </w:rPr>
              <w:t xml:space="preserve"> zachovaných úřadů </w:t>
            </w:r>
          </w:p>
        </w:tc>
      </w:tr>
      <w:tr w:rsidR="0071744C" w:rsidRPr="007912FA" w14:paraId="1CCA261D" w14:textId="77777777" w:rsidTr="0071744C">
        <w:trPr>
          <w:trHeight w:val="288"/>
        </w:trPr>
        <w:tc>
          <w:tcPr>
            <w:tcW w:w="2547" w:type="dxa"/>
            <w:vMerge w:val="restart"/>
            <w:shd w:val="clear" w:color="auto" w:fill="auto"/>
            <w:noWrap/>
            <w:vAlign w:val="center"/>
            <w:hideMark/>
          </w:tcPr>
          <w:p w14:paraId="37B280A1"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Kritéria:</w:t>
            </w:r>
          </w:p>
        </w:tc>
        <w:tc>
          <w:tcPr>
            <w:tcW w:w="6520" w:type="dxa"/>
            <w:shd w:val="clear" w:color="auto" w:fill="auto"/>
            <w:noWrap/>
            <w:vAlign w:val="center"/>
            <w:hideMark/>
          </w:tcPr>
          <w:p w14:paraId="55FD81AB"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správní obvod min. </w:t>
            </w:r>
            <w:r w:rsidRPr="00CF2204">
              <w:rPr>
                <w:rFonts w:asciiTheme="minorHAnsi" w:eastAsia="Times New Roman" w:hAnsiTheme="minorHAnsi" w:cstheme="minorHAnsi"/>
                <w:b/>
                <w:bCs/>
                <w:color w:val="000000"/>
                <w:sz w:val="20"/>
                <w:szCs w:val="20"/>
                <w:lang w:eastAsia="cs-CZ"/>
              </w:rPr>
              <w:t>10 000</w:t>
            </w:r>
            <w:r w:rsidRPr="00CF2204">
              <w:rPr>
                <w:rFonts w:asciiTheme="minorHAnsi" w:eastAsia="Times New Roman" w:hAnsiTheme="minorHAnsi" w:cstheme="minorHAnsi"/>
                <w:color w:val="000000"/>
                <w:sz w:val="20"/>
                <w:szCs w:val="20"/>
                <w:lang w:eastAsia="cs-CZ"/>
              </w:rPr>
              <w:t xml:space="preserve"> obyvatel</w:t>
            </w:r>
          </w:p>
        </w:tc>
      </w:tr>
      <w:tr w:rsidR="0071744C" w:rsidRPr="007912FA" w14:paraId="23DA19CA" w14:textId="77777777" w:rsidTr="0071744C">
        <w:trPr>
          <w:trHeight w:val="288"/>
        </w:trPr>
        <w:tc>
          <w:tcPr>
            <w:tcW w:w="2547" w:type="dxa"/>
            <w:vMerge/>
            <w:vAlign w:val="center"/>
            <w:hideMark/>
          </w:tcPr>
          <w:p w14:paraId="1224F331"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2E924B4F"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min. počet úkonů </w:t>
            </w:r>
            <w:r w:rsidRPr="00CF2204">
              <w:rPr>
                <w:rFonts w:asciiTheme="minorHAnsi" w:eastAsia="Times New Roman" w:hAnsiTheme="minorHAnsi" w:cstheme="minorHAnsi"/>
                <w:b/>
                <w:bCs/>
                <w:color w:val="000000"/>
                <w:sz w:val="20"/>
                <w:szCs w:val="20"/>
                <w:lang w:eastAsia="cs-CZ"/>
              </w:rPr>
              <w:t>225</w:t>
            </w:r>
            <w:r w:rsidRPr="00CF2204">
              <w:rPr>
                <w:rFonts w:asciiTheme="minorHAnsi" w:eastAsia="Times New Roman" w:hAnsiTheme="minorHAnsi" w:cstheme="minorHAnsi"/>
                <w:color w:val="000000"/>
                <w:sz w:val="20"/>
                <w:szCs w:val="20"/>
                <w:lang w:eastAsia="cs-CZ"/>
              </w:rPr>
              <w:t xml:space="preserve"> za rok (počítáno 11 nejčastějších)</w:t>
            </w:r>
          </w:p>
        </w:tc>
      </w:tr>
      <w:tr w:rsidR="0071744C" w:rsidRPr="007912FA" w14:paraId="374FFE51" w14:textId="77777777" w:rsidTr="0071744C">
        <w:trPr>
          <w:trHeight w:val="288"/>
        </w:trPr>
        <w:tc>
          <w:tcPr>
            <w:tcW w:w="2547" w:type="dxa"/>
            <w:vMerge/>
            <w:vAlign w:val="center"/>
            <w:hideMark/>
          </w:tcPr>
          <w:p w14:paraId="011C2C22"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30D5CE59"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min. </w:t>
            </w:r>
            <w:r w:rsidRPr="00CF2204">
              <w:rPr>
                <w:rFonts w:asciiTheme="minorHAnsi" w:eastAsia="Times New Roman" w:hAnsiTheme="minorHAnsi" w:cstheme="minorHAnsi"/>
                <w:b/>
                <w:bCs/>
                <w:color w:val="000000"/>
                <w:sz w:val="20"/>
                <w:szCs w:val="20"/>
                <w:lang w:eastAsia="cs-CZ"/>
              </w:rPr>
              <w:t>3</w:t>
            </w:r>
            <w:r w:rsidRPr="00CF2204">
              <w:rPr>
                <w:rFonts w:asciiTheme="minorHAnsi" w:eastAsia="Times New Roman" w:hAnsiTheme="minorHAnsi" w:cstheme="minorHAnsi"/>
                <w:color w:val="000000"/>
                <w:sz w:val="20"/>
                <w:szCs w:val="20"/>
                <w:lang w:eastAsia="cs-CZ"/>
              </w:rPr>
              <w:t xml:space="preserve"> pracovní místa se ZOZ na stavební řád</w:t>
            </w:r>
          </w:p>
        </w:tc>
      </w:tr>
      <w:tr w:rsidR="0071744C" w:rsidRPr="007912FA" w14:paraId="68D57178" w14:textId="77777777" w:rsidTr="0071744C">
        <w:trPr>
          <w:trHeight w:val="288"/>
        </w:trPr>
        <w:tc>
          <w:tcPr>
            <w:tcW w:w="2547" w:type="dxa"/>
            <w:vMerge/>
            <w:vAlign w:val="center"/>
            <w:hideMark/>
          </w:tcPr>
          <w:p w14:paraId="12DC4088"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26A46E22"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dostupnost 35 km z libovolné obce do obce se stavebním úřadem</w:t>
            </w:r>
          </w:p>
        </w:tc>
      </w:tr>
      <w:tr w:rsidR="0071744C" w:rsidRPr="007912FA" w14:paraId="4164CC9A" w14:textId="77777777" w:rsidTr="0071744C">
        <w:trPr>
          <w:trHeight w:val="288"/>
        </w:trPr>
        <w:tc>
          <w:tcPr>
            <w:tcW w:w="2547" w:type="dxa"/>
            <w:shd w:val="clear" w:color="auto" w:fill="auto"/>
            <w:noWrap/>
            <w:vAlign w:val="center"/>
            <w:hideMark/>
          </w:tcPr>
          <w:p w14:paraId="2E3F8508" w14:textId="4D7F2735"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Počet zachovaných SÚ </w:t>
            </w:r>
          </w:p>
        </w:tc>
        <w:tc>
          <w:tcPr>
            <w:tcW w:w="6520" w:type="dxa"/>
            <w:shd w:val="clear" w:color="auto" w:fill="auto"/>
            <w:noWrap/>
            <w:vAlign w:val="center"/>
            <w:hideMark/>
          </w:tcPr>
          <w:p w14:paraId="55DF586D" w14:textId="09F170B3" w:rsidR="0071744C" w:rsidRPr="00CF2204" w:rsidRDefault="0071744C" w:rsidP="00CF2204">
            <w:pPr>
              <w:spacing w:before="0" w:after="0"/>
              <w:jc w:val="left"/>
              <w:rPr>
                <w:rFonts w:asciiTheme="minorHAnsi" w:eastAsia="Times New Roman" w:hAnsiTheme="minorHAnsi" w:cstheme="minorHAnsi"/>
                <w:b/>
                <w:bCs/>
                <w:color w:val="000000"/>
                <w:sz w:val="20"/>
                <w:szCs w:val="20"/>
                <w:lang w:eastAsia="cs-CZ"/>
              </w:rPr>
            </w:pPr>
            <w:r w:rsidRPr="00CF2204">
              <w:rPr>
                <w:rFonts w:asciiTheme="minorHAnsi" w:eastAsia="Times New Roman" w:hAnsiTheme="minorHAnsi" w:cstheme="minorHAnsi"/>
                <w:b/>
                <w:bCs/>
                <w:color w:val="000000"/>
                <w:sz w:val="20"/>
                <w:szCs w:val="20"/>
                <w:lang w:eastAsia="cs-CZ"/>
              </w:rPr>
              <w:t> 371</w:t>
            </w:r>
          </w:p>
        </w:tc>
      </w:tr>
      <w:tr w:rsidR="0071744C" w:rsidRPr="007912FA" w14:paraId="56E0B556" w14:textId="77777777" w:rsidTr="0071744C">
        <w:trPr>
          <w:trHeight w:val="288"/>
        </w:trPr>
        <w:tc>
          <w:tcPr>
            <w:tcW w:w="2547" w:type="dxa"/>
            <w:vMerge w:val="restart"/>
            <w:shd w:val="clear" w:color="auto" w:fill="auto"/>
            <w:noWrap/>
            <w:vAlign w:val="center"/>
            <w:hideMark/>
          </w:tcPr>
          <w:p w14:paraId="530A0A15"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z toho:</w:t>
            </w:r>
          </w:p>
        </w:tc>
        <w:tc>
          <w:tcPr>
            <w:tcW w:w="6520" w:type="dxa"/>
            <w:shd w:val="clear" w:color="auto" w:fill="auto"/>
            <w:noWrap/>
            <w:vAlign w:val="center"/>
            <w:hideMark/>
          </w:tcPr>
          <w:p w14:paraId="4331B52D"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205 obcí ORP</w:t>
            </w:r>
          </w:p>
        </w:tc>
      </w:tr>
      <w:tr w:rsidR="0071744C" w:rsidRPr="007912FA" w14:paraId="0486B5AA" w14:textId="77777777" w:rsidTr="0071744C">
        <w:trPr>
          <w:trHeight w:val="288"/>
        </w:trPr>
        <w:tc>
          <w:tcPr>
            <w:tcW w:w="2547" w:type="dxa"/>
            <w:vMerge/>
            <w:vAlign w:val="center"/>
            <w:hideMark/>
          </w:tcPr>
          <w:p w14:paraId="05998846"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6E0DABB6"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Praha</w:t>
            </w:r>
          </w:p>
        </w:tc>
      </w:tr>
      <w:tr w:rsidR="0071744C" w:rsidRPr="007912FA" w14:paraId="7BE4B509" w14:textId="77777777" w:rsidTr="0071744C">
        <w:trPr>
          <w:trHeight w:val="288"/>
        </w:trPr>
        <w:tc>
          <w:tcPr>
            <w:tcW w:w="2547" w:type="dxa"/>
            <w:vMerge/>
            <w:vAlign w:val="center"/>
            <w:hideMark/>
          </w:tcPr>
          <w:p w14:paraId="3EF3FAE6"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30ED0F9D"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114 obcí POU</w:t>
            </w:r>
          </w:p>
        </w:tc>
      </w:tr>
      <w:tr w:rsidR="0071744C" w:rsidRPr="007912FA" w14:paraId="11D06456" w14:textId="77777777" w:rsidTr="0071744C">
        <w:trPr>
          <w:trHeight w:val="288"/>
        </w:trPr>
        <w:tc>
          <w:tcPr>
            <w:tcW w:w="2547" w:type="dxa"/>
            <w:vMerge/>
            <w:vAlign w:val="center"/>
            <w:hideMark/>
          </w:tcPr>
          <w:p w14:paraId="10021F0C"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3C6DBDBE" w14:textId="77777777" w:rsidR="0071744C" w:rsidRPr="00CF2204" w:rsidRDefault="0071744C"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51 obcí I. typu</w:t>
            </w:r>
          </w:p>
        </w:tc>
      </w:tr>
      <w:tr w:rsidR="007912FA" w:rsidRPr="007912FA" w14:paraId="04C41E31" w14:textId="77777777" w:rsidTr="0071744C">
        <w:trPr>
          <w:trHeight w:val="288"/>
        </w:trPr>
        <w:tc>
          <w:tcPr>
            <w:tcW w:w="2547" w:type="dxa"/>
            <w:vMerge w:val="restart"/>
            <w:shd w:val="clear" w:color="auto" w:fill="auto"/>
            <w:noWrap/>
            <w:vAlign w:val="center"/>
            <w:hideMark/>
          </w:tcPr>
          <w:p w14:paraId="6F39653D" w14:textId="6A9DD102" w:rsidR="007912FA" w:rsidRPr="00CF2204" w:rsidRDefault="007912FA" w:rsidP="007912FA">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Rozsah zachované agendy</w:t>
            </w:r>
          </w:p>
        </w:tc>
        <w:tc>
          <w:tcPr>
            <w:tcW w:w="6520" w:type="dxa"/>
            <w:shd w:val="clear" w:color="auto" w:fill="auto"/>
            <w:noWrap/>
            <w:vAlign w:val="center"/>
            <w:hideMark/>
          </w:tcPr>
          <w:p w14:paraId="07EDB84B" w14:textId="1E92D2FC"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u 11 nejčastějších úkonů</w:t>
            </w:r>
            <w:r w:rsidRPr="007912FA">
              <w:rPr>
                <w:rFonts w:asciiTheme="minorHAnsi" w:eastAsia="Times New Roman" w:hAnsiTheme="minorHAnsi" w:cstheme="minorHAnsi"/>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86</w:t>
            </w:r>
            <w:r w:rsidRPr="007912FA">
              <w:rPr>
                <w:rFonts w:asciiTheme="minorHAnsi" w:eastAsia="Times New Roman" w:hAnsiTheme="minorHAnsi" w:cstheme="minorHAnsi"/>
                <w:b/>
                <w:bCs/>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w:t>
            </w:r>
          </w:p>
        </w:tc>
      </w:tr>
      <w:tr w:rsidR="007912FA" w:rsidRPr="007912FA" w14:paraId="61AC754E" w14:textId="77777777" w:rsidTr="0071744C">
        <w:trPr>
          <w:trHeight w:val="288"/>
        </w:trPr>
        <w:tc>
          <w:tcPr>
            <w:tcW w:w="2547" w:type="dxa"/>
            <w:vMerge/>
            <w:shd w:val="clear" w:color="auto" w:fill="auto"/>
            <w:noWrap/>
            <w:vAlign w:val="center"/>
            <w:hideMark/>
          </w:tcPr>
          <w:p w14:paraId="72C6E9A2" w14:textId="3F0D89FA"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53FDCFA8" w14:textId="3FE0D95F"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ze všech sledovaných úkonů</w:t>
            </w:r>
            <w:r w:rsidRPr="007912FA">
              <w:rPr>
                <w:rFonts w:asciiTheme="minorHAnsi" w:eastAsia="Times New Roman" w:hAnsiTheme="minorHAnsi" w:cstheme="minorHAnsi"/>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86</w:t>
            </w:r>
            <w:r w:rsidRPr="007912FA">
              <w:rPr>
                <w:rFonts w:asciiTheme="minorHAnsi" w:eastAsia="Times New Roman" w:hAnsiTheme="minorHAnsi" w:cstheme="minorHAnsi"/>
                <w:b/>
                <w:bCs/>
                <w:color w:val="000000"/>
                <w:sz w:val="20"/>
                <w:szCs w:val="20"/>
                <w:lang w:eastAsia="cs-CZ"/>
              </w:rPr>
              <w:t xml:space="preserve"> </w:t>
            </w:r>
            <w:r w:rsidRPr="00CF2204">
              <w:rPr>
                <w:rFonts w:asciiTheme="minorHAnsi" w:eastAsia="Times New Roman" w:hAnsiTheme="minorHAnsi" w:cstheme="minorHAnsi"/>
                <w:b/>
                <w:bCs/>
                <w:color w:val="000000"/>
                <w:sz w:val="20"/>
                <w:szCs w:val="20"/>
                <w:lang w:eastAsia="cs-CZ"/>
              </w:rPr>
              <w:t>%</w:t>
            </w:r>
          </w:p>
        </w:tc>
      </w:tr>
      <w:tr w:rsidR="007912FA" w:rsidRPr="007912FA" w14:paraId="42F7FB13" w14:textId="77777777" w:rsidTr="0071744C">
        <w:trPr>
          <w:trHeight w:val="288"/>
        </w:trPr>
        <w:tc>
          <w:tcPr>
            <w:tcW w:w="2547" w:type="dxa"/>
            <w:vMerge/>
            <w:shd w:val="clear" w:color="auto" w:fill="auto"/>
            <w:noWrap/>
            <w:vAlign w:val="center"/>
            <w:hideMark/>
          </w:tcPr>
          <w:p w14:paraId="301D0B07" w14:textId="45F9D2B4"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hideMark/>
          </w:tcPr>
          <w:p w14:paraId="653CCF47" w14:textId="42B4124D" w:rsidR="007912FA" w:rsidRPr="00CF2204"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počet </w:t>
            </w:r>
            <w:r w:rsidRPr="007912FA">
              <w:rPr>
                <w:rFonts w:asciiTheme="minorHAnsi" w:eastAsia="Times New Roman" w:hAnsiTheme="minorHAnsi" w:cstheme="minorHAnsi"/>
                <w:color w:val="000000"/>
                <w:sz w:val="20"/>
                <w:szCs w:val="20"/>
                <w:lang w:eastAsia="cs-CZ"/>
              </w:rPr>
              <w:t>přesunovaných</w:t>
            </w:r>
            <w:r w:rsidRPr="00CF2204">
              <w:rPr>
                <w:rFonts w:asciiTheme="minorHAnsi" w:eastAsia="Times New Roman" w:hAnsiTheme="minorHAnsi" w:cstheme="minorHAnsi"/>
                <w:color w:val="000000"/>
                <w:sz w:val="20"/>
                <w:szCs w:val="20"/>
                <w:lang w:eastAsia="cs-CZ"/>
              </w:rPr>
              <w:t xml:space="preserve"> pracovních </w:t>
            </w:r>
            <w:r w:rsidRPr="007912FA">
              <w:rPr>
                <w:rFonts w:asciiTheme="minorHAnsi" w:eastAsia="Times New Roman" w:hAnsiTheme="minorHAnsi" w:cstheme="minorHAnsi"/>
                <w:color w:val="000000"/>
                <w:sz w:val="20"/>
                <w:szCs w:val="20"/>
                <w:lang w:eastAsia="cs-CZ"/>
              </w:rPr>
              <w:t xml:space="preserve">úvazků </w:t>
            </w:r>
            <w:r w:rsidRPr="00CF2204">
              <w:rPr>
                <w:rFonts w:asciiTheme="minorHAnsi" w:eastAsia="Times New Roman" w:hAnsiTheme="minorHAnsi" w:cstheme="minorHAnsi"/>
                <w:b/>
                <w:bCs/>
                <w:color w:val="000000"/>
                <w:sz w:val="20"/>
                <w:szCs w:val="20"/>
                <w:lang w:eastAsia="cs-CZ"/>
              </w:rPr>
              <w:t>372</w:t>
            </w:r>
          </w:p>
        </w:tc>
      </w:tr>
      <w:tr w:rsidR="007912FA" w:rsidRPr="007912FA" w14:paraId="08118F9E" w14:textId="77777777" w:rsidTr="0071744C">
        <w:trPr>
          <w:trHeight w:val="288"/>
        </w:trPr>
        <w:tc>
          <w:tcPr>
            <w:tcW w:w="2547" w:type="dxa"/>
            <w:vMerge/>
            <w:shd w:val="clear" w:color="auto" w:fill="auto"/>
            <w:noWrap/>
            <w:vAlign w:val="center"/>
          </w:tcPr>
          <w:p w14:paraId="4472E31D" w14:textId="77777777" w:rsidR="007912FA" w:rsidRPr="007912FA" w:rsidRDefault="007912FA" w:rsidP="00CF2204">
            <w:pPr>
              <w:spacing w:before="0" w:after="0"/>
              <w:jc w:val="left"/>
              <w:rPr>
                <w:rFonts w:asciiTheme="minorHAnsi" w:eastAsia="Times New Roman" w:hAnsiTheme="minorHAnsi" w:cstheme="minorHAnsi"/>
                <w:color w:val="000000"/>
                <w:sz w:val="20"/>
                <w:szCs w:val="20"/>
                <w:lang w:eastAsia="cs-CZ"/>
              </w:rPr>
            </w:pPr>
          </w:p>
        </w:tc>
        <w:tc>
          <w:tcPr>
            <w:tcW w:w="6520" w:type="dxa"/>
            <w:shd w:val="clear" w:color="auto" w:fill="auto"/>
            <w:noWrap/>
            <w:vAlign w:val="center"/>
          </w:tcPr>
          <w:p w14:paraId="067FB418" w14:textId="0868D1F5" w:rsidR="007912FA" w:rsidRPr="007912FA" w:rsidRDefault="007912FA" w:rsidP="00CF2204">
            <w:pPr>
              <w:spacing w:before="0" w:after="0"/>
              <w:jc w:val="left"/>
              <w:rPr>
                <w:rFonts w:asciiTheme="minorHAnsi" w:eastAsia="Times New Roman" w:hAnsiTheme="minorHAnsi" w:cstheme="minorHAnsi"/>
                <w:color w:val="000000"/>
                <w:sz w:val="20"/>
                <w:szCs w:val="20"/>
                <w:lang w:eastAsia="cs-CZ"/>
              </w:rPr>
            </w:pPr>
            <w:r w:rsidRPr="00CF2204">
              <w:rPr>
                <w:rFonts w:asciiTheme="minorHAnsi" w:eastAsia="Times New Roman" w:hAnsiTheme="minorHAnsi" w:cstheme="minorHAnsi"/>
                <w:color w:val="000000"/>
                <w:sz w:val="20"/>
                <w:szCs w:val="20"/>
                <w:lang w:eastAsia="cs-CZ"/>
              </w:rPr>
              <w:t xml:space="preserve">Nutno přerozdělit </w:t>
            </w:r>
            <w:r w:rsidRPr="00CF2204">
              <w:rPr>
                <w:rFonts w:asciiTheme="minorHAnsi" w:eastAsia="Times New Roman" w:hAnsiTheme="minorHAnsi" w:cstheme="minorHAnsi"/>
                <w:b/>
                <w:bCs/>
                <w:color w:val="000000"/>
                <w:sz w:val="20"/>
                <w:szCs w:val="20"/>
                <w:lang w:eastAsia="cs-CZ"/>
              </w:rPr>
              <w:t>14 %</w:t>
            </w:r>
            <w:r w:rsidRPr="00CF2204">
              <w:rPr>
                <w:rFonts w:asciiTheme="minorHAnsi" w:eastAsia="Times New Roman" w:hAnsiTheme="minorHAnsi" w:cstheme="minorHAnsi"/>
                <w:color w:val="000000"/>
                <w:sz w:val="20"/>
                <w:szCs w:val="20"/>
                <w:lang w:eastAsia="cs-CZ"/>
              </w:rPr>
              <w:t xml:space="preserve"> agendy stavebních úřadů za celou ČR</w:t>
            </w:r>
          </w:p>
        </w:tc>
      </w:tr>
    </w:tbl>
    <w:p w14:paraId="1AF01511" w14:textId="77777777" w:rsidR="007F4B0F" w:rsidRPr="00795817" w:rsidRDefault="007F4B0F" w:rsidP="00502193">
      <w:pPr>
        <w:pStyle w:val="Citt"/>
        <w:spacing w:before="120"/>
      </w:pPr>
      <w:r>
        <w:t>Zdroj: MV</w:t>
      </w:r>
    </w:p>
    <w:p w14:paraId="67050FB2" w14:textId="1C2B7B4F" w:rsidR="00CF2204" w:rsidRDefault="00B076FC" w:rsidP="0007037F">
      <w:pPr>
        <w:pStyle w:val="Normln-tun"/>
      </w:pPr>
      <w:r>
        <w:t>Na základě politické dohody došlo k volbě podvarianty „371“. Protože obě varianty se ve svých dopadech neliší o tolik, aby tyto dopady vykompenzovaly riziko možného nepřijetí změny, doporučujeme volbu scénáře „371“</w:t>
      </w:r>
      <w:r w:rsidR="00470308">
        <w:t>.</w:t>
      </w:r>
    </w:p>
    <w:p w14:paraId="1431552B" w14:textId="7D17BEA2" w:rsidR="007F4B0F" w:rsidRDefault="007F4B0F" w:rsidP="007F4B0F">
      <w:pPr>
        <w:pStyle w:val="Titulek"/>
        <w:keepNext/>
      </w:pPr>
      <w:r>
        <w:lastRenderedPageBreak/>
        <w:t xml:space="preserve">Obrázek </w:t>
      </w:r>
      <w:r w:rsidR="004B0591">
        <w:fldChar w:fldCharType="begin"/>
      </w:r>
      <w:r w:rsidR="004B0591">
        <w:instrText xml:space="preserve"> SEQ Obrázek \* ARABIC </w:instrText>
      </w:r>
      <w:r w:rsidR="004B0591">
        <w:fldChar w:fldCharType="separate"/>
      </w:r>
      <w:r w:rsidR="007105BE">
        <w:rPr>
          <w:noProof/>
        </w:rPr>
        <w:t>6</w:t>
      </w:r>
      <w:r w:rsidR="004B0591">
        <w:rPr>
          <w:noProof/>
        </w:rPr>
        <w:fldChar w:fldCharType="end"/>
      </w:r>
      <w:r>
        <w:t>: Podvarianta „371“</w:t>
      </w:r>
      <w:r w:rsidR="005B167C">
        <w:t xml:space="preserve"> </w:t>
      </w:r>
    </w:p>
    <w:p w14:paraId="01BF92DA" w14:textId="42B78E6A" w:rsidR="00EA1499" w:rsidRPr="0007037F" w:rsidRDefault="00643152" w:rsidP="0007037F">
      <w:pPr>
        <w:pStyle w:val="Normln-tun"/>
      </w:pPr>
      <w:r w:rsidRPr="00643152">
        <w:rPr>
          <w:noProof/>
          <w:lang w:eastAsia="cs-CZ"/>
        </w:rPr>
        <w:drawing>
          <wp:inline distT="0" distB="0" distL="0" distR="0" wp14:anchorId="16DF507A" wp14:editId="0CD5915A">
            <wp:extent cx="5775960" cy="4050177"/>
            <wp:effectExtent l="0" t="0" r="0" b="7620"/>
            <wp:docPr id="20" name="Obrázek 2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mapa&#10;&#10;Popis byl vytvořen automaticky"/>
                    <pic:cNvPicPr/>
                  </pic:nvPicPr>
                  <pic:blipFill>
                    <a:blip r:embed="rId16"/>
                    <a:stretch>
                      <a:fillRect/>
                    </a:stretch>
                  </pic:blipFill>
                  <pic:spPr>
                    <a:xfrm>
                      <a:off x="0" y="0"/>
                      <a:ext cx="5809101" cy="4073416"/>
                    </a:xfrm>
                    <a:prstGeom prst="rect">
                      <a:avLst/>
                    </a:prstGeom>
                  </pic:spPr>
                </pic:pic>
              </a:graphicData>
            </a:graphic>
          </wp:inline>
        </w:drawing>
      </w:r>
    </w:p>
    <w:p w14:paraId="5B46E4E3" w14:textId="0C4CE5C7" w:rsidR="00EA1499" w:rsidRDefault="007F4B0F" w:rsidP="007F4B0F">
      <w:pPr>
        <w:pStyle w:val="Citt"/>
      </w:pPr>
      <w:r>
        <w:t>Zdroj: M</w:t>
      </w:r>
      <w:r w:rsidR="00643152">
        <w:t>MR</w:t>
      </w:r>
    </w:p>
    <w:p w14:paraId="578EC625" w14:textId="77777777" w:rsidR="00502193" w:rsidRPr="00502193" w:rsidRDefault="00502193" w:rsidP="00502193">
      <w:pPr>
        <w:rPr>
          <w:lang w:eastAsia="cs-CZ"/>
        </w:rPr>
      </w:pPr>
    </w:p>
    <w:p w14:paraId="639825E7" w14:textId="2CF33A72" w:rsidR="00162759" w:rsidRPr="00795817" w:rsidRDefault="00162759" w:rsidP="002357D7">
      <w:pPr>
        <w:pStyle w:val="Nadpis1"/>
        <w:numPr>
          <w:ilvl w:val="0"/>
          <w:numId w:val="16"/>
        </w:numPr>
        <w:rPr>
          <w:rFonts w:eastAsia="Calibri"/>
        </w:rPr>
      </w:pPr>
      <w:bookmarkStart w:id="118" w:name="_Toc5007619"/>
      <w:bookmarkStart w:id="119" w:name="_Toc99544570"/>
      <w:bookmarkEnd w:id="25"/>
      <w:r w:rsidRPr="00795817">
        <w:rPr>
          <w:rFonts w:eastAsia="Calibri"/>
        </w:rPr>
        <w:t>Implementace doporučené varianty a vynucování</w:t>
      </w:r>
      <w:bookmarkEnd w:id="118"/>
      <w:bookmarkEnd w:id="119"/>
      <w:r w:rsidRPr="00795817">
        <w:rPr>
          <w:rFonts w:eastAsia="Calibri"/>
        </w:rPr>
        <w:t xml:space="preserve"> </w:t>
      </w:r>
    </w:p>
    <w:p w14:paraId="22BCE6C0" w14:textId="47293D3D" w:rsidR="000803C2" w:rsidRPr="008773D9" w:rsidRDefault="000803C2" w:rsidP="0007037F">
      <w:pPr>
        <w:pStyle w:val="Normln-tun"/>
      </w:pPr>
      <w:r w:rsidRPr="008773D9">
        <w:t xml:space="preserve">Dle zvolené varianty dojde ke vzniku SOSÚ. </w:t>
      </w:r>
      <w:r w:rsidR="00AF7C18" w:rsidRPr="008773D9">
        <w:t>Především p</w:t>
      </w:r>
      <w:r w:rsidRPr="008773D9">
        <w:t>ro tento úřad</w:t>
      </w:r>
      <w:r w:rsidR="00AF7C18" w:rsidRPr="008773D9">
        <w:t xml:space="preserve"> tak </w:t>
      </w:r>
      <w:r w:rsidRPr="008773D9">
        <w:t>bude třeba zajistit pracovník</w:t>
      </w:r>
      <w:r w:rsidR="00AF7C18" w:rsidRPr="008773D9">
        <w:t>y</w:t>
      </w:r>
      <w:r w:rsidRPr="008773D9">
        <w:t xml:space="preserve"> a pracovní prostory. Mělo by tak dojít k:  </w:t>
      </w:r>
    </w:p>
    <w:p w14:paraId="178C313F" w14:textId="6AA471BE" w:rsidR="0007037F" w:rsidRPr="008773D9" w:rsidRDefault="0007037F" w:rsidP="00613EB8">
      <w:pPr>
        <w:pStyle w:val="Normln-tun"/>
        <w:numPr>
          <w:ilvl w:val="0"/>
          <w:numId w:val="83"/>
        </w:numPr>
      </w:pPr>
      <w:r w:rsidRPr="008773D9">
        <w:t xml:space="preserve">inventarizaci </w:t>
      </w:r>
      <w:r w:rsidR="00AF7C18" w:rsidRPr="008773D9">
        <w:t xml:space="preserve">relevantních </w:t>
      </w:r>
      <w:r w:rsidRPr="008773D9">
        <w:t xml:space="preserve">pracovněprávních pozic a s nimi souvisejících nároků dotčených zaměstnanců, kteří by měli přejít na </w:t>
      </w:r>
      <w:r w:rsidR="00AF7C18" w:rsidRPr="008773D9">
        <w:t>SOSÚ</w:t>
      </w:r>
      <w:r w:rsidRPr="008773D9">
        <w:t>;</w:t>
      </w:r>
    </w:p>
    <w:p w14:paraId="784A010F" w14:textId="511483D7" w:rsidR="0007037F" w:rsidRPr="008773D9" w:rsidRDefault="0007037F" w:rsidP="00613EB8">
      <w:pPr>
        <w:pStyle w:val="Normln-tun"/>
        <w:numPr>
          <w:ilvl w:val="0"/>
          <w:numId w:val="83"/>
        </w:numPr>
      </w:pPr>
      <w:r w:rsidRPr="008773D9">
        <w:t xml:space="preserve">systemizaci </w:t>
      </w:r>
      <w:r w:rsidR="00AF7C18" w:rsidRPr="008773D9">
        <w:t xml:space="preserve">relevantních </w:t>
      </w:r>
      <w:r w:rsidRPr="008773D9">
        <w:t>služebních míst;</w:t>
      </w:r>
    </w:p>
    <w:p w14:paraId="4A17835D" w14:textId="2F228AC1" w:rsidR="0007037F" w:rsidRPr="008773D9" w:rsidRDefault="0007037F" w:rsidP="00613EB8">
      <w:pPr>
        <w:pStyle w:val="Normln-tun"/>
        <w:numPr>
          <w:ilvl w:val="0"/>
          <w:numId w:val="83"/>
        </w:numPr>
      </w:pPr>
      <w:r w:rsidRPr="008773D9">
        <w:t>přípravu a projednání delimitačních protokolů;</w:t>
      </w:r>
    </w:p>
    <w:p w14:paraId="03176007" w14:textId="0983CBF0" w:rsidR="0007037F" w:rsidRPr="00DD6DF1" w:rsidRDefault="0007037F" w:rsidP="00613EB8">
      <w:pPr>
        <w:pStyle w:val="Normln-tun"/>
        <w:numPr>
          <w:ilvl w:val="0"/>
          <w:numId w:val="83"/>
        </w:numPr>
      </w:pPr>
      <w:r w:rsidRPr="008773D9">
        <w:t xml:space="preserve">zabezpečení materiálních předpokladů pro chod </w:t>
      </w:r>
      <w:r w:rsidR="007A2532" w:rsidRPr="008773D9">
        <w:t>SOSÚ</w:t>
      </w:r>
      <w:r w:rsidRPr="008773D9">
        <w:t>, včetně dislokace nových stavebních úřadů;</w:t>
      </w:r>
    </w:p>
    <w:p w14:paraId="5631EDF0" w14:textId="05CBEE03" w:rsidR="00CA7D90" w:rsidRPr="00DD6DF1" w:rsidRDefault="0007037F" w:rsidP="00613EB8">
      <w:pPr>
        <w:pStyle w:val="Normln-tun"/>
        <w:numPr>
          <w:ilvl w:val="0"/>
          <w:numId w:val="83"/>
        </w:numPr>
      </w:pPr>
      <w:r w:rsidRPr="00DD6DF1">
        <w:t>předání spisové agendy</w:t>
      </w:r>
      <w:r w:rsidR="00DD6DF1">
        <w:t>;</w:t>
      </w:r>
    </w:p>
    <w:p w14:paraId="32CBACD5" w14:textId="2E94924E" w:rsidR="0007037F" w:rsidRPr="00DD6DF1" w:rsidRDefault="00CA7D90" w:rsidP="00613EB8">
      <w:pPr>
        <w:pStyle w:val="Normln-tun"/>
        <w:numPr>
          <w:ilvl w:val="0"/>
          <w:numId w:val="83"/>
        </w:numPr>
      </w:pPr>
      <w:r w:rsidRPr="00DD6DF1">
        <w:t>proškolení stávajících zaměstnanců na nový stav</w:t>
      </w:r>
      <w:r w:rsidR="0007037F" w:rsidRPr="00DD6DF1">
        <w:t>.</w:t>
      </w:r>
    </w:p>
    <w:p w14:paraId="5DFB2E0B" w14:textId="001171CE" w:rsidR="009B1B19" w:rsidRDefault="008773D9" w:rsidP="0007037F">
      <w:pPr>
        <w:pStyle w:val="Normln-tun"/>
        <w:rPr>
          <w:highlight w:val="yellow"/>
        </w:rPr>
      </w:pPr>
      <w:r>
        <w:t>Je navrhováno, aby d</w:t>
      </w:r>
      <w:r w:rsidR="0041717A" w:rsidRPr="0041717A">
        <w:t xml:space="preserve">o 31. </w:t>
      </w:r>
      <w:r w:rsidR="001F0EA3">
        <w:t>10.</w:t>
      </w:r>
      <w:r w:rsidR="0041717A" w:rsidRPr="0041717A">
        <w:t xml:space="preserve"> 2022 </w:t>
      </w:r>
      <w:r>
        <w:t>s</w:t>
      </w:r>
      <w:r w:rsidR="0041717A" w:rsidRPr="0041717A">
        <w:t>tátní tajemník ministerstva vyhlás</w:t>
      </w:r>
      <w:r>
        <w:t>il</w:t>
      </w:r>
      <w:r w:rsidR="0041717A" w:rsidRPr="0041717A">
        <w:t xml:space="preserve"> výběrové řízení na služební místo ředitele Specializovaného a odvolacího stavebního </w:t>
      </w:r>
      <w:r w:rsidR="0041717A" w:rsidRPr="008773D9">
        <w:t>úřadu.</w:t>
      </w:r>
      <w:r w:rsidRPr="008773D9">
        <w:t xml:space="preserve"> </w:t>
      </w:r>
      <w:r w:rsidR="009B1B19" w:rsidRPr="008773D9">
        <w:t xml:space="preserve">První systemizace služebních míst a první systemizace pracovních míst v </w:t>
      </w:r>
      <w:r w:rsidR="007A2532" w:rsidRPr="008773D9">
        <w:t>SOSÚ</w:t>
      </w:r>
      <w:r w:rsidR="009B1B19" w:rsidRPr="008773D9">
        <w:t xml:space="preserve"> </w:t>
      </w:r>
      <w:r w:rsidR="001F0EA3">
        <w:t xml:space="preserve">by </w:t>
      </w:r>
      <w:r w:rsidR="009B1B19" w:rsidRPr="008773D9">
        <w:t xml:space="preserve">se </w:t>
      </w:r>
      <w:r w:rsidR="001F0EA3">
        <w:t xml:space="preserve">pak měla </w:t>
      </w:r>
      <w:r w:rsidR="009B1B19" w:rsidRPr="008773D9">
        <w:t>stanov</w:t>
      </w:r>
      <w:r w:rsidR="001F0EA3">
        <w:t>it</w:t>
      </w:r>
      <w:r w:rsidR="009B1B19" w:rsidRPr="008773D9">
        <w:t xml:space="preserve"> s účinností od 1. </w:t>
      </w:r>
      <w:r w:rsidR="001F0EA3">
        <w:t>7.</w:t>
      </w:r>
      <w:r w:rsidR="009B1B19" w:rsidRPr="008773D9">
        <w:t xml:space="preserve"> 2023.</w:t>
      </w:r>
      <w:r w:rsidR="0041717A" w:rsidRPr="0041717A">
        <w:t xml:space="preserve"> </w:t>
      </w:r>
      <w:r w:rsidR="00712E89">
        <w:t>Oproti novému stavebnímu zákonu zde nedochází ke změně.</w:t>
      </w:r>
    </w:p>
    <w:p w14:paraId="708A7A66" w14:textId="352AE95F" w:rsidR="00AB316F" w:rsidRDefault="00712E89" w:rsidP="00AB316F">
      <w:pPr>
        <w:pStyle w:val="Normln-tun"/>
        <w:rPr>
          <w:szCs w:val="24"/>
        </w:rPr>
      </w:pPr>
      <w:r>
        <w:lastRenderedPageBreak/>
        <w:t xml:space="preserve">Nově oproti současnému reálnému stavu i nově v porovnání se zněním nového stavebního zákona se budou muset </w:t>
      </w:r>
      <w:r>
        <w:rPr>
          <w:szCs w:val="24"/>
        </w:rPr>
        <w:t>legislativně</w:t>
      </w:r>
      <w:r w:rsidRPr="00712E89">
        <w:t xml:space="preserve"> </w:t>
      </w:r>
      <w:r w:rsidR="00AB316F" w:rsidRPr="00712E89">
        <w:t>vymez</w:t>
      </w:r>
      <w:r w:rsidRPr="00712E89">
        <w:t>it</w:t>
      </w:r>
      <w:r w:rsidR="00AB316F" w:rsidRPr="00712E89">
        <w:t xml:space="preserve"> správní obvod</w:t>
      </w:r>
      <w:r>
        <w:t>y</w:t>
      </w:r>
      <w:r w:rsidR="00AB316F" w:rsidRPr="00712E89">
        <w:t xml:space="preserve"> </w:t>
      </w:r>
      <w:r w:rsidR="00AB316F" w:rsidRPr="00712E89">
        <w:rPr>
          <w:szCs w:val="24"/>
          <w:u w:val="single"/>
        </w:rPr>
        <w:t>zachovaných obecn</w:t>
      </w:r>
      <w:r w:rsidR="00462668">
        <w:rPr>
          <w:szCs w:val="24"/>
          <w:u w:val="single"/>
        </w:rPr>
        <w:t>í</w:t>
      </w:r>
      <w:r w:rsidR="00AB316F" w:rsidRPr="00712E89">
        <w:rPr>
          <w:szCs w:val="24"/>
          <w:u w:val="single"/>
        </w:rPr>
        <w:t xml:space="preserve">ch </w:t>
      </w:r>
      <w:r>
        <w:rPr>
          <w:szCs w:val="24"/>
          <w:u w:val="single"/>
        </w:rPr>
        <w:t>SÚ</w:t>
      </w:r>
      <w:r w:rsidR="00AB316F">
        <w:rPr>
          <w:szCs w:val="24"/>
        </w:rPr>
        <w:t>. S ohledem na územně správní členění státu podle zákona č. 51/2020 Sb. je navrhováno, aby správní obvody obecn</w:t>
      </w:r>
      <w:r w:rsidR="00462668">
        <w:rPr>
          <w:szCs w:val="24"/>
        </w:rPr>
        <w:t>í</w:t>
      </w:r>
      <w:r w:rsidR="00AB316F">
        <w:rPr>
          <w:szCs w:val="24"/>
        </w:rPr>
        <w:t xml:space="preserve">ch stavebních úřadů byly vždy souladné se správními obvody ORP. Oproti stávajícímu stavu nedojde k nežádoucímu stavu neskladebnosti, kdy adresáti veřejné správy mají stavební úřad v jiném správním obvodu ORP, než do kterého spadají. Samotné stanovení správních odvodů, tedy i rozdělení správních obvodů </w:t>
      </w:r>
      <w:r w:rsidR="00AB316F" w:rsidRPr="00462668">
        <w:rPr>
          <w:szCs w:val="24"/>
          <w:u w:val="single"/>
        </w:rPr>
        <w:t>zrušených stavebních úřadů</w:t>
      </w:r>
      <w:r w:rsidR="00AB316F">
        <w:rPr>
          <w:szCs w:val="24"/>
        </w:rPr>
        <w:t xml:space="preserve"> k zachovaným, se musí provést na základě doprovodné prováděcí vyhlášky. </w:t>
      </w:r>
    </w:p>
    <w:p w14:paraId="2FA68ACC" w14:textId="13A33752" w:rsidR="001F7CAD" w:rsidRPr="00FE0160" w:rsidRDefault="00DD26C3" w:rsidP="001F7CAD">
      <w:pPr>
        <w:pStyle w:val="Normln-tun"/>
        <w:rPr>
          <w:i/>
          <w:iCs/>
        </w:rPr>
      </w:pPr>
      <w:r w:rsidRPr="00DE52D4">
        <w:t xml:space="preserve">Ve vazbě na navrhovanou změnu je </w:t>
      </w:r>
      <w:r w:rsidR="00DE52D4" w:rsidRPr="00DE52D4">
        <w:t xml:space="preserve">ještě </w:t>
      </w:r>
      <w:r w:rsidRPr="00DE52D4">
        <w:t xml:space="preserve">třeba upravit vztahy při odstraňování černých staveb. </w:t>
      </w:r>
      <w:r w:rsidR="00FE0160" w:rsidRPr="00DE52D4">
        <w:t>Navrhovanou změnou je výkon činnosti SÚ svěřen do působnosti všech typů obcí (371 SÚ). Výkony rozhodnutí by bez úpravy šly k tíži jednotlivých obcí. Je proto třeba stanovit, že náklady ponese stát. Takto se o</w:t>
      </w:r>
      <w:r w:rsidR="00502193" w:rsidRPr="00DE52D4">
        <w:t xml:space="preserve">proti </w:t>
      </w:r>
      <w:r w:rsidR="00FE0160" w:rsidRPr="00DE52D4">
        <w:t xml:space="preserve">novému stavebnímu zákonu, kde výkony rozhodnutí byly navrhovány jako finanční úhrady států – tedy zátěž státního rozpočtu, nebude věcně </w:t>
      </w:r>
      <w:r w:rsidR="00502193" w:rsidRPr="00DE52D4">
        <w:t>jedn</w:t>
      </w:r>
      <w:r w:rsidR="00FE0160" w:rsidRPr="00DE52D4">
        <w:t>at</w:t>
      </w:r>
      <w:r w:rsidR="00502193" w:rsidRPr="00DE52D4">
        <w:t xml:space="preserve"> o změnu ekonomických dopadů, nýbrž pouze o změnu procesního postupu stavebních úřadů. </w:t>
      </w:r>
      <w:r w:rsidR="00FE0160" w:rsidRPr="00DE52D4">
        <w:t>Proto</w:t>
      </w:r>
      <w:r w:rsidR="00FE0160">
        <w:t xml:space="preserve"> je třeba stanovit následující: </w:t>
      </w:r>
      <w:r w:rsidR="00FE0160" w:rsidRPr="00FE0160">
        <w:rPr>
          <w:i/>
          <w:iCs/>
        </w:rPr>
        <w:t>N</w:t>
      </w:r>
      <w:r w:rsidR="001F7CAD" w:rsidRPr="00FE0160">
        <w:rPr>
          <w:i/>
          <w:iCs/>
        </w:rPr>
        <w:t xml:space="preserve">eodstraní-li povinný stavbu nebo terénní úpravu ve lhůtě uložené stavebním úřadem, lze osobu oprávněnou podle jiného právního předpisu k provedení odstranění stavby nebo terénní úpravy pověřit k náhradnímu výkonu rozhodnutí se souhlasem ministerstva. Osobě, kterou stavební úřad pověřil odstraněním stavby nebo terénní úpravy, náleží úhrada nákladů vzniklých při odstranění stavby nebo terénní úpravy. </w:t>
      </w:r>
      <w:r w:rsidR="001F7CAD" w:rsidRPr="00FE0160">
        <w:rPr>
          <w:i/>
          <w:iCs/>
          <w:u w:val="single"/>
        </w:rPr>
        <w:t>Úhradu vyplácí ministerstvo</w:t>
      </w:r>
      <w:r w:rsidR="001F7CAD" w:rsidRPr="00FE0160">
        <w:rPr>
          <w:i/>
          <w:iCs/>
        </w:rPr>
        <w:t>, které o tomto vyrozumí stavební úřad.</w:t>
      </w:r>
    </w:p>
    <w:p w14:paraId="74D017FB" w14:textId="2B32ACF0" w:rsidR="0007037F" w:rsidRPr="00FF0485" w:rsidRDefault="0007037F" w:rsidP="0007037F">
      <w:pPr>
        <w:pStyle w:val="Normln-tun"/>
        <w:rPr>
          <w:b/>
          <w:bCs/>
        </w:rPr>
      </w:pPr>
      <w:bookmarkStart w:id="120" w:name="_Toc25570985"/>
      <w:bookmarkStart w:id="121" w:name="_Toc47992453"/>
      <w:r w:rsidRPr="00FF0485">
        <w:rPr>
          <w:b/>
          <w:bCs/>
        </w:rPr>
        <w:t>Vynucování</w:t>
      </w:r>
      <w:bookmarkEnd w:id="120"/>
      <w:bookmarkEnd w:id="121"/>
      <w:r w:rsidRPr="00FF0485">
        <w:rPr>
          <w:b/>
          <w:bCs/>
        </w:rPr>
        <w:t xml:space="preserve"> </w:t>
      </w:r>
    </w:p>
    <w:p w14:paraId="6E34F529" w14:textId="1B56120C" w:rsidR="0007037F" w:rsidRPr="00FF0485" w:rsidRDefault="0007037F" w:rsidP="0007037F">
      <w:pPr>
        <w:pStyle w:val="Normln-tun"/>
      </w:pPr>
      <w:r w:rsidRPr="004F584D">
        <w:t xml:space="preserve">Důležitým vynucovacím prostředkem, který navrhovaná úprava obsahuje, je stanovení závazných lhůt pro vydání rozhodnutí s jasnými důsledky jejich nedodržení. </w:t>
      </w:r>
      <w:bookmarkStart w:id="122" w:name="_Hlk533192802"/>
      <w:r w:rsidR="00F067DB" w:rsidRPr="004F584D">
        <w:rPr>
          <w:b/>
          <w:bCs/>
        </w:rPr>
        <w:t xml:space="preserve">Tato oblast se oproti novému stavebnímu zákonu </w:t>
      </w:r>
      <w:r w:rsidR="00FF0485" w:rsidRPr="004F584D">
        <w:rPr>
          <w:b/>
          <w:bCs/>
        </w:rPr>
        <w:t>n</w:t>
      </w:r>
      <w:r w:rsidR="00F067DB" w:rsidRPr="004F584D">
        <w:rPr>
          <w:b/>
          <w:bCs/>
        </w:rPr>
        <w:t>emění.</w:t>
      </w:r>
      <w:r w:rsidR="00B80B67" w:rsidRPr="004F584D">
        <w:t xml:space="preserve"> </w:t>
      </w:r>
      <w:r w:rsidR="00D3552D" w:rsidRPr="004F584D">
        <w:t>Byla hodnocena v rámci RIA k novému stavebnímu zákonu.</w:t>
      </w:r>
    </w:p>
    <w:bookmarkEnd w:id="122"/>
    <w:p w14:paraId="49720DAB" w14:textId="3A94BBCF" w:rsidR="00F067DB" w:rsidRDefault="00FF0485" w:rsidP="006E477D">
      <w:pPr>
        <w:widowControl w:val="0"/>
        <w:autoSpaceDE w:val="0"/>
        <w:autoSpaceDN w:val="0"/>
        <w:adjustRightInd w:val="0"/>
        <w:spacing w:after="0"/>
      </w:pPr>
      <w:r>
        <w:t>Ve vazbě na změnu je k</w:t>
      </w:r>
      <w:r w:rsidR="00F067DB" w:rsidRPr="00FF0485">
        <w:t>ontrol</w:t>
      </w:r>
      <w:r>
        <w:t>a</w:t>
      </w:r>
      <w:r w:rsidR="00F067DB" w:rsidRPr="00FF0485">
        <w:t xml:space="preserve"> výkonu působnosti </w:t>
      </w:r>
      <w:r>
        <w:t>SOSÚ</w:t>
      </w:r>
      <w:r w:rsidR="00F067DB" w:rsidRPr="00FF0485">
        <w:t>, krajských úřadů a obecních stavebních úřadů ve věcech stavebního řádu ministerstv</w:t>
      </w:r>
      <w:r>
        <w:t>u</w:t>
      </w:r>
      <w:r w:rsidR="00F067DB" w:rsidRPr="00FF0485">
        <w:t xml:space="preserve">, </w:t>
      </w:r>
      <w:r>
        <w:t xml:space="preserve">a </w:t>
      </w:r>
      <w:r w:rsidR="00F067DB" w:rsidRPr="00FF0485">
        <w:t>obecních stavebních úřadů ve věcech stavebního řádu krajsk</w:t>
      </w:r>
      <w:r>
        <w:t>ému</w:t>
      </w:r>
      <w:r w:rsidR="00F067DB" w:rsidRPr="00FF0485">
        <w:t xml:space="preserve"> úřad</w:t>
      </w:r>
      <w:r>
        <w:t>u</w:t>
      </w:r>
      <w:r w:rsidR="00F067DB" w:rsidRPr="00FF0485">
        <w:t xml:space="preserve">. Ministerstvo a krajský úřad </w:t>
      </w:r>
      <w:r w:rsidR="006E477D">
        <w:t xml:space="preserve">by měly </w:t>
      </w:r>
      <w:r w:rsidR="00F067DB" w:rsidRPr="00FF0485">
        <w:t>kontrol</w:t>
      </w:r>
      <w:r w:rsidR="006E477D">
        <w:t>ovat</w:t>
      </w:r>
      <w:r w:rsidR="00F067DB" w:rsidRPr="00FF0485">
        <w:t xml:space="preserve"> </w:t>
      </w:r>
      <w:r w:rsidR="006E477D">
        <w:t xml:space="preserve">obecně </w:t>
      </w:r>
      <w:r w:rsidR="00F067DB" w:rsidRPr="00FF0485">
        <w:t>dodržování tohoto zákona, právních předpisů vydaných k jeho provedení a rozhodnutí a opatření obecné povahy vydaných na základě tohoto zákona, jakož i dodržování usnesení vlády a směrnic ústředních správních úřadů.</w:t>
      </w:r>
    </w:p>
    <w:p w14:paraId="76F5B66F" w14:textId="77777777" w:rsidR="00273256" w:rsidRDefault="00273256" w:rsidP="006E477D">
      <w:pPr>
        <w:widowControl w:val="0"/>
        <w:autoSpaceDE w:val="0"/>
        <w:autoSpaceDN w:val="0"/>
        <w:adjustRightInd w:val="0"/>
        <w:spacing w:after="0"/>
      </w:pPr>
    </w:p>
    <w:p w14:paraId="5A1E28E7" w14:textId="4DC00561" w:rsidR="00162759" w:rsidRPr="00795817" w:rsidRDefault="00162759" w:rsidP="00C660A8">
      <w:pPr>
        <w:pStyle w:val="Nadpis1"/>
        <w:numPr>
          <w:ilvl w:val="0"/>
          <w:numId w:val="16"/>
        </w:numPr>
        <w:rPr>
          <w:rFonts w:eastAsia="Calibri"/>
        </w:rPr>
      </w:pPr>
      <w:bookmarkStart w:id="123" w:name="_Toc5007621"/>
      <w:bookmarkStart w:id="124" w:name="_Toc99544571"/>
      <w:r w:rsidRPr="00795817">
        <w:rPr>
          <w:rFonts w:eastAsia="Calibri"/>
        </w:rPr>
        <w:t>Přezkum účinnosti regulace</w:t>
      </w:r>
      <w:bookmarkEnd w:id="123"/>
      <w:bookmarkEnd w:id="124"/>
      <w:r w:rsidRPr="00795817">
        <w:rPr>
          <w:rFonts w:eastAsia="Calibri"/>
        </w:rPr>
        <w:t xml:space="preserve"> </w:t>
      </w:r>
    </w:p>
    <w:p w14:paraId="33F8FD56" w14:textId="77777777" w:rsidR="00E11E7F" w:rsidRPr="006E477D" w:rsidRDefault="00E11E7F" w:rsidP="00E11E7F">
      <w:pPr>
        <w:widowControl w:val="0"/>
        <w:spacing w:before="100" w:after="100"/>
      </w:pPr>
      <w:r w:rsidRPr="006E477D">
        <w:t xml:space="preserve">Jako perioda přiměřená pro přezkum účinnosti implementovaných opatření a pro zhodnocení pokroku při dosahování cílů novelizace se doporučuje doba 3 let. Tato perioda je dostatečně dlouhá pro shromáždění dostatečného objemu dat relevantních pro přezkum účinnosti a podnětů od dotčených subjektů a zároveň dostatečně krátká tak, aby nedošlo k přehlcení velkým objemem podnětů a navrhovaných změn. </w:t>
      </w:r>
    </w:p>
    <w:p w14:paraId="721B8B41" w14:textId="067730DD" w:rsidR="00E11E7F" w:rsidRPr="006E477D" w:rsidRDefault="00E11E7F" w:rsidP="00E11E7F">
      <w:pPr>
        <w:widowControl w:val="0"/>
        <w:spacing w:before="100" w:after="100"/>
      </w:pPr>
      <w:r w:rsidRPr="006E477D">
        <w:t xml:space="preserve">Pro přezkum účinnosti </w:t>
      </w:r>
      <w:r w:rsidR="006E477D">
        <w:t>změny</w:t>
      </w:r>
      <w:r w:rsidRPr="006E477D">
        <w:t xml:space="preserve"> je doporučen</w:t>
      </w:r>
      <w:r w:rsidR="006E477D">
        <w:t>o</w:t>
      </w:r>
      <w:r w:rsidRPr="006E477D">
        <w:t xml:space="preserve"> </w:t>
      </w:r>
      <w:r w:rsidR="006E477D">
        <w:t>především sledování</w:t>
      </w:r>
      <w:r w:rsidRPr="006E477D">
        <w:t xml:space="preserve"> délky přípravné fáze výstavby staveb.  </w:t>
      </w:r>
      <w:r w:rsidR="003C54E1">
        <w:t>Kromě již dnes sledovaných se d</w:t>
      </w:r>
      <w:r w:rsidRPr="006E477D">
        <w:t xml:space="preserve">oporučuje </w:t>
      </w:r>
      <w:r w:rsidR="003C54E1">
        <w:t>monitorov</w:t>
      </w:r>
      <w:r w:rsidRPr="006E477D">
        <w:t>at následující ukazatele:</w:t>
      </w:r>
    </w:p>
    <w:p w14:paraId="25BA339A" w14:textId="77777777" w:rsidR="00E11E7F" w:rsidRPr="006E477D" w:rsidRDefault="00E11E7F" w:rsidP="00613EB8">
      <w:pPr>
        <w:pStyle w:val="Odstavecseseznamem"/>
        <w:widowControl w:val="0"/>
        <w:numPr>
          <w:ilvl w:val="0"/>
          <w:numId w:val="72"/>
        </w:numPr>
        <w:spacing w:before="100" w:after="100"/>
      </w:pPr>
      <w:r w:rsidRPr="006E477D">
        <w:t>délku povolovacího řízení (na základě dat o podání žádosti a vydání rozhodnutí);</w:t>
      </w:r>
    </w:p>
    <w:p w14:paraId="600B887A" w14:textId="2B337317" w:rsidR="006E477D" w:rsidRDefault="006E477D" w:rsidP="00613EB8">
      <w:pPr>
        <w:pStyle w:val="Odstavecseseznamem"/>
        <w:widowControl w:val="0"/>
        <w:numPr>
          <w:ilvl w:val="0"/>
          <w:numId w:val="72"/>
        </w:numPr>
        <w:spacing w:before="100" w:after="100"/>
      </w:pPr>
      <w:r>
        <w:t>délku vydání koordinovaných vyjádření a závazných stanovisek;</w:t>
      </w:r>
    </w:p>
    <w:p w14:paraId="735A5F80" w14:textId="5AD95E82" w:rsidR="00E11E7F" w:rsidRPr="006E477D" w:rsidRDefault="00E11E7F" w:rsidP="00613EB8">
      <w:pPr>
        <w:pStyle w:val="Odstavecseseznamem"/>
        <w:widowControl w:val="0"/>
        <w:numPr>
          <w:ilvl w:val="0"/>
          <w:numId w:val="72"/>
        </w:numPr>
        <w:spacing w:before="100" w:after="100"/>
      </w:pPr>
      <w:r w:rsidRPr="006E477D">
        <w:t>počet úspěšných odvolání a délku odvolacího řízení v případě zachování této možnosti ochrany před správním rozhodnutím;</w:t>
      </w:r>
    </w:p>
    <w:p w14:paraId="6D0EB96B" w14:textId="77777777" w:rsidR="00E11E7F" w:rsidRPr="006E477D" w:rsidRDefault="00E11E7F" w:rsidP="00613EB8">
      <w:pPr>
        <w:pStyle w:val="Odstavecseseznamem"/>
        <w:widowControl w:val="0"/>
        <w:numPr>
          <w:ilvl w:val="0"/>
          <w:numId w:val="72"/>
        </w:numPr>
        <w:spacing w:before="100" w:after="100"/>
      </w:pPr>
      <w:r w:rsidRPr="006E477D">
        <w:t>délku soudních řízení;</w:t>
      </w:r>
    </w:p>
    <w:p w14:paraId="473651C2" w14:textId="77777777" w:rsidR="00E11E7F" w:rsidRPr="006E477D" w:rsidRDefault="00E11E7F" w:rsidP="00613EB8">
      <w:pPr>
        <w:pStyle w:val="Odstavecseseznamem"/>
        <w:widowControl w:val="0"/>
        <w:numPr>
          <w:ilvl w:val="0"/>
          <w:numId w:val="72"/>
        </w:numPr>
        <w:spacing w:before="100" w:after="100"/>
      </w:pPr>
      <w:r w:rsidRPr="006E477D">
        <w:t xml:space="preserve">míru ochrany veřejných zájmů (indikátory by bylo vhodné navrhnout v součinnosti s DO, které </w:t>
      </w:r>
      <w:r w:rsidRPr="006E477D">
        <w:lastRenderedPageBreak/>
        <w:t>svou oblast zájmu znají nejlépe), či např. na základě šetření mezi DO;</w:t>
      </w:r>
    </w:p>
    <w:p w14:paraId="09EB4CA8" w14:textId="14B1358A" w:rsidR="00E11E7F" w:rsidRPr="006E477D" w:rsidRDefault="00E11E7F" w:rsidP="00613EB8">
      <w:pPr>
        <w:pStyle w:val="Odstavecseseznamem"/>
        <w:widowControl w:val="0"/>
        <w:numPr>
          <w:ilvl w:val="0"/>
          <w:numId w:val="72"/>
        </w:numPr>
        <w:spacing w:before="100" w:after="100"/>
      </w:pPr>
      <w:r w:rsidRPr="006E477D">
        <w:t xml:space="preserve">výkonnost </w:t>
      </w:r>
      <w:r w:rsidR="006E477D">
        <w:t>úředníků</w:t>
      </w:r>
      <w:r w:rsidRPr="006E477D">
        <w:t xml:space="preserve"> dle KPI</w:t>
      </w:r>
      <w:r w:rsidR="00FE61C2">
        <w:t xml:space="preserve"> </w:t>
      </w:r>
      <w:r w:rsidR="00F47609">
        <w:t xml:space="preserve">(obecnější návrhy viz </w:t>
      </w:r>
      <w:r w:rsidR="00FE61C2">
        <w:t xml:space="preserve">např. </w:t>
      </w:r>
      <w:r w:rsidR="00F47609" w:rsidRPr="004F75F1">
        <w:t>Analýz</w:t>
      </w:r>
      <w:r w:rsidR="00FE61C2">
        <w:t>a</w:t>
      </w:r>
      <w:r w:rsidR="00F47609">
        <w:t xml:space="preserve"> MV</w:t>
      </w:r>
      <w:r w:rsidR="00F47609">
        <w:rPr>
          <w:rStyle w:val="Znakapoznpodarou"/>
        </w:rPr>
        <w:footnoteReference w:id="14"/>
      </w:r>
      <w:r w:rsidR="00F47609">
        <w:t xml:space="preserve">, příp. v </w:t>
      </w:r>
      <w:r w:rsidR="00FE61C2">
        <w:t>analýze</w:t>
      </w:r>
      <w:r w:rsidR="00F47609">
        <w:t xml:space="preserve"> uvedená odborná literat</w:t>
      </w:r>
      <w:r w:rsidR="00FE61C2">
        <w:t>ura</w:t>
      </w:r>
      <w:r w:rsidR="00F47609">
        <w:t>)</w:t>
      </w:r>
      <w:r w:rsidRPr="006E477D">
        <w:t>;</w:t>
      </w:r>
    </w:p>
    <w:p w14:paraId="22E87FF5" w14:textId="77777777" w:rsidR="00E11E7F" w:rsidRPr="006E477D" w:rsidRDefault="00E11E7F" w:rsidP="00613EB8">
      <w:pPr>
        <w:pStyle w:val="Odstavecseseznamem"/>
        <w:widowControl w:val="0"/>
        <w:numPr>
          <w:ilvl w:val="0"/>
          <w:numId w:val="72"/>
        </w:numPr>
        <w:spacing w:before="100" w:after="100"/>
      </w:pPr>
      <w:r w:rsidRPr="006E477D">
        <w:t xml:space="preserve">kvalitu ÚPD na základě šetření mezi dotčenými stranami; </w:t>
      </w:r>
    </w:p>
    <w:p w14:paraId="4C8192F3" w14:textId="77777777" w:rsidR="00E11E7F" w:rsidRPr="006E477D" w:rsidRDefault="00E11E7F" w:rsidP="00613EB8">
      <w:pPr>
        <w:pStyle w:val="Odstavecseseznamem"/>
        <w:widowControl w:val="0"/>
        <w:numPr>
          <w:ilvl w:val="0"/>
          <w:numId w:val="72"/>
        </w:numPr>
        <w:spacing w:before="100" w:after="100"/>
      </w:pPr>
      <w:r w:rsidRPr="006E477D">
        <w:t>ekonomické výsledky stavebního sektoru apod.</w:t>
      </w:r>
    </w:p>
    <w:p w14:paraId="21EF4FEB" w14:textId="77777777" w:rsidR="00E11E7F" w:rsidRDefault="00E11E7F" w:rsidP="00E11E7F">
      <w:pPr>
        <w:widowControl w:val="0"/>
        <w:spacing w:before="100" w:after="100"/>
      </w:pPr>
      <w:r w:rsidRPr="006E477D">
        <w:t>V optimálním případě by bylo vhodné již jako součást IT řešení požadovat automatické zpracovávání statistických výstupů za zadávané údaje do jednotlivých systémů, a to v absolutních i relativních metrikách, a za vzájemné vazby mezi zadávanými veličinami.</w:t>
      </w:r>
    </w:p>
    <w:p w14:paraId="1794B866" w14:textId="77777777" w:rsidR="00914F9D" w:rsidRPr="00A6072E" w:rsidRDefault="00914F9D" w:rsidP="00E245E3">
      <w:pPr>
        <w:pStyle w:val="Normln-tun"/>
      </w:pPr>
    </w:p>
    <w:p w14:paraId="2687A639" w14:textId="77777777" w:rsidR="00162759" w:rsidRPr="00795817" w:rsidRDefault="00162759" w:rsidP="00C660A8">
      <w:pPr>
        <w:pStyle w:val="Nadpis1"/>
        <w:numPr>
          <w:ilvl w:val="0"/>
          <w:numId w:val="16"/>
        </w:numPr>
        <w:rPr>
          <w:rFonts w:eastAsia="Calibri"/>
        </w:rPr>
      </w:pPr>
      <w:bookmarkStart w:id="125" w:name="_Toc5007622"/>
      <w:bookmarkStart w:id="126" w:name="_Toc99544572"/>
      <w:r w:rsidRPr="00795817">
        <w:rPr>
          <w:rFonts w:eastAsia="Calibri"/>
        </w:rPr>
        <w:t>Konzultace a zdroje dat</w:t>
      </w:r>
      <w:bookmarkEnd w:id="125"/>
      <w:bookmarkEnd w:id="126"/>
      <w:r w:rsidRPr="00795817">
        <w:rPr>
          <w:rFonts w:eastAsia="Calibri"/>
        </w:rPr>
        <w:t xml:space="preserve"> </w:t>
      </w:r>
    </w:p>
    <w:p w14:paraId="1FED60D9" w14:textId="31BB3867" w:rsidR="00E2521A" w:rsidRDefault="00397458" w:rsidP="00450372">
      <w:pPr>
        <w:pStyle w:val="Normln-tun"/>
      </w:pPr>
      <w:r w:rsidRPr="00520AD9">
        <w:t xml:space="preserve">Řešená problematika byla projednávána </w:t>
      </w:r>
      <w:r w:rsidR="00EC5C88">
        <w:t>MMR, MV ve spolupráci se SMO ČR a dalšími zástupci ÚSC.</w:t>
      </w:r>
      <w:bookmarkStart w:id="127" w:name="_Toc25570988"/>
      <w:bookmarkEnd w:id="127"/>
    </w:p>
    <w:p w14:paraId="0A454132" w14:textId="77777777" w:rsidR="008F6BC8" w:rsidRDefault="008F6BC8" w:rsidP="007422C6">
      <w:pPr>
        <w:pStyle w:val="Prosttext"/>
        <w:rPr>
          <w:b/>
          <w:bCs/>
          <w:i/>
          <w:iCs/>
          <w:color w:val="FF0000"/>
        </w:rPr>
      </w:pPr>
    </w:p>
    <w:p w14:paraId="18CD781B" w14:textId="77777777" w:rsidR="00FE61C2" w:rsidRDefault="00FE61C2" w:rsidP="007422C6">
      <w:pPr>
        <w:rPr>
          <w:b/>
          <w:color w:val="FF0000"/>
        </w:rPr>
      </w:pPr>
    </w:p>
    <w:p w14:paraId="2240FCDD" w14:textId="77777777" w:rsidR="00FE61C2" w:rsidRDefault="00FE61C2" w:rsidP="007422C6">
      <w:pPr>
        <w:rPr>
          <w:b/>
          <w:color w:val="FF0000"/>
        </w:rPr>
      </w:pPr>
    </w:p>
    <w:p w14:paraId="2BAA4AB8" w14:textId="77777777" w:rsidR="00FE61C2" w:rsidRDefault="00FE61C2" w:rsidP="007422C6">
      <w:pPr>
        <w:rPr>
          <w:b/>
          <w:color w:val="FF0000"/>
        </w:rPr>
      </w:pPr>
    </w:p>
    <w:p w14:paraId="2E62B633" w14:textId="77777777" w:rsidR="00FE61C2" w:rsidRDefault="00FE61C2" w:rsidP="007422C6">
      <w:pPr>
        <w:rPr>
          <w:b/>
          <w:color w:val="FF0000"/>
        </w:rPr>
      </w:pPr>
    </w:p>
    <w:p w14:paraId="731DCE3F" w14:textId="77777777" w:rsidR="007422C6" w:rsidRPr="00795817" w:rsidRDefault="007422C6" w:rsidP="007422C6">
      <w:pPr>
        <w:pStyle w:val="Normln-tun"/>
      </w:pPr>
    </w:p>
    <w:p w14:paraId="6BB40389" w14:textId="2AEA7C1F" w:rsidR="007422C6" w:rsidRDefault="007422C6" w:rsidP="00450372">
      <w:pPr>
        <w:pStyle w:val="Normln-tun"/>
        <w:rPr>
          <w:rFonts w:ascii="Cambria" w:eastAsia="Times New Roman" w:hAnsi="Cambria"/>
          <w:b/>
          <w:bCs/>
          <w:color w:val="B6B002"/>
          <w:sz w:val="28"/>
          <w:szCs w:val="28"/>
        </w:rPr>
      </w:pPr>
    </w:p>
    <w:p w14:paraId="00A87DEB" w14:textId="201B2AE3" w:rsidR="00B0094F" w:rsidRDefault="00B0094F" w:rsidP="00450372">
      <w:pPr>
        <w:pStyle w:val="Normln-tun"/>
        <w:rPr>
          <w:rFonts w:ascii="Cambria" w:eastAsia="Times New Roman" w:hAnsi="Cambria"/>
          <w:b/>
          <w:bCs/>
          <w:color w:val="B6B002"/>
          <w:sz w:val="28"/>
          <w:szCs w:val="28"/>
        </w:rPr>
      </w:pPr>
    </w:p>
    <w:p w14:paraId="75C651E0" w14:textId="77777777" w:rsidR="00B0094F" w:rsidRDefault="00B0094F">
      <w:pPr>
        <w:spacing w:before="0" w:after="0"/>
        <w:jc w:val="left"/>
        <w:rPr>
          <w:rFonts w:ascii="Cambria" w:eastAsia="Times New Roman" w:hAnsi="Cambria"/>
          <w:b/>
          <w:bCs/>
          <w:color w:val="B6B002"/>
          <w:sz w:val="28"/>
          <w:szCs w:val="28"/>
        </w:rPr>
      </w:pPr>
      <w:bookmarkStart w:id="128" w:name="_Toc46447818"/>
      <w:r>
        <w:br w:type="page"/>
      </w:r>
    </w:p>
    <w:bookmarkEnd w:id="128"/>
    <w:p w14:paraId="107D09E1" w14:textId="4CE80EA3" w:rsidR="00A0104B" w:rsidRDefault="00A0104B" w:rsidP="00A0104B">
      <w:pPr>
        <w:pStyle w:val="Nadpis10"/>
        <w:numPr>
          <w:ilvl w:val="0"/>
          <w:numId w:val="0"/>
        </w:numPr>
        <w:ind w:left="357" w:hanging="357"/>
      </w:pPr>
      <w:r>
        <w:lastRenderedPageBreak/>
        <w:t>Příloha</w:t>
      </w:r>
    </w:p>
    <w:p w14:paraId="52956675" w14:textId="77777777" w:rsidR="005F419F" w:rsidRDefault="005F419F" w:rsidP="005F419F">
      <w:pPr>
        <w:pStyle w:val="Normln-tun"/>
        <w:rPr>
          <w:b/>
          <w:bCs/>
          <w:caps/>
        </w:rPr>
      </w:pPr>
    </w:p>
    <w:p w14:paraId="7684E769" w14:textId="5B76189D" w:rsidR="00A0104B" w:rsidRPr="005F419F" w:rsidRDefault="005F419F" w:rsidP="005F419F">
      <w:pPr>
        <w:pStyle w:val="Normln-tun"/>
        <w:rPr>
          <w:b/>
          <w:bCs/>
          <w:caps/>
        </w:rPr>
      </w:pPr>
      <w:r>
        <w:rPr>
          <w:b/>
          <w:bCs/>
          <w:caps/>
        </w:rPr>
        <w:t xml:space="preserve">A. </w:t>
      </w:r>
      <w:r w:rsidR="00A0104B" w:rsidRPr="005F419F">
        <w:rPr>
          <w:b/>
          <w:bCs/>
          <w:caps/>
        </w:rPr>
        <w:t>Existující struktura stavebních úřadů v ČR</w:t>
      </w:r>
    </w:p>
    <w:p w14:paraId="63AE9058" w14:textId="77777777" w:rsidR="00A0104B" w:rsidRPr="003E3314" w:rsidRDefault="00A0104B" w:rsidP="00A0104B">
      <w:pPr>
        <w:pStyle w:val="Text-Normaln"/>
        <w:rPr>
          <w:smallCaps/>
          <w:u w:val="single"/>
        </w:rPr>
      </w:pPr>
      <w:r w:rsidRPr="003E3314">
        <w:rPr>
          <w:smallCaps/>
          <w:u w:val="single"/>
        </w:rPr>
        <w:t>Obecné stavební úřady (OSÚ)</w:t>
      </w:r>
    </w:p>
    <w:p w14:paraId="3AE45AB5" w14:textId="77777777" w:rsidR="00A0104B" w:rsidRPr="00EC1BC0" w:rsidRDefault="00A0104B" w:rsidP="00A0104B">
      <w:pPr>
        <w:pStyle w:val="Text-Normaln"/>
        <w:widowControl w:val="0"/>
      </w:pPr>
      <w:r w:rsidRPr="00EC1BC0">
        <w:rPr>
          <w:b/>
        </w:rPr>
        <w:t>Prvoinstančních OSÚ</w:t>
      </w:r>
      <w:r w:rsidRPr="00EC1BC0">
        <w:t xml:space="preserve"> je celkem 694 (i se započtením úřadů při městských obvodech a městských částech statutárních měst). Zaměstnávají celkem 3 500 osob se 3 356 úvazky. V průměru připadá na jeden OSÚ 4,84 pracovního úvazku. </w:t>
      </w:r>
    </w:p>
    <w:tbl>
      <w:tblPr>
        <w:tblStyle w:val="Barevntabulkaseznamu6zvraznn51"/>
        <w:tblW w:w="2972" w:type="dxa"/>
        <w:tblLook w:val="04A0" w:firstRow="1" w:lastRow="0" w:firstColumn="1" w:lastColumn="0" w:noHBand="0" w:noVBand="1"/>
      </w:tblPr>
      <w:tblGrid>
        <w:gridCol w:w="1980"/>
        <w:gridCol w:w="992"/>
      </w:tblGrid>
      <w:tr w:rsidR="00A0104B" w:rsidRPr="00E520C2" w14:paraId="43FD7714" w14:textId="77777777" w:rsidTr="00197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578AA51" w14:textId="77777777" w:rsidR="00A0104B" w:rsidRPr="00E520C2" w:rsidRDefault="00A0104B" w:rsidP="00197E1E">
            <w:pPr>
              <w:spacing w:before="0" w:after="0"/>
              <w:jc w:val="left"/>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Počet SÚ 2020</w:t>
            </w:r>
          </w:p>
        </w:tc>
        <w:tc>
          <w:tcPr>
            <w:tcW w:w="992" w:type="dxa"/>
            <w:noWrap/>
            <w:vAlign w:val="center"/>
          </w:tcPr>
          <w:p w14:paraId="612ADA16" w14:textId="77777777" w:rsidR="00A0104B" w:rsidRPr="00E520C2"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r>
      <w:tr w:rsidR="00A0104B" w:rsidRPr="00E520C2" w14:paraId="569BFF76"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DCE021F"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 typu</w:t>
            </w:r>
          </w:p>
        </w:tc>
        <w:tc>
          <w:tcPr>
            <w:tcW w:w="992" w:type="dxa"/>
            <w:noWrap/>
            <w:vAlign w:val="center"/>
            <w:hideMark/>
          </w:tcPr>
          <w:p w14:paraId="13344086"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225</w:t>
            </w:r>
          </w:p>
        </w:tc>
      </w:tr>
      <w:tr w:rsidR="00A0104B" w:rsidRPr="00E520C2" w14:paraId="07FC4CDD"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9A44735"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 typu</w:t>
            </w:r>
          </w:p>
        </w:tc>
        <w:tc>
          <w:tcPr>
            <w:tcW w:w="992" w:type="dxa"/>
            <w:noWrap/>
            <w:vAlign w:val="center"/>
          </w:tcPr>
          <w:p w14:paraId="6E4C80F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187</w:t>
            </w:r>
          </w:p>
        </w:tc>
      </w:tr>
      <w:tr w:rsidR="00A0104B" w:rsidRPr="00E520C2" w14:paraId="3F114263"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51D788C"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III. typu</w:t>
            </w:r>
          </w:p>
        </w:tc>
        <w:tc>
          <w:tcPr>
            <w:tcW w:w="992" w:type="dxa"/>
            <w:noWrap/>
            <w:vAlign w:val="center"/>
          </w:tcPr>
          <w:p w14:paraId="06A690E5"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202</w:t>
            </w:r>
          </w:p>
        </w:tc>
      </w:tr>
      <w:tr w:rsidR="00A0104B" w:rsidRPr="00E520C2" w14:paraId="43DE0977"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42C955A"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ÚČSM</w:t>
            </w:r>
          </w:p>
        </w:tc>
        <w:tc>
          <w:tcPr>
            <w:tcW w:w="992" w:type="dxa"/>
            <w:noWrap/>
            <w:vAlign w:val="center"/>
          </w:tcPr>
          <w:p w14:paraId="0D6A58D1"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80</w:t>
            </w:r>
          </w:p>
        </w:tc>
      </w:tr>
      <w:tr w:rsidR="00A0104B" w:rsidRPr="00E520C2" w14:paraId="5A5F1742"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81DF545"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ČR</w:t>
            </w:r>
          </w:p>
        </w:tc>
        <w:tc>
          <w:tcPr>
            <w:tcW w:w="992" w:type="dxa"/>
            <w:noWrap/>
            <w:vAlign w:val="center"/>
          </w:tcPr>
          <w:p w14:paraId="7057262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E520C2">
              <w:rPr>
                <w:rFonts w:ascii="Calibri" w:eastAsia="Times New Roman" w:hAnsi="Calibri" w:cs="Calibri"/>
                <w:sz w:val="20"/>
                <w:szCs w:val="20"/>
                <w:lang w:eastAsia="cs-CZ"/>
              </w:rPr>
              <w:t>694</w:t>
            </w:r>
          </w:p>
        </w:tc>
      </w:tr>
    </w:tbl>
    <w:p w14:paraId="0D0C1346" w14:textId="77777777" w:rsidR="00A0104B" w:rsidRPr="00124479" w:rsidRDefault="00A0104B" w:rsidP="00A0104B">
      <w:pPr>
        <w:pStyle w:val="Citt"/>
        <w:spacing w:before="120"/>
      </w:pPr>
      <w:r w:rsidRPr="00124479">
        <w:t>Zdroj: ÚÚR</w:t>
      </w:r>
      <w:r>
        <w:t>, MMR</w:t>
      </w:r>
    </w:p>
    <w:p w14:paraId="234C252B" w14:textId="77777777" w:rsidR="00A0104B" w:rsidRDefault="00A0104B" w:rsidP="00A0104B">
      <w:pPr>
        <w:pStyle w:val="Titulek"/>
        <w:keepNext/>
      </w:pPr>
      <w:r>
        <w:t xml:space="preserve">Tabulka </w:t>
      </w:r>
      <w:r w:rsidR="004B0591">
        <w:fldChar w:fldCharType="begin"/>
      </w:r>
      <w:r w:rsidR="004B0591">
        <w:instrText xml:space="preserve"> SEQ Tabulka \* ARABIC </w:instrText>
      </w:r>
      <w:r w:rsidR="004B0591">
        <w:fldChar w:fldCharType="separate"/>
      </w:r>
      <w:r>
        <w:rPr>
          <w:noProof/>
        </w:rPr>
        <w:t>1</w:t>
      </w:r>
      <w:r w:rsidR="004B0591">
        <w:rPr>
          <w:noProof/>
        </w:rPr>
        <w:fldChar w:fldCharType="end"/>
      </w:r>
      <w:r>
        <w:t xml:space="preserve">: Vývoj počtu pracovníků, prvoinstanční OSÚ </w:t>
      </w:r>
    </w:p>
    <w:tbl>
      <w:tblPr>
        <w:tblStyle w:val="Barevntabulkaseznamu6zvraznn51"/>
        <w:tblW w:w="9067" w:type="dxa"/>
        <w:tblLayout w:type="fixed"/>
        <w:tblLook w:val="04A0" w:firstRow="1" w:lastRow="0" w:firstColumn="1" w:lastColumn="0" w:noHBand="0" w:noVBand="1"/>
      </w:tblPr>
      <w:tblGrid>
        <w:gridCol w:w="1838"/>
        <w:gridCol w:w="722"/>
        <w:gridCol w:w="723"/>
        <w:gridCol w:w="723"/>
        <w:gridCol w:w="723"/>
        <w:gridCol w:w="723"/>
        <w:gridCol w:w="723"/>
        <w:gridCol w:w="723"/>
        <w:gridCol w:w="723"/>
        <w:gridCol w:w="723"/>
        <w:gridCol w:w="723"/>
      </w:tblGrid>
      <w:tr w:rsidR="00A0104B" w:rsidRPr="00E520C2" w14:paraId="318756A4" w14:textId="77777777" w:rsidTr="00197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3B3ABA10" w14:textId="77777777" w:rsidR="00A0104B" w:rsidRPr="004C292E" w:rsidRDefault="00A0104B" w:rsidP="00197E1E">
            <w:pPr>
              <w:spacing w:before="0" w:after="0"/>
              <w:jc w:val="left"/>
              <w:rPr>
                <w:rFonts w:ascii="Calibri" w:eastAsia="Times New Roman" w:hAnsi="Calibri" w:cs="Calibri"/>
                <w:sz w:val="20"/>
                <w:szCs w:val="20"/>
                <w:lang w:eastAsia="cs-CZ"/>
              </w:rPr>
            </w:pPr>
          </w:p>
        </w:tc>
        <w:tc>
          <w:tcPr>
            <w:tcW w:w="722" w:type="dxa"/>
            <w:noWrap/>
            <w:vAlign w:val="center"/>
            <w:hideMark/>
          </w:tcPr>
          <w:p w14:paraId="5700D0AD"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2011</w:t>
            </w:r>
          </w:p>
        </w:tc>
        <w:tc>
          <w:tcPr>
            <w:tcW w:w="723" w:type="dxa"/>
            <w:noWrap/>
            <w:vAlign w:val="center"/>
            <w:hideMark/>
          </w:tcPr>
          <w:p w14:paraId="55526705"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2012</w:t>
            </w:r>
          </w:p>
        </w:tc>
        <w:tc>
          <w:tcPr>
            <w:tcW w:w="723" w:type="dxa"/>
            <w:noWrap/>
            <w:vAlign w:val="center"/>
            <w:hideMark/>
          </w:tcPr>
          <w:p w14:paraId="5547136A"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2013</w:t>
            </w:r>
          </w:p>
        </w:tc>
        <w:tc>
          <w:tcPr>
            <w:tcW w:w="723" w:type="dxa"/>
            <w:noWrap/>
            <w:vAlign w:val="center"/>
            <w:hideMark/>
          </w:tcPr>
          <w:p w14:paraId="22C0B93A"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2014</w:t>
            </w:r>
          </w:p>
        </w:tc>
        <w:tc>
          <w:tcPr>
            <w:tcW w:w="723" w:type="dxa"/>
            <w:noWrap/>
            <w:vAlign w:val="center"/>
            <w:hideMark/>
          </w:tcPr>
          <w:p w14:paraId="568EB93D"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2015</w:t>
            </w:r>
          </w:p>
        </w:tc>
        <w:tc>
          <w:tcPr>
            <w:tcW w:w="723" w:type="dxa"/>
            <w:noWrap/>
            <w:vAlign w:val="center"/>
            <w:hideMark/>
          </w:tcPr>
          <w:p w14:paraId="3C654AD4"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2016</w:t>
            </w:r>
          </w:p>
        </w:tc>
        <w:tc>
          <w:tcPr>
            <w:tcW w:w="723" w:type="dxa"/>
            <w:noWrap/>
            <w:vAlign w:val="center"/>
            <w:hideMark/>
          </w:tcPr>
          <w:p w14:paraId="14F46F8D"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2017</w:t>
            </w:r>
          </w:p>
        </w:tc>
        <w:tc>
          <w:tcPr>
            <w:tcW w:w="723" w:type="dxa"/>
            <w:noWrap/>
            <w:vAlign w:val="center"/>
            <w:hideMark/>
          </w:tcPr>
          <w:p w14:paraId="0068211C"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2018</w:t>
            </w:r>
          </w:p>
        </w:tc>
        <w:tc>
          <w:tcPr>
            <w:tcW w:w="723" w:type="dxa"/>
            <w:noWrap/>
            <w:vAlign w:val="center"/>
            <w:hideMark/>
          </w:tcPr>
          <w:p w14:paraId="35CADB15"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2019</w:t>
            </w:r>
          </w:p>
        </w:tc>
        <w:tc>
          <w:tcPr>
            <w:tcW w:w="723" w:type="dxa"/>
            <w:noWrap/>
            <w:vAlign w:val="center"/>
            <w:hideMark/>
          </w:tcPr>
          <w:p w14:paraId="4243790A" w14:textId="77777777" w:rsidR="00A0104B" w:rsidRPr="004C292E"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2020</w:t>
            </w:r>
          </w:p>
        </w:tc>
      </w:tr>
      <w:tr w:rsidR="00A0104B" w:rsidRPr="00E520C2" w14:paraId="7B4294F5"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7" w:type="dxa"/>
            <w:gridSpan w:val="11"/>
            <w:shd w:val="clear" w:color="auto" w:fill="FEFCBE" w:themeFill="accent1" w:themeFillTint="33"/>
            <w:noWrap/>
            <w:vAlign w:val="center"/>
          </w:tcPr>
          <w:p w14:paraId="30139B89" w14:textId="77777777" w:rsidR="00A0104B" w:rsidRPr="00E520C2"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Součet pracovních úvazků úředních osob</w:t>
            </w:r>
          </w:p>
        </w:tc>
      </w:tr>
      <w:tr w:rsidR="00A0104B" w:rsidRPr="00E520C2" w14:paraId="6175C689"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44597211"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 typu</w:t>
            </w:r>
          </w:p>
        </w:tc>
        <w:tc>
          <w:tcPr>
            <w:tcW w:w="722" w:type="dxa"/>
            <w:noWrap/>
            <w:vAlign w:val="center"/>
            <w:hideMark/>
          </w:tcPr>
          <w:p w14:paraId="3679C1C8"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493</w:t>
            </w:r>
          </w:p>
        </w:tc>
        <w:tc>
          <w:tcPr>
            <w:tcW w:w="723" w:type="dxa"/>
            <w:noWrap/>
            <w:vAlign w:val="center"/>
            <w:hideMark/>
          </w:tcPr>
          <w:p w14:paraId="780BD3B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483</w:t>
            </w:r>
          </w:p>
        </w:tc>
        <w:tc>
          <w:tcPr>
            <w:tcW w:w="723" w:type="dxa"/>
            <w:noWrap/>
            <w:vAlign w:val="center"/>
            <w:hideMark/>
          </w:tcPr>
          <w:p w14:paraId="78C53CC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470</w:t>
            </w:r>
          </w:p>
        </w:tc>
        <w:tc>
          <w:tcPr>
            <w:tcW w:w="723" w:type="dxa"/>
            <w:noWrap/>
            <w:vAlign w:val="center"/>
            <w:hideMark/>
          </w:tcPr>
          <w:p w14:paraId="41B9E53A"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466</w:t>
            </w:r>
          </w:p>
        </w:tc>
        <w:tc>
          <w:tcPr>
            <w:tcW w:w="723" w:type="dxa"/>
            <w:noWrap/>
            <w:vAlign w:val="center"/>
            <w:hideMark/>
          </w:tcPr>
          <w:p w14:paraId="139BC5C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481</w:t>
            </w:r>
          </w:p>
        </w:tc>
        <w:tc>
          <w:tcPr>
            <w:tcW w:w="723" w:type="dxa"/>
            <w:noWrap/>
            <w:vAlign w:val="center"/>
            <w:hideMark/>
          </w:tcPr>
          <w:p w14:paraId="5A001A3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477</w:t>
            </w:r>
          </w:p>
        </w:tc>
        <w:tc>
          <w:tcPr>
            <w:tcW w:w="723" w:type="dxa"/>
            <w:noWrap/>
            <w:vAlign w:val="center"/>
            <w:hideMark/>
          </w:tcPr>
          <w:p w14:paraId="50FBB56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470</w:t>
            </w:r>
          </w:p>
        </w:tc>
        <w:tc>
          <w:tcPr>
            <w:tcW w:w="723" w:type="dxa"/>
            <w:noWrap/>
            <w:vAlign w:val="center"/>
            <w:hideMark/>
          </w:tcPr>
          <w:p w14:paraId="636A49EA"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464</w:t>
            </w:r>
          </w:p>
        </w:tc>
        <w:tc>
          <w:tcPr>
            <w:tcW w:w="723" w:type="dxa"/>
            <w:noWrap/>
            <w:vAlign w:val="center"/>
            <w:hideMark/>
          </w:tcPr>
          <w:p w14:paraId="7FA283A0"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463</w:t>
            </w:r>
          </w:p>
        </w:tc>
        <w:tc>
          <w:tcPr>
            <w:tcW w:w="723" w:type="dxa"/>
            <w:noWrap/>
            <w:vAlign w:val="center"/>
            <w:hideMark/>
          </w:tcPr>
          <w:p w14:paraId="18A0875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467</w:t>
            </w:r>
          </w:p>
        </w:tc>
      </w:tr>
      <w:tr w:rsidR="00A0104B" w:rsidRPr="00E520C2" w14:paraId="7113941E"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7E4E681B"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 typu</w:t>
            </w:r>
          </w:p>
        </w:tc>
        <w:tc>
          <w:tcPr>
            <w:tcW w:w="722" w:type="dxa"/>
            <w:noWrap/>
            <w:vAlign w:val="center"/>
            <w:hideMark/>
          </w:tcPr>
          <w:p w14:paraId="20FCDB0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603</w:t>
            </w:r>
          </w:p>
        </w:tc>
        <w:tc>
          <w:tcPr>
            <w:tcW w:w="723" w:type="dxa"/>
            <w:noWrap/>
            <w:vAlign w:val="center"/>
            <w:hideMark/>
          </w:tcPr>
          <w:p w14:paraId="1F6C7CAF"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601</w:t>
            </w:r>
          </w:p>
        </w:tc>
        <w:tc>
          <w:tcPr>
            <w:tcW w:w="723" w:type="dxa"/>
            <w:noWrap/>
            <w:vAlign w:val="center"/>
            <w:hideMark/>
          </w:tcPr>
          <w:p w14:paraId="1FF7FBD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593</w:t>
            </w:r>
          </w:p>
        </w:tc>
        <w:tc>
          <w:tcPr>
            <w:tcW w:w="723" w:type="dxa"/>
            <w:noWrap/>
            <w:vAlign w:val="center"/>
            <w:hideMark/>
          </w:tcPr>
          <w:p w14:paraId="0784949D"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585</w:t>
            </w:r>
          </w:p>
        </w:tc>
        <w:tc>
          <w:tcPr>
            <w:tcW w:w="723" w:type="dxa"/>
            <w:noWrap/>
            <w:vAlign w:val="center"/>
            <w:hideMark/>
          </w:tcPr>
          <w:p w14:paraId="0445FF0A"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584</w:t>
            </w:r>
          </w:p>
        </w:tc>
        <w:tc>
          <w:tcPr>
            <w:tcW w:w="723" w:type="dxa"/>
            <w:noWrap/>
            <w:vAlign w:val="center"/>
            <w:hideMark/>
          </w:tcPr>
          <w:p w14:paraId="0C55D85C"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586</w:t>
            </w:r>
          </w:p>
        </w:tc>
        <w:tc>
          <w:tcPr>
            <w:tcW w:w="723" w:type="dxa"/>
            <w:noWrap/>
            <w:vAlign w:val="center"/>
            <w:hideMark/>
          </w:tcPr>
          <w:p w14:paraId="5459FDF7"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584</w:t>
            </w:r>
          </w:p>
        </w:tc>
        <w:tc>
          <w:tcPr>
            <w:tcW w:w="723" w:type="dxa"/>
            <w:noWrap/>
            <w:vAlign w:val="center"/>
            <w:hideMark/>
          </w:tcPr>
          <w:p w14:paraId="1B70BD95"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582</w:t>
            </w:r>
          </w:p>
        </w:tc>
        <w:tc>
          <w:tcPr>
            <w:tcW w:w="723" w:type="dxa"/>
            <w:noWrap/>
            <w:vAlign w:val="center"/>
            <w:hideMark/>
          </w:tcPr>
          <w:p w14:paraId="4F25B03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573</w:t>
            </w:r>
          </w:p>
        </w:tc>
        <w:tc>
          <w:tcPr>
            <w:tcW w:w="723" w:type="dxa"/>
            <w:noWrap/>
            <w:vAlign w:val="center"/>
            <w:hideMark/>
          </w:tcPr>
          <w:p w14:paraId="73E69CA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611</w:t>
            </w:r>
          </w:p>
        </w:tc>
      </w:tr>
      <w:tr w:rsidR="00A0104B" w:rsidRPr="00E520C2" w14:paraId="2A49000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726359E"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 xml:space="preserve">SÚ – obce III. </w:t>
            </w:r>
            <w:r w:rsidRPr="00E520C2">
              <w:rPr>
                <w:rFonts w:ascii="Calibri" w:eastAsia="Times New Roman" w:hAnsi="Calibri" w:cs="Calibri"/>
                <w:sz w:val="20"/>
                <w:szCs w:val="20"/>
                <w:lang w:eastAsia="cs-CZ"/>
              </w:rPr>
              <w:t>t.</w:t>
            </w:r>
          </w:p>
        </w:tc>
        <w:tc>
          <w:tcPr>
            <w:tcW w:w="722" w:type="dxa"/>
            <w:noWrap/>
            <w:vAlign w:val="center"/>
            <w:hideMark/>
          </w:tcPr>
          <w:p w14:paraId="2FE3A57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711</w:t>
            </w:r>
          </w:p>
        </w:tc>
        <w:tc>
          <w:tcPr>
            <w:tcW w:w="723" w:type="dxa"/>
            <w:noWrap/>
            <w:vAlign w:val="center"/>
            <w:hideMark/>
          </w:tcPr>
          <w:p w14:paraId="4B4FD9D7"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652</w:t>
            </w:r>
          </w:p>
        </w:tc>
        <w:tc>
          <w:tcPr>
            <w:tcW w:w="723" w:type="dxa"/>
            <w:noWrap/>
            <w:vAlign w:val="center"/>
            <w:hideMark/>
          </w:tcPr>
          <w:p w14:paraId="5164E080"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659</w:t>
            </w:r>
          </w:p>
        </w:tc>
        <w:tc>
          <w:tcPr>
            <w:tcW w:w="723" w:type="dxa"/>
            <w:noWrap/>
            <w:vAlign w:val="center"/>
            <w:hideMark/>
          </w:tcPr>
          <w:p w14:paraId="26056EB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660</w:t>
            </w:r>
          </w:p>
        </w:tc>
        <w:tc>
          <w:tcPr>
            <w:tcW w:w="723" w:type="dxa"/>
            <w:noWrap/>
            <w:vAlign w:val="center"/>
            <w:hideMark/>
          </w:tcPr>
          <w:p w14:paraId="3974F84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677</w:t>
            </w:r>
          </w:p>
        </w:tc>
        <w:tc>
          <w:tcPr>
            <w:tcW w:w="723" w:type="dxa"/>
            <w:noWrap/>
            <w:vAlign w:val="center"/>
            <w:hideMark/>
          </w:tcPr>
          <w:p w14:paraId="5765DCE3"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679</w:t>
            </w:r>
          </w:p>
        </w:tc>
        <w:tc>
          <w:tcPr>
            <w:tcW w:w="723" w:type="dxa"/>
            <w:noWrap/>
            <w:vAlign w:val="center"/>
            <w:hideMark/>
          </w:tcPr>
          <w:p w14:paraId="79D7DE88"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668</w:t>
            </w:r>
          </w:p>
        </w:tc>
        <w:tc>
          <w:tcPr>
            <w:tcW w:w="723" w:type="dxa"/>
            <w:noWrap/>
            <w:vAlign w:val="center"/>
            <w:hideMark/>
          </w:tcPr>
          <w:p w14:paraId="6981011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694</w:t>
            </w:r>
          </w:p>
        </w:tc>
        <w:tc>
          <w:tcPr>
            <w:tcW w:w="723" w:type="dxa"/>
            <w:noWrap/>
            <w:vAlign w:val="center"/>
            <w:hideMark/>
          </w:tcPr>
          <w:p w14:paraId="1513A89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690</w:t>
            </w:r>
          </w:p>
        </w:tc>
        <w:tc>
          <w:tcPr>
            <w:tcW w:w="723" w:type="dxa"/>
            <w:noWrap/>
            <w:vAlign w:val="center"/>
            <w:hideMark/>
          </w:tcPr>
          <w:p w14:paraId="2E37B5D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679</w:t>
            </w:r>
          </w:p>
        </w:tc>
      </w:tr>
      <w:tr w:rsidR="00A0104B" w:rsidRPr="00E520C2" w14:paraId="76D43F7F"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D9217F4"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ÚČSM</w:t>
            </w:r>
          </w:p>
        </w:tc>
        <w:tc>
          <w:tcPr>
            <w:tcW w:w="722" w:type="dxa"/>
            <w:noWrap/>
            <w:vAlign w:val="center"/>
            <w:hideMark/>
          </w:tcPr>
          <w:p w14:paraId="78ADD39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697</w:t>
            </w:r>
          </w:p>
        </w:tc>
        <w:tc>
          <w:tcPr>
            <w:tcW w:w="723" w:type="dxa"/>
            <w:noWrap/>
            <w:vAlign w:val="center"/>
            <w:hideMark/>
          </w:tcPr>
          <w:p w14:paraId="3F9A390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638</w:t>
            </w:r>
          </w:p>
        </w:tc>
        <w:tc>
          <w:tcPr>
            <w:tcW w:w="723" w:type="dxa"/>
            <w:noWrap/>
            <w:vAlign w:val="center"/>
            <w:hideMark/>
          </w:tcPr>
          <w:p w14:paraId="1A8B2D0C"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652</w:t>
            </w:r>
          </w:p>
        </w:tc>
        <w:tc>
          <w:tcPr>
            <w:tcW w:w="723" w:type="dxa"/>
            <w:noWrap/>
            <w:vAlign w:val="center"/>
            <w:hideMark/>
          </w:tcPr>
          <w:p w14:paraId="684BD4DD"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655</w:t>
            </w:r>
          </w:p>
        </w:tc>
        <w:tc>
          <w:tcPr>
            <w:tcW w:w="723" w:type="dxa"/>
            <w:noWrap/>
            <w:vAlign w:val="center"/>
            <w:hideMark/>
          </w:tcPr>
          <w:p w14:paraId="40320245"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646</w:t>
            </w:r>
          </w:p>
        </w:tc>
        <w:tc>
          <w:tcPr>
            <w:tcW w:w="723" w:type="dxa"/>
            <w:noWrap/>
            <w:vAlign w:val="center"/>
            <w:hideMark/>
          </w:tcPr>
          <w:p w14:paraId="598DDEB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640</w:t>
            </w:r>
          </w:p>
        </w:tc>
        <w:tc>
          <w:tcPr>
            <w:tcW w:w="723" w:type="dxa"/>
            <w:noWrap/>
            <w:vAlign w:val="center"/>
            <w:hideMark/>
          </w:tcPr>
          <w:p w14:paraId="32A50D09"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628</w:t>
            </w:r>
          </w:p>
        </w:tc>
        <w:tc>
          <w:tcPr>
            <w:tcW w:w="723" w:type="dxa"/>
            <w:noWrap/>
            <w:vAlign w:val="center"/>
            <w:hideMark/>
          </w:tcPr>
          <w:p w14:paraId="00F1D8D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615</w:t>
            </w:r>
          </w:p>
        </w:tc>
        <w:tc>
          <w:tcPr>
            <w:tcW w:w="723" w:type="dxa"/>
            <w:noWrap/>
            <w:vAlign w:val="center"/>
            <w:hideMark/>
          </w:tcPr>
          <w:p w14:paraId="5919011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600</w:t>
            </w:r>
          </w:p>
        </w:tc>
        <w:tc>
          <w:tcPr>
            <w:tcW w:w="723" w:type="dxa"/>
            <w:noWrap/>
            <w:vAlign w:val="center"/>
            <w:hideMark/>
          </w:tcPr>
          <w:p w14:paraId="2F4B4CF6"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600</w:t>
            </w:r>
          </w:p>
        </w:tc>
      </w:tr>
      <w:tr w:rsidR="00A0104B" w:rsidRPr="00E520C2" w14:paraId="39C70260"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794EBF0"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ČR</w:t>
            </w:r>
          </w:p>
        </w:tc>
        <w:tc>
          <w:tcPr>
            <w:tcW w:w="722" w:type="dxa"/>
            <w:noWrap/>
            <w:vAlign w:val="center"/>
            <w:hideMark/>
          </w:tcPr>
          <w:p w14:paraId="372C395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504</w:t>
            </w:r>
          </w:p>
        </w:tc>
        <w:tc>
          <w:tcPr>
            <w:tcW w:w="723" w:type="dxa"/>
            <w:noWrap/>
            <w:vAlign w:val="center"/>
            <w:hideMark/>
          </w:tcPr>
          <w:p w14:paraId="369FBE2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374</w:t>
            </w:r>
          </w:p>
        </w:tc>
        <w:tc>
          <w:tcPr>
            <w:tcW w:w="723" w:type="dxa"/>
            <w:noWrap/>
            <w:vAlign w:val="center"/>
            <w:hideMark/>
          </w:tcPr>
          <w:p w14:paraId="294FB7D0"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374</w:t>
            </w:r>
          </w:p>
        </w:tc>
        <w:tc>
          <w:tcPr>
            <w:tcW w:w="723" w:type="dxa"/>
            <w:noWrap/>
            <w:vAlign w:val="center"/>
            <w:hideMark/>
          </w:tcPr>
          <w:p w14:paraId="724B7CE1"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366</w:t>
            </w:r>
          </w:p>
        </w:tc>
        <w:tc>
          <w:tcPr>
            <w:tcW w:w="723" w:type="dxa"/>
            <w:noWrap/>
            <w:vAlign w:val="center"/>
            <w:hideMark/>
          </w:tcPr>
          <w:p w14:paraId="5502A72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388</w:t>
            </w:r>
          </w:p>
        </w:tc>
        <w:tc>
          <w:tcPr>
            <w:tcW w:w="723" w:type="dxa"/>
            <w:noWrap/>
            <w:vAlign w:val="center"/>
            <w:hideMark/>
          </w:tcPr>
          <w:p w14:paraId="61D3F7F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382</w:t>
            </w:r>
          </w:p>
        </w:tc>
        <w:tc>
          <w:tcPr>
            <w:tcW w:w="723" w:type="dxa"/>
            <w:noWrap/>
            <w:vAlign w:val="center"/>
            <w:hideMark/>
          </w:tcPr>
          <w:p w14:paraId="1BDC5BF4"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350</w:t>
            </w:r>
          </w:p>
        </w:tc>
        <w:tc>
          <w:tcPr>
            <w:tcW w:w="723" w:type="dxa"/>
            <w:noWrap/>
            <w:vAlign w:val="center"/>
            <w:hideMark/>
          </w:tcPr>
          <w:p w14:paraId="6FC0735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355</w:t>
            </w:r>
          </w:p>
        </w:tc>
        <w:tc>
          <w:tcPr>
            <w:tcW w:w="723" w:type="dxa"/>
            <w:noWrap/>
            <w:vAlign w:val="center"/>
            <w:hideMark/>
          </w:tcPr>
          <w:p w14:paraId="45157FF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326</w:t>
            </w:r>
          </w:p>
        </w:tc>
        <w:tc>
          <w:tcPr>
            <w:tcW w:w="723" w:type="dxa"/>
            <w:noWrap/>
            <w:vAlign w:val="center"/>
            <w:hideMark/>
          </w:tcPr>
          <w:p w14:paraId="64DAD26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356</w:t>
            </w:r>
          </w:p>
        </w:tc>
      </w:tr>
      <w:tr w:rsidR="00A0104B" w:rsidRPr="00E520C2" w14:paraId="50732CD1"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22B2FCDC" w14:textId="77777777" w:rsidR="00A0104B" w:rsidRPr="004C292E" w:rsidRDefault="00A0104B" w:rsidP="00197E1E">
            <w:pPr>
              <w:spacing w:before="0" w:after="0"/>
              <w:jc w:val="right"/>
              <w:rPr>
                <w:rFonts w:ascii="Calibri" w:eastAsia="Times New Roman" w:hAnsi="Calibri" w:cs="Calibri"/>
                <w:sz w:val="20"/>
                <w:szCs w:val="20"/>
                <w:lang w:eastAsia="cs-CZ"/>
              </w:rPr>
            </w:pPr>
          </w:p>
        </w:tc>
        <w:tc>
          <w:tcPr>
            <w:tcW w:w="722" w:type="dxa"/>
            <w:noWrap/>
            <w:vAlign w:val="center"/>
            <w:hideMark/>
          </w:tcPr>
          <w:p w14:paraId="479B518C"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2C944898"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4FB1B5CD"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6F98575B"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425C2EC0"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657A5CC8"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2246471D"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7D22F0EF"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4081F304"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5454B366" w14:textId="77777777" w:rsidR="00A0104B" w:rsidRPr="004C292E"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cs-CZ"/>
              </w:rPr>
            </w:pPr>
          </w:p>
        </w:tc>
      </w:tr>
      <w:tr w:rsidR="00A0104B" w:rsidRPr="00E520C2" w14:paraId="0DC3A46A"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9067" w:type="dxa"/>
            <w:gridSpan w:val="11"/>
            <w:shd w:val="clear" w:color="auto" w:fill="FEFCBE" w:themeFill="accent1" w:themeFillTint="33"/>
            <w:vAlign w:val="center"/>
            <w:hideMark/>
          </w:tcPr>
          <w:p w14:paraId="6D8B22D1"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Počet oprávněných úředních osob se zkouškou odborné způsobilosti</w:t>
            </w:r>
          </w:p>
        </w:tc>
      </w:tr>
      <w:tr w:rsidR="00A0104B" w:rsidRPr="00E520C2" w14:paraId="5BCC69C4"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25872CFC"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 typu</w:t>
            </w:r>
          </w:p>
        </w:tc>
        <w:tc>
          <w:tcPr>
            <w:tcW w:w="722" w:type="dxa"/>
            <w:noWrap/>
            <w:vAlign w:val="center"/>
            <w:hideMark/>
          </w:tcPr>
          <w:p w14:paraId="4DD5750C"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398</w:t>
            </w:r>
          </w:p>
        </w:tc>
        <w:tc>
          <w:tcPr>
            <w:tcW w:w="723" w:type="dxa"/>
            <w:noWrap/>
            <w:vAlign w:val="center"/>
            <w:hideMark/>
          </w:tcPr>
          <w:p w14:paraId="10F81B5D"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408</w:t>
            </w:r>
          </w:p>
        </w:tc>
        <w:tc>
          <w:tcPr>
            <w:tcW w:w="723" w:type="dxa"/>
            <w:noWrap/>
            <w:vAlign w:val="center"/>
            <w:hideMark/>
          </w:tcPr>
          <w:p w14:paraId="193E75A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414</w:t>
            </w:r>
          </w:p>
        </w:tc>
        <w:tc>
          <w:tcPr>
            <w:tcW w:w="723" w:type="dxa"/>
            <w:noWrap/>
            <w:vAlign w:val="center"/>
            <w:hideMark/>
          </w:tcPr>
          <w:p w14:paraId="0C33A032"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405</w:t>
            </w:r>
          </w:p>
        </w:tc>
        <w:tc>
          <w:tcPr>
            <w:tcW w:w="723" w:type="dxa"/>
            <w:noWrap/>
            <w:vAlign w:val="center"/>
            <w:hideMark/>
          </w:tcPr>
          <w:p w14:paraId="3395578F"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411</w:t>
            </w:r>
          </w:p>
        </w:tc>
        <w:tc>
          <w:tcPr>
            <w:tcW w:w="723" w:type="dxa"/>
            <w:noWrap/>
            <w:vAlign w:val="center"/>
            <w:hideMark/>
          </w:tcPr>
          <w:p w14:paraId="034CE80A"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415</w:t>
            </w:r>
          </w:p>
        </w:tc>
        <w:tc>
          <w:tcPr>
            <w:tcW w:w="723" w:type="dxa"/>
            <w:noWrap/>
            <w:vAlign w:val="center"/>
            <w:hideMark/>
          </w:tcPr>
          <w:p w14:paraId="386E680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405</w:t>
            </w:r>
          </w:p>
        </w:tc>
        <w:tc>
          <w:tcPr>
            <w:tcW w:w="723" w:type="dxa"/>
            <w:noWrap/>
            <w:vAlign w:val="center"/>
            <w:hideMark/>
          </w:tcPr>
          <w:p w14:paraId="7E98B3D2"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405</w:t>
            </w:r>
          </w:p>
        </w:tc>
        <w:tc>
          <w:tcPr>
            <w:tcW w:w="723" w:type="dxa"/>
            <w:noWrap/>
            <w:vAlign w:val="center"/>
            <w:hideMark/>
          </w:tcPr>
          <w:p w14:paraId="43377EB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397</w:t>
            </w:r>
          </w:p>
        </w:tc>
        <w:tc>
          <w:tcPr>
            <w:tcW w:w="723" w:type="dxa"/>
            <w:noWrap/>
            <w:vAlign w:val="center"/>
            <w:hideMark/>
          </w:tcPr>
          <w:p w14:paraId="430617D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395</w:t>
            </w:r>
          </w:p>
        </w:tc>
      </w:tr>
      <w:tr w:rsidR="00A0104B" w:rsidRPr="00E520C2" w14:paraId="59564641"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4C0270EC"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 typu</w:t>
            </w:r>
          </w:p>
        </w:tc>
        <w:tc>
          <w:tcPr>
            <w:tcW w:w="722" w:type="dxa"/>
            <w:noWrap/>
            <w:vAlign w:val="center"/>
            <w:hideMark/>
          </w:tcPr>
          <w:p w14:paraId="14B2FD1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500</w:t>
            </w:r>
          </w:p>
        </w:tc>
        <w:tc>
          <w:tcPr>
            <w:tcW w:w="723" w:type="dxa"/>
            <w:noWrap/>
            <w:vAlign w:val="center"/>
            <w:hideMark/>
          </w:tcPr>
          <w:p w14:paraId="31A3BEF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497</w:t>
            </w:r>
          </w:p>
        </w:tc>
        <w:tc>
          <w:tcPr>
            <w:tcW w:w="723" w:type="dxa"/>
            <w:noWrap/>
            <w:vAlign w:val="center"/>
            <w:hideMark/>
          </w:tcPr>
          <w:p w14:paraId="71E19CE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510</w:t>
            </w:r>
          </w:p>
        </w:tc>
        <w:tc>
          <w:tcPr>
            <w:tcW w:w="723" w:type="dxa"/>
            <w:noWrap/>
            <w:vAlign w:val="center"/>
            <w:hideMark/>
          </w:tcPr>
          <w:p w14:paraId="774D83AA"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508</w:t>
            </w:r>
          </w:p>
        </w:tc>
        <w:tc>
          <w:tcPr>
            <w:tcW w:w="723" w:type="dxa"/>
            <w:noWrap/>
            <w:vAlign w:val="center"/>
            <w:hideMark/>
          </w:tcPr>
          <w:p w14:paraId="73C0F5A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491</w:t>
            </w:r>
          </w:p>
        </w:tc>
        <w:tc>
          <w:tcPr>
            <w:tcW w:w="723" w:type="dxa"/>
            <w:noWrap/>
            <w:vAlign w:val="center"/>
            <w:hideMark/>
          </w:tcPr>
          <w:p w14:paraId="4C9E2E30"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501</w:t>
            </w:r>
          </w:p>
        </w:tc>
        <w:tc>
          <w:tcPr>
            <w:tcW w:w="723" w:type="dxa"/>
            <w:noWrap/>
            <w:vAlign w:val="center"/>
            <w:hideMark/>
          </w:tcPr>
          <w:p w14:paraId="6B5ECBC4"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493</w:t>
            </w:r>
          </w:p>
        </w:tc>
        <w:tc>
          <w:tcPr>
            <w:tcW w:w="723" w:type="dxa"/>
            <w:noWrap/>
            <w:vAlign w:val="center"/>
            <w:hideMark/>
          </w:tcPr>
          <w:p w14:paraId="2EBC005C"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481</w:t>
            </w:r>
          </w:p>
        </w:tc>
        <w:tc>
          <w:tcPr>
            <w:tcW w:w="723" w:type="dxa"/>
            <w:noWrap/>
            <w:vAlign w:val="center"/>
            <w:hideMark/>
          </w:tcPr>
          <w:p w14:paraId="7D66A17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487</w:t>
            </w:r>
          </w:p>
        </w:tc>
        <w:tc>
          <w:tcPr>
            <w:tcW w:w="723" w:type="dxa"/>
            <w:noWrap/>
            <w:vAlign w:val="center"/>
            <w:hideMark/>
          </w:tcPr>
          <w:p w14:paraId="654D161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507</w:t>
            </w:r>
          </w:p>
        </w:tc>
      </w:tr>
      <w:tr w:rsidR="00A0104B" w:rsidRPr="00E520C2" w14:paraId="41D2C415"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5DD1FEC8"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III. t</w:t>
            </w:r>
            <w:r w:rsidRPr="00E520C2">
              <w:rPr>
                <w:rFonts w:ascii="Calibri" w:eastAsia="Times New Roman" w:hAnsi="Calibri" w:cs="Calibri"/>
                <w:sz w:val="20"/>
                <w:szCs w:val="20"/>
                <w:lang w:eastAsia="cs-CZ"/>
              </w:rPr>
              <w:t>.</w:t>
            </w:r>
          </w:p>
        </w:tc>
        <w:tc>
          <w:tcPr>
            <w:tcW w:w="722" w:type="dxa"/>
            <w:noWrap/>
            <w:vAlign w:val="center"/>
            <w:hideMark/>
          </w:tcPr>
          <w:p w14:paraId="5C283052"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461</w:t>
            </w:r>
          </w:p>
        </w:tc>
        <w:tc>
          <w:tcPr>
            <w:tcW w:w="723" w:type="dxa"/>
            <w:noWrap/>
            <w:vAlign w:val="center"/>
            <w:hideMark/>
          </w:tcPr>
          <w:p w14:paraId="0CD2A8B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458</w:t>
            </w:r>
          </w:p>
        </w:tc>
        <w:tc>
          <w:tcPr>
            <w:tcW w:w="723" w:type="dxa"/>
            <w:noWrap/>
            <w:vAlign w:val="center"/>
            <w:hideMark/>
          </w:tcPr>
          <w:p w14:paraId="089E14D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489</w:t>
            </w:r>
          </w:p>
        </w:tc>
        <w:tc>
          <w:tcPr>
            <w:tcW w:w="723" w:type="dxa"/>
            <w:noWrap/>
            <w:vAlign w:val="center"/>
            <w:hideMark/>
          </w:tcPr>
          <w:p w14:paraId="33918E9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478</w:t>
            </w:r>
          </w:p>
        </w:tc>
        <w:tc>
          <w:tcPr>
            <w:tcW w:w="723" w:type="dxa"/>
            <w:noWrap/>
            <w:vAlign w:val="center"/>
            <w:hideMark/>
          </w:tcPr>
          <w:p w14:paraId="7216EEB8"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481</w:t>
            </w:r>
          </w:p>
        </w:tc>
        <w:tc>
          <w:tcPr>
            <w:tcW w:w="723" w:type="dxa"/>
            <w:noWrap/>
            <w:vAlign w:val="center"/>
            <w:hideMark/>
          </w:tcPr>
          <w:p w14:paraId="74D102D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460</w:t>
            </w:r>
          </w:p>
        </w:tc>
        <w:tc>
          <w:tcPr>
            <w:tcW w:w="723" w:type="dxa"/>
            <w:noWrap/>
            <w:vAlign w:val="center"/>
            <w:hideMark/>
          </w:tcPr>
          <w:p w14:paraId="11664DC5"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425</w:t>
            </w:r>
          </w:p>
        </w:tc>
        <w:tc>
          <w:tcPr>
            <w:tcW w:w="723" w:type="dxa"/>
            <w:noWrap/>
            <w:vAlign w:val="center"/>
            <w:hideMark/>
          </w:tcPr>
          <w:p w14:paraId="1CC22E7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429</w:t>
            </w:r>
          </w:p>
        </w:tc>
        <w:tc>
          <w:tcPr>
            <w:tcW w:w="723" w:type="dxa"/>
            <w:noWrap/>
            <w:vAlign w:val="center"/>
            <w:hideMark/>
          </w:tcPr>
          <w:p w14:paraId="607CA7E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444</w:t>
            </w:r>
          </w:p>
        </w:tc>
        <w:tc>
          <w:tcPr>
            <w:tcW w:w="723" w:type="dxa"/>
            <w:noWrap/>
            <w:vAlign w:val="center"/>
            <w:hideMark/>
          </w:tcPr>
          <w:p w14:paraId="29411BC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414</w:t>
            </w:r>
          </w:p>
        </w:tc>
      </w:tr>
      <w:tr w:rsidR="00A0104B" w:rsidRPr="00E520C2" w14:paraId="4839DD69"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DB934F7"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ÚČSM</w:t>
            </w:r>
          </w:p>
        </w:tc>
        <w:tc>
          <w:tcPr>
            <w:tcW w:w="722" w:type="dxa"/>
            <w:noWrap/>
            <w:vAlign w:val="center"/>
            <w:hideMark/>
          </w:tcPr>
          <w:p w14:paraId="5531D1A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530</w:t>
            </w:r>
          </w:p>
        </w:tc>
        <w:tc>
          <w:tcPr>
            <w:tcW w:w="723" w:type="dxa"/>
            <w:noWrap/>
            <w:vAlign w:val="center"/>
            <w:hideMark/>
          </w:tcPr>
          <w:p w14:paraId="7345D3E7"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546</w:t>
            </w:r>
          </w:p>
        </w:tc>
        <w:tc>
          <w:tcPr>
            <w:tcW w:w="723" w:type="dxa"/>
            <w:noWrap/>
            <w:vAlign w:val="center"/>
            <w:hideMark/>
          </w:tcPr>
          <w:p w14:paraId="58DF40F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561</w:t>
            </w:r>
          </w:p>
        </w:tc>
        <w:tc>
          <w:tcPr>
            <w:tcW w:w="723" w:type="dxa"/>
            <w:noWrap/>
            <w:vAlign w:val="center"/>
            <w:hideMark/>
          </w:tcPr>
          <w:p w14:paraId="07CD6F0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543</w:t>
            </w:r>
          </w:p>
        </w:tc>
        <w:tc>
          <w:tcPr>
            <w:tcW w:w="723" w:type="dxa"/>
            <w:noWrap/>
            <w:vAlign w:val="center"/>
            <w:hideMark/>
          </w:tcPr>
          <w:p w14:paraId="6F29F53A"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537</w:t>
            </w:r>
          </w:p>
        </w:tc>
        <w:tc>
          <w:tcPr>
            <w:tcW w:w="723" w:type="dxa"/>
            <w:noWrap/>
            <w:vAlign w:val="center"/>
            <w:hideMark/>
          </w:tcPr>
          <w:p w14:paraId="37B1920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536</w:t>
            </w:r>
          </w:p>
        </w:tc>
        <w:tc>
          <w:tcPr>
            <w:tcW w:w="723" w:type="dxa"/>
            <w:noWrap/>
            <w:vAlign w:val="center"/>
            <w:hideMark/>
          </w:tcPr>
          <w:p w14:paraId="323CF0CA"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516</w:t>
            </w:r>
          </w:p>
        </w:tc>
        <w:tc>
          <w:tcPr>
            <w:tcW w:w="723" w:type="dxa"/>
            <w:noWrap/>
            <w:vAlign w:val="center"/>
            <w:hideMark/>
          </w:tcPr>
          <w:p w14:paraId="66EE36B8"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517</w:t>
            </w:r>
          </w:p>
        </w:tc>
        <w:tc>
          <w:tcPr>
            <w:tcW w:w="723" w:type="dxa"/>
            <w:noWrap/>
            <w:vAlign w:val="center"/>
            <w:hideMark/>
          </w:tcPr>
          <w:p w14:paraId="5BB619A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505</w:t>
            </w:r>
          </w:p>
        </w:tc>
        <w:tc>
          <w:tcPr>
            <w:tcW w:w="723" w:type="dxa"/>
            <w:noWrap/>
            <w:vAlign w:val="center"/>
            <w:hideMark/>
          </w:tcPr>
          <w:p w14:paraId="74039361"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515</w:t>
            </w:r>
          </w:p>
        </w:tc>
      </w:tr>
      <w:tr w:rsidR="00A0104B" w:rsidRPr="00E520C2" w14:paraId="3F003E50"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6EEFD1A5"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ČR</w:t>
            </w:r>
          </w:p>
        </w:tc>
        <w:tc>
          <w:tcPr>
            <w:tcW w:w="722" w:type="dxa"/>
            <w:noWrap/>
            <w:vAlign w:val="center"/>
            <w:hideMark/>
          </w:tcPr>
          <w:p w14:paraId="014A923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889</w:t>
            </w:r>
          </w:p>
        </w:tc>
        <w:tc>
          <w:tcPr>
            <w:tcW w:w="723" w:type="dxa"/>
            <w:noWrap/>
            <w:vAlign w:val="center"/>
            <w:hideMark/>
          </w:tcPr>
          <w:p w14:paraId="24D90C32"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909</w:t>
            </w:r>
          </w:p>
        </w:tc>
        <w:tc>
          <w:tcPr>
            <w:tcW w:w="723" w:type="dxa"/>
            <w:noWrap/>
            <w:vAlign w:val="center"/>
            <w:hideMark/>
          </w:tcPr>
          <w:p w14:paraId="35B5B26F"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974</w:t>
            </w:r>
          </w:p>
        </w:tc>
        <w:tc>
          <w:tcPr>
            <w:tcW w:w="723" w:type="dxa"/>
            <w:noWrap/>
            <w:vAlign w:val="center"/>
            <w:hideMark/>
          </w:tcPr>
          <w:p w14:paraId="168B0A4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934</w:t>
            </w:r>
          </w:p>
        </w:tc>
        <w:tc>
          <w:tcPr>
            <w:tcW w:w="723" w:type="dxa"/>
            <w:noWrap/>
            <w:vAlign w:val="center"/>
            <w:hideMark/>
          </w:tcPr>
          <w:p w14:paraId="6F152B23"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920</w:t>
            </w:r>
          </w:p>
        </w:tc>
        <w:tc>
          <w:tcPr>
            <w:tcW w:w="723" w:type="dxa"/>
            <w:noWrap/>
            <w:vAlign w:val="center"/>
            <w:hideMark/>
          </w:tcPr>
          <w:p w14:paraId="1A24E18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912</w:t>
            </w:r>
          </w:p>
        </w:tc>
        <w:tc>
          <w:tcPr>
            <w:tcW w:w="723" w:type="dxa"/>
            <w:noWrap/>
            <w:vAlign w:val="center"/>
            <w:hideMark/>
          </w:tcPr>
          <w:p w14:paraId="13EC4BEA"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839</w:t>
            </w:r>
          </w:p>
        </w:tc>
        <w:tc>
          <w:tcPr>
            <w:tcW w:w="723" w:type="dxa"/>
            <w:noWrap/>
            <w:vAlign w:val="center"/>
            <w:hideMark/>
          </w:tcPr>
          <w:p w14:paraId="6B29040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832</w:t>
            </w:r>
          </w:p>
        </w:tc>
        <w:tc>
          <w:tcPr>
            <w:tcW w:w="723" w:type="dxa"/>
            <w:noWrap/>
            <w:vAlign w:val="center"/>
            <w:hideMark/>
          </w:tcPr>
          <w:p w14:paraId="1F8B9CD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833</w:t>
            </w:r>
          </w:p>
        </w:tc>
        <w:tc>
          <w:tcPr>
            <w:tcW w:w="723" w:type="dxa"/>
            <w:noWrap/>
            <w:vAlign w:val="center"/>
            <w:hideMark/>
          </w:tcPr>
          <w:p w14:paraId="4A0BBA8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2</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831</w:t>
            </w:r>
          </w:p>
        </w:tc>
      </w:tr>
      <w:tr w:rsidR="00A0104B" w:rsidRPr="00E520C2" w14:paraId="794C7C9B"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07635869" w14:textId="77777777" w:rsidR="00A0104B" w:rsidRPr="004C292E" w:rsidRDefault="00A0104B" w:rsidP="00197E1E">
            <w:pPr>
              <w:spacing w:before="0" w:after="0"/>
              <w:jc w:val="right"/>
              <w:rPr>
                <w:rFonts w:ascii="Calibri" w:eastAsia="Times New Roman" w:hAnsi="Calibri" w:cs="Calibri"/>
                <w:sz w:val="20"/>
                <w:szCs w:val="20"/>
                <w:lang w:eastAsia="cs-CZ"/>
              </w:rPr>
            </w:pPr>
          </w:p>
        </w:tc>
        <w:tc>
          <w:tcPr>
            <w:tcW w:w="722" w:type="dxa"/>
            <w:noWrap/>
            <w:vAlign w:val="center"/>
            <w:hideMark/>
          </w:tcPr>
          <w:p w14:paraId="0943635A"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794737CD"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3C34B7F2"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4D819E26"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009CEC7A"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1F28C18A"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79958DF8"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79744955"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7D2E2934"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23" w:type="dxa"/>
            <w:noWrap/>
            <w:vAlign w:val="center"/>
            <w:hideMark/>
          </w:tcPr>
          <w:p w14:paraId="6EEF9C4F" w14:textId="77777777" w:rsidR="00A0104B" w:rsidRPr="004C292E"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r>
      <w:tr w:rsidR="00A0104B" w:rsidRPr="00E520C2" w14:paraId="0DCD0061"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7" w:type="dxa"/>
            <w:gridSpan w:val="11"/>
            <w:shd w:val="clear" w:color="auto" w:fill="FEFCBE" w:themeFill="accent1" w:themeFillTint="33"/>
            <w:vAlign w:val="center"/>
            <w:hideMark/>
          </w:tcPr>
          <w:p w14:paraId="06553488"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Součet úředních osob</w:t>
            </w:r>
          </w:p>
        </w:tc>
      </w:tr>
      <w:tr w:rsidR="00A0104B" w:rsidRPr="00E520C2" w14:paraId="53E53AAA"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0C943AD8"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 typu</w:t>
            </w:r>
          </w:p>
        </w:tc>
        <w:tc>
          <w:tcPr>
            <w:tcW w:w="722" w:type="dxa"/>
            <w:noWrap/>
            <w:vAlign w:val="center"/>
            <w:hideMark/>
          </w:tcPr>
          <w:p w14:paraId="2DA22D63"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536</w:t>
            </w:r>
          </w:p>
        </w:tc>
        <w:tc>
          <w:tcPr>
            <w:tcW w:w="723" w:type="dxa"/>
            <w:noWrap/>
            <w:vAlign w:val="center"/>
            <w:hideMark/>
          </w:tcPr>
          <w:p w14:paraId="41B3FC4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517</w:t>
            </w:r>
          </w:p>
        </w:tc>
        <w:tc>
          <w:tcPr>
            <w:tcW w:w="723" w:type="dxa"/>
            <w:noWrap/>
            <w:vAlign w:val="center"/>
            <w:hideMark/>
          </w:tcPr>
          <w:p w14:paraId="30E28E1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512</w:t>
            </w:r>
          </w:p>
        </w:tc>
        <w:tc>
          <w:tcPr>
            <w:tcW w:w="723" w:type="dxa"/>
            <w:noWrap/>
            <w:vAlign w:val="center"/>
            <w:hideMark/>
          </w:tcPr>
          <w:p w14:paraId="7E7278D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502</w:t>
            </w:r>
          </w:p>
        </w:tc>
        <w:tc>
          <w:tcPr>
            <w:tcW w:w="723" w:type="dxa"/>
            <w:noWrap/>
            <w:vAlign w:val="center"/>
            <w:hideMark/>
          </w:tcPr>
          <w:p w14:paraId="089405C4"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505</w:t>
            </w:r>
          </w:p>
        </w:tc>
        <w:tc>
          <w:tcPr>
            <w:tcW w:w="723" w:type="dxa"/>
            <w:noWrap/>
            <w:vAlign w:val="center"/>
            <w:hideMark/>
          </w:tcPr>
          <w:p w14:paraId="31ADE25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500</w:t>
            </w:r>
          </w:p>
        </w:tc>
        <w:tc>
          <w:tcPr>
            <w:tcW w:w="723" w:type="dxa"/>
            <w:noWrap/>
            <w:vAlign w:val="center"/>
            <w:hideMark/>
          </w:tcPr>
          <w:p w14:paraId="76D09E3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499</w:t>
            </w:r>
          </w:p>
        </w:tc>
        <w:tc>
          <w:tcPr>
            <w:tcW w:w="723" w:type="dxa"/>
            <w:noWrap/>
            <w:vAlign w:val="center"/>
            <w:hideMark/>
          </w:tcPr>
          <w:p w14:paraId="3C52547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491</w:t>
            </w:r>
          </w:p>
        </w:tc>
        <w:tc>
          <w:tcPr>
            <w:tcW w:w="723" w:type="dxa"/>
            <w:noWrap/>
            <w:vAlign w:val="center"/>
            <w:hideMark/>
          </w:tcPr>
          <w:p w14:paraId="3D7EFA6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494</w:t>
            </w:r>
          </w:p>
        </w:tc>
        <w:tc>
          <w:tcPr>
            <w:tcW w:w="723" w:type="dxa"/>
            <w:noWrap/>
            <w:vAlign w:val="center"/>
            <w:hideMark/>
          </w:tcPr>
          <w:p w14:paraId="4B59ECF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483</w:t>
            </w:r>
          </w:p>
        </w:tc>
      </w:tr>
      <w:tr w:rsidR="00A0104B" w:rsidRPr="00E520C2" w14:paraId="34DE6048"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C0871AA"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 typu</w:t>
            </w:r>
          </w:p>
        </w:tc>
        <w:tc>
          <w:tcPr>
            <w:tcW w:w="722" w:type="dxa"/>
            <w:noWrap/>
            <w:vAlign w:val="center"/>
            <w:hideMark/>
          </w:tcPr>
          <w:p w14:paraId="0AFD3B70"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630</w:t>
            </w:r>
          </w:p>
        </w:tc>
        <w:tc>
          <w:tcPr>
            <w:tcW w:w="723" w:type="dxa"/>
            <w:noWrap/>
            <w:vAlign w:val="center"/>
            <w:hideMark/>
          </w:tcPr>
          <w:p w14:paraId="2FDDDF67"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625</w:t>
            </w:r>
          </w:p>
        </w:tc>
        <w:tc>
          <w:tcPr>
            <w:tcW w:w="723" w:type="dxa"/>
            <w:noWrap/>
            <w:vAlign w:val="center"/>
            <w:hideMark/>
          </w:tcPr>
          <w:p w14:paraId="6DD0303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617</w:t>
            </w:r>
          </w:p>
        </w:tc>
        <w:tc>
          <w:tcPr>
            <w:tcW w:w="723" w:type="dxa"/>
            <w:noWrap/>
            <w:vAlign w:val="center"/>
            <w:hideMark/>
          </w:tcPr>
          <w:p w14:paraId="66D7420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615</w:t>
            </w:r>
          </w:p>
        </w:tc>
        <w:tc>
          <w:tcPr>
            <w:tcW w:w="723" w:type="dxa"/>
            <w:noWrap/>
            <w:vAlign w:val="center"/>
            <w:hideMark/>
          </w:tcPr>
          <w:p w14:paraId="6B0C7395"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604</w:t>
            </w:r>
          </w:p>
        </w:tc>
        <w:tc>
          <w:tcPr>
            <w:tcW w:w="723" w:type="dxa"/>
            <w:noWrap/>
            <w:vAlign w:val="center"/>
            <w:hideMark/>
          </w:tcPr>
          <w:p w14:paraId="57BB1D0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603</w:t>
            </w:r>
          </w:p>
        </w:tc>
        <w:tc>
          <w:tcPr>
            <w:tcW w:w="723" w:type="dxa"/>
            <w:noWrap/>
            <w:vAlign w:val="center"/>
            <w:hideMark/>
          </w:tcPr>
          <w:p w14:paraId="40567ABA"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604</w:t>
            </w:r>
          </w:p>
        </w:tc>
        <w:tc>
          <w:tcPr>
            <w:tcW w:w="723" w:type="dxa"/>
            <w:noWrap/>
            <w:vAlign w:val="center"/>
            <w:hideMark/>
          </w:tcPr>
          <w:p w14:paraId="50AF06D7"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601</w:t>
            </w:r>
          </w:p>
        </w:tc>
        <w:tc>
          <w:tcPr>
            <w:tcW w:w="723" w:type="dxa"/>
            <w:noWrap/>
            <w:vAlign w:val="center"/>
            <w:hideMark/>
          </w:tcPr>
          <w:p w14:paraId="65A634B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596</w:t>
            </w:r>
          </w:p>
        </w:tc>
        <w:tc>
          <w:tcPr>
            <w:tcW w:w="723" w:type="dxa"/>
            <w:noWrap/>
            <w:vAlign w:val="center"/>
            <w:hideMark/>
          </w:tcPr>
          <w:p w14:paraId="3440CBFC"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628</w:t>
            </w:r>
          </w:p>
        </w:tc>
      </w:tr>
      <w:tr w:rsidR="00A0104B" w:rsidRPr="00E520C2" w14:paraId="4C0670F6"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52208CE9"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obce III. t</w:t>
            </w:r>
            <w:r w:rsidRPr="00E520C2">
              <w:rPr>
                <w:rFonts w:ascii="Calibri" w:eastAsia="Times New Roman" w:hAnsi="Calibri" w:cs="Calibri"/>
                <w:sz w:val="20"/>
                <w:szCs w:val="20"/>
                <w:lang w:eastAsia="cs-CZ"/>
              </w:rPr>
              <w:t>.</w:t>
            </w:r>
          </w:p>
        </w:tc>
        <w:tc>
          <w:tcPr>
            <w:tcW w:w="722" w:type="dxa"/>
            <w:noWrap/>
            <w:vAlign w:val="center"/>
            <w:hideMark/>
          </w:tcPr>
          <w:p w14:paraId="45CAAFE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832</w:t>
            </w:r>
          </w:p>
        </w:tc>
        <w:tc>
          <w:tcPr>
            <w:tcW w:w="723" w:type="dxa"/>
            <w:noWrap/>
            <w:vAlign w:val="center"/>
            <w:hideMark/>
          </w:tcPr>
          <w:p w14:paraId="0BCBAC1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749</w:t>
            </w:r>
          </w:p>
        </w:tc>
        <w:tc>
          <w:tcPr>
            <w:tcW w:w="723" w:type="dxa"/>
            <w:noWrap/>
            <w:vAlign w:val="center"/>
            <w:hideMark/>
          </w:tcPr>
          <w:p w14:paraId="1F954FB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754</w:t>
            </w:r>
          </w:p>
        </w:tc>
        <w:tc>
          <w:tcPr>
            <w:tcW w:w="723" w:type="dxa"/>
            <w:noWrap/>
            <w:vAlign w:val="center"/>
            <w:hideMark/>
          </w:tcPr>
          <w:p w14:paraId="3E1FC7CB"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759</w:t>
            </w:r>
          </w:p>
        </w:tc>
        <w:tc>
          <w:tcPr>
            <w:tcW w:w="723" w:type="dxa"/>
            <w:noWrap/>
            <w:vAlign w:val="center"/>
            <w:hideMark/>
          </w:tcPr>
          <w:p w14:paraId="644085F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764</w:t>
            </w:r>
          </w:p>
        </w:tc>
        <w:tc>
          <w:tcPr>
            <w:tcW w:w="723" w:type="dxa"/>
            <w:noWrap/>
            <w:vAlign w:val="center"/>
            <w:hideMark/>
          </w:tcPr>
          <w:p w14:paraId="1A5F6E88"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769</w:t>
            </w:r>
          </w:p>
        </w:tc>
        <w:tc>
          <w:tcPr>
            <w:tcW w:w="723" w:type="dxa"/>
            <w:noWrap/>
            <w:vAlign w:val="center"/>
            <w:hideMark/>
          </w:tcPr>
          <w:p w14:paraId="5A20142C"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765</w:t>
            </w:r>
          </w:p>
        </w:tc>
        <w:tc>
          <w:tcPr>
            <w:tcW w:w="723" w:type="dxa"/>
            <w:noWrap/>
            <w:vAlign w:val="center"/>
            <w:hideMark/>
          </w:tcPr>
          <w:p w14:paraId="1BB2C1B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784</w:t>
            </w:r>
          </w:p>
        </w:tc>
        <w:tc>
          <w:tcPr>
            <w:tcW w:w="723" w:type="dxa"/>
            <w:noWrap/>
            <w:vAlign w:val="center"/>
            <w:hideMark/>
          </w:tcPr>
          <w:p w14:paraId="33BF3CC3"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792</w:t>
            </w:r>
          </w:p>
        </w:tc>
        <w:tc>
          <w:tcPr>
            <w:tcW w:w="723" w:type="dxa"/>
            <w:noWrap/>
            <w:vAlign w:val="center"/>
            <w:hideMark/>
          </w:tcPr>
          <w:p w14:paraId="4A8ADB28"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1</w:t>
            </w:r>
            <w:r w:rsidRPr="00E520C2">
              <w:rPr>
                <w:rFonts w:ascii="Calibri" w:eastAsia="Times New Roman" w:hAnsi="Calibri" w:cs="Calibri"/>
                <w:sz w:val="20"/>
                <w:szCs w:val="20"/>
                <w:lang w:eastAsia="cs-CZ"/>
              </w:rPr>
              <w:t xml:space="preserve"> </w:t>
            </w:r>
            <w:r w:rsidRPr="004C292E">
              <w:rPr>
                <w:rFonts w:ascii="Calibri" w:eastAsia="Times New Roman" w:hAnsi="Calibri" w:cs="Calibri"/>
                <w:sz w:val="20"/>
                <w:szCs w:val="20"/>
                <w:lang w:eastAsia="cs-CZ"/>
              </w:rPr>
              <w:t>776</w:t>
            </w:r>
          </w:p>
        </w:tc>
      </w:tr>
      <w:tr w:rsidR="00A0104B" w:rsidRPr="00E520C2" w14:paraId="6D1F763E"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2E2868A2"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ÚČSM</w:t>
            </w:r>
          </w:p>
        </w:tc>
        <w:tc>
          <w:tcPr>
            <w:tcW w:w="722" w:type="dxa"/>
            <w:noWrap/>
            <w:vAlign w:val="center"/>
            <w:hideMark/>
          </w:tcPr>
          <w:p w14:paraId="5F42CB78"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708</w:t>
            </w:r>
          </w:p>
        </w:tc>
        <w:tc>
          <w:tcPr>
            <w:tcW w:w="723" w:type="dxa"/>
            <w:noWrap/>
            <w:vAlign w:val="center"/>
            <w:hideMark/>
          </w:tcPr>
          <w:p w14:paraId="20849269"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647</w:t>
            </w:r>
          </w:p>
        </w:tc>
        <w:tc>
          <w:tcPr>
            <w:tcW w:w="723" w:type="dxa"/>
            <w:noWrap/>
            <w:vAlign w:val="center"/>
            <w:hideMark/>
          </w:tcPr>
          <w:p w14:paraId="18F19B7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662</w:t>
            </w:r>
          </w:p>
        </w:tc>
        <w:tc>
          <w:tcPr>
            <w:tcW w:w="723" w:type="dxa"/>
            <w:noWrap/>
            <w:vAlign w:val="center"/>
            <w:hideMark/>
          </w:tcPr>
          <w:p w14:paraId="07E6DFF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663</w:t>
            </w:r>
          </w:p>
        </w:tc>
        <w:tc>
          <w:tcPr>
            <w:tcW w:w="723" w:type="dxa"/>
            <w:noWrap/>
            <w:vAlign w:val="center"/>
            <w:hideMark/>
          </w:tcPr>
          <w:p w14:paraId="3F2B644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653</w:t>
            </w:r>
          </w:p>
        </w:tc>
        <w:tc>
          <w:tcPr>
            <w:tcW w:w="723" w:type="dxa"/>
            <w:noWrap/>
            <w:vAlign w:val="center"/>
            <w:hideMark/>
          </w:tcPr>
          <w:p w14:paraId="7EB36F5A"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648</w:t>
            </w:r>
          </w:p>
        </w:tc>
        <w:tc>
          <w:tcPr>
            <w:tcW w:w="723" w:type="dxa"/>
            <w:noWrap/>
            <w:vAlign w:val="center"/>
            <w:hideMark/>
          </w:tcPr>
          <w:p w14:paraId="44C3D54B"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639</w:t>
            </w:r>
          </w:p>
        </w:tc>
        <w:tc>
          <w:tcPr>
            <w:tcW w:w="723" w:type="dxa"/>
            <w:noWrap/>
            <w:vAlign w:val="center"/>
            <w:hideMark/>
          </w:tcPr>
          <w:p w14:paraId="27DA72FE"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629</w:t>
            </w:r>
          </w:p>
        </w:tc>
        <w:tc>
          <w:tcPr>
            <w:tcW w:w="723" w:type="dxa"/>
            <w:noWrap/>
            <w:vAlign w:val="center"/>
            <w:hideMark/>
          </w:tcPr>
          <w:p w14:paraId="027A3E76"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617</w:t>
            </w:r>
          </w:p>
        </w:tc>
        <w:tc>
          <w:tcPr>
            <w:tcW w:w="723" w:type="dxa"/>
            <w:noWrap/>
            <w:vAlign w:val="center"/>
            <w:hideMark/>
          </w:tcPr>
          <w:p w14:paraId="26BAF396"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613</w:t>
            </w:r>
          </w:p>
        </w:tc>
      </w:tr>
      <w:tr w:rsidR="00A0104B" w:rsidRPr="00E520C2" w14:paraId="55FC7088"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6B081491" w14:textId="77777777" w:rsidR="00A0104B" w:rsidRPr="004C292E" w:rsidRDefault="00A0104B" w:rsidP="00197E1E">
            <w:pPr>
              <w:spacing w:before="0" w:after="0"/>
              <w:jc w:val="left"/>
              <w:rPr>
                <w:rFonts w:ascii="Calibri" w:eastAsia="Times New Roman" w:hAnsi="Calibri" w:cs="Calibri"/>
                <w:sz w:val="20"/>
                <w:szCs w:val="20"/>
                <w:lang w:eastAsia="cs-CZ"/>
              </w:rPr>
            </w:pPr>
            <w:r w:rsidRPr="004C292E">
              <w:rPr>
                <w:rFonts w:ascii="Calibri" w:eastAsia="Times New Roman" w:hAnsi="Calibri" w:cs="Calibri"/>
                <w:sz w:val="20"/>
                <w:szCs w:val="20"/>
                <w:lang w:eastAsia="cs-CZ"/>
              </w:rPr>
              <w:t>SÚ – ČR</w:t>
            </w:r>
          </w:p>
        </w:tc>
        <w:tc>
          <w:tcPr>
            <w:tcW w:w="722" w:type="dxa"/>
            <w:noWrap/>
            <w:vAlign w:val="center"/>
            <w:hideMark/>
          </w:tcPr>
          <w:p w14:paraId="3009FC2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706</w:t>
            </w:r>
          </w:p>
        </w:tc>
        <w:tc>
          <w:tcPr>
            <w:tcW w:w="723" w:type="dxa"/>
            <w:noWrap/>
            <w:vAlign w:val="center"/>
            <w:hideMark/>
          </w:tcPr>
          <w:p w14:paraId="0A1C542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538</w:t>
            </w:r>
          </w:p>
        </w:tc>
        <w:tc>
          <w:tcPr>
            <w:tcW w:w="723" w:type="dxa"/>
            <w:noWrap/>
            <w:vAlign w:val="center"/>
            <w:hideMark/>
          </w:tcPr>
          <w:p w14:paraId="7BD4C45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545</w:t>
            </w:r>
          </w:p>
        </w:tc>
        <w:tc>
          <w:tcPr>
            <w:tcW w:w="723" w:type="dxa"/>
            <w:noWrap/>
            <w:vAlign w:val="center"/>
            <w:hideMark/>
          </w:tcPr>
          <w:p w14:paraId="2C7D2096"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539</w:t>
            </w:r>
          </w:p>
        </w:tc>
        <w:tc>
          <w:tcPr>
            <w:tcW w:w="723" w:type="dxa"/>
            <w:noWrap/>
            <w:vAlign w:val="center"/>
            <w:hideMark/>
          </w:tcPr>
          <w:p w14:paraId="5757F26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526</w:t>
            </w:r>
          </w:p>
        </w:tc>
        <w:tc>
          <w:tcPr>
            <w:tcW w:w="723" w:type="dxa"/>
            <w:noWrap/>
            <w:vAlign w:val="center"/>
            <w:hideMark/>
          </w:tcPr>
          <w:p w14:paraId="63FA75E9"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520</w:t>
            </w:r>
          </w:p>
        </w:tc>
        <w:tc>
          <w:tcPr>
            <w:tcW w:w="723" w:type="dxa"/>
            <w:noWrap/>
            <w:vAlign w:val="center"/>
            <w:hideMark/>
          </w:tcPr>
          <w:p w14:paraId="1A8A6375"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507</w:t>
            </w:r>
          </w:p>
        </w:tc>
        <w:tc>
          <w:tcPr>
            <w:tcW w:w="723" w:type="dxa"/>
            <w:noWrap/>
            <w:vAlign w:val="center"/>
            <w:hideMark/>
          </w:tcPr>
          <w:p w14:paraId="4A1643FD"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505</w:t>
            </w:r>
          </w:p>
        </w:tc>
        <w:tc>
          <w:tcPr>
            <w:tcW w:w="723" w:type="dxa"/>
            <w:noWrap/>
            <w:vAlign w:val="center"/>
            <w:hideMark/>
          </w:tcPr>
          <w:p w14:paraId="533B1B7F"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499</w:t>
            </w:r>
          </w:p>
        </w:tc>
        <w:tc>
          <w:tcPr>
            <w:tcW w:w="723" w:type="dxa"/>
            <w:noWrap/>
            <w:vAlign w:val="center"/>
            <w:hideMark/>
          </w:tcPr>
          <w:p w14:paraId="1D9AC822"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4C292E">
              <w:rPr>
                <w:rFonts w:ascii="Calibri" w:eastAsia="Times New Roman" w:hAnsi="Calibri" w:cs="Calibri"/>
                <w:b/>
                <w:bCs/>
                <w:sz w:val="20"/>
                <w:szCs w:val="20"/>
                <w:lang w:eastAsia="cs-CZ"/>
              </w:rPr>
              <w:t>3</w:t>
            </w:r>
            <w:r w:rsidRPr="00E520C2">
              <w:rPr>
                <w:rFonts w:ascii="Calibri" w:eastAsia="Times New Roman" w:hAnsi="Calibri" w:cs="Calibri"/>
                <w:b/>
                <w:bCs/>
                <w:sz w:val="20"/>
                <w:szCs w:val="20"/>
                <w:lang w:eastAsia="cs-CZ"/>
              </w:rPr>
              <w:t xml:space="preserve"> </w:t>
            </w:r>
            <w:r w:rsidRPr="004C292E">
              <w:rPr>
                <w:rFonts w:ascii="Calibri" w:eastAsia="Times New Roman" w:hAnsi="Calibri" w:cs="Calibri"/>
                <w:b/>
                <w:bCs/>
                <w:sz w:val="20"/>
                <w:szCs w:val="20"/>
                <w:lang w:eastAsia="cs-CZ"/>
              </w:rPr>
              <w:t>500</w:t>
            </w:r>
          </w:p>
        </w:tc>
      </w:tr>
    </w:tbl>
    <w:p w14:paraId="5075E361" w14:textId="77777777" w:rsidR="00A0104B" w:rsidRDefault="00A0104B" w:rsidP="00A0104B">
      <w:pPr>
        <w:pStyle w:val="Text-Normaln"/>
        <w:widowControl w:val="0"/>
        <w:rPr>
          <w:highlight w:val="yellow"/>
        </w:rPr>
      </w:pPr>
      <w:r w:rsidRPr="0057296F">
        <w:rPr>
          <w:rFonts w:eastAsia="Times New Roman"/>
          <w:i/>
          <w:iCs/>
          <w:color w:val="000000"/>
          <w:sz w:val="22"/>
          <w:szCs w:val="20"/>
          <w:lang w:eastAsia="cs-CZ"/>
        </w:rPr>
        <w:t>Zdroj: ÚÚR</w:t>
      </w:r>
      <w:r>
        <w:rPr>
          <w:rFonts w:eastAsia="Times New Roman"/>
          <w:i/>
          <w:iCs/>
          <w:color w:val="000000"/>
          <w:sz w:val="22"/>
          <w:szCs w:val="20"/>
          <w:lang w:eastAsia="cs-CZ"/>
        </w:rPr>
        <w:t>, MMR</w:t>
      </w:r>
    </w:p>
    <w:p w14:paraId="55A0CF23" w14:textId="77777777" w:rsidR="00A0104B" w:rsidRPr="0057296F" w:rsidRDefault="00A0104B" w:rsidP="00A0104B">
      <w:pPr>
        <w:pStyle w:val="Text-Normaln"/>
        <w:widowControl w:val="0"/>
      </w:pPr>
      <w:r w:rsidRPr="0057296F">
        <w:t xml:space="preserve">Následující tabulky ilustrují činnost prvoinstančních OSÚ.        </w:t>
      </w:r>
    </w:p>
    <w:p w14:paraId="153755D2" w14:textId="0820936B" w:rsidR="00A0104B" w:rsidRPr="0057296F" w:rsidRDefault="00A0104B" w:rsidP="00A0104B">
      <w:pPr>
        <w:pStyle w:val="Titulek"/>
        <w:keepNext/>
      </w:pPr>
      <w:r w:rsidRPr="0057296F">
        <w:lastRenderedPageBreak/>
        <w:t xml:space="preserve">Obrázek </w:t>
      </w:r>
      <w:r w:rsidR="004B0591">
        <w:fldChar w:fldCharType="begin"/>
      </w:r>
      <w:r w:rsidR="004B0591">
        <w:instrText xml:space="preserve"> SEQ Obrázek \* ARABIC </w:instrText>
      </w:r>
      <w:r w:rsidR="004B0591">
        <w:fldChar w:fldCharType="separate"/>
      </w:r>
      <w:r w:rsidR="007105BE">
        <w:rPr>
          <w:noProof/>
        </w:rPr>
        <w:t>7</w:t>
      </w:r>
      <w:r w:rsidR="004B0591">
        <w:rPr>
          <w:noProof/>
        </w:rPr>
        <w:fldChar w:fldCharType="end"/>
      </w:r>
      <w:r w:rsidRPr="0057296F">
        <w:t xml:space="preserve">: Umísťování staveb, </w:t>
      </w:r>
      <w:r>
        <w:t xml:space="preserve">prvoinstanční OSÚ, </w:t>
      </w:r>
      <w:r w:rsidRPr="0057296F">
        <w:t>2020</w:t>
      </w:r>
    </w:p>
    <w:p w14:paraId="06E4268B" w14:textId="77777777" w:rsidR="00A0104B" w:rsidRPr="0057296F" w:rsidRDefault="00A0104B" w:rsidP="00A0104B">
      <w:pPr>
        <w:pStyle w:val="Text-Normaln"/>
        <w:widowControl w:val="0"/>
      </w:pPr>
      <w:r w:rsidRPr="0057296F">
        <w:rPr>
          <w:noProof/>
          <w:lang w:eastAsia="cs-CZ"/>
        </w:rPr>
        <w:drawing>
          <wp:inline distT="0" distB="0" distL="0" distR="0" wp14:anchorId="08DED809" wp14:editId="68129813">
            <wp:extent cx="4311650" cy="27336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310" r="1040" b="3268"/>
                    <a:stretch/>
                  </pic:blipFill>
                  <pic:spPr bwMode="auto">
                    <a:xfrm>
                      <a:off x="0" y="0"/>
                      <a:ext cx="4320789" cy="2739469"/>
                    </a:xfrm>
                    <a:prstGeom prst="rect">
                      <a:avLst/>
                    </a:prstGeom>
                    <a:noFill/>
                    <a:ln>
                      <a:noFill/>
                    </a:ln>
                    <a:extLst>
                      <a:ext uri="{53640926-AAD7-44D8-BBD7-CCE9431645EC}">
                        <a14:shadowObscured xmlns:a14="http://schemas.microsoft.com/office/drawing/2010/main"/>
                      </a:ext>
                    </a:extLst>
                  </pic:spPr>
                </pic:pic>
              </a:graphicData>
            </a:graphic>
          </wp:inline>
        </w:drawing>
      </w:r>
    </w:p>
    <w:p w14:paraId="79A76062" w14:textId="77777777" w:rsidR="00A0104B" w:rsidRPr="0057296F" w:rsidRDefault="00A0104B" w:rsidP="00A0104B">
      <w:pPr>
        <w:pStyle w:val="Text-Normaln"/>
        <w:widowControl w:val="0"/>
        <w:rPr>
          <w:rFonts w:eastAsia="Times New Roman"/>
          <w:i/>
          <w:iCs/>
          <w:color w:val="000000"/>
          <w:sz w:val="22"/>
          <w:szCs w:val="20"/>
          <w:lang w:eastAsia="cs-CZ"/>
        </w:rPr>
      </w:pPr>
      <w:r w:rsidRPr="0057296F">
        <w:rPr>
          <w:rFonts w:eastAsia="Times New Roman"/>
          <w:i/>
          <w:iCs/>
          <w:color w:val="000000"/>
          <w:sz w:val="22"/>
          <w:szCs w:val="20"/>
          <w:lang w:eastAsia="cs-CZ"/>
        </w:rPr>
        <w:t>Zdroj: ÚÚR</w:t>
      </w:r>
      <w:r>
        <w:rPr>
          <w:rFonts w:eastAsia="Times New Roman"/>
          <w:i/>
          <w:iCs/>
          <w:color w:val="000000"/>
          <w:sz w:val="22"/>
          <w:szCs w:val="20"/>
          <w:lang w:eastAsia="cs-CZ"/>
        </w:rPr>
        <w:t>, MMR</w:t>
      </w:r>
    </w:p>
    <w:p w14:paraId="25299128" w14:textId="2541517C" w:rsidR="00A0104B" w:rsidRDefault="00A0104B" w:rsidP="00A0104B">
      <w:pPr>
        <w:pStyle w:val="Titulek"/>
        <w:keepNext/>
      </w:pPr>
      <w:r>
        <w:t xml:space="preserve">Obrázek </w:t>
      </w:r>
      <w:r w:rsidR="004B0591">
        <w:fldChar w:fldCharType="begin"/>
      </w:r>
      <w:r w:rsidR="004B0591">
        <w:instrText xml:space="preserve"> SEQ Obrázek \* ARABIC </w:instrText>
      </w:r>
      <w:r w:rsidR="004B0591">
        <w:fldChar w:fldCharType="separate"/>
      </w:r>
      <w:r w:rsidR="007105BE">
        <w:rPr>
          <w:noProof/>
        </w:rPr>
        <w:t>8</w:t>
      </w:r>
      <w:r w:rsidR="004B0591">
        <w:rPr>
          <w:noProof/>
        </w:rPr>
        <w:fldChar w:fldCharType="end"/>
      </w:r>
      <w:r>
        <w:t xml:space="preserve">: </w:t>
      </w:r>
      <w:r w:rsidRPr="0057296F">
        <w:t xml:space="preserve">Povolování staveb, </w:t>
      </w:r>
      <w:r>
        <w:t xml:space="preserve">prvoinstanční OSÚ, </w:t>
      </w:r>
      <w:r w:rsidRPr="0057296F">
        <w:t>2020</w:t>
      </w:r>
    </w:p>
    <w:p w14:paraId="46B26141" w14:textId="77777777" w:rsidR="00A0104B" w:rsidRPr="0057296F" w:rsidRDefault="00A0104B" w:rsidP="00A0104B">
      <w:pPr>
        <w:pStyle w:val="Text-Normaln"/>
        <w:widowControl w:val="0"/>
        <w:spacing w:before="0" w:after="0"/>
        <w:contextualSpacing/>
        <w:rPr>
          <w:b/>
        </w:rPr>
      </w:pPr>
      <w:r w:rsidRPr="0057296F">
        <w:rPr>
          <w:b/>
          <w:noProof/>
          <w:lang w:eastAsia="cs-CZ"/>
        </w:rPr>
        <w:drawing>
          <wp:inline distT="0" distB="0" distL="0" distR="0" wp14:anchorId="2C6103B2" wp14:editId="20D781A2">
            <wp:extent cx="4324350" cy="270858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994" t="3146"/>
                    <a:stretch/>
                  </pic:blipFill>
                  <pic:spPr bwMode="auto">
                    <a:xfrm>
                      <a:off x="0" y="0"/>
                      <a:ext cx="4335961" cy="2715856"/>
                    </a:xfrm>
                    <a:prstGeom prst="rect">
                      <a:avLst/>
                    </a:prstGeom>
                    <a:noFill/>
                    <a:ln>
                      <a:noFill/>
                    </a:ln>
                    <a:extLst>
                      <a:ext uri="{53640926-AAD7-44D8-BBD7-CCE9431645EC}">
                        <a14:shadowObscured xmlns:a14="http://schemas.microsoft.com/office/drawing/2010/main"/>
                      </a:ext>
                    </a:extLst>
                  </pic:spPr>
                </pic:pic>
              </a:graphicData>
            </a:graphic>
          </wp:inline>
        </w:drawing>
      </w:r>
    </w:p>
    <w:p w14:paraId="4449DD85" w14:textId="77777777" w:rsidR="00A0104B" w:rsidRPr="0057296F" w:rsidRDefault="00A0104B" w:rsidP="00A0104B">
      <w:pPr>
        <w:pStyle w:val="Citt"/>
        <w:contextualSpacing/>
      </w:pPr>
      <w:r w:rsidRPr="0057296F">
        <w:t>Zdroj: ÚÚR</w:t>
      </w:r>
      <w:r>
        <w:t>, MMR</w:t>
      </w:r>
    </w:p>
    <w:p w14:paraId="60C4082A" w14:textId="77777777" w:rsidR="00A0104B" w:rsidRPr="0057296F" w:rsidRDefault="00A0104B" w:rsidP="00A0104B">
      <w:pPr>
        <w:pStyle w:val="Normln-tun"/>
        <w:widowControl w:val="0"/>
      </w:pPr>
      <w:r w:rsidRPr="0057296F">
        <w:t xml:space="preserve">Následující graf kvantitativně popisuje problematický aspekt současného povolovacího procesu, a to úspěšnost odvolávajících se účastníků </w:t>
      </w:r>
      <w:r w:rsidRPr="00E568AE">
        <w:t>řízení. Z rozhodnutí, které byly napadeny odvoláním, největší podíl počtu rozhodnutí o odvolání, jímž bylo rozhodnutí zrušeno a věc vrácena k novému projednání, mají obce I. typu spolu s ÚČSM.</w:t>
      </w:r>
    </w:p>
    <w:p w14:paraId="62618E87" w14:textId="77777777" w:rsidR="00A0104B" w:rsidRDefault="00A0104B">
      <w:pPr>
        <w:spacing w:before="0" w:after="0"/>
        <w:jc w:val="left"/>
        <w:rPr>
          <w:rFonts w:eastAsia="Times New Roman"/>
          <w:b/>
          <w:bCs/>
          <w:color w:val="000000"/>
          <w:sz w:val="22"/>
          <w:szCs w:val="20"/>
          <w:lang w:eastAsia="cs-CZ"/>
        </w:rPr>
      </w:pPr>
      <w:r>
        <w:br w:type="page"/>
      </w:r>
    </w:p>
    <w:p w14:paraId="5B7A0CB9" w14:textId="1F7B9075" w:rsidR="00A0104B" w:rsidRPr="0057296F" w:rsidRDefault="00A0104B" w:rsidP="00A0104B">
      <w:pPr>
        <w:pStyle w:val="Titulek"/>
      </w:pPr>
      <w:r w:rsidRPr="0057296F">
        <w:lastRenderedPageBreak/>
        <w:t xml:space="preserve">Graf </w:t>
      </w:r>
      <w:r w:rsidRPr="0057296F">
        <w:rPr>
          <w:noProof/>
        </w:rPr>
        <w:fldChar w:fldCharType="begin"/>
      </w:r>
      <w:r w:rsidRPr="0057296F">
        <w:rPr>
          <w:noProof/>
        </w:rPr>
        <w:instrText xml:space="preserve"> SEQ Graf \* ARABIC </w:instrText>
      </w:r>
      <w:r w:rsidRPr="0057296F">
        <w:rPr>
          <w:noProof/>
        </w:rPr>
        <w:fldChar w:fldCharType="separate"/>
      </w:r>
      <w:r w:rsidRPr="0057296F">
        <w:rPr>
          <w:noProof/>
        </w:rPr>
        <w:t>11</w:t>
      </w:r>
      <w:r w:rsidRPr="0057296F">
        <w:rPr>
          <w:noProof/>
        </w:rPr>
        <w:fldChar w:fldCharType="end"/>
      </w:r>
      <w:r w:rsidRPr="0057296F">
        <w:t>: Odvolací řízení, prvoinstanční OSÚ 2020</w:t>
      </w:r>
    </w:p>
    <w:p w14:paraId="7446EA66" w14:textId="77777777" w:rsidR="00A0104B" w:rsidRPr="0057296F" w:rsidRDefault="00A0104B" w:rsidP="00A0104B">
      <w:pPr>
        <w:pStyle w:val="Text-Normaln"/>
        <w:widowControl w:val="0"/>
        <w:spacing w:before="0"/>
        <w:rPr>
          <w:b/>
        </w:rPr>
      </w:pPr>
      <w:r w:rsidRPr="0057296F">
        <w:rPr>
          <w:b/>
          <w:noProof/>
          <w:lang w:eastAsia="cs-CZ"/>
        </w:rPr>
        <w:drawing>
          <wp:inline distT="0" distB="0" distL="0" distR="0" wp14:anchorId="0694DFA6" wp14:editId="185494D6">
            <wp:extent cx="4331887" cy="2514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5" t="1871" b="1832"/>
                    <a:stretch/>
                  </pic:blipFill>
                  <pic:spPr bwMode="auto">
                    <a:xfrm>
                      <a:off x="0" y="0"/>
                      <a:ext cx="4349729" cy="2524957"/>
                    </a:xfrm>
                    <a:prstGeom prst="rect">
                      <a:avLst/>
                    </a:prstGeom>
                    <a:noFill/>
                    <a:ln>
                      <a:noFill/>
                    </a:ln>
                    <a:extLst>
                      <a:ext uri="{53640926-AAD7-44D8-BBD7-CCE9431645EC}">
                        <a14:shadowObscured xmlns:a14="http://schemas.microsoft.com/office/drawing/2010/main"/>
                      </a:ext>
                    </a:extLst>
                  </pic:spPr>
                </pic:pic>
              </a:graphicData>
            </a:graphic>
          </wp:inline>
        </w:drawing>
      </w:r>
    </w:p>
    <w:p w14:paraId="5F9B390C" w14:textId="77777777" w:rsidR="00A0104B" w:rsidRPr="0057296F" w:rsidRDefault="00A0104B" w:rsidP="00A0104B">
      <w:pPr>
        <w:pStyle w:val="Citt"/>
      </w:pPr>
      <w:r w:rsidRPr="0057296F">
        <w:t>Zdroj: ÚÚR</w:t>
      </w:r>
      <w:r>
        <w:t>, MMR</w:t>
      </w:r>
    </w:p>
    <w:p w14:paraId="60E87413" w14:textId="77777777" w:rsidR="00A0104B" w:rsidRPr="00124479" w:rsidRDefault="00A0104B" w:rsidP="00A0104B">
      <w:pPr>
        <w:pStyle w:val="Text-Normaln"/>
        <w:widowControl w:val="0"/>
      </w:pPr>
      <w:r w:rsidRPr="00124479">
        <w:rPr>
          <w:b/>
        </w:rPr>
        <w:t>Druhoinstančních OSÚ</w:t>
      </w:r>
      <w:r w:rsidRPr="00124479">
        <w:t xml:space="preserve"> je celkem 17. Zaměstnávají celkem 227 osob se 2</w:t>
      </w:r>
      <w:r>
        <w:t>22</w:t>
      </w:r>
      <w:r w:rsidRPr="00124479">
        <w:t xml:space="preserve"> úvazky. </w:t>
      </w:r>
    </w:p>
    <w:p w14:paraId="50B9DA43" w14:textId="77777777" w:rsidR="00A0104B" w:rsidRDefault="00A0104B" w:rsidP="00A0104B">
      <w:pPr>
        <w:pStyle w:val="Titulek"/>
      </w:pPr>
      <w:r w:rsidRPr="00124479">
        <w:t xml:space="preserve">Tabulka </w:t>
      </w:r>
      <w:r w:rsidR="004B0591">
        <w:fldChar w:fldCharType="begin"/>
      </w:r>
      <w:r w:rsidR="004B0591">
        <w:instrText xml:space="preserve"> SEQ Tabulka \* ARABIC </w:instrText>
      </w:r>
      <w:r w:rsidR="004B0591">
        <w:fldChar w:fldCharType="separate"/>
      </w:r>
      <w:r>
        <w:rPr>
          <w:noProof/>
        </w:rPr>
        <w:t>2</w:t>
      </w:r>
      <w:r w:rsidR="004B0591">
        <w:rPr>
          <w:noProof/>
        </w:rPr>
        <w:fldChar w:fldCharType="end"/>
      </w:r>
      <w:r w:rsidRPr="00124479">
        <w:t xml:space="preserve">: </w:t>
      </w:r>
      <w:r>
        <w:t>Počet pracovníků, d</w:t>
      </w:r>
      <w:r w:rsidRPr="00124479">
        <w:t>ruhoinstanční OSÚ, 2020</w:t>
      </w:r>
    </w:p>
    <w:tbl>
      <w:tblPr>
        <w:tblStyle w:val="Barevntabulkaseznamu6zvraznn51"/>
        <w:tblW w:w="9072" w:type="dxa"/>
        <w:tblLayout w:type="fixed"/>
        <w:tblLook w:val="04A0" w:firstRow="1" w:lastRow="0" w:firstColumn="1" w:lastColumn="0" w:noHBand="0" w:noVBand="1"/>
      </w:tblPr>
      <w:tblGrid>
        <w:gridCol w:w="3828"/>
        <w:gridCol w:w="1748"/>
        <w:gridCol w:w="1748"/>
        <w:gridCol w:w="1748"/>
      </w:tblGrid>
      <w:tr w:rsidR="00A0104B" w:rsidRPr="00E520C2" w14:paraId="11059382" w14:textId="77777777" w:rsidTr="00197E1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04F7229F" w14:textId="77777777" w:rsidR="00A0104B" w:rsidRPr="0013554F" w:rsidRDefault="00A0104B" w:rsidP="00197E1E">
            <w:pPr>
              <w:spacing w:before="0" w:after="0"/>
              <w:jc w:val="center"/>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 </w:t>
            </w:r>
          </w:p>
        </w:tc>
        <w:tc>
          <w:tcPr>
            <w:tcW w:w="1748" w:type="dxa"/>
            <w:vAlign w:val="center"/>
            <w:hideMark/>
          </w:tcPr>
          <w:p w14:paraId="17F7DEEB" w14:textId="77777777" w:rsidR="00A0104B" w:rsidRPr="0013554F"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počet úředních osob</w:t>
            </w:r>
          </w:p>
        </w:tc>
        <w:tc>
          <w:tcPr>
            <w:tcW w:w="1748" w:type="dxa"/>
            <w:vAlign w:val="center"/>
            <w:hideMark/>
          </w:tcPr>
          <w:p w14:paraId="1B2F96D8" w14:textId="77777777" w:rsidR="00A0104B" w:rsidRPr="0013554F"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úřední osoby se ZOZ</w:t>
            </w:r>
          </w:p>
        </w:tc>
        <w:tc>
          <w:tcPr>
            <w:tcW w:w="1748" w:type="dxa"/>
            <w:vAlign w:val="center"/>
          </w:tcPr>
          <w:p w14:paraId="0BBA9C29" w14:textId="77777777" w:rsidR="00A0104B" w:rsidRPr="00E520C2"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E520C2">
              <w:rPr>
                <w:rFonts w:asciiTheme="minorHAnsi" w:eastAsia="Times New Roman" w:hAnsiTheme="minorHAnsi" w:cstheme="minorHAnsi"/>
                <w:sz w:val="20"/>
                <w:szCs w:val="20"/>
                <w:lang w:eastAsia="cs-CZ"/>
              </w:rPr>
              <w:t>pracovní úvazk</w:t>
            </w:r>
            <w:r w:rsidRPr="00E520C2">
              <w:rPr>
                <w:rFonts w:asciiTheme="minorHAnsi" w:eastAsia="Times New Roman" w:hAnsiTheme="minorHAnsi" w:cstheme="minorHAnsi"/>
                <w:b w:val="0"/>
                <w:bCs w:val="0"/>
                <w:sz w:val="20"/>
                <w:szCs w:val="20"/>
                <w:lang w:eastAsia="cs-CZ"/>
              </w:rPr>
              <w:t>y</w:t>
            </w:r>
            <w:r w:rsidRPr="00E520C2">
              <w:rPr>
                <w:rFonts w:asciiTheme="minorHAnsi" w:eastAsia="Times New Roman" w:hAnsiTheme="minorHAnsi" w:cstheme="minorHAnsi"/>
                <w:sz w:val="20"/>
                <w:szCs w:val="20"/>
                <w:lang w:eastAsia="cs-CZ"/>
              </w:rPr>
              <w:t xml:space="preserve"> úředních osob</w:t>
            </w:r>
          </w:p>
        </w:tc>
      </w:tr>
      <w:tr w:rsidR="00A0104B" w:rsidRPr="00E520C2" w14:paraId="64F0100E"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1DF8A810"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Magistrát hlavního města Prahy</w:t>
            </w:r>
          </w:p>
        </w:tc>
        <w:tc>
          <w:tcPr>
            <w:tcW w:w="1748" w:type="dxa"/>
            <w:noWrap/>
            <w:vAlign w:val="center"/>
            <w:hideMark/>
          </w:tcPr>
          <w:p w14:paraId="67542C60"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37</w:t>
            </w:r>
          </w:p>
        </w:tc>
        <w:tc>
          <w:tcPr>
            <w:tcW w:w="1748" w:type="dxa"/>
            <w:noWrap/>
            <w:vAlign w:val="center"/>
            <w:hideMark/>
          </w:tcPr>
          <w:p w14:paraId="2337526B"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34</w:t>
            </w:r>
          </w:p>
        </w:tc>
        <w:tc>
          <w:tcPr>
            <w:tcW w:w="1748" w:type="dxa"/>
            <w:vAlign w:val="center"/>
          </w:tcPr>
          <w:p w14:paraId="1C6189CC"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37</w:t>
            </w:r>
          </w:p>
        </w:tc>
      </w:tr>
      <w:tr w:rsidR="00A0104B" w:rsidRPr="00E520C2" w14:paraId="0478FE0C"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68A4C4B9"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Středočeského kraje</w:t>
            </w:r>
          </w:p>
        </w:tc>
        <w:tc>
          <w:tcPr>
            <w:tcW w:w="1748" w:type="dxa"/>
            <w:noWrap/>
            <w:vAlign w:val="center"/>
            <w:hideMark/>
          </w:tcPr>
          <w:p w14:paraId="141BCCAB"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24</w:t>
            </w:r>
          </w:p>
        </w:tc>
        <w:tc>
          <w:tcPr>
            <w:tcW w:w="1748" w:type="dxa"/>
            <w:noWrap/>
            <w:vAlign w:val="center"/>
            <w:hideMark/>
          </w:tcPr>
          <w:p w14:paraId="09877F56"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22</w:t>
            </w:r>
          </w:p>
        </w:tc>
        <w:tc>
          <w:tcPr>
            <w:tcW w:w="1748" w:type="dxa"/>
            <w:vAlign w:val="center"/>
          </w:tcPr>
          <w:p w14:paraId="2E2CB719"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24</w:t>
            </w:r>
          </w:p>
        </w:tc>
      </w:tr>
      <w:tr w:rsidR="00A0104B" w:rsidRPr="00E520C2" w14:paraId="4DD865CF"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30B6BC2C"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Jihočeského kraje</w:t>
            </w:r>
          </w:p>
        </w:tc>
        <w:tc>
          <w:tcPr>
            <w:tcW w:w="1748" w:type="dxa"/>
            <w:noWrap/>
            <w:vAlign w:val="center"/>
            <w:hideMark/>
          </w:tcPr>
          <w:p w14:paraId="6D5DA518"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noWrap/>
            <w:vAlign w:val="center"/>
            <w:hideMark/>
          </w:tcPr>
          <w:p w14:paraId="3C938401"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12</w:t>
            </w:r>
          </w:p>
        </w:tc>
        <w:tc>
          <w:tcPr>
            <w:tcW w:w="1748" w:type="dxa"/>
            <w:vAlign w:val="center"/>
          </w:tcPr>
          <w:p w14:paraId="023BDEA1"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12</w:t>
            </w:r>
          </w:p>
        </w:tc>
      </w:tr>
      <w:tr w:rsidR="00A0104B" w:rsidRPr="00E520C2" w14:paraId="69BA9B6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01C68D33"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Plzeňského kraje</w:t>
            </w:r>
          </w:p>
        </w:tc>
        <w:tc>
          <w:tcPr>
            <w:tcW w:w="1748" w:type="dxa"/>
            <w:noWrap/>
            <w:vAlign w:val="center"/>
            <w:hideMark/>
          </w:tcPr>
          <w:p w14:paraId="39237D39"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11</w:t>
            </w:r>
          </w:p>
        </w:tc>
        <w:tc>
          <w:tcPr>
            <w:tcW w:w="1748" w:type="dxa"/>
            <w:noWrap/>
            <w:vAlign w:val="center"/>
            <w:hideMark/>
          </w:tcPr>
          <w:p w14:paraId="2187C72F"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11</w:t>
            </w:r>
          </w:p>
        </w:tc>
        <w:tc>
          <w:tcPr>
            <w:tcW w:w="1748" w:type="dxa"/>
            <w:vAlign w:val="center"/>
          </w:tcPr>
          <w:p w14:paraId="70F10786"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11</w:t>
            </w:r>
          </w:p>
        </w:tc>
      </w:tr>
      <w:tr w:rsidR="00A0104B" w:rsidRPr="00E520C2" w14:paraId="68D3FA15"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36E7FA9C"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Karlovarského kraje</w:t>
            </w:r>
          </w:p>
        </w:tc>
        <w:tc>
          <w:tcPr>
            <w:tcW w:w="1748" w:type="dxa"/>
            <w:noWrap/>
            <w:vAlign w:val="center"/>
            <w:hideMark/>
          </w:tcPr>
          <w:p w14:paraId="7C85FDBF"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noWrap/>
            <w:vAlign w:val="center"/>
            <w:hideMark/>
          </w:tcPr>
          <w:p w14:paraId="3B6488BD"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vAlign w:val="center"/>
          </w:tcPr>
          <w:p w14:paraId="1ADE9A59"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13</w:t>
            </w:r>
          </w:p>
        </w:tc>
      </w:tr>
      <w:tr w:rsidR="00A0104B" w:rsidRPr="00E520C2" w14:paraId="4B0A14CB"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272DE8D9"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Ústeckého kraje</w:t>
            </w:r>
          </w:p>
        </w:tc>
        <w:tc>
          <w:tcPr>
            <w:tcW w:w="1748" w:type="dxa"/>
            <w:noWrap/>
            <w:vAlign w:val="center"/>
            <w:hideMark/>
          </w:tcPr>
          <w:p w14:paraId="274A91EB"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noWrap/>
            <w:vAlign w:val="center"/>
            <w:hideMark/>
          </w:tcPr>
          <w:p w14:paraId="72CCA9FA"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10</w:t>
            </w:r>
          </w:p>
        </w:tc>
        <w:tc>
          <w:tcPr>
            <w:tcW w:w="1748" w:type="dxa"/>
            <w:vAlign w:val="center"/>
          </w:tcPr>
          <w:p w14:paraId="30A1D235"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13</w:t>
            </w:r>
          </w:p>
        </w:tc>
      </w:tr>
      <w:tr w:rsidR="00A0104B" w:rsidRPr="00E520C2" w14:paraId="09E6109A"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CCC8BE8"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Libereckého kraje</w:t>
            </w:r>
          </w:p>
        </w:tc>
        <w:tc>
          <w:tcPr>
            <w:tcW w:w="1748" w:type="dxa"/>
            <w:noWrap/>
            <w:vAlign w:val="center"/>
            <w:hideMark/>
          </w:tcPr>
          <w:p w14:paraId="2E202D28"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6</w:t>
            </w:r>
          </w:p>
        </w:tc>
        <w:tc>
          <w:tcPr>
            <w:tcW w:w="1748" w:type="dxa"/>
            <w:noWrap/>
            <w:vAlign w:val="center"/>
            <w:hideMark/>
          </w:tcPr>
          <w:p w14:paraId="23712443"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6</w:t>
            </w:r>
          </w:p>
        </w:tc>
        <w:tc>
          <w:tcPr>
            <w:tcW w:w="1748" w:type="dxa"/>
            <w:vAlign w:val="center"/>
          </w:tcPr>
          <w:p w14:paraId="4688D1D1"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5</w:t>
            </w:r>
          </w:p>
        </w:tc>
      </w:tr>
      <w:tr w:rsidR="00A0104B" w:rsidRPr="00E520C2" w14:paraId="473E55CE"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A1796F8"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Královéhradeckého kraje</w:t>
            </w:r>
          </w:p>
        </w:tc>
        <w:tc>
          <w:tcPr>
            <w:tcW w:w="1748" w:type="dxa"/>
            <w:noWrap/>
            <w:vAlign w:val="center"/>
            <w:hideMark/>
          </w:tcPr>
          <w:p w14:paraId="56079CAE"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9</w:t>
            </w:r>
          </w:p>
        </w:tc>
        <w:tc>
          <w:tcPr>
            <w:tcW w:w="1748" w:type="dxa"/>
            <w:noWrap/>
            <w:vAlign w:val="center"/>
            <w:hideMark/>
          </w:tcPr>
          <w:p w14:paraId="7D12B153"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8</w:t>
            </w:r>
          </w:p>
        </w:tc>
        <w:tc>
          <w:tcPr>
            <w:tcW w:w="1748" w:type="dxa"/>
            <w:vAlign w:val="center"/>
          </w:tcPr>
          <w:p w14:paraId="5129AF7E"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9</w:t>
            </w:r>
          </w:p>
        </w:tc>
      </w:tr>
      <w:tr w:rsidR="00A0104B" w:rsidRPr="00E520C2" w14:paraId="05D51F60"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3D6EA24B"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Pardubického kraje</w:t>
            </w:r>
          </w:p>
        </w:tc>
        <w:tc>
          <w:tcPr>
            <w:tcW w:w="1748" w:type="dxa"/>
            <w:noWrap/>
            <w:vAlign w:val="center"/>
            <w:hideMark/>
          </w:tcPr>
          <w:p w14:paraId="5854E4A5"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11</w:t>
            </w:r>
          </w:p>
        </w:tc>
        <w:tc>
          <w:tcPr>
            <w:tcW w:w="1748" w:type="dxa"/>
            <w:noWrap/>
            <w:vAlign w:val="center"/>
            <w:hideMark/>
          </w:tcPr>
          <w:p w14:paraId="4BD48022"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11</w:t>
            </w:r>
          </w:p>
        </w:tc>
        <w:tc>
          <w:tcPr>
            <w:tcW w:w="1748" w:type="dxa"/>
            <w:vAlign w:val="center"/>
          </w:tcPr>
          <w:p w14:paraId="32446B4C"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11</w:t>
            </w:r>
          </w:p>
        </w:tc>
      </w:tr>
      <w:tr w:rsidR="00A0104B" w:rsidRPr="00E520C2" w14:paraId="5549F0D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C215467"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Kraje Vysočina</w:t>
            </w:r>
          </w:p>
        </w:tc>
        <w:tc>
          <w:tcPr>
            <w:tcW w:w="1748" w:type="dxa"/>
            <w:noWrap/>
            <w:vAlign w:val="center"/>
            <w:hideMark/>
          </w:tcPr>
          <w:p w14:paraId="05AFEBE8"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10</w:t>
            </w:r>
          </w:p>
        </w:tc>
        <w:tc>
          <w:tcPr>
            <w:tcW w:w="1748" w:type="dxa"/>
            <w:noWrap/>
            <w:vAlign w:val="center"/>
            <w:hideMark/>
          </w:tcPr>
          <w:p w14:paraId="48F9D9C1"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9</w:t>
            </w:r>
          </w:p>
        </w:tc>
        <w:tc>
          <w:tcPr>
            <w:tcW w:w="1748" w:type="dxa"/>
            <w:vAlign w:val="center"/>
          </w:tcPr>
          <w:p w14:paraId="34239CFA"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9</w:t>
            </w:r>
          </w:p>
        </w:tc>
      </w:tr>
      <w:tr w:rsidR="00A0104B" w:rsidRPr="00E520C2" w14:paraId="1D27AE52"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10A88581"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Jihomoravského kraje</w:t>
            </w:r>
          </w:p>
        </w:tc>
        <w:tc>
          <w:tcPr>
            <w:tcW w:w="1748" w:type="dxa"/>
            <w:noWrap/>
            <w:vAlign w:val="center"/>
            <w:hideMark/>
          </w:tcPr>
          <w:p w14:paraId="2C1657D8"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19</w:t>
            </w:r>
          </w:p>
        </w:tc>
        <w:tc>
          <w:tcPr>
            <w:tcW w:w="1748" w:type="dxa"/>
            <w:noWrap/>
            <w:vAlign w:val="center"/>
            <w:hideMark/>
          </w:tcPr>
          <w:p w14:paraId="7034B2DC"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17</w:t>
            </w:r>
          </w:p>
        </w:tc>
        <w:tc>
          <w:tcPr>
            <w:tcW w:w="1748" w:type="dxa"/>
            <w:vAlign w:val="center"/>
          </w:tcPr>
          <w:p w14:paraId="30BEA75F"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19</w:t>
            </w:r>
          </w:p>
        </w:tc>
      </w:tr>
      <w:tr w:rsidR="00A0104B" w:rsidRPr="00E520C2" w14:paraId="7CDDAB16"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16574C38"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Olomouckého kraje</w:t>
            </w:r>
          </w:p>
        </w:tc>
        <w:tc>
          <w:tcPr>
            <w:tcW w:w="1748" w:type="dxa"/>
            <w:noWrap/>
            <w:vAlign w:val="center"/>
            <w:hideMark/>
          </w:tcPr>
          <w:p w14:paraId="2E13BE50"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noWrap/>
            <w:vAlign w:val="center"/>
            <w:hideMark/>
          </w:tcPr>
          <w:p w14:paraId="4678BEDB"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12</w:t>
            </w:r>
          </w:p>
        </w:tc>
        <w:tc>
          <w:tcPr>
            <w:tcW w:w="1748" w:type="dxa"/>
            <w:vAlign w:val="center"/>
          </w:tcPr>
          <w:p w14:paraId="213EAF74"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13</w:t>
            </w:r>
          </w:p>
        </w:tc>
      </w:tr>
      <w:tr w:rsidR="00A0104B" w:rsidRPr="00E520C2" w14:paraId="50440765"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EF962CD"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Zlínského kraje</w:t>
            </w:r>
          </w:p>
        </w:tc>
        <w:tc>
          <w:tcPr>
            <w:tcW w:w="1748" w:type="dxa"/>
            <w:noWrap/>
            <w:vAlign w:val="center"/>
            <w:hideMark/>
          </w:tcPr>
          <w:p w14:paraId="20503D66"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11</w:t>
            </w:r>
          </w:p>
        </w:tc>
        <w:tc>
          <w:tcPr>
            <w:tcW w:w="1748" w:type="dxa"/>
            <w:noWrap/>
            <w:vAlign w:val="center"/>
            <w:hideMark/>
          </w:tcPr>
          <w:p w14:paraId="41502D40"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10</w:t>
            </w:r>
          </w:p>
        </w:tc>
        <w:tc>
          <w:tcPr>
            <w:tcW w:w="1748" w:type="dxa"/>
            <w:vAlign w:val="center"/>
          </w:tcPr>
          <w:p w14:paraId="3BE4B6C2"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11</w:t>
            </w:r>
          </w:p>
        </w:tc>
      </w:tr>
      <w:tr w:rsidR="00A0104B" w:rsidRPr="00E520C2" w14:paraId="3066CCA5"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5CDC7C24"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Krajský úřad Moravskoslezského kraje</w:t>
            </w:r>
          </w:p>
        </w:tc>
        <w:tc>
          <w:tcPr>
            <w:tcW w:w="1748" w:type="dxa"/>
            <w:noWrap/>
            <w:vAlign w:val="center"/>
            <w:hideMark/>
          </w:tcPr>
          <w:p w14:paraId="119351BD"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noWrap/>
            <w:vAlign w:val="center"/>
            <w:hideMark/>
          </w:tcPr>
          <w:p w14:paraId="5BB37F46"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13</w:t>
            </w:r>
          </w:p>
        </w:tc>
        <w:tc>
          <w:tcPr>
            <w:tcW w:w="1748" w:type="dxa"/>
            <w:vAlign w:val="center"/>
          </w:tcPr>
          <w:p w14:paraId="10268270"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13</w:t>
            </w:r>
          </w:p>
        </w:tc>
      </w:tr>
      <w:tr w:rsidR="00A0104B" w:rsidRPr="00E520C2" w14:paraId="5AE243B6"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72C59421"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Magistrát města Brna</w:t>
            </w:r>
          </w:p>
        </w:tc>
        <w:tc>
          <w:tcPr>
            <w:tcW w:w="1748" w:type="dxa"/>
            <w:noWrap/>
            <w:vAlign w:val="center"/>
            <w:hideMark/>
          </w:tcPr>
          <w:p w14:paraId="20D0AD0D"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16</w:t>
            </w:r>
          </w:p>
        </w:tc>
        <w:tc>
          <w:tcPr>
            <w:tcW w:w="1748" w:type="dxa"/>
            <w:noWrap/>
            <w:vAlign w:val="center"/>
            <w:hideMark/>
          </w:tcPr>
          <w:p w14:paraId="008B9754"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14</w:t>
            </w:r>
          </w:p>
        </w:tc>
        <w:tc>
          <w:tcPr>
            <w:tcW w:w="1748" w:type="dxa"/>
            <w:vAlign w:val="center"/>
          </w:tcPr>
          <w:p w14:paraId="06392F8F"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16</w:t>
            </w:r>
          </w:p>
        </w:tc>
      </w:tr>
      <w:tr w:rsidR="00A0104B" w:rsidRPr="00E520C2" w14:paraId="71E8C99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354C7C63"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Magistrát města Plzně</w:t>
            </w:r>
          </w:p>
        </w:tc>
        <w:tc>
          <w:tcPr>
            <w:tcW w:w="1748" w:type="dxa"/>
            <w:noWrap/>
            <w:vAlign w:val="center"/>
            <w:hideMark/>
          </w:tcPr>
          <w:p w14:paraId="524C9F55"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3</w:t>
            </w:r>
          </w:p>
        </w:tc>
        <w:tc>
          <w:tcPr>
            <w:tcW w:w="1748" w:type="dxa"/>
            <w:noWrap/>
            <w:vAlign w:val="center"/>
            <w:hideMark/>
          </w:tcPr>
          <w:p w14:paraId="608950A6"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0</w:t>
            </w:r>
          </w:p>
        </w:tc>
        <w:tc>
          <w:tcPr>
            <w:tcW w:w="1748" w:type="dxa"/>
            <w:vAlign w:val="center"/>
          </w:tcPr>
          <w:p w14:paraId="0EE7E92B"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3</w:t>
            </w:r>
          </w:p>
        </w:tc>
      </w:tr>
      <w:tr w:rsidR="00A0104B" w:rsidRPr="00E520C2" w14:paraId="04C7E603"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0A89D3AA" w14:textId="77777777" w:rsidR="00A0104B" w:rsidRPr="0013554F" w:rsidRDefault="00A0104B" w:rsidP="00197E1E">
            <w:pPr>
              <w:spacing w:before="0" w:after="0"/>
              <w:jc w:val="left"/>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b w:val="0"/>
                <w:bCs w:val="0"/>
                <w:sz w:val="20"/>
                <w:szCs w:val="20"/>
                <w:lang w:eastAsia="cs-CZ"/>
              </w:rPr>
              <w:t>Magistrát města Ostravy</w:t>
            </w:r>
          </w:p>
        </w:tc>
        <w:tc>
          <w:tcPr>
            <w:tcW w:w="1748" w:type="dxa"/>
            <w:noWrap/>
            <w:vAlign w:val="center"/>
            <w:hideMark/>
          </w:tcPr>
          <w:p w14:paraId="6489CA57"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5</w:t>
            </w:r>
          </w:p>
        </w:tc>
        <w:tc>
          <w:tcPr>
            <w:tcW w:w="1748" w:type="dxa"/>
            <w:noWrap/>
            <w:vAlign w:val="center"/>
            <w:hideMark/>
          </w:tcPr>
          <w:p w14:paraId="1524648B"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13554F">
              <w:rPr>
                <w:rFonts w:asciiTheme="minorHAnsi" w:eastAsia="Times New Roman" w:hAnsiTheme="minorHAnsi" w:cstheme="minorHAnsi"/>
                <w:sz w:val="20"/>
                <w:szCs w:val="20"/>
                <w:lang w:eastAsia="cs-CZ"/>
              </w:rPr>
              <w:t>5</w:t>
            </w:r>
          </w:p>
        </w:tc>
        <w:tc>
          <w:tcPr>
            <w:tcW w:w="1748" w:type="dxa"/>
            <w:vAlign w:val="center"/>
          </w:tcPr>
          <w:p w14:paraId="3031E26B"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520C2">
              <w:rPr>
                <w:rFonts w:asciiTheme="minorHAnsi" w:hAnsiTheme="minorHAnsi" w:cstheme="minorHAnsi"/>
                <w:color w:val="000000"/>
                <w:sz w:val="20"/>
                <w:szCs w:val="20"/>
              </w:rPr>
              <w:t>4</w:t>
            </w:r>
          </w:p>
        </w:tc>
      </w:tr>
      <w:tr w:rsidR="00A0104B" w:rsidRPr="00E520C2" w14:paraId="70C160D8"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03CFAAFB" w14:textId="77777777" w:rsidR="00A0104B" w:rsidRPr="0013554F" w:rsidRDefault="00A0104B" w:rsidP="00197E1E">
            <w:pPr>
              <w:spacing w:before="0" w:after="0"/>
              <w:jc w:val="left"/>
              <w:rPr>
                <w:rFonts w:asciiTheme="minorHAnsi" w:eastAsia="Times New Roman" w:hAnsiTheme="minorHAnsi" w:cstheme="minorHAnsi"/>
                <w:sz w:val="20"/>
                <w:szCs w:val="20"/>
                <w:lang w:eastAsia="cs-CZ"/>
              </w:rPr>
            </w:pPr>
            <w:r w:rsidRPr="00E520C2">
              <w:rPr>
                <w:rFonts w:asciiTheme="minorHAnsi" w:eastAsia="Times New Roman" w:hAnsiTheme="minorHAnsi" w:cstheme="minorHAnsi"/>
                <w:sz w:val="20"/>
                <w:szCs w:val="20"/>
                <w:lang w:eastAsia="cs-CZ"/>
              </w:rPr>
              <w:t>KÚ – celkem</w:t>
            </w:r>
          </w:p>
        </w:tc>
        <w:tc>
          <w:tcPr>
            <w:tcW w:w="1748" w:type="dxa"/>
            <w:noWrap/>
            <w:vAlign w:val="center"/>
            <w:hideMark/>
          </w:tcPr>
          <w:p w14:paraId="50DF00E7"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203</w:t>
            </w:r>
          </w:p>
        </w:tc>
        <w:tc>
          <w:tcPr>
            <w:tcW w:w="1748" w:type="dxa"/>
            <w:noWrap/>
            <w:vAlign w:val="center"/>
            <w:hideMark/>
          </w:tcPr>
          <w:p w14:paraId="16326DB8"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188</w:t>
            </w:r>
          </w:p>
        </w:tc>
        <w:tc>
          <w:tcPr>
            <w:tcW w:w="1748" w:type="dxa"/>
            <w:vAlign w:val="center"/>
          </w:tcPr>
          <w:p w14:paraId="27A7F07B"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E520C2">
              <w:rPr>
                <w:rFonts w:asciiTheme="minorHAnsi" w:eastAsia="Times New Roman" w:hAnsiTheme="minorHAnsi" w:cstheme="minorHAnsi"/>
                <w:b/>
                <w:bCs/>
                <w:sz w:val="20"/>
                <w:szCs w:val="20"/>
                <w:lang w:eastAsia="cs-CZ"/>
              </w:rPr>
              <w:t>162</w:t>
            </w:r>
          </w:p>
        </w:tc>
      </w:tr>
      <w:tr w:rsidR="00A0104B" w:rsidRPr="00E520C2" w14:paraId="6E6CFB07"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45AD2738" w14:textId="77777777" w:rsidR="00A0104B" w:rsidRPr="0013554F" w:rsidRDefault="00A0104B" w:rsidP="00197E1E">
            <w:pPr>
              <w:spacing w:before="0" w:after="0"/>
              <w:jc w:val="left"/>
              <w:rPr>
                <w:rFonts w:asciiTheme="minorHAnsi" w:eastAsia="Times New Roman" w:hAnsiTheme="minorHAnsi" w:cstheme="minorHAnsi"/>
                <w:sz w:val="20"/>
                <w:szCs w:val="20"/>
                <w:lang w:eastAsia="cs-CZ"/>
              </w:rPr>
            </w:pPr>
            <w:r w:rsidRPr="00E520C2">
              <w:rPr>
                <w:rFonts w:asciiTheme="minorHAnsi" w:eastAsia="Times New Roman" w:hAnsiTheme="minorHAnsi" w:cstheme="minorHAnsi"/>
                <w:sz w:val="20"/>
                <w:szCs w:val="20"/>
                <w:lang w:eastAsia="cs-CZ"/>
              </w:rPr>
              <w:t>Magistráty – celkem</w:t>
            </w:r>
          </w:p>
        </w:tc>
        <w:tc>
          <w:tcPr>
            <w:tcW w:w="1748" w:type="dxa"/>
            <w:noWrap/>
            <w:vAlign w:val="center"/>
            <w:hideMark/>
          </w:tcPr>
          <w:p w14:paraId="1EC666CA"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24</w:t>
            </w:r>
          </w:p>
        </w:tc>
        <w:tc>
          <w:tcPr>
            <w:tcW w:w="1748" w:type="dxa"/>
            <w:noWrap/>
            <w:vAlign w:val="center"/>
            <w:hideMark/>
          </w:tcPr>
          <w:p w14:paraId="3C6205E3" w14:textId="77777777" w:rsidR="00A0104B" w:rsidRPr="0013554F"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19</w:t>
            </w:r>
          </w:p>
        </w:tc>
        <w:tc>
          <w:tcPr>
            <w:tcW w:w="1748" w:type="dxa"/>
            <w:vAlign w:val="center"/>
          </w:tcPr>
          <w:p w14:paraId="17889947" w14:textId="77777777" w:rsidR="00A0104B" w:rsidRPr="00E520C2"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E520C2">
              <w:rPr>
                <w:rFonts w:asciiTheme="minorHAnsi" w:eastAsia="Times New Roman" w:hAnsiTheme="minorHAnsi" w:cstheme="minorHAnsi"/>
                <w:b/>
                <w:bCs/>
                <w:sz w:val="20"/>
                <w:szCs w:val="20"/>
                <w:lang w:eastAsia="cs-CZ"/>
              </w:rPr>
              <w:t>60</w:t>
            </w:r>
          </w:p>
        </w:tc>
      </w:tr>
      <w:tr w:rsidR="00A0104B" w:rsidRPr="00E520C2" w14:paraId="6B9EE965"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65E72B42" w14:textId="77777777" w:rsidR="00A0104B" w:rsidRPr="0013554F" w:rsidRDefault="00A0104B" w:rsidP="00197E1E">
            <w:pPr>
              <w:spacing w:before="0" w:after="0"/>
              <w:jc w:val="left"/>
              <w:rPr>
                <w:rFonts w:asciiTheme="minorHAnsi" w:eastAsia="Times New Roman" w:hAnsiTheme="minorHAnsi" w:cstheme="minorHAnsi"/>
                <w:sz w:val="20"/>
                <w:szCs w:val="20"/>
                <w:lang w:eastAsia="cs-CZ"/>
              </w:rPr>
            </w:pPr>
            <w:r w:rsidRPr="00E520C2">
              <w:rPr>
                <w:rFonts w:asciiTheme="minorHAnsi" w:eastAsia="Times New Roman" w:hAnsiTheme="minorHAnsi" w:cstheme="minorHAnsi"/>
                <w:sz w:val="20"/>
                <w:szCs w:val="20"/>
                <w:lang w:eastAsia="cs-CZ"/>
              </w:rPr>
              <w:t>ČR – celkem</w:t>
            </w:r>
          </w:p>
        </w:tc>
        <w:tc>
          <w:tcPr>
            <w:tcW w:w="1748" w:type="dxa"/>
            <w:noWrap/>
            <w:vAlign w:val="center"/>
            <w:hideMark/>
          </w:tcPr>
          <w:p w14:paraId="70737C95"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227</w:t>
            </w:r>
          </w:p>
        </w:tc>
        <w:tc>
          <w:tcPr>
            <w:tcW w:w="1748" w:type="dxa"/>
            <w:noWrap/>
            <w:vAlign w:val="center"/>
            <w:hideMark/>
          </w:tcPr>
          <w:p w14:paraId="197F58C4" w14:textId="77777777" w:rsidR="00A0104B" w:rsidRPr="0013554F"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13554F">
              <w:rPr>
                <w:rFonts w:asciiTheme="minorHAnsi" w:eastAsia="Times New Roman" w:hAnsiTheme="minorHAnsi" w:cstheme="minorHAnsi"/>
                <w:b/>
                <w:bCs/>
                <w:sz w:val="20"/>
                <w:szCs w:val="20"/>
                <w:lang w:eastAsia="cs-CZ"/>
              </w:rPr>
              <w:t>207</w:t>
            </w:r>
          </w:p>
        </w:tc>
        <w:tc>
          <w:tcPr>
            <w:tcW w:w="1748" w:type="dxa"/>
            <w:vAlign w:val="center"/>
          </w:tcPr>
          <w:p w14:paraId="457D1BC3" w14:textId="77777777" w:rsidR="00A0104B" w:rsidRPr="00E520C2"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cs-CZ"/>
              </w:rPr>
            </w:pPr>
            <w:r w:rsidRPr="00E520C2">
              <w:rPr>
                <w:rFonts w:asciiTheme="minorHAnsi" w:eastAsia="Times New Roman" w:hAnsiTheme="minorHAnsi" w:cstheme="minorHAnsi"/>
                <w:b/>
                <w:bCs/>
                <w:sz w:val="20"/>
                <w:szCs w:val="20"/>
                <w:lang w:eastAsia="cs-CZ"/>
              </w:rPr>
              <w:t>222</w:t>
            </w:r>
          </w:p>
        </w:tc>
      </w:tr>
    </w:tbl>
    <w:p w14:paraId="4A6CB490" w14:textId="77777777" w:rsidR="00A0104B" w:rsidRPr="00124479" w:rsidRDefault="00A0104B" w:rsidP="00A0104B">
      <w:pPr>
        <w:pStyle w:val="Citt"/>
        <w:spacing w:before="120"/>
      </w:pPr>
      <w:r w:rsidRPr="00124479">
        <w:t>Zdroj: ÚÚR</w:t>
      </w:r>
    </w:p>
    <w:p w14:paraId="4757CF4E" w14:textId="77777777" w:rsidR="00A0104B" w:rsidRDefault="00A0104B" w:rsidP="00A0104B">
      <w:pPr>
        <w:spacing w:before="0" w:after="0"/>
        <w:jc w:val="left"/>
        <w:rPr>
          <w:rFonts w:eastAsia="Times New Roman"/>
          <w:b/>
          <w:bCs/>
          <w:color w:val="000000"/>
          <w:sz w:val="22"/>
          <w:szCs w:val="20"/>
          <w:lang w:eastAsia="cs-CZ"/>
        </w:rPr>
      </w:pPr>
      <w:r>
        <w:br w:type="page"/>
      </w:r>
    </w:p>
    <w:p w14:paraId="0EB8B8C2" w14:textId="77777777" w:rsidR="00A0104B" w:rsidRDefault="00A0104B" w:rsidP="00A0104B">
      <w:pPr>
        <w:pStyle w:val="Titulek"/>
        <w:keepNext/>
      </w:pPr>
      <w:r>
        <w:lastRenderedPageBreak/>
        <w:t xml:space="preserve">Tabulka </w:t>
      </w:r>
      <w:r w:rsidR="004B0591">
        <w:fldChar w:fldCharType="begin"/>
      </w:r>
      <w:r w:rsidR="004B0591">
        <w:instrText xml:space="preserve"> SEQ Tabulka \* ARABIC </w:instrText>
      </w:r>
      <w:r w:rsidR="004B0591">
        <w:fldChar w:fldCharType="separate"/>
      </w:r>
      <w:r>
        <w:rPr>
          <w:noProof/>
        </w:rPr>
        <w:t>3</w:t>
      </w:r>
      <w:r w:rsidR="004B0591">
        <w:rPr>
          <w:noProof/>
        </w:rPr>
        <w:fldChar w:fldCharType="end"/>
      </w:r>
      <w:r>
        <w:t>: Činnost OSÚ, d</w:t>
      </w:r>
      <w:r w:rsidRPr="00124479">
        <w:t>ruhoinstanční OSÚ, 2020</w:t>
      </w:r>
    </w:p>
    <w:tbl>
      <w:tblPr>
        <w:tblStyle w:val="Barevntabulkaseznamu6zvraznn51"/>
        <w:tblW w:w="9072" w:type="dxa"/>
        <w:tblLayout w:type="fixed"/>
        <w:tblLook w:val="04A0" w:firstRow="1" w:lastRow="0" w:firstColumn="1" w:lastColumn="0" w:noHBand="0" w:noVBand="1"/>
      </w:tblPr>
      <w:tblGrid>
        <w:gridCol w:w="2835"/>
        <w:gridCol w:w="1247"/>
        <w:gridCol w:w="1247"/>
        <w:gridCol w:w="1248"/>
        <w:gridCol w:w="1247"/>
        <w:gridCol w:w="1248"/>
      </w:tblGrid>
      <w:tr w:rsidR="00A0104B" w:rsidRPr="00E520C2" w14:paraId="105BBACA" w14:textId="77777777" w:rsidTr="00197E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94A0A6" w14:textId="77777777" w:rsidR="00A0104B" w:rsidRPr="00E520C2" w:rsidRDefault="00A0104B" w:rsidP="00197E1E">
            <w:pPr>
              <w:spacing w:before="0" w:after="0"/>
              <w:jc w:val="left"/>
              <w:rPr>
                <w:rFonts w:asciiTheme="minorHAnsi" w:eastAsia="Times New Roman" w:hAnsiTheme="minorHAnsi" w:cstheme="minorHAnsi"/>
                <w:b w:val="0"/>
                <w:bCs w:val="0"/>
                <w:color w:val="000000"/>
                <w:sz w:val="20"/>
                <w:szCs w:val="20"/>
                <w:lang w:eastAsia="cs-CZ"/>
              </w:rPr>
            </w:pPr>
          </w:p>
        </w:tc>
        <w:tc>
          <w:tcPr>
            <w:tcW w:w="1247" w:type="dxa"/>
            <w:vAlign w:val="center"/>
            <w:hideMark/>
          </w:tcPr>
          <w:p w14:paraId="63E3E6A8" w14:textId="77777777" w:rsidR="00A0104B" w:rsidRPr="005D615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w:t>
            </w:r>
            <w:r w:rsidRPr="005D6157">
              <w:rPr>
                <w:rFonts w:asciiTheme="minorHAnsi" w:eastAsia="Times New Roman" w:hAnsiTheme="minorHAnsi" w:cstheme="minorHAnsi"/>
                <w:color w:val="000000"/>
                <w:sz w:val="20"/>
                <w:szCs w:val="20"/>
                <w:lang w:eastAsia="cs-CZ"/>
              </w:rPr>
              <w:t>ozhodnutí odvolacího správního orgánu - § 90 odst. 1 písm. a), b), c)</w:t>
            </w:r>
          </w:p>
        </w:tc>
        <w:tc>
          <w:tcPr>
            <w:tcW w:w="1247" w:type="dxa"/>
            <w:vAlign w:val="center"/>
            <w:hideMark/>
          </w:tcPr>
          <w:p w14:paraId="39149984" w14:textId="77777777" w:rsidR="00A0104B" w:rsidRPr="005D615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w:t>
            </w:r>
            <w:r w:rsidRPr="005D6157">
              <w:rPr>
                <w:rFonts w:asciiTheme="minorHAnsi" w:eastAsia="Times New Roman" w:hAnsiTheme="minorHAnsi" w:cstheme="minorHAnsi"/>
                <w:color w:val="000000"/>
                <w:sz w:val="20"/>
                <w:szCs w:val="20"/>
                <w:lang w:eastAsia="cs-CZ"/>
              </w:rPr>
              <w:t xml:space="preserve">ozhodnutí odvolacího správního orgánu u </w:t>
            </w:r>
            <w:r w:rsidRPr="00E520C2">
              <w:rPr>
                <w:rFonts w:asciiTheme="minorHAnsi" w:eastAsia="Times New Roman" w:hAnsiTheme="minorHAnsi" w:cstheme="minorHAnsi"/>
                <w:color w:val="000000"/>
                <w:sz w:val="20"/>
                <w:szCs w:val="20"/>
                <w:lang w:eastAsia="cs-CZ"/>
              </w:rPr>
              <w:t>SÚ</w:t>
            </w:r>
            <w:r w:rsidRPr="005D6157">
              <w:rPr>
                <w:rFonts w:asciiTheme="minorHAnsi" w:eastAsia="Times New Roman" w:hAnsiTheme="minorHAnsi" w:cstheme="minorHAnsi"/>
                <w:color w:val="000000"/>
                <w:sz w:val="20"/>
                <w:szCs w:val="20"/>
                <w:lang w:eastAsia="cs-CZ"/>
              </w:rPr>
              <w:t xml:space="preserve"> obcí 1. typu (obce se základním rozsahem </w:t>
            </w:r>
            <w:r w:rsidRPr="00E520C2">
              <w:rPr>
                <w:rFonts w:asciiTheme="minorHAnsi" w:eastAsia="Times New Roman" w:hAnsiTheme="minorHAnsi" w:cstheme="minorHAnsi"/>
                <w:color w:val="000000"/>
                <w:sz w:val="20"/>
                <w:szCs w:val="20"/>
                <w:lang w:eastAsia="cs-CZ"/>
              </w:rPr>
              <w:t>PP</w:t>
            </w:r>
            <w:r w:rsidRPr="005D6157">
              <w:rPr>
                <w:rFonts w:asciiTheme="minorHAnsi" w:eastAsia="Times New Roman" w:hAnsiTheme="minorHAnsi" w:cstheme="minorHAnsi"/>
                <w:color w:val="000000"/>
                <w:sz w:val="20"/>
                <w:szCs w:val="20"/>
                <w:lang w:eastAsia="cs-CZ"/>
              </w:rPr>
              <w:t>)</w:t>
            </w:r>
          </w:p>
        </w:tc>
        <w:tc>
          <w:tcPr>
            <w:tcW w:w="1248" w:type="dxa"/>
            <w:vAlign w:val="center"/>
            <w:hideMark/>
          </w:tcPr>
          <w:p w14:paraId="665238AA" w14:textId="77777777" w:rsidR="00A0104B" w:rsidRPr="005D615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w:t>
            </w:r>
            <w:r w:rsidRPr="005D6157">
              <w:rPr>
                <w:rFonts w:asciiTheme="minorHAnsi" w:eastAsia="Times New Roman" w:hAnsiTheme="minorHAnsi" w:cstheme="minorHAnsi"/>
                <w:color w:val="000000"/>
                <w:sz w:val="20"/>
                <w:szCs w:val="20"/>
                <w:lang w:eastAsia="cs-CZ"/>
              </w:rPr>
              <w:t xml:space="preserve">ozhodnutí odvolacího správního orgánu u </w:t>
            </w:r>
            <w:r w:rsidRPr="00E520C2">
              <w:rPr>
                <w:rFonts w:asciiTheme="minorHAnsi" w:eastAsia="Times New Roman" w:hAnsiTheme="minorHAnsi" w:cstheme="minorHAnsi"/>
                <w:color w:val="000000"/>
                <w:sz w:val="20"/>
                <w:szCs w:val="20"/>
                <w:lang w:eastAsia="cs-CZ"/>
              </w:rPr>
              <w:t>SÚ</w:t>
            </w:r>
            <w:r w:rsidRPr="005D6157">
              <w:rPr>
                <w:rFonts w:asciiTheme="minorHAnsi" w:eastAsia="Times New Roman" w:hAnsiTheme="minorHAnsi" w:cstheme="minorHAnsi"/>
                <w:color w:val="000000"/>
                <w:sz w:val="20"/>
                <w:szCs w:val="20"/>
                <w:lang w:eastAsia="cs-CZ"/>
              </w:rPr>
              <w:t xml:space="preserve"> obcí s </w:t>
            </w:r>
            <w:r w:rsidRPr="00E520C2">
              <w:rPr>
                <w:rFonts w:asciiTheme="minorHAnsi" w:eastAsia="Times New Roman" w:hAnsiTheme="minorHAnsi" w:cstheme="minorHAnsi"/>
                <w:color w:val="000000"/>
                <w:sz w:val="20"/>
                <w:szCs w:val="20"/>
                <w:lang w:eastAsia="cs-CZ"/>
              </w:rPr>
              <w:t>POÚ</w:t>
            </w:r>
          </w:p>
        </w:tc>
        <w:tc>
          <w:tcPr>
            <w:tcW w:w="1247" w:type="dxa"/>
            <w:vAlign w:val="center"/>
            <w:hideMark/>
          </w:tcPr>
          <w:p w14:paraId="7B54B82E" w14:textId="77777777" w:rsidR="00A0104B" w:rsidRPr="005D615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w:t>
            </w:r>
            <w:r w:rsidRPr="005D6157">
              <w:rPr>
                <w:rFonts w:asciiTheme="minorHAnsi" w:eastAsia="Times New Roman" w:hAnsiTheme="minorHAnsi" w:cstheme="minorHAnsi"/>
                <w:color w:val="000000"/>
                <w:sz w:val="20"/>
                <w:szCs w:val="20"/>
                <w:lang w:eastAsia="cs-CZ"/>
              </w:rPr>
              <w:t xml:space="preserve">ozhodnutí odvolacího správního orgánu u </w:t>
            </w:r>
            <w:r w:rsidRPr="00E520C2">
              <w:rPr>
                <w:rFonts w:asciiTheme="minorHAnsi" w:eastAsia="Times New Roman" w:hAnsiTheme="minorHAnsi" w:cstheme="minorHAnsi"/>
                <w:color w:val="000000"/>
                <w:sz w:val="20"/>
                <w:szCs w:val="20"/>
                <w:lang w:eastAsia="cs-CZ"/>
              </w:rPr>
              <w:t>SÚ</w:t>
            </w:r>
            <w:r w:rsidRPr="005D6157">
              <w:rPr>
                <w:rFonts w:asciiTheme="minorHAnsi" w:eastAsia="Times New Roman" w:hAnsiTheme="minorHAnsi" w:cstheme="minorHAnsi"/>
                <w:color w:val="000000"/>
                <w:sz w:val="20"/>
                <w:szCs w:val="20"/>
                <w:lang w:eastAsia="cs-CZ"/>
              </w:rPr>
              <w:t xml:space="preserve"> </w:t>
            </w:r>
            <w:r w:rsidRPr="00E520C2">
              <w:rPr>
                <w:rFonts w:asciiTheme="minorHAnsi" w:eastAsia="Times New Roman" w:hAnsiTheme="minorHAnsi" w:cstheme="minorHAnsi"/>
                <w:color w:val="000000"/>
                <w:sz w:val="20"/>
                <w:szCs w:val="20"/>
                <w:lang w:eastAsia="cs-CZ"/>
              </w:rPr>
              <w:t>ORP</w:t>
            </w:r>
          </w:p>
        </w:tc>
        <w:tc>
          <w:tcPr>
            <w:tcW w:w="1248" w:type="dxa"/>
            <w:vAlign w:val="center"/>
            <w:hideMark/>
          </w:tcPr>
          <w:p w14:paraId="7C2AC886" w14:textId="77777777" w:rsidR="00A0104B" w:rsidRPr="005D615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w:t>
            </w:r>
            <w:r w:rsidRPr="005D6157">
              <w:rPr>
                <w:rFonts w:asciiTheme="minorHAnsi" w:eastAsia="Times New Roman" w:hAnsiTheme="minorHAnsi" w:cstheme="minorHAnsi"/>
                <w:color w:val="000000"/>
                <w:sz w:val="20"/>
                <w:szCs w:val="20"/>
                <w:lang w:eastAsia="cs-CZ"/>
              </w:rPr>
              <w:t>ozhodnutí odvolacího správního orgánu - § 90 odst. 5</w:t>
            </w:r>
          </w:p>
        </w:tc>
      </w:tr>
      <w:tr w:rsidR="00A0104B" w:rsidRPr="00E520C2" w14:paraId="6921201F"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A197F79"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13554F">
              <w:rPr>
                <w:rFonts w:asciiTheme="minorHAnsi" w:eastAsia="Times New Roman" w:hAnsiTheme="minorHAnsi" w:cstheme="minorHAnsi"/>
                <w:b w:val="0"/>
                <w:bCs w:val="0"/>
                <w:sz w:val="20"/>
                <w:szCs w:val="20"/>
                <w:lang w:eastAsia="cs-CZ"/>
              </w:rPr>
              <w:t>Magistrát hl</w:t>
            </w:r>
            <w:r w:rsidRPr="004753BF">
              <w:rPr>
                <w:rFonts w:asciiTheme="minorHAnsi" w:eastAsia="Times New Roman" w:hAnsiTheme="minorHAnsi" w:cstheme="minorHAnsi"/>
                <w:b w:val="0"/>
                <w:bCs w:val="0"/>
                <w:sz w:val="20"/>
                <w:szCs w:val="20"/>
                <w:lang w:eastAsia="cs-CZ"/>
              </w:rPr>
              <w:t>.</w:t>
            </w:r>
            <w:r w:rsidRPr="0013554F">
              <w:rPr>
                <w:rFonts w:asciiTheme="minorHAnsi" w:eastAsia="Times New Roman" w:hAnsiTheme="minorHAnsi" w:cstheme="minorHAnsi"/>
                <w:b w:val="0"/>
                <w:bCs w:val="0"/>
                <w:sz w:val="20"/>
                <w:szCs w:val="20"/>
                <w:lang w:eastAsia="cs-CZ"/>
              </w:rPr>
              <w:t xml:space="preserve"> města Prahy</w:t>
            </w:r>
          </w:p>
        </w:tc>
        <w:tc>
          <w:tcPr>
            <w:tcW w:w="1247" w:type="dxa"/>
            <w:vAlign w:val="center"/>
            <w:hideMark/>
          </w:tcPr>
          <w:p w14:paraId="2F3BFF41"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323</w:t>
            </w:r>
          </w:p>
        </w:tc>
        <w:tc>
          <w:tcPr>
            <w:tcW w:w="1247" w:type="dxa"/>
            <w:vAlign w:val="center"/>
            <w:hideMark/>
          </w:tcPr>
          <w:p w14:paraId="2BBC203B"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6B2D3313"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7" w:type="dxa"/>
            <w:vAlign w:val="center"/>
            <w:hideMark/>
          </w:tcPr>
          <w:p w14:paraId="400D5038"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712</w:t>
            </w:r>
          </w:p>
        </w:tc>
        <w:tc>
          <w:tcPr>
            <w:tcW w:w="1248" w:type="dxa"/>
            <w:vAlign w:val="center"/>
            <w:hideMark/>
          </w:tcPr>
          <w:p w14:paraId="59CB58F9"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305</w:t>
            </w:r>
          </w:p>
        </w:tc>
      </w:tr>
      <w:tr w:rsidR="00A0104B" w:rsidRPr="00E520C2" w14:paraId="07C32B27"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6DA3308"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Středočeského kraje</w:t>
            </w:r>
          </w:p>
        </w:tc>
        <w:tc>
          <w:tcPr>
            <w:tcW w:w="1247" w:type="dxa"/>
            <w:vAlign w:val="center"/>
            <w:hideMark/>
          </w:tcPr>
          <w:p w14:paraId="6BE497B7"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318</w:t>
            </w:r>
          </w:p>
        </w:tc>
        <w:tc>
          <w:tcPr>
            <w:tcW w:w="1247" w:type="dxa"/>
            <w:vAlign w:val="center"/>
            <w:hideMark/>
          </w:tcPr>
          <w:p w14:paraId="3B9D313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109</w:t>
            </w:r>
          </w:p>
        </w:tc>
        <w:tc>
          <w:tcPr>
            <w:tcW w:w="1248" w:type="dxa"/>
            <w:vAlign w:val="center"/>
            <w:hideMark/>
          </w:tcPr>
          <w:p w14:paraId="18757D1F"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216</w:t>
            </w:r>
          </w:p>
        </w:tc>
        <w:tc>
          <w:tcPr>
            <w:tcW w:w="1247" w:type="dxa"/>
            <w:vAlign w:val="center"/>
            <w:hideMark/>
          </w:tcPr>
          <w:p w14:paraId="6E4DD0F2"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402</w:t>
            </w:r>
          </w:p>
        </w:tc>
        <w:tc>
          <w:tcPr>
            <w:tcW w:w="1248" w:type="dxa"/>
            <w:vAlign w:val="center"/>
            <w:hideMark/>
          </w:tcPr>
          <w:p w14:paraId="3A55C71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365</w:t>
            </w:r>
          </w:p>
        </w:tc>
      </w:tr>
      <w:tr w:rsidR="00A0104B" w:rsidRPr="00E520C2" w14:paraId="2BF0AECD"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55B2552"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Jihočeského kraje</w:t>
            </w:r>
          </w:p>
        </w:tc>
        <w:tc>
          <w:tcPr>
            <w:tcW w:w="1247" w:type="dxa"/>
            <w:vAlign w:val="center"/>
            <w:hideMark/>
          </w:tcPr>
          <w:p w14:paraId="74B3B6CB"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169</w:t>
            </w:r>
          </w:p>
        </w:tc>
        <w:tc>
          <w:tcPr>
            <w:tcW w:w="1247" w:type="dxa"/>
            <w:vAlign w:val="center"/>
            <w:hideMark/>
          </w:tcPr>
          <w:p w14:paraId="2D787B30"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16</w:t>
            </w:r>
          </w:p>
        </w:tc>
        <w:tc>
          <w:tcPr>
            <w:tcW w:w="1248" w:type="dxa"/>
            <w:vAlign w:val="center"/>
            <w:hideMark/>
          </w:tcPr>
          <w:p w14:paraId="021ABA95"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37</w:t>
            </w:r>
          </w:p>
        </w:tc>
        <w:tc>
          <w:tcPr>
            <w:tcW w:w="1247" w:type="dxa"/>
            <w:vAlign w:val="center"/>
            <w:hideMark/>
          </w:tcPr>
          <w:p w14:paraId="567486F2"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201</w:t>
            </w:r>
          </w:p>
        </w:tc>
        <w:tc>
          <w:tcPr>
            <w:tcW w:w="1248" w:type="dxa"/>
            <w:vAlign w:val="center"/>
            <w:hideMark/>
          </w:tcPr>
          <w:p w14:paraId="4F69E12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56</w:t>
            </w:r>
          </w:p>
        </w:tc>
      </w:tr>
      <w:tr w:rsidR="00A0104B" w:rsidRPr="00E520C2" w14:paraId="142CDA61"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B6EC96F"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Plzeňského kraje</w:t>
            </w:r>
          </w:p>
        </w:tc>
        <w:tc>
          <w:tcPr>
            <w:tcW w:w="1247" w:type="dxa"/>
            <w:vAlign w:val="center"/>
            <w:hideMark/>
          </w:tcPr>
          <w:p w14:paraId="743294CB"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104</w:t>
            </w:r>
          </w:p>
        </w:tc>
        <w:tc>
          <w:tcPr>
            <w:tcW w:w="1247" w:type="dxa"/>
            <w:vAlign w:val="center"/>
            <w:hideMark/>
          </w:tcPr>
          <w:p w14:paraId="5383180C"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w:t>
            </w:r>
          </w:p>
        </w:tc>
        <w:tc>
          <w:tcPr>
            <w:tcW w:w="1248" w:type="dxa"/>
            <w:vAlign w:val="center"/>
            <w:hideMark/>
          </w:tcPr>
          <w:p w14:paraId="673E583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59</w:t>
            </w:r>
          </w:p>
        </w:tc>
        <w:tc>
          <w:tcPr>
            <w:tcW w:w="1247" w:type="dxa"/>
            <w:vAlign w:val="center"/>
            <w:hideMark/>
          </w:tcPr>
          <w:p w14:paraId="5DCAA68B"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125</w:t>
            </w:r>
          </w:p>
        </w:tc>
        <w:tc>
          <w:tcPr>
            <w:tcW w:w="1248" w:type="dxa"/>
            <w:vAlign w:val="center"/>
            <w:hideMark/>
          </w:tcPr>
          <w:p w14:paraId="426412AA"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76</w:t>
            </w:r>
          </w:p>
        </w:tc>
      </w:tr>
      <w:tr w:rsidR="00A0104B" w:rsidRPr="00E520C2" w14:paraId="0BDE8644"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7C26DD1"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Karlovarského kraje</w:t>
            </w:r>
          </w:p>
        </w:tc>
        <w:tc>
          <w:tcPr>
            <w:tcW w:w="1247" w:type="dxa"/>
            <w:vAlign w:val="center"/>
            <w:hideMark/>
          </w:tcPr>
          <w:p w14:paraId="18FBB5B5"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46</w:t>
            </w:r>
          </w:p>
        </w:tc>
        <w:tc>
          <w:tcPr>
            <w:tcW w:w="1247" w:type="dxa"/>
            <w:vAlign w:val="center"/>
            <w:hideMark/>
          </w:tcPr>
          <w:p w14:paraId="0B769ED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w:t>
            </w:r>
          </w:p>
        </w:tc>
        <w:tc>
          <w:tcPr>
            <w:tcW w:w="1248" w:type="dxa"/>
            <w:vAlign w:val="center"/>
            <w:hideMark/>
          </w:tcPr>
          <w:p w14:paraId="60B99ABD"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9</w:t>
            </w:r>
          </w:p>
        </w:tc>
        <w:tc>
          <w:tcPr>
            <w:tcW w:w="1247" w:type="dxa"/>
            <w:vAlign w:val="center"/>
            <w:hideMark/>
          </w:tcPr>
          <w:p w14:paraId="4B723AAC"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59</w:t>
            </w:r>
          </w:p>
        </w:tc>
        <w:tc>
          <w:tcPr>
            <w:tcW w:w="1248" w:type="dxa"/>
            <w:vAlign w:val="center"/>
            <w:hideMark/>
          </w:tcPr>
          <w:p w14:paraId="7841B58B"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27</w:t>
            </w:r>
          </w:p>
        </w:tc>
      </w:tr>
      <w:tr w:rsidR="00A0104B" w:rsidRPr="00E520C2" w14:paraId="1FA89C4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2D1A06A"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Ústeckého kraje</w:t>
            </w:r>
          </w:p>
        </w:tc>
        <w:tc>
          <w:tcPr>
            <w:tcW w:w="1247" w:type="dxa"/>
            <w:vAlign w:val="center"/>
            <w:hideMark/>
          </w:tcPr>
          <w:p w14:paraId="6F03E7CF"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153</w:t>
            </w:r>
          </w:p>
        </w:tc>
        <w:tc>
          <w:tcPr>
            <w:tcW w:w="1247" w:type="dxa"/>
            <w:vAlign w:val="center"/>
            <w:hideMark/>
          </w:tcPr>
          <w:p w14:paraId="03E0E039"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w:t>
            </w:r>
          </w:p>
        </w:tc>
        <w:tc>
          <w:tcPr>
            <w:tcW w:w="1248" w:type="dxa"/>
            <w:vAlign w:val="center"/>
            <w:hideMark/>
          </w:tcPr>
          <w:p w14:paraId="65068D19"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29</w:t>
            </w:r>
          </w:p>
        </w:tc>
        <w:tc>
          <w:tcPr>
            <w:tcW w:w="1247" w:type="dxa"/>
            <w:vAlign w:val="center"/>
            <w:hideMark/>
          </w:tcPr>
          <w:p w14:paraId="475FE03B"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107</w:t>
            </w:r>
          </w:p>
        </w:tc>
        <w:tc>
          <w:tcPr>
            <w:tcW w:w="1248" w:type="dxa"/>
            <w:vAlign w:val="center"/>
            <w:hideMark/>
          </w:tcPr>
          <w:p w14:paraId="442A23B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78</w:t>
            </w:r>
          </w:p>
        </w:tc>
      </w:tr>
      <w:tr w:rsidR="00A0104B" w:rsidRPr="00E520C2" w14:paraId="2FB0639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2808BF1"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Libereckého kraje</w:t>
            </w:r>
          </w:p>
        </w:tc>
        <w:tc>
          <w:tcPr>
            <w:tcW w:w="1247" w:type="dxa"/>
            <w:vAlign w:val="center"/>
            <w:hideMark/>
          </w:tcPr>
          <w:p w14:paraId="388553D9"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94</w:t>
            </w:r>
          </w:p>
        </w:tc>
        <w:tc>
          <w:tcPr>
            <w:tcW w:w="1247" w:type="dxa"/>
            <w:vAlign w:val="center"/>
            <w:hideMark/>
          </w:tcPr>
          <w:p w14:paraId="6DEE879E"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14</w:t>
            </w:r>
          </w:p>
        </w:tc>
        <w:tc>
          <w:tcPr>
            <w:tcW w:w="1248" w:type="dxa"/>
            <w:vAlign w:val="center"/>
            <w:hideMark/>
          </w:tcPr>
          <w:p w14:paraId="72D5A5CA"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34</w:t>
            </w:r>
          </w:p>
        </w:tc>
        <w:tc>
          <w:tcPr>
            <w:tcW w:w="1247" w:type="dxa"/>
            <w:vAlign w:val="center"/>
            <w:hideMark/>
          </w:tcPr>
          <w:p w14:paraId="09463E15"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150</w:t>
            </w:r>
          </w:p>
        </w:tc>
        <w:tc>
          <w:tcPr>
            <w:tcW w:w="1248" w:type="dxa"/>
            <w:vAlign w:val="center"/>
            <w:hideMark/>
          </w:tcPr>
          <w:p w14:paraId="66C85D4E"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88</w:t>
            </w:r>
          </w:p>
        </w:tc>
      </w:tr>
      <w:tr w:rsidR="00A0104B" w:rsidRPr="00E520C2" w14:paraId="326D498E"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CE93AB3"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Královéhradeckého kraje</w:t>
            </w:r>
          </w:p>
        </w:tc>
        <w:tc>
          <w:tcPr>
            <w:tcW w:w="1247" w:type="dxa"/>
            <w:vAlign w:val="center"/>
            <w:hideMark/>
          </w:tcPr>
          <w:p w14:paraId="3A7DAA43"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115</w:t>
            </w:r>
          </w:p>
        </w:tc>
        <w:tc>
          <w:tcPr>
            <w:tcW w:w="1247" w:type="dxa"/>
            <w:vAlign w:val="center"/>
            <w:hideMark/>
          </w:tcPr>
          <w:p w14:paraId="01F99FE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21</w:t>
            </w:r>
          </w:p>
        </w:tc>
        <w:tc>
          <w:tcPr>
            <w:tcW w:w="1248" w:type="dxa"/>
            <w:vAlign w:val="center"/>
            <w:hideMark/>
          </w:tcPr>
          <w:p w14:paraId="60778F3F"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34</w:t>
            </w:r>
          </w:p>
        </w:tc>
        <w:tc>
          <w:tcPr>
            <w:tcW w:w="1247" w:type="dxa"/>
            <w:vAlign w:val="center"/>
            <w:hideMark/>
          </w:tcPr>
          <w:p w14:paraId="65BF3E2D"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137</w:t>
            </w:r>
          </w:p>
        </w:tc>
        <w:tc>
          <w:tcPr>
            <w:tcW w:w="1248" w:type="dxa"/>
            <w:vAlign w:val="center"/>
            <w:hideMark/>
          </w:tcPr>
          <w:p w14:paraId="74C13077"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74</w:t>
            </w:r>
          </w:p>
        </w:tc>
      </w:tr>
      <w:tr w:rsidR="00A0104B" w:rsidRPr="00E520C2" w14:paraId="4A5BDE98"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5AB9E09"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Pardubického kraje</w:t>
            </w:r>
          </w:p>
        </w:tc>
        <w:tc>
          <w:tcPr>
            <w:tcW w:w="1247" w:type="dxa"/>
            <w:vAlign w:val="center"/>
            <w:hideMark/>
          </w:tcPr>
          <w:p w14:paraId="43DA83C1"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88</w:t>
            </w:r>
          </w:p>
        </w:tc>
        <w:tc>
          <w:tcPr>
            <w:tcW w:w="1247" w:type="dxa"/>
            <w:vAlign w:val="center"/>
            <w:hideMark/>
          </w:tcPr>
          <w:p w14:paraId="30FD5DB4"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18</w:t>
            </w:r>
          </w:p>
        </w:tc>
        <w:tc>
          <w:tcPr>
            <w:tcW w:w="1248" w:type="dxa"/>
            <w:vAlign w:val="center"/>
            <w:hideMark/>
          </w:tcPr>
          <w:p w14:paraId="03008D06"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30</w:t>
            </w:r>
          </w:p>
        </w:tc>
        <w:tc>
          <w:tcPr>
            <w:tcW w:w="1247" w:type="dxa"/>
            <w:vAlign w:val="center"/>
            <w:hideMark/>
          </w:tcPr>
          <w:p w14:paraId="472ECF5C"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105</w:t>
            </w:r>
          </w:p>
        </w:tc>
        <w:tc>
          <w:tcPr>
            <w:tcW w:w="1248" w:type="dxa"/>
            <w:vAlign w:val="center"/>
            <w:hideMark/>
          </w:tcPr>
          <w:p w14:paraId="69D5CE65"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54</w:t>
            </w:r>
          </w:p>
        </w:tc>
      </w:tr>
      <w:tr w:rsidR="00A0104B" w:rsidRPr="00E520C2" w14:paraId="0A4C2B2F"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1774842"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Kraje Vysočina</w:t>
            </w:r>
          </w:p>
        </w:tc>
        <w:tc>
          <w:tcPr>
            <w:tcW w:w="1247" w:type="dxa"/>
            <w:vAlign w:val="center"/>
            <w:hideMark/>
          </w:tcPr>
          <w:p w14:paraId="181BDA0E"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65</w:t>
            </w:r>
          </w:p>
        </w:tc>
        <w:tc>
          <w:tcPr>
            <w:tcW w:w="1247" w:type="dxa"/>
            <w:vAlign w:val="center"/>
            <w:hideMark/>
          </w:tcPr>
          <w:p w14:paraId="7F8908E6"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15</w:t>
            </w:r>
          </w:p>
        </w:tc>
        <w:tc>
          <w:tcPr>
            <w:tcW w:w="1248" w:type="dxa"/>
            <w:vAlign w:val="center"/>
            <w:hideMark/>
          </w:tcPr>
          <w:p w14:paraId="47275A23"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20</w:t>
            </w:r>
          </w:p>
        </w:tc>
        <w:tc>
          <w:tcPr>
            <w:tcW w:w="1247" w:type="dxa"/>
            <w:vAlign w:val="center"/>
            <w:hideMark/>
          </w:tcPr>
          <w:p w14:paraId="4BB9D0D9"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111</w:t>
            </w:r>
          </w:p>
        </w:tc>
        <w:tc>
          <w:tcPr>
            <w:tcW w:w="1248" w:type="dxa"/>
            <w:vAlign w:val="center"/>
            <w:hideMark/>
          </w:tcPr>
          <w:p w14:paraId="328DF065"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67</w:t>
            </w:r>
          </w:p>
        </w:tc>
      </w:tr>
      <w:tr w:rsidR="00A0104B" w:rsidRPr="00E520C2" w14:paraId="78D3A3F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7217168"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Jihomoravského kraje</w:t>
            </w:r>
          </w:p>
        </w:tc>
        <w:tc>
          <w:tcPr>
            <w:tcW w:w="1247" w:type="dxa"/>
            <w:vAlign w:val="center"/>
            <w:hideMark/>
          </w:tcPr>
          <w:p w14:paraId="4908799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251</w:t>
            </w:r>
          </w:p>
        </w:tc>
        <w:tc>
          <w:tcPr>
            <w:tcW w:w="1247" w:type="dxa"/>
            <w:vAlign w:val="center"/>
            <w:hideMark/>
          </w:tcPr>
          <w:p w14:paraId="652EB69B"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106</w:t>
            </w:r>
          </w:p>
        </w:tc>
        <w:tc>
          <w:tcPr>
            <w:tcW w:w="1248" w:type="dxa"/>
            <w:vAlign w:val="center"/>
            <w:hideMark/>
          </w:tcPr>
          <w:p w14:paraId="4C203D16"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31</w:t>
            </w:r>
          </w:p>
        </w:tc>
        <w:tc>
          <w:tcPr>
            <w:tcW w:w="1247" w:type="dxa"/>
            <w:vAlign w:val="center"/>
            <w:hideMark/>
          </w:tcPr>
          <w:p w14:paraId="0BD45A99"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254</w:t>
            </w:r>
          </w:p>
        </w:tc>
        <w:tc>
          <w:tcPr>
            <w:tcW w:w="1248" w:type="dxa"/>
            <w:vAlign w:val="center"/>
            <w:hideMark/>
          </w:tcPr>
          <w:p w14:paraId="6CA45EB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111</w:t>
            </w:r>
          </w:p>
        </w:tc>
      </w:tr>
      <w:tr w:rsidR="00A0104B" w:rsidRPr="00E520C2" w14:paraId="6E4E50E9"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A455DBE"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Olomouckého kraje</w:t>
            </w:r>
          </w:p>
        </w:tc>
        <w:tc>
          <w:tcPr>
            <w:tcW w:w="1247" w:type="dxa"/>
            <w:vAlign w:val="center"/>
            <w:hideMark/>
          </w:tcPr>
          <w:p w14:paraId="022A3258"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112</w:t>
            </w:r>
          </w:p>
        </w:tc>
        <w:tc>
          <w:tcPr>
            <w:tcW w:w="1247" w:type="dxa"/>
            <w:vAlign w:val="center"/>
            <w:hideMark/>
          </w:tcPr>
          <w:p w14:paraId="27DA1829"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50</w:t>
            </w:r>
          </w:p>
        </w:tc>
        <w:tc>
          <w:tcPr>
            <w:tcW w:w="1248" w:type="dxa"/>
            <w:vAlign w:val="center"/>
            <w:hideMark/>
          </w:tcPr>
          <w:p w14:paraId="74DDAD97"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w:t>
            </w:r>
          </w:p>
        </w:tc>
        <w:tc>
          <w:tcPr>
            <w:tcW w:w="1247" w:type="dxa"/>
            <w:vAlign w:val="center"/>
            <w:hideMark/>
          </w:tcPr>
          <w:p w14:paraId="775982BF"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178</w:t>
            </w:r>
          </w:p>
        </w:tc>
        <w:tc>
          <w:tcPr>
            <w:tcW w:w="1248" w:type="dxa"/>
            <w:vAlign w:val="center"/>
            <w:hideMark/>
          </w:tcPr>
          <w:p w14:paraId="3FF9D432"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118</w:t>
            </w:r>
          </w:p>
        </w:tc>
      </w:tr>
      <w:tr w:rsidR="00A0104B" w:rsidRPr="00E520C2" w14:paraId="69FE95C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D82F72D"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KÚ</w:t>
            </w:r>
            <w:r w:rsidRPr="0013554F">
              <w:rPr>
                <w:rFonts w:asciiTheme="minorHAnsi" w:eastAsia="Times New Roman" w:hAnsiTheme="minorHAnsi" w:cstheme="minorHAnsi"/>
                <w:b w:val="0"/>
                <w:bCs w:val="0"/>
                <w:sz w:val="20"/>
                <w:szCs w:val="20"/>
                <w:lang w:eastAsia="cs-CZ"/>
              </w:rPr>
              <w:t xml:space="preserve"> Zlínského kraje</w:t>
            </w:r>
          </w:p>
        </w:tc>
        <w:tc>
          <w:tcPr>
            <w:tcW w:w="1247" w:type="dxa"/>
            <w:vAlign w:val="center"/>
            <w:hideMark/>
          </w:tcPr>
          <w:p w14:paraId="34514EFE"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141</w:t>
            </w:r>
          </w:p>
        </w:tc>
        <w:tc>
          <w:tcPr>
            <w:tcW w:w="1247" w:type="dxa"/>
            <w:vAlign w:val="center"/>
            <w:hideMark/>
          </w:tcPr>
          <w:p w14:paraId="2E50315A"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33</w:t>
            </w:r>
          </w:p>
        </w:tc>
        <w:tc>
          <w:tcPr>
            <w:tcW w:w="1248" w:type="dxa"/>
            <w:vAlign w:val="center"/>
            <w:hideMark/>
          </w:tcPr>
          <w:p w14:paraId="558223A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34</w:t>
            </w:r>
          </w:p>
        </w:tc>
        <w:tc>
          <w:tcPr>
            <w:tcW w:w="1247" w:type="dxa"/>
            <w:vAlign w:val="center"/>
            <w:hideMark/>
          </w:tcPr>
          <w:p w14:paraId="7C9FD02E"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74</w:t>
            </w:r>
          </w:p>
        </w:tc>
        <w:tc>
          <w:tcPr>
            <w:tcW w:w="1248" w:type="dxa"/>
            <w:vAlign w:val="center"/>
            <w:hideMark/>
          </w:tcPr>
          <w:p w14:paraId="1A026C39"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110</w:t>
            </w:r>
          </w:p>
        </w:tc>
      </w:tr>
      <w:tr w:rsidR="00A0104B" w:rsidRPr="00E520C2" w14:paraId="188D480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6C3FF27"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sz w:val="20"/>
                <w:szCs w:val="20"/>
                <w:lang w:eastAsia="cs-CZ"/>
              </w:rPr>
              <w:t xml:space="preserve">KÚ </w:t>
            </w:r>
            <w:r w:rsidRPr="0013554F">
              <w:rPr>
                <w:rFonts w:asciiTheme="minorHAnsi" w:eastAsia="Times New Roman" w:hAnsiTheme="minorHAnsi" w:cstheme="minorHAnsi"/>
                <w:b w:val="0"/>
                <w:bCs w:val="0"/>
                <w:sz w:val="20"/>
                <w:szCs w:val="20"/>
                <w:lang w:eastAsia="cs-CZ"/>
              </w:rPr>
              <w:t>Moravskoslezského kraje</w:t>
            </w:r>
          </w:p>
        </w:tc>
        <w:tc>
          <w:tcPr>
            <w:tcW w:w="1247" w:type="dxa"/>
            <w:vAlign w:val="center"/>
            <w:hideMark/>
          </w:tcPr>
          <w:p w14:paraId="0820668B"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134</w:t>
            </w:r>
          </w:p>
        </w:tc>
        <w:tc>
          <w:tcPr>
            <w:tcW w:w="1247" w:type="dxa"/>
            <w:vAlign w:val="center"/>
            <w:hideMark/>
          </w:tcPr>
          <w:p w14:paraId="5E0AA122"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59</w:t>
            </w:r>
          </w:p>
        </w:tc>
        <w:tc>
          <w:tcPr>
            <w:tcW w:w="1248" w:type="dxa"/>
            <w:vAlign w:val="center"/>
            <w:hideMark/>
          </w:tcPr>
          <w:p w14:paraId="58D48FDC"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13</w:t>
            </w:r>
          </w:p>
        </w:tc>
        <w:tc>
          <w:tcPr>
            <w:tcW w:w="1247" w:type="dxa"/>
            <w:vAlign w:val="center"/>
            <w:hideMark/>
          </w:tcPr>
          <w:p w14:paraId="6D9FC416"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202</w:t>
            </w:r>
          </w:p>
        </w:tc>
        <w:tc>
          <w:tcPr>
            <w:tcW w:w="1248" w:type="dxa"/>
            <w:vAlign w:val="center"/>
            <w:hideMark/>
          </w:tcPr>
          <w:p w14:paraId="25325FAD"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105</w:t>
            </w:r>
          </w:p>
        </w:tc>
      </w:tr>
      <w:tr w:rsidR="00A0104B" w:rsidRPr="00E520C2" w14:paraId="128C8F5F"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F117973"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13554F">
              <w:rPr>
                <w:rFonts w:asciiTheme="minorHAnsi" w:eastAsia="Times New Roman" w:hAnsiTheme="minorHAnsi" w:cstheme="minorHAnsi"/>
                <w:b w:val="0"/>
                <w:bCs w:val="0"/>
                <w:sz w:val="20"/>
                <w:szCs w:val="20"/>
                <w:lang w:eastAsia="cs-CZ"/>
              </w:rPr>
              <w:t>Magistrát města Brna</w:t>
            </w:r>
          </w:p>
        </w:tc>
        <w:tc>
          <w:tcPr>
            <w:tcW w:w="1247" w:type="dxa"/>
            <w:vAlign w:val="center"/>
            <w:hideMark/>
          </w:tcPr>
          <w:p w14:paraId="5C6D3E77"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147</w:t>
            </w:r>
          </w:p>
        </w:tc>
        <w:tc>
          <w:tcPr>
            <w:tcW w:w="1247" w:type="dxa"/>
            <w:vAlign w:val="center"/>
            <w:hideMark/>
          </w:tcPr>
          <w:p w14:paraId="660247A6"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0083A524"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7" w:type="dxa"/>
            <w:vAlign w:val="center"/>
            <w:hideMark/>
          </w:tcPr>
          <w:p w14:paraId="556316E4"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5572073D"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103</w:t>
            </w:r>
          </w:p>
        </w:tc>
      </w:tr>
      <w:tr w:rsidR="00A0104B" w:rsidRPr="00E520C2" w14:paraId="2EF86142"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64EBAE"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13554F">
              <w:rPr>
                <w:rFonts w:asciiTheme="minorHAnsi" w:eastAsia="Times New Roman" w:hAnsiTheme="minorHAnsi" w:cstheme="minorHAnsi"/>
                <w:b w:val="0"/>
                <w:bCs w:val="0"/>
                <w:sz w:val="20"/>
                <w:szCs w:val="20"/>
                <w:lang w:eastAsia="cs-CZ"/>
              </w:rPr>
              <w:t>Magistrát města Plzně</w:t>
            </w:r>
          </w:p>
        </w:tc>
        <w:tc>
          <w:tcPr>
            <w:tcW w:w="1247" w:type="dxa"/>
            <w:vAlign w:val="center"/>
            <w:hideMark/>
          </w:tcPr>
          <w:p w14:paraId="7BB2469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7" w:type="dxa"/>
            <w:vAlign w:val="center"/>
            <w:hideMark/>
          </w:tcPr>
          <w:p w14:paraId="014A89D7"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2396AA24"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7" w:type="dxa"/>
            <w:vAlign w:val="center"/>
            <w:hideMark/>
          </w:tcPr>
          <w:p w14:paraId="6609E0EC"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2406ABC5" w14:textId="77777777" w:rsidR="00A0104B" w:rsidRPr="005D615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r>
      <w:tr w:rsidR="00A0104B" w:rsidRPr="00E520C2" w14:paraId="22159AF2"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9B7FFC4" w14:textId="77777777" w:rsidR="00A0104B" w:rsidRPr="004753BF"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13554F">
              <w:rPr>
                <w:rFonts w:asciiTheme="minorHAnsi" w:eastAsia="Times New Roman" w:hAnsiTheme="minorHAnsi" w:cstheme="minorHAnsi"/>
                <w:b w:val="0"/>
                <w:bCs w:val="0"/>
                <w:sz w:val="20"/>
                <w:szCs w:val="20"/>
                <w:lang w:eastAsia="cs-CZ"/>
              </w:rPr>
              <w:t>Magistrát města Ostravy</w:t>
            </w:r>
          </w:p>
        </w:tc>
        <w:tc>
          <w:tcPr>
            <w:tcW w:w="1247" w:type="dxa"/>
            <w:vAlign w:val="center"/>
            <w:hideMark/>
          </w:tcPr>
          <w:p w14:paraId="72DBAD0F"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40</w:t>
            </w:r>
          </w:p>
        </w:tc>
        <w:tc>
          <w:tcPr>
            <w:tcW w:w="1247" w:type="dxa"/>
            <w:vAlign w:val="center"/>
            <w:hideMark/>
          </w:tcPr>
          <w:p w14:paraId="708B14C1"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22A81724"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7" w:type="dxa"/>
            <w:vAlign w:val="center"/>
            <w:hideMark/>
          </w:tcPr>
          <w:p w14:paraId="258C90A1"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0</w:t>
            </w:r>
          </w:p>
        </w:tc>
        <w:tc>
          <w:tcPr>
            <w:tcW w:w="1248" w:type="dxa"/>
            <w:vAlign w:val="center"/>
            <w:hideMark/>
          </w:tcPr>
          <w:p w14:paraId="1C952E15" w14:textId="77777777" w:rsidR="00A0104B" w:rsidRPr="005D615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5D6157">
              <w:rPr>
                <w:rFonts w:asciiTheme="minorHAnsi" w:eastAsia="Times New Roman" w:hAnsiTheme="minorHAnsi" w:cstheme="minorHAnsi"/>
                <w:color w:val="000000"/>
                <w:sz w:val="20"/>
                <w:szCs w:val="20"/>
                <w:lang w:eastAsia="cs-CZ"/>
              </w:rPr>
              <w:t>13</w:t>
            </w:r>
          </w:p>
        </w:tc>
      </w:tr>
    </w:tbl>
    <w:p w14:paraId="31E5FC0C" w14:textId="77777777" w:rsidR="00A0104B" w:rsidRPr="00124479" w:rsidRDefault="00A0104B" w:rsidP="00A0104B">
      <w:pPr>
        <w:pStyle w:val="Citt"/>
        <w:spacing w:before="120"/>
      </w:pPr>
      <w:r w:rsidRPr="00124479">
        <w:t>Zdroj: ÚÚR</w:t>
      </w:r>
    </w:p>
    <w:p w14:paraId="5F0332CC" w14:textId="77777777" w:rsidR="00A0104B" w:rsidRDefault="00A0104B" w:rsidP="00A0104B">
      <w:pPr>
        <w:pStyle w:val="Text-Normaln"/>
        <w:rPr>
          <w:smallCaps/>
          <w:highlight w:val="yellow"/>
          <w:u w:val="single"/>
        </w:rPr>
      </w:pPr>
    </w:p>
    <w:p w14:paraId="18C09F2B" w14:textId="77777777" w:rsidR="00A0104B" w:rsidRPr="003E3314" w:rsidRDefault="00A0104B" w:rsidP="00A0104B">
      <w:pPr>
        <w:pStyle w:val="Text-Normaln"/>
        <w:rPr>
          <w:smallCaps/>
          <w:u w:val="single"/>
        </w:rPr>
      </w:pPr>
      <w:r w:rsidRPr="003E3314">
        <w:rPr>
          <w:smallCaps/>
          <w:u w:val="single"/>
        </w:rPr>
        <w:t>Speciální stavební úřady (SSÚ)</w:t>
      </w:r>
    </w:p>
    <w:p w14:paraId="30A6ED0B" w14:textId="77777777" w:rsidR="00A0104B" w:rsidRPr="00E65EC2" w:rsidRDefault="00A0104B" w:rsidP="00A0104B">
      <w:pPr>
        <w:pStyle w:val="Text-Normaln"/>
        <w:widowControl w:val="0"/>
      </w:pPr>
      <w:r w:rsidRPr="00E65EC2">
        <w:t>V poslední řadě budou následovat tabulky s údaji za SSÚ.</w:t>
      </w:r>
    </w:p>
    <w:p w14:paraId="0EE09039" w14:textId="77777777" w:rsidR="00A0104B" w:rsidRPr="00A63E84" w:rsidRDefault="00A0104B" w:rsidP="00A0104B">
      <w:pPr>
        <w:pStyle w:val="Text-Normaln"/>
        <w:widowControl w:val="0"/>
      </w:pPr>
      <w:r w:rsidRPr="00A63E84">
        <w:rPr>
          <w:b/>
        </w:rPr>
        <w:t>Prvoinstančních SSÚ</w:t>
      </w:r>
      <w:r w:rsidRPr="00A63E84">
        <w:t xml:space="preserve"> je celkem 293 pro dopravní stavby a 272 pro vodní díla. Zaměstnávají celkem 900, resp. 966, osob s 693, resp. 851, úvazky. </w:t>
      </w:r>
    </w:p>
    <w:tbl>
      <w:tblPr>
        <w:tblStyle w:val="Barevntabulkaseznamu6zvraznn51"/>
        <w:tblW w:w="6946" w:type="dxa"/>
        <w:tblLayout w:type="fixed"/>
        <w:tblLook w:val="04A0" w:firstRow="1" w:lastRow="0" w:firstColumn="1" w:lastColumn="0" w:noHBand="0" w:noVBand="1"/>
      </w:tblPr>
      <w:tblGrid>
        <w:gridCol w:w="2232"/>
        <w:gridCol w:w="1312"/>
        <w:gridCol w:w="2233"/>
        <w:gridCol w:w="1169"/>
      </w:tblGrid>
      <w:tr w:rsidR="00A0104B" w:rsidRPr="00245C83" w14:paraId="450A9862" w14:textId="77777777" w:rsidTr="00197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tcBorders>
              <w:top w:val="single" w:sz="4" w:space="0" w:color="262626" w:themeColor="accent5"/>
            </w:tcBorders>
            <w:noWrap/>
            <w:vAlign w:val="center"/>
          </w:tcPr>
          <w:p w14:paraId="58098A49" w14:textId="77777777" w:rsidR="00A0104B" w:rsidRPr="00245C83" w:rsidRDefault="00A0104B" w:rsidP="00197E1E">
            <w:pPr>
              <w:spacing w:before="0" w:after="0"/>
              <w:jc w:val="left"/>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Počet SSÚ DS 2020</w:t>
            </w:r>
          </w:p>
        </w:tc>
        <w:tc>
          <w:tcPr>
            <w:tcW w:w="1312" w:type="dxa"/>
            <w:tcBorders>
              <w:top w:val="single" w:sz="4" w:space="0" w:color="262626" w:themeColor="accent5"/>
              <w:right w:val="dotted" w:sz="4" w:space="0" w:color="262626" w:themeColor="accent5"/>
            </w:tcBorders>
            <w:noWrap/>
            <w:vAlign w:val="center"/>
          </w:tcPr>
          <w:p w14:paraId="010AF97A" w14:textId="77777777" w:rsidR="00A0104B" w:rsidRPr="00245C83"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c>
          <w:tcPr>
            <w:tcW w:w="2233" w:type="dxa"/>
            <w:tcBorders>
              <w:left w:val="dotted" w:sz="4" w:space="0" w:color="262626" w:themeColor="accent5"/>
            </w:tcBorders>
            <w:vAlign w:val="center"/>
          </w:tcPr>
          <w:p w14:paraId="1D116077" w14:textId="77777777" w:rsidR="00A0104B" w:rsidRPr="00245C83"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Počet SSÚ VS 2020</w:t>
            </w:r>
          </w:p>
        </w:tc>
        <w:tc>
          <w:tcPr>
            <w:tcW w:w="1169" w:type="dxa"/>
            <w:vAlign w:val="center"/>
          </w:tcPr>
          <w:p w14:paraId="3EAE6FFA" w14:textId="77777777" w:rsidR="00A0104B" w:rsidRPr="00245C83"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p>
        </w:tc>
      </w:tr>
      <w:tr w:rsidR="00A0104B" w:rsidRPr="00245C83" w14:paraId="3175AABA"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4284BF91" w14:textId="77777777" w:rsidR="00A0104B" w:rsidRPr="004C292E" w:rsidRDefault="00A0104B" w:rsidP="00197E1E">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obce III. typu</w:t>
            </w:r>
          </w:p>
        </w:tc>
        <w:tc>
          <w:tcPr>
            <w:tcW w:w="1312" w:type="dxa"/>
            <w:tcBorders>
              <w:right w:val="dotted" w:sz="4" w:space="0" w:color="262626" w:themeColor="accent5"/>
            </w:tcBorders>
            <w:noWrap/>
            <w:vAlign w:val="center"/>
          </w:tcPr>
          <w:p w14:paraId="79B600F4"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203</w:t>
            </w:r>
          </w:p>
        </w:tc>
        <w:tc>
          <w:tcPr>
            <w:tcW w:w="2233" w:type="dxa"/>
            <w:tcBorders>
              <w:left w:val="dotted" w:sz="4" w:space="0" w:color="262626" w:themeColor="accent5"/>
            </w:tcBorders>
            <w:vAlign w:val="center"/>
          </w:tcPr>
          <w:p w14:paraId="564F8454"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obce III. typu</w:t>
            </w:r>
          </w:p>
        </w:tc>
        <w:tc>
          <w:tcPr>
            <w:tcW w:w="1169" w:type="dxa"/>
            <w:vAlign w:val="center"/>
          </w:tcPr>
          <w:p w14:paraId="439475BD"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203</w:t>
            </w:r>
          </w:p>
        </w:tc>
      </w:tr>
      <w:tr w:rsidR="00A0104B" w:rsidRPr="00245C83" w14:paraId="08EFE8F8"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0A237DF6" w14:textId="77777777" w:rsidR="00A0104B" w:rsidRPr="004C292E" w:rsidRDefault="00A0104B" w:rsidP="00197E1E">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ÚČSM</w:t>
            </w:r>
          </w:p>
        </w:tc>
        <w:tc>
          <w:tcPr>
            <w:tcW w:w="1312" w:type="dxa"/>
            <w:tcBorders>
              <w:right w:val="dotted" w:sz="4" w:space="0" w:color="262626" w:themeColor="accent5"/>
            </w:tcBorders>
            <w:noWrap/>
            <w:vAlign w:val="center"/>
          </w:tcPr>
          <w:p w14:paraId="0EA3F86C"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73</w:t>
            </w:r>
          </w:p>
        </w:tc>
        <w:tc>
          <w:tcPr>
            <w:tcW w:w="2233" w:type="dxa"/>
            <w:tcBorders>
              <w:left w:val="dotted" w:sz="4" w:space="0" w:color="262626" w:themeColor="accent5"/>
            </w:tcBorders>
            <w:vAlign w:val="center"/>
          </w:tcPr>
          <w:p w14:paraId="437E0799" w14:textId="77777777" w:rsidR="00A0104B" w:rsidRPr="00245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ÚČSM</w:t>
            </w:r>
          </w:p>
        </w:tc>
        <w:tc>
          <w:tcPr>
            <w:tcW w:w="1169" w:type="dxa"/>
            <w:vAlign w:val="center"/>
          </w:tcPr>
          <w:p w14:paraId="54F6538B" w14:textId="77777777" w:rsidR="00A0104B" w:rsidRPr="00245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55</w:t>
            </w:r>
          </w:p>
        </w:tc>
      </w:tr>
      <w:tr w:rsidR="00A0104B" w:rsidRPr="00245C83" w14:paraId="21728101"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noWrap/>
            <w:vAlign w:val="center"/>
            <w:hideMark/>
          </w:tcPr>
          <w:p w14:paraId="76C93407" w14:textId="77777777" w:rsidR="00A0104B" w:rsidRPr="004C292E" w:rsidRDefault="00A0104B" w:rsidP="00197E1E">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KÚ</w:t>
            </w:r>
          </w:p>
        </w:tc>
        <w:tc>
          <w:tcPr>
            <w:tcW w:w="1312" w:type="dxa"/>
            <w:tcBorders>
              <w:right w:val="dotted" w:sz="4" w:space="0" w:color="262626" w:themeColor="accent5"/>
            </w:tcBorders>
            <w:noWrap/>
            <w:vAlign w:val="center"/>
          </w:tcPr>
          <w:p w14:paraId="1FDDEAC1"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14</w:t>
            </w:r>
          </w:p>
        </w:tc>
        <w:tc>
          <w:tcPr>
            <w:tcW w:w="2233" w:type="dxa"/>
            <w:tcBorders>
              <w:left w:val="dotted" w:sz="4" w:space="0" w:color="262626" w:themeColor="accent5"/>
            </w:tcBorders>
            <w:vAlign w:val="center"/>
          </w:tcPr>
          <w:p w14:paraId="1F83AB7B"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KÚ</w:t>
            </w:r>
          </w:p>
        </w:tc>
        <w:tc>
          <w:tcPr>
            <w:tcW w:w="1169" w:type="dxa"/>
            <w:vAlign w:val="center"/>
          </w:tcPr>
          <w:p w14:paraId="19565E75"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14</w:t>
            </w:r>
          </w:p>
        </w:tc>
      </w:tr>
      <w:tr w:rsidR="00A0104B" w:rsidRPr="00245C83" w14:paraId="3D2F31A5"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2232" w:type="dxa"/>
            <w:vAlign w:val="center"/>
            <w:hideMark/>
          </w:tcPr>
          <w:p w14:paraId="40CBB651" w14:textId="77777777" w:rsidR="00A0104B" w:rsidRPr="004C292E" w:rsidRDefault="00A0104B" w:rsidP="00197E1E">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MD, ÚCL, DÚ</w:t>
            </w:r>
          </w:p>
        </w:tc>
        <w:tc>
          <w:tcPr>
            <w:tcW w:w="1312" w:type="dxa"/>
            <w:tcBorders>
              <w:right w:val="dotted" w:sz="4" w:space="0" w:color="262626" w:themeColor="accent5"/>
            </w:tcBorders>
            <w:noWrap/>
            <w:vAlign w:val="center"/>
          </w:tcPr>
          <w:p w14:paraId="621E08AE" w14:textId="77777777" w:rsidR="00A0104B" w:rsidRPr="004C292E"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3</w:t>
            </w:r>
          </w:p>
        </w:tc>
        <w:tc>
          <w:tcPr>
            <w:tcW w:w="2233" w:type="dxa"/>
            <w:tcBorders>
              <w:left w:val="dotted" w:sz="4" w:space="0" w:color="262626" w:themeColor="accent5"/>
            </w:tcBorders>
            <w:vAlign w:val="center"/>
          </w:tcPr>
          <w:p w14:paraId="353FF173" w14:textId="77777777" w:rsidR="00A0104B" w:rsidRPr="00245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275764">
              <w:rPr>
                <w:rFonts w:ascii="Calibri" w:eastAsia="Times New Roman" w:hAnsi="Calibri" w:cs="Calibri"/>
                <w:b/>
                <w:bCs/>
                <w:color w:val="000000"/>
                <w:sz w:val="20"/>
                <w:szCs w:val="20"/>
                <w:lang w:eastAsia="cs-CZ"/>
              </w:rPr>
              <w:t>SÚ – ČR</w:t>
            </w:r>
          </w:p>
        </w:tc>
        <w:tc>
          <w:tcPr>
            <w:tcW w:w="1169" w:type="dxa"/>
            <w:vAlign w:val="center"/>
          </w:tcPr>
          <w:p w14:paraId="711E9461" w14:textId="77777777" w:rsidR="00A0104B" w:rsidRPr="00245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272</w:t>
            </w:r>
          </w:p>
        </w:tc>
      </w:tr>
      <w:tr w:rsidR="00A0104B" w:rsidRPr="00245C83" w14:paraId="26A38C33"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2" w:type="dxa"/>
            <w:tcBorders>
              <w:bottom w:val="single" w:sz="4" w:space="0" w:color="262626" w:themeColor="accent5"/>
            </w:tcBorders>
            <w:vAlign w:val="center"/>
            <w:hideMark/>
          </w:tcPr>
          <w:p w14:paraId="569049B4" w14:textId="77777777" w:rsidR="00A0104B" w:rsidRPr="004C292E" w:rsidRDefault="00A0104B" w:rsidP="00197E1E">
            <w:pPr>
              <w:spacing w:before="0" w:after="0"/>
              <w:jc w:val="left"/>
              <w:rPr>
                <w:rFonts w:ascii="Calibri" w:eastAsia="Times New Roman" w:hAnsi="Calibri" w:cs="Calibri"/>
                <w:sz w:val="20"/>
                <w:szCs w:val="20"/>
                <w:lang w:eastAsia="cs-CZ"/>
              </w:rPr>
            </w:pPr>
            <w:r w:rsidRPr="00437A37">
              <w:rPr>
                <w:rFonts w:ascii="Calibri" w:eastAsia="Times New Roman" w:hAnsi="Calibri" w:cs="Calibri"/>
                <w:color w:val="000000"/>
                <w:sz w:val="20"/>
                <w:szCs w:val="20"/>
                <w:lang w:eastAsia="cs-CZ"/>
              </w:rPr>
              <w:t>SÚ – ČR</w:t>
            </w:r>
          </w:p>
        </w:tc>
        <w:tc>
          <w:tcPr>
            <w:tcW w:w="1312" w:type="dxa"/>
            <w:tcBorders>
              <w:bottom w:val="single" w:sz="4" w:space="0" w:color="262626" w:themeColor="accent5"/>
              <w:right w:val="dotted" w:sz="4" w:space="0" w:color="262626" w:themeColor="accent5"/>
            </w:tcBorders>
            <w:noWrap/>
            <w:vAlign w:val="center"/>
          </w:tcPr>
          <w:p w14:paraId="78685228" w14:textId="77777777" w:rsidR="00A0104B" w:rsidRPr="004C292E"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245C83">
              <w:rPr>
                <w:rFonts w:ascii="Calibri" w:eastAsia="Times New Roman" w:hAnsi="Calibri" w:cs="Calibri"/>
                <w:sz w:val="20"/>
                <w:szCs w:val="20"/>
                <w:lang w:eastAsia="cs-CZ"/>
              </w:rPr>
              <w:t>293</w:t>
            </w:r>
          </w:p>
        </w:tc>
        <w:tc>
          <w:tcPr>
            <w:tcW w:w="2233" w:type="dxa"/>
            <w:tcBorders>
              <w:left w:val="dotted" w:sz="4" w:space="0" w:color="262626" w:themeColor="accent5"/>
            </w:tcBorders>
            <w:vAlign w:val="center"/>
          </w:tcPr>
          <w:p w14:paraId="5524CB94"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p>
        </w:tc>
        <w:tc>
          <w:tcPr>
            <w:tcW w:w="1169" w:type="dxa"/>
            <w:vAlign w:val="center"/>
          </w:tcPr>
          <w:p w14:paraId="7FA2E120" w14:textId="77777777" w:rsidR="00A0104B" w:rsidRPr="00245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p>
        </w:tc>
      </w:tr>
    </w:tbl>
    <w:p w14:paraId="6B4658DE" w14:textId="77777777" w:rsidR="00A0104B" w:rsidRPr="00124479" w:rsidRDefault="00A0104B" w:rsidP="00A0104B">
      <w:pPr>
        <w:pStyle w:val="Citt"/>
        <w:spacing w:before="120"/>
      </w:pPr>
      <w:r w:rsidRPr="00124479">
        <w:t>Zdroj: ÚÚR</w:t>
      </w:r>
    </w:p>
    <w:p w14:paraId="1562D43C" w14:textId="77777777" w:rsidR="00A0104B" w:rsidRDefault="00A0104B">
      <w:pPr>
        <w:spacing w:before="0" w:after="0"/>
        <w:jc w:val="left"/>
        <w:rPr>
          <w:rFonts w:eastAsia="Times New Roman"/>
          <w:b/>
          <w:bCs/>
          <w:color w:val="000000"/>
          <w:sz w:val="22"/>
          <w:szCs w:val="20"/>
          <w:lang w:eastAsia="cs-CZ"/>
        </w:rPr>
      </w:pPr>
      <w:r>
        <w:br w:type="page"/>
      </w:r>
    </w:p>
    <w:p w14:paraId="04CC1C69" w14:textId="53A5A975" w:rsidR="00A0104B" w:rsidRDefault="00A0104B" w:rsidP="00A0104B">
      <w:pPr>
        <w:pStyle w:val="Titulek"/>
        <w:keepNext/>
      </w:pPr>
      <w:r>
        <w:lastRenderedPageBreak/>
        <w:t xml:space="preserve">Tabulka </w:t>
      </w:r>
      <w:r w:rsidR="004B0591">
        <w:fldChar w:fldCharType="begin"/>
      </w:r>
      <w:r w:rsidR="004B0591">
        <w:instrText xml:space="preserve"> SEQ Tabulka \* ARABIC </w:instrText>
      </w:r>
      <w:r w:rsidR="004B0591">
        <w:fldChar w:fldCharType="separate"/>
      </w:r>
      <w:r>
        <w:rPr>
          <w:noProof/>
        </w:rPr>
        <w:t>4</w:t>
      </w:r>
      <w:r w:rsidR="004B0591">
        <w:rPr>
          <w:noProof/>
        </w:rPr>
        <w:fldChar w:fldCharType="end"/>
      </w:r>
      <w:r>
        <w:t>: Vývoj počtu pracovníků, prvoinstanční SSÚ, DS</w:t>
      </w:r>
    </w:p>
    <w:tbl>
      <w:tblPr>
        <w:tblStyle w:val="Barevntabulkaseznamu6zvraznn51"/>
        <w:tblW w:w="9498" w:type="dxa"/>
        <w:tblLayout w:type="fixed"/>
        <w:tblLook w:val="04A0" w:firstRow="1" w:lastRow="0" w:firstColumn="1" w:lastColumn="0" w:noHBand="0" w:noVBand="1"/>
      </w:tblPr>
      <w:tblGrid>
        <w:gridCol w:w="1985"/>
        <w:gridCol w:w="722"/>
        <w:gridCol w:w="723"/>
        <w:gridCol w:w="723"/>
        <w:gridCol w:w="723"/>
        <w:gridCol w:w="723"/>
        <w:gridCol w:w="723"/>
        <w:gridCol w:w="723"/>
        <w:gridCol w:w="723"/>
        <w:gridCol w:w="723"/>
        <w:gridCol w:w="1007"/>
      </w:tblGrid>
      <w:tr w:rsidR="00A0104B" w:rsidRPr="00245C83" w14:paraId="10D5E054" w14:textId="77777777" w:rsidTr="00197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56AA104" w14:textId="77777777" w:rsidR="00A0104B" w:rsidRPr="00437A37" w:rsidRDefault="00A0104B" w:rsidP="00197E1E">
            <w:pPr>
              <w:spacing w:before="0" w:after="0"/>
              <w:jc w:val="left"/>
              <w:rPr>
                <w:rFonts w:asciiTheme="minorHAnsi" w:eastAsia="Times New Roman" w:hAnsiTheme="minorHAnsi" w:cstheme="minorHAnsi"/>
                <w:sz w:val="20"/>
                <w:szCs w:val="20"/>
                <w:lang w:eastAsia="cs-CZ"/>
              </w:rPr>
            </w:pPr>
          </w:p>
        </w:tc>
        <w:tc>
          <w:tcPr>
            <w:tcW w:w="722" w:type="dxa"/>
            <w:noWrap/>
            <w:vAlign w:val="center"/>
            <w:hideMark/>
          </w:tcPr>
          <w:p w14:paraId="06AFEB20"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2011</w:t>
            </w:r>
          </w:p>
        </w:tc>
        <w:tc>
          <w:tcPr>
            <w:tcW w:w="723" w:type="dxa"/>
            <w:noWrap/>
            <w:vAlign w:val="center"/>
            <w:hideMark/>
          </w:tcPr>
          <w:p w14:paraId="25DBE7D8"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2012</w:t>
            </w:r>
          </w:p>
        </w:tc>
        <w:tc>
          <w:tcPr>
            <w:tcW w:w="723" w:type="dxa"/>
            <w:noWrap/>
            <w:vAlign w:val="center"/>
            <w:hideMark/>
          </w:tcPr>
          <w:p w14:paraId="005A0C4F"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2013</w:t>
            </w:r>
          </w:p>
        </w:tc>
        <w:tc>
          <w:tcPr>
            <w:tcW w:w="723" w:type="dxa"/>
            <w:noWrap/>
            <w:vAlign w:val="center"/>
            <w:hideMark/>
          </w:tcPr>
          <w:p w14:paraId="1996E714"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2014</w:t>
            </w:r>
          </w:p>
        </w:tc>
        <w:tc>
          <w:tcPr>
            <w:tcW w:w="723" w:type="dxa"/>
            <w:noWrap/>
            <w:vAlign w:val="center"/>
            <w:hideMark/>
          </w:tcPr>
          <w:p w14:paraId="4D2B9C78"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2015</w:t>
            </w:r>
          </w:p>
        </w:tc>
        <w:tc>
          <w:tcPr>
            <w:tcW w:w="723" w:type="dxa"/>
            <w:noWrap/>
            <w:vAlign w:val="center"/>
            <w:hideMark/>
          </w:tcPr>
          <w:p w14:paraId="1D1E8444"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2016</w:t>
            </w:r>
          </w:p>
        </w:tc>
        <w:tc>
          <w:tcPr>
            <w:tcW w:w="723" w:type="dxa"/>
            <w:noWrap/>
            <w:vAlign w:val="center"/>
            <w:hideMark/>
          </w:tcPr>
          <w:p w14:paraId="36C4D422"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2017</w:t>
            </w:r>
          </w:p>
        </w:tc>
        <w:tc>
          <w:tcPr>
            <w:tcW w:w="723" w:type="dxa"/>
            <w:noWrap/>
            <w:vAlign w:val="center"/>
            <w:hideMark/>
          </w:tcPr>
          <w:p w14:paraId="380AF55E"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2018</w:t>
            </w:r>
          </w:p>
        </w:tc>
        <w:tc>
          <w:tcPr>
            <w:tcW w:w="723" w:type="dxa"/>
            <w:noWrap/>
            <w:vAlign w:val="center"/>
            <w:hideMark/>
          </w:tcPr>
          <w:p w14:paraId="1773E8E6"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2019</w:t>
            </w:r>
          </w:p>
        </w:tc>
        <w:tc>
          <w:tcPr>
            <w:tcW w:w="1007" w:type="dxa"/>
            <w:noWrap/>
            <w:vAlign w:val="center"/>
            <w:hideMark/>
          </w:tcPr>
          <w:p w14:paraId="54BA798C" w14:textId="77777777" w:rsidR="00A0104B" w:rsidRPr="00437A37"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2020</w:t>
            </w:r>
          </w:p>
        </w:tc>
      </w:tr>
      <w:tr w:rsidR="00A0104B" w:rsidRPr="00245C83" w14:paraId="7636FC65"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8" w:type="dxa"/>
            <w:gridSpan w:val="11"/>
            <w:shd w:val="clear" w:color="auto" w:fill="FEFCBE" w:themeFill="accent1" w:themeFillTint="33"/>
            <w:noWrap/>
            <w:vAlign w:val="center"/>
            <w:hideMark/>
          </w:tcPr>
          <w:p w14:paraId="780BC2A4" w14:textId="77777777" w:rsidR="00A0104B" w:rsidRPr="00437A37" w:rsidRDefault="00A0104B" w:rsidP="00197E1E">
            <w:pPr>
              <w:spacing w:before="0" w:after="0"/>
              <w:jc w:val="left"/>
              <w:rPr>
                <w:rFonts w:asciiTheme="minorHAnsi" w:eastAsia="Times New Roman" w:hAnsiTheme="minorHAnsi" w:cstheme="minorHAnsi"/>
                <w:sz w:val="20"/>
                <w:szCs w:val="20"/>
                <w:lang w:eastAsia="cs-CZ"/>
              </w:rPr>
            </w:pPr>
            <w:r w:rsidRPr="004C292E">
              <w:rPr>
                <w:rFonts w:ascii="Calibri" w:eastAsia="Times New Roman" w:hAnsi="Calibri" w:cs="Calibri"/>
                <w:sz w:val="20"/>
                <w:szCs w:val="20"/>
                <w:lang w:eastAsia="cs-CZ"/>
              </w:rPr>
              <w:t>Počet oprávněných úředních osob se zkouškou odborné způsobilosti</w:t>
            </w:r>
          </w:p>
        </w:tc>
      </w:tr>
      <w:tr w:rsidR="00A0104B" w:rsidRPr="00245C83" w14:paraId="0D57D54C"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67DA168"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obce III. t</w:t>
            </w:r>
            <w:r w:rsidRPr="00245C83">
              <w:rPr>
                <w:rFonts w:asciiTheme="minorHAnsi" w:eastAsia="Times New Roman" w:hAnsiTheme="minorHAnsi" w:cstheme="minorHAnsi"/>
                <w:color w:val="000000"/>
                <w:sz w:val="20"/>
                <w:szCs w:val="20"/>
                <w:lang w:eastAsia="cs-CZ"/>
              </w:rPr>
              <w:t>.</w:t>
            </w:r>
          </w:p>
        </w:tc>
        <w:tc>
          <w:tcPr>
            <w:tcW w:w="722" w:type="dxa"/>
            <w:noWrap/>
            <w:vAlign w:val="center"/>
            <w:hideMark/>
          </w:tcPr>
          <w:p w14:paraId="0CA5F038"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384</w:t>
            </w:r>
          </w:p>
        </w:tc>
        <w:tc>
          <w:tcPr>
            <w:tcW w:w="723" w:type="dxa"/>
            <w:noWrap/>
            <w:vAlign w:val="center"/>
            <w:hideMark/>
          </w:tcPr>
          <w:p w14:paraId="54FD5B3A"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351</w:t>
            </w:r>
          </w:p>
        </w:tc>
        <w:tc>
          <w:tcPr>
            <w:tcW w:w="723" w:type="dxa"/>
            <w:noWrap/>
            <w:vAlign w:val="center"/>
            <w:hideMark/>
          </w:tcPr>
          <w:p w14:paraId="16A19378"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351</w:t>
            </w:r>
          </w:p>
        </w:tc>
        <w:tc>
          <w:tcPr>
            <w:tcW w:w="723" w:type="dxa"/>
            <w:noWrap/>
            <w:vAlign w:val="center"/>
            <w:hideMark/>
          </w:tcPr>
          <w:p w14:paraId="4FA31C70"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373</w:t>
            </w:r>
          </w:p>
        </w:tc>
        <w:tc>
          <w:tcPr>
            <w:tcW w:w="723" w:type="dxa"/>
            <w:noWrap/>
            <w:vAlign w:val="center"/>
            <w:hideMark/>
          </w:tcPr>
          <w:p w14:paraId="3F86D738"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375</w:t>
            </w:r>
          </w:p>
        </w:tc>
        <w:tc>
          <w:tcPr>
            <w:tcW w:w="723" w:type="dxa"/>
            <w:noWrap/>
            <w:vAlign w:val="center"/>
            <w:hideMark/>
          </w:tcPr>
          <w:p w14:paraId="32FB53B7"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363</w:t>
            </w:r>
          </w:p>
        </w:tc>
        <w:tc>
          <w:tcPr>
            <w:tcW w:w="723" w:type="dxa"/>
            <w:noWrap/>
            <w:vAlign w:val="center"/>
            <w:hideMark/>
          </w:tcPr>
          <w:p w14:paraId="6EC75B2F"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378</w:t>
            </w:r>
          </w:p>
        </w:tc>
        <w:tc>
          <w:tcPr>
            <w:tcW w:w="723" w:type="dxa"/>
            <w:noWrap/>
            <w:vAlign w:val="center"/>
            <w:hideMark/>
          </w:tcPr>
          <w:p w14:paraId="710213C1"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386</w:t>
            </w:r>
          </w:p>
        </w:tc>
        <w:tc>
          <w:tcPr>
            <w:tcW w:w="723" w:type="dxa"/>
            <w:noWrap/>
            <w:vAlign w:val="center"/>
            <w:hideMark/>
          </w:tcPr>
          <w:p w14:paraId="77BCD2B7"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392</w:t>
            </w:r>
          </w:p>
        </w:tc>
        <w:tc>
          <w:tcPr>
            <w:tcW w:w="1007" w:type="dxa"/>
            <w:noWrap/>
            <w:vAlign w:val="center"/>
            <w:hideMark/>
          </w:tcPr>
          <w:p w14:paraId="21EC9D36"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396</w:t>
            </w:r>
          </w:p>
        </w:tc>
      </w:tr>
      <w:tr w:rsidR="00A0104B" w:rsidRPr="00245C83" w14:paraId="06DCA403"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D9E6C51"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ÚČSM</w:t>
            </w:r>
          </w:p>
        </w:tc>
        <w:tc>
          <w:tcPr>
            <w:tcW w:w="722" w:type="dxa"/>
            <w:noWrap/>
            <w:vAlign w:val="center"/>
            <w:hideMark/>
          </w:tcPr>
          <w:p w14:paraId="41AE69F8"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185</w:t>
            </w:r>
          </w:p>
        </w:tc>
        <w:tc>
          <w:tcPr>
            <w:tcW w:w="723" w:type="dxa"/>
            <w:noWrap/>
            <w:vAlign w:val="center"/>
            <w:hideMark/>
          </w:tcPr>
          <w:p w14:paraId="5B242363"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166</w:t>
            </w:r>
          </w:p>
        </w:tc>
        <w:tc>
          <w:tcPr>
            <w:tcW w:w="723" w:type="dxa"/>
            <w:noWrap/>
            <w:vAlign w:val="center"/>
            <w:hideMark/>
          </w:tcPr>
          <w:p w14:paraId="146E7412"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185</w:t>
            </w:r>
          </w:p>
        </w:tc>
        <w:tc>
          <w:tcPr>
            <w:tcW w:w="723" w:type="dxa"/>
            <w:noWrap/>
            <w:vAlign w:val="center"/>
            <w:hideMark/>
          </w:tcPr>
          <w:p w14:paraId="6C67879D"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172</w:t>
            </w:r>
          </w:p>
        </w:tc>
        <w:tc>
          <w:tcPr>
            <w:tcW w:w="723" w:type="dxa"/>
            <w:noWrap/>
            <w:vAlign w:val="center"/>
            <w:hideMark/>
          </w:tcPr>
          <w:p w14:paraId="5ACA9143"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161</w:t>
            </w:r>
          </w:p>
        </w:tc>
        <w:tc>
          <w:tcPr>
            <w:tcW w:w="723" w:type="dxa"/>
            <w:noWrap/>
            <w:vAlign w:val="center"/>
            <w:hideMark/>
          </w:tcPr>
          <w:p w14:paraId="2833A1AA"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166</w:t>
            </w:r>
          </w:p>
        </w:tc>
        <w:tc>
          <w:tcPr>
            <w:tcW w:w="723" w:type="dxa"/>
            <w:noWrap/>
            <w:vAlign w:val="center"/>
            <w:hideMark/>
          </w:tcPr>
          <w:p w14:paraId="5FCDC6EE"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155</w:t>
            </w:r>
          </w:p>
        </w:tc>
        <w:tc>
          <w:tcPr>
            <w:tcW w:w="723" w:type="dxa"/>
            <w:noWrap/>
            <w:vAlign w:val="center"/>
            <w:hideMark/>
          </w:tcPr>
          <w:p w14:paraId="74557FEF"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151</w:t>
            </w:r>
          </w:p>
        </w:tc>
        <w:tc>
          <w:tcPr>
            <w:tcW w:w="723" w:type="dxa"/>
            <w:noWrap/>
            <w:vAlign w:val="center"/>
            <w:hideMark/>
          </w:tcPr>
          <w:p w14:paraId="0F19EE1C"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151</w:t>
            </w:r>
          </w:p>
        </w:tc>
        <w:tc>
          <w:tcPr>
            <w:tcW w:w="1007" w:type="dxa"/>
            <w:noWrap/>
            <w:vAlign w:val="center"/>
            <w:hideMark/>
          </w:tcPr>
          <w:p w14:paraId="70D06C6E"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138</w:t>
            </w:r>
          </w:p>
        </w:tc>
      </w:tr>
      <w:tr w:rsidR="00A0104B" w:rsidRPr="00245C83" w14:paraId="06B0CDA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98CB7DE"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KÚ</w:t>
            </w:r>
          </w:p>
        </w:tc>
        <w:tc>
          <w:tcPr>
            <w:tcW w:w="722" w:type="dxa"/>
            <w:noWrap/>
            <w:vAlign w:val="center"/>
            <w:hideMark/>
          </w:tcPr>
          <w:p w14:paraId="0676A30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57</w:t>
            </w:r>
          </w:p>
        </w:tc>
        <w:tc>
          <w:tcPr>
            <w:tcW w:w="723" w:type="dxa"/>
            <w:noWrap/>
            <w:vAlign w:val="center"/>
            <w:hideMark/>
          </w:tcPr>
          <w:p w14:paraId="105831A9"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43</w:t>
            </w:r>
          </w:p>
        </w:tc>
        <w:tc>
          <w:tcPr>
            <w:tcW w:w="723" w:type="dxa"/>
            <w:noWrap/>
            <w:vAlign w:val="center"/>
            <w:hideMark/>
          </w:tcPr>
          <w:p w14:paraId="2275E12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45</w:t>
            </w:r>
          </w:p>
        </w:tc>
        <w:tc>
          <w:tcPr>
            <w:tcW w:w="723" w:type="dxa"/>
            <w:noWrap/>
            <w:vAlign w:val="center"/>
            <w:hideMark/>
          </w:tcPr>
          <w:p w14:paraId="1F4AACCC"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p>
        </w:tc>
        <w:tc>
          <w:tcPr>
            <w:tcW w:w="723" w:type="dxa"/>
            <w:noWrap/>
            <w:vAlign w:val="center"/>
            <w:hideMark/>
          </w:tcPr>
          <w:p w14:paraId="0ED3C09D"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p>
        </w:tc>
        <w:tc>
          <w:tcPr>
            <w:tcW w:w="723" w:type="dxa"/>
            <w:noWrap/>
            <w:vAlign w:val="center"/>
            <w:hideMark/>
          </w:tcPr>
          <w:p w14:paraId="6C910AD8"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p>
        </w:tc>
        <w:tc>
          <w:tcPr>
            <w:tcW w:w="723" w:type="dxa"/>
            <w:noWrap/>
            <w:vAlign w:val="center"/>
            <w:hideMark/>
          </w:tcPr>
          <w:p w14:paraId="1359E91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50</w:t>
            </w:r>
          </w:p>
        </w:tc>
        <w:tc>
          <w:tcPr>
            <w:tcW w:w="723" w:type="dxa"/>
            <w:noWrap/>
            <w:vAlign w:val="center"/>
            <w:hideMark/>
          </w:tcPr>
          <w:p w14:paraId="7B4F20E4"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51</w:t>
            </w:r>
          </w:p>
        </w:tc>
        <w:tc>
          <w:tcPr>
            <w:tcW w:w="723" w:type="dxa"/>
            <w:noWrap/>
            <w:vAlign w:val="center"/>
            <w:hideMark/>
          </w:tcPr>
          <w:p w14:paraId="25ADC45D"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50</w:t>
            </w:r>
          </w:p>
        </w:tc>
        <w:tc>
          <w:tcPr>
            <w:tcW w:w="1007" w:type="dxa"/>
            <w:noWrap/>
            <w:vAlign w:val="center"/>
            <w:hideMark/>
          </w:tcPr>
          <w:p w14:paraId="1652EF3E"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46</w:t>
            </w:r>
          </w:p>
        </w:tc>
      </w:tr>
      <w:tr w:rsidR="00A0104B" w:rsidRPr="00245C83" w14:paraId="2430ED0B"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7CD647E"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MD, ÚCL, DÚ</w:t>
            </w:r>
          </w:p>
        </w:tc>
        <w:tc>
          <w:tcPr>
            <w:tcW w:w="722" w:type="dxa"/>
            <w:noWrap/>
            <w:vAlign w:val="center"/>
            <w:hideMark/>
          </w:tcPr>
          <w:p w14:paraId="2D9508CC"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w:t>
            </w:r>
          </w:p>
        </w:tc>
        <w:tc>
          <w:tcPr>
            <w:tcW w:w="723" w:type="dxa"/>
            <w:noWrap/>
            <w:vAlign w:val="center"/>
            <w:hideMark/>
          </w:tcPr>
          <w:p w14:paraId="497F377A"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w:t>
            </w:r>
          </w:p>
        </w:tc>
        <w:tc>
          <w:tcPr>
            <w:tcW w:w="723" w:type="dxa"/>
            <w:noWrap/>
            <w:vAlign w:val="center"/>
            <w:hideMark/>
          </w:tcPr>
          <w:p w14:paraId="30801418"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0</w:t>
            </w:r>
          </w:p>
        </w:tc>
        <w:tc>
          <w:tcPr>
            <w:tcW w:w="723" w:type="dxa"/>
            <w:noWrap/>
            <w:vAlign w:val="center"/>
            <w:hideMark/>
          </w:tcPr>
          <w:p w14:paraId="3C8FAF3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0</w:t>
            </w:r>
          </w:p>
        </w:tc>
        <w:tc>
          <w:tcPr>
            <w:tcW w:w="723" w:type="dxa"/>
            <w:noWrap/>
            <w:vAlign w:val="center"/>
            <w:hideMark/>
          </w:tcPr>
          <w:p w14:paraId="6F41AA4B"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0</w:t>
            </w:r>
          </w:p>
        </w:tc>
        <w:tc>
          <w:tcPr>
            <w:tcW w:w="723" w:type="dxa"/>
            <w:noWrap/>
            <w:vAlign w:val="center"/>
            <w:hideMark/>
          </w:tcPr>
          <w:p w14:paraId="452EECDE"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0</w:t>
            </w:r>
          </w:p>
        </w:tc>
        <w:tc>
          <w:tcPr>
            <w:tcW w:w="723" w:type="dxa"/>
            <w:noWrap/>
            <w:vAlign w:val="center"/>
            <w:hideMark/>
          </w:tcPr>
          <w:p w14:paraId="3441D099"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w:t>
            </w:r>
          </w:p>
        </w:tc>
        <w:tc>
          <w:tcPr>
            <w:tcW w:w="723" w:type="dxa"/>
            <w:noWrap/>
            <w:vAlign w:val="center"/>
            <w:hideMark/>
          </w:tcPr>
          <w:p w14:paraId="5BEC502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w:t>
            </w:r>
          </w:p>
        </w:tc>
        <w:tc>
          <w:tcPr>
            <w:tcW w:w="723" w:type="dxa"/>
            <w:noWrap/>
            <w:vAlign w:val="center"/>
            <w:hideMark/>
          </w:tcPr>
          <w:p w14:paraId="13CBC874"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w:t>
            </w:r>
          </w:p>
        </w:tc>
        <w:tc>
          <w:tcPr>
            <w:tcW w:w="1007" w:type="dxa"/>
            <w:noWrap/>
            <w:vAlign w:val="center"/>
            <w:hideMark/>
          </w:tcPr>
          <w:p w14:paraId="0BD5CD48"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w:t>
            </w:r>
          </w:p>
        </w:tc>
      </w:tr>
      <w:tr w:rsidR="00A0104B" w:rsidRPr="00245C83" w14:paraId="2B51E417"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4028715"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ČR</w:t>
            </w:r>
          </w:p>
        </w:tc>
        <w:tc>
          <w:tcPr>
            <w:tcW w:w="722" w:type="dxa"/>
            <w:noWrap/>
            <w:vAlign w:val="center"/>
            <w:hideMark/>
          </w:tcPr>
          <w:p w14:paraId="7004DA10"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628</w:t>
            </w:r>
          </w:p>
        </w:tc>
        <w:tc>
          <w:tcPr>
            <w:tcW w:w="723" w:type="dxa"/>
            <w:noWrap/>
            <w:vAlign w:val="center"/>
            <w:hideMark/>
          </w:tcPr>
          <w:p w14:paraId="052E82D0"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562</w:t>
            </w:r>
          </w:p>
        </w:tc>
        <w:tc>
          <w:tcPr>
            <w:tcW w:w="723" w:type="dxa"/>
            <w:noWrap/>
            <w:vAlign w:val="center"/>
            <w:hideMark/>
          </w:tcPr>
          <w:p w14:paraId="645D27B9"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581</w:t>
            </w:r>
          </w:p>
        </w:tc>
        <w:tc>
          <w:tcPr>
            <w:tcW w:w="723" w:type="dxa"/>
            <w:noWrap/>
            <w:vAlign w:val="center"/>
            <w:hideMark/>
          </w:tcPr>
          <w:p w14:paraId="64C9CCF4"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597</w:t>
            </w:r>
          </w:p>
        </w:tc>
        <w:tc>
          <w:tcPr>
            <w:tcW w:w="723" w:type="dxa"/>
            <w:noWrap/>
            <w:vAlign w:val="center"/>
            <w:hideMark/>
          </w:tcPr>
          <w:p w14:paraId="2CC8AA4C"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588</w:t>
            </w:r>
          </w:p>
        </w:tc>
        <w:tc>
          <w:tcPr>
            <w:tcW w:w="723" w:type="dxa"/>
            <w:noWrap/>
            <w:vAlign w:val="center"/>
            <w:hideMark/>
          </w:tcPr>
          <w:p w14:paraId="2939F08A"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581</w:t>
            </w:r>
          </w:p>
        </w:tc>
        <w:tc>
          <w:tcPr>
            <w:tcW w:w="723" w:type="dxa"/>
            <w:noWrap/>
            <w:vAlign w:val="center"/>
            <w:hideMark/>
          </w:tcPr>
          <w:p w14:paraId="2ECDAA30"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584</w:t>
            </w:r>
          </w:p>
        </w:tc>
        <w:tc>
          <w:tcPr>
            <w:tcW w:w="723" w:type="dxa"/>
            <w:noWrap/>
            <w:vAlign w:val="center"/>
            <w:hideMark/>
          </w:tcPr>
          <w:p w14:paraId="2306B4ED"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589</w:t>
            </w:r>
          </w:p>
        </w:tc>
        <w:tc>
          <w:tcPr>
            <w:tcW w:w="723" w:type="dxa"/>
            <w:noWrap/>
            <w:vAlign w:val="center"/>
            <w:hideMark/>
          </w:tcPr>
          <w:p w14:paraId="5357B87F"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594</w:t>
            </w:r>
          </w:p>
        </w:tc>
        <w:tc>
          <w:tcPr>
            <w:tcW w:w="1007" w:type="dxa"/>
            <w:noWrap/>
            <w:vAlign w:val="center"/>
            <w:hideMark/>
          </w:tcPr>
          <w:p w14:paraId="674DB627"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581</w:t>
            </w:r>
          </w:p>
        </w:tc>
      </w:tr>
      <w:tr w:rsidR="00A0104B" w:rsidRPr="00245C83" w14:paraId="6DDCCB3C"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FA80BBC" w14:textId="77777777" w:rsidR="00A0104B" w:rsidRPr="00437A37" w:rsidRDefault="00A0104B" w:rsidP="00197E1E">
            <w:pPr>
              <w:spacing w:before="0" w:after="0"/>
              <w:jc w:val="right"/>
              <w:rPr>
                <w:rFonts w:asciiTheme="minorHAnsi" w:eastAsia="Times New Roman" w:hAnsiTheme="minorHAnsi" w:cstheme="minorHAnsi"/>
                <w:color w:val="000000"/>
                <w:sz w:val="20"/>
                <w:szCs w:val="20"/>
                <w:lang w:eastAsia="cs-CZ"/>
              </w:rPr>
            </w:pPr>
          </w:p>
        </w:tc>
        <w:tc>
          <w:tcPr>
            <w:tcW w:w="722" w:type="dxa"/>
            <w:noWrap/>
            <w:vAlign w:val="center"/>
            <w:hideMark/>
          </w:tcPr>
          <w:p w14:paraId="6CD73324"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16D1D20F"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0A74452C"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298E538C"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5427DBEE"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182D0A89"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12F9F1C7"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19BD2820"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723" w:type="dxa"/>
            <w:noWrap/>
            <w:vAlign w:val="center"/>
            <w:hideMark/>
          </w:tcPr>
          <w:p w14:paraId="08B91C62"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1007" w:type="dxa"/>
            <w:noWrap/>
            <w:vAlign w:val="center"/>
            <w:hideMark/>
          </w:tcPr>
          <w:p w14:paraId="40829D64" w14:textId="77777777" w:rsidR="00A0104B" w:rsidRPr="00437A37" w:rsidRDefault="00A0104B" w:rsidP="00197E1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r>
      <w:tr w:rsidR="00A0104B" w:rsidRPr="00245C83" w14:paraId="6BED7DB7"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9498" w:type="dxa"/>
            <w:gridSpan w:val="11"/>
            <w:shd w:val="clear" w:color="auto" w:fill="FEFCBE" w:themeFill="accent1" w:themeFillTint="33"/>
            <w:noWrap/>
            <w:vAlign w:val="center"/>
            <w:hideMark/>
          </w:tcPr>
          <w:p w14:paraId="4A6DA8B1" w14:textId="77777777" w:rsidR="00A0104B" w:rsidRPr="00437A37" w:rsidRDefault="00A0104B" w:rsidP="00197E1E">
            <w:pPr>
              <w:spacing w:before="0" w:after="0"/>
              <w:jc w:val="left"/>
              <w:rPr>
                <w:rFonts w:asciiTheme="minorHAnsi" w:eastAsia="Times New Roman" w:hAnsiTheme="minorHAnsi" w:cstheme="minorHAnsi"/>
                <w:sz w:val="20"/>
                <w:szCs w:val="20"/>
                <w:lang w:eastAsia="cs-CZ"/>
              </w:rPr>
            </w:pPr>
            <w:r w:rsidRPr="00437A37">
              <w:rPr>
                <w:rFonts w:asciiTheme="minorHAnsi" w:eastAsia="Times New Roman" w:hAnsiTheme="minorHAnsi" w:cstheme="minorHAnsi"/>
                <w:color w:val="000000"/>
                <w:sz w:val="20"/>
                <w:szCs w:val="20"/>
                <w:lang w:eastAsia="cs-CZ"/>
              </w:rPr>
              <w:t>Součet úředních osob</w:t>
            </w:r>
            <w:r>
              <w:rPr>
                <w:rFonts w:asciiTheme="minorHAnsi" w:eastAsia="Times New Roman" w:hAnsiTheme="minorHAnsi" w:cstheme="minorHAnsi"/>
                <w:color w:val="000000"/>
                <w:sz w:val="20"/>
                <w:szCs w:val="20"/>
                <w:lang w:eastAsia="cs-CZ"/>
              </w:rPr>
              <w:t>/</w:t>
            </w:r>
            <w:r w:rsidRPr="00437A37">
              <w:rPr>
                <w:rFonts w:asciiTheme="minorHAnsi" w:eastAsia="Times New Roman" w:hAnsiTheme="minorHAnsi" w:cstheme="minorHAnsi"/>
                <w:color w:val="000000"/>
                <w:sz w:val="20"/>
                <w:szCs w:val="20"/>
                <w:lang w:eastAsia="cs-CZ"/>
              </w:rPr>
              <w:t xml:space="preserve"> Součet pracovních úvazků úředních osob</w:t>
            </w:r>
          </w:p>
        </w:tc>
      </w:tr>
      <w:tr w:rsidR="00A0104B" w:rsidRPr="00245C83" w14:paraId="06BF67D7"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0FCD982"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obce III. t</w:t>
            </w:r>
            <w:r w:rsidRPr="00245C83">
              <w:rPr>
                <w:rFonts w:asciiTheme="minorHAnsi" w:eastAsia="Times New Roman" w:hAnsiTheme="minorHAnsi" w:cstheme="minorHAnsi"/>
                <w:color w:val="000000"/>
                <w:sz w:val="20"/>
                <w:szCs w:val="20"/>
                <w:lang w:eastAsia="cs-CZ"/>
              </w:rPr>
              <w:t>.</w:t>
            </w:r>
          </w:p>
        </w:tc>
        <w:tc>
          <w:tcPr>
            <w:tcW w:w="722" w:type="dxa"/>
            <w:noWrap/>
            <w:vAlign w:val="center"/>
            <w:hideMark/>
          </w:tcPr>
          <w:p w14:paraId="4F3105CD"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798</w:t>
            </w:r>
          </w:p>
        </w:tc>
        <w:tc>
          <w:tcPr>
            <w:tcW w:w="723" w:type="dxa"/>
            <w:noWrap/>
            <w:vAlign w:val="center"/>
            <w:hideMark/>
          </w:tcPr>
          <w:p w14:paraId="26B85E71"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610</w:t>
            </w:r>
          </w:p>
        </w:tc>
        <w:tc>
          <w:tcPr>
            <w:tcW w:w="723" w:type="dxa"/>
            <w:noWrap/>
            <w:vAlign w:val="center"/>
            <w:hideMark/>
          </w:tcPr>
          <w:p w14:paraId="0A0BEE25"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564</w:t>
            </w:r>
          </w:p>
        </w:tc>
        <w:tc>
          <w:tcPr>
            <w:tcW w:w="723" w:type="dxa"/>
            <w:noWrap/>
            <w:vAlign w:val="center"/>
            <w:hideMark/>
          </w:tcPr>
          <w:p w14:paraId="06BBB3CC"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605</w:t>
            </w:r>
          </w:p>
        </w:tc>
        <w:tc>
          <w:tcPr>
            <w:tcW w:w="723" w:type="dxa"/>
            <w:noWrap/>
            <w:vAlign w:val="center"/>
            <w:hideMark/>
          </w:tcPr>
          <w:p w14:paraId="69ED4EFB"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591</w:t>
            </w:r>
          </w:p>
        </w:tc>
        <w:tc>
          <w:tcPr>
            <w:tcW w:w="723" w:type="dxa"/>
            <w:noWrap/>
            <w:vAlign w:val="center"/>
            <w:hideMark/>
          </w:tcPr>
          <w:p w14:paraId="4FFBE406"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547</w:t>
            </w:r>
          </w:p>
        </w:tc>
        <w:tc>
          <w:tcPr>
            <w:tcW w:w="723" w:type="dxa"/>
            <w:noWrap/>
            <w:vAlign w:val="center"/>
            <w:hideMark/>
          </w:tcPr>
          <w:p w14:paraId="0D67A92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576</w:t>
            </w:r>
          </w:p>
        </w:tc>
        <w:tc>
          <w:tcPr>
            <w:tcW w:w="723" w:type="dxa"/>
            <w:noWrap/>
            <w:vAlign w:val="center"/>
            <w:hideMark/>
          </w:tcPr>
          <w:p w14:paraId="5CD0F104"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580</w:t>
            </w:r>
          </w:p>
        </w:tc>
        <w:tc>
          <w:tcPr>
            <w:tcW w:w="723" w:type="dxa"/>
            <w:noWrap/>
            <w:vAlign w:val="center"/>
            <w:hideMark/>
          </w:tcPr>
          <w:p w14:paraId="56BB1AF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582</w:t>
            </w:r>
          </w:p>
        </w:tc>
        <w:tc>
          <w:tcPr>
            <w:tcW w:w="1007" w:type="dxa"/>
            <w:noWrap/>
            <w:vAlign w:val="center"/>
            <w:hideMark/>
          </w:tcPr>
          <w:p w14:paraId="630660E0"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587</w:t>
            </w:r>
            <w:r>
              <w:rPr>
                <w:rFonts w:asciiTheme="minorHAnsi" w:eastAsia="Times New Roman" w:hAnsiTheme="minorHAnsi" w:cstheme="minorHAnsi"/>
                <w:color w:val="000000"/>
                <w:sz w:val="20"/>
                <w:szCs w:val="20"/>
                <w:lang w:eastAsia="cs-CZ"/>
              </w:rPr>
              <w:t>/425</w:t>
            </w:r>
          </w:p>
        </w:tc>
      </w:tr>
      <w:tr w:rsidR="00A0104B" w:rsidRPr="00245C83" w14:paraId="53E367AC"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7FF5D3F"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ÚČSM</w:t>
            </w:r>
          </w:p>
        </w:tc>
        <w:tc>
          <w:tcPr>
            <w:tcW w:w="722" w:type="dxa"/>
            <w:noWrap/>
            <w:vAlign w:val="center"/>
            <w:hideMark/>
          </w:tcPr>
          <w:p w14:paraId="1AA9384B"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301</w:t>
            </w:r>
          </w:p>
        </w:tc>
        <w:tc>
          <w:tcPr>
            <w:tcW w:w="723" w:type="dxa"/>
            <w:noWrap/>
            <w:vAlign w:val="center"/>
            <w:hideMark/>
          </w:tcPr>
          <w:p w14:paraId="68E15934"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220</w:t>
            </w:r>
          </w:p>
        </w:tc>
        <w:tc>
          <w:tcPr>
            <w:tcW w:w="723" w:type="dxa"/>
            <w:noWrap/>
            <w:vAlign w:val="center"/>
            <w:hideMark/>
          </w:tcPr>
          <w:p w14:paraId="2828166E"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242</w:t>
            </w:r>
          </w:p>
        </w:tc>
        <w:tc>
          <w:tcPr>
            <w:tcW w:w="723" w:type="dxa"/>
            <w:noWrap/>
            <w:vAlign w:val="center"/>
            <w:hideMark/>
          </w:tcPr>
          <w:p w14:paraId="24F13B13"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225</w:t>
            </w:r>
          </w:p>
        </w:tc>
        <w:tc>
          <w:tcPr>
            <w:tcW w:w="723" w:type="dxa"/>
            <w:noWrap/>
            <w:vAlign w:val="center"/>
            <w:hideMark/>
          </w:tcPr>
          <w:p w14:paraId="55741BD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222</w:t>
            </w:r>
          </w:p>
        </w:tc>
        <w:tc>
          <w:tcPr>
            <w:tcW w:w="723" w:type="dxa"/>
            <w:noWrap/>
            <w:vAlign w:val="center"/>
            <w:hideMark/>
          </w:tcPr>
          <w:p w14:paraId="625C31E9"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240</w:t>
            </w:r>
          </w:p>
        </w:tc>
        <w:tc>
          <w:tcPr>
            <w:tcW w:w="723" w:type="dxa"/>
            <w:noWrap/>
            <w:vAlign w:val="center"/>
            <w:hideMark/>
          </w:tcPr>
          <w:p w14:paraId="05F3A3B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204</w:t>
            </w:r>
          </w:p>
        </w:tc>
        <w:tc>
          <w:tcPr>
            <w:tcW w:w="723" w:type="dxa"/>
            <w:noWrap/>
            <w:vAlign w:val="center"/>
            <w:hideMark/>
          </w:tcPr>
          <w:p w14:paraId="6EDB944A"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208</w:t>
            </w:r>
          </w:p>
        </w:tc>
        <w:tc>
          <w:tcPr>
            <w:tcW w:w="723" w:type="dxa"/>
            <w:noWrap/>
            <w:vAlign w:val="center"/>
            <w:hideMark/>
          </w:tcPr>
          <w:p w14:paraId="78D4D6A9"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207</w:t>
            </w:r>
          </w:p>
        </w:tc>
        <w:tc>
          <w:tcPr>
            <w:tcW w:w="1007" w:type="dxa"/>
            <w:noWrap/>
            <w:vAlign w:val="center"/>
            <w:hideMark/>
          </w:tcPr>
          <w:p w14:paraId="183C144C"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188</w:t>
            </w:r>
            <w:r>
              <w:rPr>
                <w:rFonts w:asciiTheme="minorHAnsi" w:eastAsia="Times New Roman" w:hAnsiTheme="minorHAnsi" w:cstheme="minorHAnsi"/>
                <w:color w:val="000000"/>
                <w:sz w:val="20"/>
                <w:szCs w:val="20"/>
                <w:lang w:eastAsia="cs-CZ"/>
              </w:rPr>
              <w:t>/170</w:t>
            </w:r>
          </w:p>
        </w:tc>
      </w:tr>
      <w:tr w:rsidR="00A0104B" w:rsidRPr="00245C83" w14:paraId="00EC2EBE"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60D16F0"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KÚ</w:t>
            </w:r>
          </w:p>
        </w:tc>
        <w:tc>
          <w:tcPr>
            <w:tcW w:w="722" w:type="dxa"/>
            <w:noWrap/>
            <w:vAlign w:val="center"/>
            <w:hideMark/>
          </w:tcPr>
          <w:p w14:paraId="4F35CCC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121</w:t>
            </w:r>
          </w:p>
        </w:tc>
        <w:tc>
          <w:tcPr>
            <w:tcW w:w="723" w:type="dxa"/>
            <w:noWrap/>
            <w:vAlign w:val="center"/>
            <w:hideMark/>
          </w:tcPr>
          <w:p w14:paraId="5DFDD518"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57</w:t>
            </w:r>
          </w:p>
        </w:tc>
        <w:tc>
          <w:tcPr>
            <w:tcW w:w="723" w:type="dxa"/>
            <w:noWrap/>
            <w:vAlign w:val="center"/>
            <w:hideMark/>
          </w:tcPr>
          <w:p w14:paraId="6DE4DBA6"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61</w:t>
            </w:r>
          </w:p>
        </w:tc>
        <w:tc>
          <w:tcPr>
            <w:tcW w:w="723" w:type="dxa"/>
            <w:noWrap/>
            <w:vAlign w:val="center"/>
            <w:hideMark/>
          </w:tcPr>
          <w:p w14:paraId="7FCB58A6"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67</w:t>
            </w:r>
          </w:p>
        </w:tc>
        <w:tc>
          <w:tcPr>
            <w:tcW w:w="723" w:type="dxa"/>
            <w:noWrap/>
            <w:vAlign w:val="center"/>
            <w:hideMark/>
          </w:tcPr>
          <w:p w14:paraId="3714E77E"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67</w:t>
            </w:r>
          </w:p>
        </w:tc>
        <w:tc>
          <w:tcPr>
            <w:tcW w:w="723" w:type="dxa"/>
            <w:noWrap/>
            <w:vAlign w:val="center"/>
            <w:hideMark/>
          </w:tcPr>
          <w:p w14:paraId="3801AB1C"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69</w:t>
            </w:r>
          </w:p>
        </w:tc>
        <w:tc>
          <w:tcPr>
            <w:tcW w:w="723" w:type="dxa"/>
            <w:noWrap/>
            <w:vAlign w:val="center"/>
            <w:hideMark/>
          </w:tcPr>
          <w:p w14:paraId="330E1EF3"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69</w:t>
            </w:r>
          </w:p>
        </w:tc>
        <w:tc>
          <w:tcPr>
            <w:tcW w:w="723" w:type="dxa"/>
            <w:noWrap/>
            <w:vAlign w:val="center"/>
            <w:hideMark/>
          </w:tcPr>
          <w:p w14:paraId="3FC61895"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70</w:t>
            </w:r>
          </w:p>
        </w:tc>
        <w:tc>
          <w:tcPr>
            <w:tcW w:w="723" w:type="dxa"/>
            <w:noWrap/>
            <w:vAlign w:val="center"/>
            <w:hideMark/>
          </w:tcPr>
          <w:p w14:paraId="2DA9F0D5"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68</w:t>
            </w:r>
          </w:p>
        </w:tc>
        <w:tc>
          <w:tcPr>
            <w:tcW w:w="1007" w:type="dxa"/>
            <w:noWrap/>
            <w:vAlign w:val="center"/>
            <w:hideMark/>
          </w:tcPr>
          <w:p w14:paraId="6B88FA03"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73</w:t>
            </w:r>
            <w:r>
              <w:rPr>
                <w:rFonts w:asciiTheme="minorHAnsi" w:eastAsia="Times New Roman" w:hAnsiTheme="minorHAnsi" w:cstheme="minorHAnsi"/>
                <w:color w:val="000000"/>
                <w:sz w:val="20"/>
                <w:szCs w:val="20"/>
                <w:lang w:eastAsia="cs-CZ"/>
              </w:rPr>
              <w:t>/46</w:t>
            </w:r>
          </w:p>
        </w:tc>
      </w:tr>
      <w:tr w:rsidR="00A0104B" w:rsidRPr="00245C83" w14:paraId="40D405E6"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FC9E6FE"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MD, ÚCL, DÚ</w:t>
            </w:r>
          </w:p>
        </w:tc>
        <w:tc>
          <w:tcPr>
            <w:tcW w:w="722" w:type="dxa"/>
            <w:noWrap/>
            <w:vAlign w:val="center"/>
            <w:hideMark/>
          </w:tcPr>
          <w:p w14:paraId="7FAF9269"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51</w:t>
            </w:r>
          </w:p>
        </w:tc>
        <w:tc>
          <w:tcPr>
            <w:tcW w:w="723" w:type="dxa"/>
            <w:noWrap/>
            <w:vAlign w:val="center"/>
            <w:hideMark/>
          </w:tcPr>
          <w:p w14:paraId="0D90C05B"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53</w:t>
            </w:r>
          </w:p>
        </w:tc>
        <w:tc>
          <w:tcPr>
            <w:tcW w:w="723" w:type="dxa"/>
            <w:noWrap/>
            <w:vAlign w:val="center"/>
            <w:hideMark/>
          </w:tcPr>
          <w:p w14:paraId="0530206E"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48</w:t>
            </w:r>
          </w:p>
        </w:tc>
        <w:tc>
          <w:tcPr>
            <w:tcW w:w="723" w:type="dxa"/>
            <w:noWrap/>
            <w:vAlign w:val="center"/>
            <w:hideMark/>
          </w:tcPr>
          <w:p w14:paraId="2258C65F"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49</w:t>
            </w:r>
          </w:p>
        </w:tc>
        <w:tc>
          <w:tcPr>
            <w:tcW w:w="723" w:type="dxa"/>
            <w:noWrap/>
            <w:vAlign w:val="center"/>
            <w:hideMark/>
          </w:tcPr>
          <w:p w14:paraId="42BEFD0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p>
        </w:tc>
        <w:tc>
          <w:tcPr>
            <w:tcW w:w="723" w:type="dxa"/>
            <w:noWrap/>
            <w:vAlign w:val="center"/>
            <w:hideMark/>
          </w:tcPr>
          <w:p w14:paraId="33FD0F0B"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50</w:t>
            </w:r>
          </w:p>
        </w:tc>
        <w:tc>
          <w:tcPr>
            <w:tcW w:w="723" w:type="dxa"/>
            <w:noWrap/>
            <w:vAlign w:val="center"/>
            <w:hideMark/>
          </w:tcPr>
          <w:p w14:paraId="0E36E042"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51</w:t>
            </w:r>
          </w:p>
        </w:tc>
        <w:tc>
          <w:tcPr>
            <w:tcW w:w="723" w:type="dxa"/>
            <w:noWrap/>
            <w:vAlign w:val="center"/>
            <w:hideMark/>
          </w:tcPr>
          <w:p w14:paraId="6A45ED7C"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p>
        </w:tc>
        <w:tc>
          <w:tcPr>
            <w:tcW w:w="723" w:type="dxa"/>
            <w:noWrap/>
            <w:vAlign w:val="center"/>
            <w:hideMark/>
          </w:tcPr>
          <w:p w14:paraId="17B4A004"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50</w:t>
            </w:r>
          </w:p>
        </w:tc>
        <w:tc>
          <w:tcPr>
            <w:tcW w:w="1007" w:type="dxa"/>
            <w:noWrap/>
            <w:vAlign w:val="center"/>
            <w:hideMark/>
          </w:tcPr>
          <w:p w14:paraId="076B777F" w14:textId="77777777" w:rsidR="00A0104B" w:rsidRPr="00437A3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52</w:t>
            </w:r>
            <w:r>
              <w:rPr>
                <w:rFonts w:asciiTheme="minorHAnsi" w:eastAsia="Times New Roman" w:hAnsiTheme="minorHAnsi" w:cstheme="minorHAnsi"/>
                <w:color w:val="000000"/>
                <w:sz w:val="20"/>
                <w:szCs w:val="20"/>
                <w:lang w:eastAsia="cs-CZ"/>
              </w:rPr>
              <w:t>/52</w:t>
            </w:r>
          </w:p>
        </w:tc>
      </w:tr>
      <w:tr w:rsidR="00A0104B" w:rsidRPr="00245C83" w14:paraId="28496D54"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0F31C54" w14:textId="77777777" w:rsidR="00A0104B" w:rsidRPr="00437A37" w:rsidRDefault="00A0104B" w:rsidP="00197E1E">
            <w:pPr>
              <w:spacing w:before="0" w:after="0"/>
              <w:jc w:val="left"/>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SÚ – ČR</w:t>
            </w:r>
          </w:p>
        </w:tc>
        <w:tc>
          <w:tcPr>
            <w:tcW w:w="722" w:type="dxa"/>
            <w:noWrap/>
            <w:vAlign w:val="center"/>
            <w:hideMark/>
          </w:tcPr>
          <w:p w14:paraId="299278D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1271</w:t>
            </w:r>
          </w:p>
        </w:tc>
        <w:tc>
          <w:tcPr>
            <w:tcW w:w="723" w:type="dxa"/>
            <w:noWrap/>
            <w:vAlign w:val="center"/>
            <w:hideMark/>
          </w:tcPr>
          <w:p w14:paraId="73329E07"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940</w:t>
            </w:r>
          </w:p>
        </w:tc>
        <w:tc>
          <w:tcPr>
            <w:tcW w:w="723" w:type="dxa"/>
            <w:noWrap/>
            <w:vAlign w:val="center"/>
            <w:hideMark/>
          </w:tcPr>
          <w:p w14:paraId="77E56F25"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915</w:t>
            </w:r>
          </w:p>
        </w:tc>
        <w:tc>
          <w:tcPr>
            <w:tcW w:w="723" w:type="dxa"/>
            <w:noWrap/>
            <w:vAlign w:val="center"/>
            <w:hideMark/>
          </w:tcPr>
          <w:p w14:paraId="37E5E158"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946</w:t>
            </w:r>
          </w:p>
        </w:tc>
        <w:tc>
          <w:tcPr>
            <w:tcW w:w="723" w:type="dxa"/>
            <w:noWrap/>
            <w:vAlign w:val="center"/>
            <w:hideMark/>
          </w:tcPr>
          <w:p w14:paraId="0902AD09"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932</w:t>
            </w:r>
          </w:p>
        </w:tc>
        <w:tc>
          <w:tcPr>
            <w:tcW w:w="723" w:type="dxa"/>
            <w:noWrap/>
            <w:vAlign w:val="center"/>
            <w:hideMark/>
          </w:tcPr>
          <w:p w14:paraId="46B4F15C"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906</w:t>
            </w:r>
          </w:p>
        </w:tc>
        <w:tc>
          <w:tcPr>
            <w:tcW w:w="723" w:type="dxa"/>
            <w:noWrap/>
            <w:vAlign w:val="center"/>
            <w:hideMark/>
          </w:tcPr>
          <w:p w14:paraId="269C2E04"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900</w:t>
            </w:r>
          </w:p>
        </w:tc>
        <w:tc>
          <w:tcPr>
            <w:tcW w:w="723" w:type="dxa"/>
            <w:noWrap/>
            <w:vAlign w:val="center"/>
            <w:hideMark/>
          </w:tcPr>
          <w:p w14:paraId="509E0FE4"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910</w:t>
            </w:r>
          </w:p>
        </w:tc>
        <w:tc>
          <w:tcPr>
            <w:tcW w:w="723" w:type="dxa"/>
            <w:noWrap/>
            <w:vAlign w:val="center"/>
            <w:hideMark/>
          </w:tcPr>
          <w:p w14:paraId="5AD47FC2"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907</w:t>
            </w:r>
          </w:p>
        </w:tc>
        <w:tc>
          <w:tcPr>
            <w:tcW w:w="1007" w:type="dxa"/>
            <w:noWrap/>
            <w:vAlign w:val="center"/>
            <w:hideMark/>
          </w:tcPr>
          <w:p w14:paraId="25361ED4" w14:textId="77777777" w:rsidR="00A0104B" w:rsidRPr="00437A3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437A37">
              <w:rPr>
                <w:rFonts w:asciiTheme="minorHAnsi" w:eastAsia="Times New Roman" w:hAnsiTheme="minorHAnsi" w:cstheme="minorHAnsi"/>
                <w:color w:val="000000"/>
                <w:sz w:val="20"/>
                <w:szCs w:val="20"/>
                <w:lang w:eastAsia="cs-CZ"/>
              </w:rPr>
              <w:t>900</w:t>
            </w:r>
            <w:r>
              <w:rPr>
                <w:rFonts w:asciiTheme="minorHAnsi" w:eastAsia="Times New Roman" w:hAnsiTheme="minorHAnsi" w:cstheme="minorHAnsi"/>
                <w:color w:val="000000"/>
                <w:sz w:val="20"/>
                <w:szCs w:val="20"/>
                <w:lang w:eastAsia="cs-CZ"/>
              </w:rPr>
              <w:t>/693</w:t>
            </w:r>
          </w:p>
        </w:tc>
      </w:tr>
    </w:tbl>
    <w:p w14:paraId="23F3FFD7" w14:textId="77777777" w:rsidR="00A0104B" w:rsidRPr="00124479" w:rsidRDefault="00A0104B" w:rsidP="00A0104B">
      <w:pPr>
        <w:pStyle w:val="Citt"/>
        <w:spacing w:before="120"/>
      </w:pPr>
      <w:r w:rsidRPr="00124479">
        <w:t>Zdroj: ÚÚR</w:t>
      </w:r>
    </w:p>
    <w:p w14:paraId="62AAAA27" w14:textId="4DBDB8DC" w:rsidR="00A0104B" w:rsidRPr="007A3165" w:rsidRDefault="00A0104B" w:rsidP="00A0104B">
      <w:pPr>
        <w:pStyle w:val="Titulek"/>
        <w:keepNext/>
      </w:pPr>
      <w:r w:rsidRPr="007A3165">
        <w:t xml:space="preserve">Obrázek </w:t>
      </w:r>
      <w:r w:rsidR="004B0591">
        <w:fldChar w:fldCharType="begin"/>
      </w:r>
      <w:r w:rsidR="004B0591">
        <w:instrText xml:space="preserve"> SEQ Obrázek \* ARABIC </w:instrText>
      </w:r>
      <w:r w:rsidR="004B0591">
        <w:fldChar w:fldCharType="separate"/>
      </w:r>
      <w:r w:rsidR="007105BE">
        <w:rPr>
          <w:noProof/>
        </w:rPr>
        <w:t>9</w:t>
      </w:r>
      <w:r w:rsidR="004B0591">
        <w:rPr>
          <w:noProof/>
        </w:rPr>
        <w:fldChar w:fldCharType="end"/>
      </w:r>
      <w:r w:rsidRPr="007A3165">
        <w:t>: Povolování staveb, prvoinstanční SSÚ, DS, 2020</w:t>
      </w:r>
    </w:p>
    <w:p w14:paraId="484E8C35" w14:textId="77777777" w:rsidR="00A0104B" w:rsidRDefault="00A0104B" w:rsidP="00A0104B">
      <w:pPr>
        <w:pStyle w:val="Text-Normaln"/>
        <w:widowControl w:val="0"/>
      </w:pPr>
      <w:r w:rsidRPr="007A3165">
        <w:rPr>
          <w:noProof/>
          <w:lang w:eastAsia="cs-CZ"/>
        </w:rPr>
        <w:drawing>
          <wp:inline distT="0" distB="0" distL="0" distR="0" wp14:anchorId="7FDE8BB0" wp14:editId="17A1D6C0">
            <wp:extent cx="4330810" cy="295794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4338" t="1728"/>
                    <a:stretch/>
                  </pic:blipFill>
                  <pic:spPr bwMode="auto">
                    <a:xfrm>
                      <a:off x="0" y="0"/>
                      <a:ext cx="4353237" cy="2973264"/>
                    </a:xfrm>
                    <a:prstGeom prst="rect">
                      <a:avLst/>
                    </a:prstGeom>
                    <a:noFill/>
                    <a:ln>
                      <a:noFill/>
                    </a:ln>
                    <a:extLst>
                      <a:ext uri="{53640926-AAD7-44D8-BBD7-CCE9431645EC}">
                        <a14:shadowObscured xmlns:a14="http://schemas.microsoft.com/office/drawing/2010/main"/>
                      </a:ext>
                    </a:extLst>
                  </pic:spPr>
                </pic:pic>
              </a:graphicData>
            </a:graphic>
          </wp:inline>
        </w:drawing>
      </w:r>
    </w:p>
    <w:p w14:paraId="0865B8A1" w14:textId="77777777" w:rsidR="00A0104B" w:rsidRPr="00124479" w:rsidRDefault="00A0104B" w:rsidP="00A0104B">
      <w:pPr>
        <w:pStyle w:val="Citt"/>
        <w:spacing w:before="120"/>
      </w:pPr>
      <w:r w:rsidRPr="00124479">
        <w:t>Zdroj: ÚÚR</w:t>
      </w:r>
    </w:p>
    <w:p w14:paraId="4168B721" w14:textId="1E2674F6" w:rsidR="00A0104B" w:rsidRPr="007A3165" w:rsidRDefault="00A0104B" w:rsidP="00A0104B">
      <w:pPr>
        <w:pStyle w:val="Titulek"/>
        <w:keepNext/>
      </w:pPr>
      <w:r w:rsidRPr="007A3165">
        <w:lastRenderedPageBreak/>
        <w:t xml:space="preserve">Obrázek </w:t>
      </w:r>
      <w:r w:rsidR="004B0591">
        <w:fldChar w:fldCharType="begin"/>
      </w:r>
      <w:r w:rsidR="004B0591">
        <w:instrText xml:space="preserve"> SEQ Obrázek \* ARABIC </w:instrText>
      </w:r>
      <w:r w:rsidR="004B0591">
        <w:fldChar w:fldCharType="separate"/>
      </w:r>
      <w:r w:rsidR="007105BE">
        <w:rPr>
          <w:noProof/>
        </w:rPr>
        <w:t>10</w:t>
      </w:r>
      <w:r w:rsidR="004B0591">
        <w:rPr>
          <w:noProof/>
        </w:rPr>
        <w:fldChar w:fldCharType="end"/>
      </w:r>
      <w:r w:rsidRPr="007A3165">
        <w:t>: Odvolací řízení, prvoinstanční SSÚ, DS, 2020</w:t>
      </w:r>
    </w:p>
    <w:p w14:paraId="69464121" w14:textId="77777777" w:rsidR="00A0104B" w:rsidRDefault="00A0104B" w:rsidP="00A0104B">
      <w:pPr>
        <w:pStyle w:val="Text-Normaln"/>
        <w:widowControl w:val="0"/>
      </w:pPr>
      <w:r w:rsidRPr="007A3165">
        <w:rPr>
          <w:noProof/>
          <w:lang w:eastAsia="cs-CZ"/>
        </w:rPr>
        <w:drawing>
          <wp:inline distT="0" distB="0" distL="0" distR="0" wp14:anchorId="36B8484F" wp14:editId="56BAE041">
            <wp:extent cx="4315691" cy="2729992"/>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4994" t="2290"/>
                    <a:stretch/>
                  </pic:blipFill>
                  <pic:spPr bwMode="auto">
                    <a:xfrm>
                      <a:off x="0" y="0"/>
                      <a:ext cx="4328951" cy="2738380"/>
                    </a:xfrm>
                    <a:prstGeom prst="rect">
                      <a:avLst/>
                    </a:prstGeom>
                    <a:noFill/>
                    <a:ln>
                      <a:noFill/>
                    </a:ln>
                    <a:extLst>
                      <a:ext uri="{53640926-AAD7-44D8-BBD7-CCE9431645EC}">
                        <a14:shadowObscured xmlns:a14="http://schemas.microsoft.com/office/drawing/2010/main"/>
                      </a:ext>
                    </a:extLst>
                  </pic:spPr>
                </pic:pic>
              </a:graphicData>
            </a:graphic>
          </wp:inline>
        </w:drawing>
      </w:r>
    </w:p>
    <w:p w14:paraId="473D8E84" w14:textId="77777777" w:rsidR="00A0104B" w:rsidRPr="00124479" w:rsidRDefault="00A0104B" w:rsidP="00A0104B">
      <w:pPr>
        <w:pStyle w:val="Citt"/>
        <w:spacing w:before="120"/>
      </w:pPr>
      <w:r w:rsidRPr="00124479">
        <w:t>Zdroj: ÚÚR</w:t>
      </w:r>
    </w:p>
    <w:p w14:paraId="1F913DA4" w14:textId="77777777" w:rsidR="00A0104B" w:rsidRDefault="00A0104B" w:rsidP="00A0104B">
      <w:pPr>
        <w:spacing w:before="0" w:after="0"/>
        <w:jc w:val="left"/>
        <w:rPr>
          <w:rFonts w:eastAsia="Times New Roman"/>
          <w:b/>
          <w:bCs/>
          <w:color w:val="000000"/>
          <w:sz w:val="22"/>
          <w:szCs w:val="20"/>
          <w:lang w:eastAsia="cs-CZ"/>
        </w:rPr>
      </w:pPr>
    </w:p>
    <w:p w14:paraId="21F66E55" w14:textId="77777777" w:rsidR="00A0104B" w:rsidRDefault="00A0104B" w:rsidP="00A0104B">
      <w:pPr>
        <w:pStyle w:val="Titulek"/>
        <w:keepNext/>
      </w:pPr>
      <w:r>
        <w:t xml:space="preserve">Tabulka </w:t>
      </w:r>
      <w:r w:rsidR="004B0591">
        <w:fldChar w:fldCharType="begin"/>
      </w:r>
      <w:r w:rsidR="004B0591">
        <w:instrText xml:space="preserve"> SEQ Tabulka \* ARABIC </w:instrText>
      </w:r>
      <w:r w:rsidR="004B0591">
        <w:fldChar w:fldCharType="separate"/>
      </w:r>
      <w:r>
        <w:rPr>
          <w:noProof/>
        </w:rPr>
        <w:t>5</w:t>
      </w:r>
      <w:r w:rsidR="004B0591">
        <w:rPr>
          <w:noProof/>
        </w:rPr>
        <w:fldChar w:fldCharType="end"/>
      </w:r>
      <w:r>
        <w:t>: Vývoj počtu pracovníků, prvoinstanční SSÚ, VS</w:t>
      </w:r>
    </w:p>
    <w:tbl>
      <w:tblPr>
        <w:tblStyle w:val="Barevntabulkaseznamu6zvraznn51"/>
        <w:tblW w:w="9478" w:type="dxa"/>
        <w:tblLook w:val="04A0" w:firstRow="1" w:lastRow="0" w:firstColumn="1" w:lastColumn="0" w:noHBand="0" w:noVBand="1"/>
      </w:tblPr>
      <w:tblGrid>
        <w:gridCol w:w="1696"/>
        <w:gridCol w:w="709"/>
        <w:gridCol w:w="851"/>
        <w:gridCol w:w="850"/>
        <w:gridCol w:w="851"/>
        <w:gridCol w:w="663"/>
        <w:gridCol w:w="688"/>
        <w:gridCol w:w="709"/>
        <w:gridCol w:w="709"/>
        <w:gridCol w:w="850"/>
        <w:gridCol w:w="902"/>
      </w:tblGrid>
      <w:tr w:rsidR="00A0104B" w:rsidRPr="00382694" w14:paraId="61F7504D" w14:textId="77777777" w:rsidTr="00197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5F37DBC" w14:textId="77777777" w:rsidR="00A0104B" w:rsidRPr="00275764" w:rsidRDefault="00A0104B" w:rsidP="00197E1E">
            <w:pPr>
              <w:spacing w:before="0" w:after="0"/>
              <w:jc w:val="left"/>
              <w:rPr>
                <w:rFonts w:ascii="Times New Roman" w:eastAsia="Times New Roman" w:hAnsi="Times New Roman"/>
                <w:sz w:val="20"/>
                <w:szCs w:val="20"/>
                <w:lang w:eastAsia="cs-CZ"/>
              </w:rPr>
            </w:pPr>
          </w:p>
        </w:tc>
        <w:tc>
          <w:tcPr>
            <w:tcW w:w="709" w:type="dxa"/>
            <w:noWrap/>
            <w:vAlign w:val="center"/>
            <w:hideMark/>
          </w:tcPr>
          <w:p w14:paraId="692B5A61"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2011</w:t>
            </w:r>
          </w:p>
        </w:tc>
        <w:tc>
          <w:tcPr>
            <w:tcW w:w="851" w:type="dxa"/>
            <w:noWrap/>
            <w:vAlign w:val="center"/>
            <w:hideMark/>
          </w:tcPr>
          <w:p w14:paraId="3F372736"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2012</w:t>
            </w:r>
          </w:p>
        </w:tc>
        <w:tc>
          <w:tcPr>
            <w:tcW w:w="850" w:type="dxa"/>
            <w:noWrap/>
            <w:vAlign w:val="center"/>
            <w:hideMark/>
          </w:tcPr>
          <w:p w14:paraId="41E812A4"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2013</w:t>
            </w:r>
          </w:p>
        </w:tc>
        <w:tc>
          <w:tcPr>
            <w:tcW w:w="851" w:type="dxa"/>
            <w:noWrap/>
            <w:vAlign w:val="center"/>
            <w:hideMark/>
          </w:tcPr>
          <w:p w14:paraId="7F1FF71D"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2014</w:t>
            </w:r>
          </w:p>
        </w:tc>
        <w:tc>
          <w:tcPr>
            <w:tcW w:w="663" w:type="dxa"/>
            <w:noWrap/>
            <w:vAlign w:val="center"/>
            <w:hideMark/>
          </w:tcPr>
          <w:p w14:paraId="08581610"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2015</w:t>
            </w:r>
          </w:p>
        </w:tc>
        <w:tc>
          <w:tcPr>
            <w:tcW w:w="688" w:type="dxa"/>
            <w:noWrap/>
            <w:vAlign w:val="center"/>
            <w:hideMark/>
          </w:tcPr>
          <w:p w14:paraId="36532779"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2016</w:t>
            </w:r>
          </w:p>
        </w:tc>
        <w:tc>
          <w:tcPr>
            <w:tcW w:w="709" w:type="dxa"/>
            <w:noWrap/>
            <w:vAlign w:val="center"/>
            <w:hideMark/>
          </w:tcPr>
          <w:p w14:paraId="2F1E279F"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2017</w:t>
            </w:r>
          </w:p>
        </w:tc>
        <w:tc>
          <w:tcPr>
            <w:tcW w:w="709" w:type="dxa"/>
            <w:noWrap/>
            <w:vAlign w:val="center"/>
            <w:hideMark/>
          </w:tcPr>
          <w:p w14:paraId="32E2D05C"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2018</w:t>
            </w:r>
          </w:p>
        </w:tc>
        <w:tc>
          <w:tcPr>
            <w:tcW w:w="850" w:type="dxa"/>
            <w:noWrap/>
            <w:vAlign w:val="center"/>
            <w:hideMark/>
          </w:tcPr>
          <w:p w14:paraId="42602BD8"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2019</w:t>
            </w:r>
          </w:p>
        </w:tc>
        <w:tc>
          <w:tcPr>
            <w:tcW w:w="902" w:type="dxa"/>
            <w:noWrap/>
            <w:vAlign w:val="center"/>
            <w:hideMark/>
          </w:tcPr>
          <w:p w14:paraId="7E7ECFD0" w14:textId="77777777" w:rsidR="00A0104B" w:rsidRPr="00275764" w:rsidRDefault="00A0104B" w:rsidP="00197E1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2020</w:t>
            </w:r>
          </w:p>
        </w:tc>
      </w:tr>
      <w:tr w:rsidR="00A0104B" w:rsidRPr="00382694" w14:paraId="4730939C"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78" w:type="dxa"/>
            <w:gridSpan w:val="11"/>
            <w:shd w:val="clear" w:color="auto" w:fill="FEFCBE" w:themeFill="accent1" w:themeFillTint="33"/>
            <w:noWrap/>
            <w:vAlign w:val="center"/>
            <w:hideMark/>
          </w:tcPr>
          <w:p w14:paraId="67D08FFC" w14:textId="77777777" w:rsidR="00A0104B" w:rsidRPr="00275764" w:rsidRDefault="00A0104B" w:rsidP="00197E1E">
            <w:pPr>
              <w:spacing w:before="0" w:after="0"/>
              <w:jc w:val="left"/>
              <w:rPr>
                <w:rFonts w:ascii="Times New Roman" w:eastAsia="Times New Roman" w:hAnsi="Times New Roman"/>
                <w:sz w:val="20"/>
                <w:szCs w:val="20"/>
                <w:lang w:eastAsia="cs-CZ"/>
              </w:rPr>
            </w:pPr>
            <w:r w:rsidRPr="004C292E">
              <w:rPr>
                <w:rFonts w:ascii="Calibri" w:eastAsia="Times New Roman" w:hAnsi="Calibri" w:cs="Calibri"/>
                <w:sz w:val="20"/>
                <w:szCs w:val="20"/>
                <w:lang w:eastAsia="cs-CZ"/>
              </w:rPr>
              <w:t>Počet oprávněných úředních osob se zkouškou odborné způsobilosti</w:t>
            </w:r>
          </w:p>
        </w:tc>
      </w:tr>
      <w:tr w:rsidR="00A0104B" w:rsidRPr="00382694" w14:paraId="29BD8515"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2D9B9214"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obce III. t</w:t>
            </w:r>
            <w:r w:rsidRPr="00382694">
              <w:rPr>
                <w:rFonts w:ascii="Calibri" w:eastAsia="Times New Roman" w:hAnsi="Calibri" w:cs="Calibri"/>
                <w:color w:val="000000"/>
                <w:sz w:val="20"/>
                <w:szCs w:val="20"/>
                <w:lang w:eastAsia="cs-CZ"/>
              </w:rPr>
              <w:t>.</w:t>
            </w:r>
          </w:p>
        </w:tc>
        <w:tc>
          <w:tcPr>
            <w:tcW w:w="709" w:type="dxa"/>
            <w:noWrap/>
            <w:vAlign w:val="center"/>
            <w:hideMark/>
          </w:tcPr>
          <w:p w14:paraId="443FCAE7"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578</w:t>
            </w:r>
          </w:p>
        </w:tc>
        <w:tc>
          <w:tcPr>
            <w:tcW w:w="851" w:type="dxa"/>
            <w:noWrap/>
            <w:vAlign w:val="center"/>
            <w:hideMark/>
          </w:tcPr>
          <w:p w14:paraId="5E57DE40"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571</w:t>
            </w:r>
          </w:p>
        </w:tc>
        <w:tc>
          <w:tcPr>
            <w:tcW w:w="850" w:type="dxa"/>
            <w:noWrap/>
            <w:vAlign w:val="center"/>
            <w:hideMark/>
          </w:tcPr>
          <w:p w14:paraId="6BF63163"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552</w:t>
            </w:r>
          </w:p>
        </w:tc>
        <w:tc>
          <w:tcPr>
            <w:tcW w:w="851" w:type="dxa"/>
            <w:noWrap/>
            <w:vAlign w:val="center"/>
            <w:hideMark/>
          </w:tcPr>
          <w:p w14:paraId="5ED191A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570</w:t>
            </w:r>
          </w:p>
        </w:tc>
        <w:tc>
          <w:tcPr>
            <w:tcW w:w="663" w:type="dxa"/>
            <w:noWrap/>
            <w:vAlign w:val="center"/>
            <w:hideMark/>
          </w:tcPr>
          <w:p w14:paraId="28CCD8A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593</w:t>
            </w:r>
          </w:p>
        </w:tc>
        <w:tc>
          <w:tcPr>
            <w:tcW w:w="688" w:type="dxa"/>
            <w:noWrap/>
            <w:vAlign w:val="center"/>
            <w:hideMark/>
          </w:tcPr>
          <w:p w14:paraId="559F7E17"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584</w:t>
            </w:r>
          </w:p>
        </w:tc>
        <w:tc>
          <w:tcPr>
            <w:tcW w:w="709" w:type="dxa"/>
            <w:noWrap/>
            <w:vAlign w:val="center"/>
            <w:hideMark/>
          </w:tcPr>
          <w:p w14:paraId="62B51DE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567</w:t>
            </w:r>
          </w:p>
        </w:tc>
        <w:tc>
          <w:tcPr>
            <w:tcW w:w="709" w:type="dxa"/>
            <w:noWrap/>
            <w:vAlign w:val="center"/>
            <w:hideMark/>
          </w:tcPr>
          <w:p w14:paraId="594845A9"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558</w:t>
            </w:r>
          </w:p>
        </w:tc>
        <w:tc>
          <w:tcPr>
            <w:tcW w:w="850" w:type="dxa"/>
            <w:noWrap/>
            <w:vAlign w:val="center"/>
            <w:hideMark/>
          </w:tcPr>
          <w:p w14:paraId="44A54713"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560</w:t>
            </w:r>
          </w:p>
        </w:tc>
        <w:tc>
          <w:tcPr>
            <w:tcW w:w="902" w:type="dxa"/>
            <w:noWrap/>
            <w:vAlign w:val="center"/>
            <w:hideMark/>
          </w:tcPr>
          <w:p w14:paraId="13A48636"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571</w:t>
            </w:r>
          </w:p>
        </w:tc>
      </w:tr>
      <w:tr w:rsidR="00A0104B" w:rsidRPr="00382694" w14:paraId="7308638A"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66A74AB2"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ÚČSM</w:t>
            </w:r>
          </w:p>
        </w:tc>
        <w:tc>
          <w:tcPr>
            <w:tcW w:w="709" w:type="dxa"/>
            <w:noWrap/>
            <w:vAlign w:val="center"/>
            <w:hideMark/>
          </w:tcPr>
          <w:p w14:paraId="3AE98739"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73</w:t>
            </w:r>
          </w:p>
        </w:tc>
        <w:tc>
          <w:tcPr>
            <w:tcW w:w="851" w:type="dxa"/>
            <w:noWrap/>
            <w:vAlign w:val="center"/>
            <w:hideMark/>
          </w:tcPr>
          <w:p w14:paraId="2BF57983"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127</w:t>
            </w:r>
          </w:p>
        </w:tc>
        <w:tc>
          <w:tcPr>
            <w:tcW w:w="850" w:type="dxa"/>
            <w:noWrap/>
            <w:vAlign w:val="center"/>
            <w:hideMark/>
          </w:tcPr>
          <w:p w14:paraId="03436E56"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132</w:t>
            </w:r>
          </w:p>
        </w:tc>
        <w:tc>
          <w:tcPr>
            <w:tcW w:w="851" w:type="dxa"/>
            <w:noWrap/>
            <w:vAlign w:val="center"/>
            <w:hideMark/>
          </w:tcPr>
          <w:p w14:paraId="4CEC8141"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102</w:t>
            </w:r>
          </w:p>
        </w:tc>
        <w:tc>
          <w:tcPr>
            <w:tcW w:w="663" w:type="dxa"/>
            <w:noWrap/>
            <w:vAlign w:val="center"/>
            <w:hideMark/>
          </w:tcPr>
          <w:p w14:paraId="2827744E"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92</w:t>
            </w:r>
          </w:p>
        </w:tc>
        <w:tc>
          <w:tcPr>
            <w:tcW w:w="688" w:type="dxa"/>
            <w:noWrap/>
            <w:vAlign w:val="center"/>
            <w:hideMark/>
          </w:tcPr>
          <w:p w14:paraId="0CA5AF14"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92</w:t>
            </w:r>
          </w:p>
        </w:tc>
        <w:tc>
          <w:tcPr>
            <w:tcW w:w="709" w:type="dxa"/>
            <w:noWrap/>
            <w:vAlign w:val="center"/>
            <w:hideMark/>
          </w:tcPr>
          <w:p w14:paraId="4B3A4478"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95</w:t>
            </w:r>
          </w:p>
        </w:tc>
        <w:tc>
          <w:tcPr>
            <w:tcW w:w="709" w:type="dxa"/>
            <w:noWrap/>
            <w:vAlign w:val="center"/>
            <w:hideMark/>
          </w:tcPr>
          <w:p w14:paraId="15617DE6"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90</w:t>
            </w:r>
          </w:p>
        </w:tc>
        <w:tc>
          <w:tcPr>
            <w:tcW w:w="850" w:type="dxa"/>
            <w:noWrap/>
            <w:vAlign w:val="center"/>
            <w:hideMark/>
          </w:tcPr>
          <w:p w14:paraId="58278CE9"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91</w:t>
            </w:r>
          </w:p>
        </w:tc>
        <w:tc>
          <w:tcPr>
            <w:tcW w:w="902" w:type="dxa"/>
            <w:noWrap/>
            <w:vAlign w:val="center"/>
            <w:hideMark/>
          </w:tcPr>
          <w:p w14:paraId="0055B4DE"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87</w:t>
            </w:r>
          </w:p>
        </w:tc>
      </w:tr>
      <w:tr w:rsidR="00A0104B" w:rsidRPr="00382694" w14:paraId="23AE8D2F"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23DF9C7F"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KÚ</w:t>
            </w:r>
          </w:p>
        </w:tc>
        <w:tc>
          <w:tcPr>
            <w:tcW w:w="709" w:type="dxa"/>
            <w:noWrap/>
            <w:vAlign w:val="center"/>
            <w:hideMark/>
          </w:tcPr>
          <w:p w14:paraId="548383A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90</w:t>
            </w:r>
          </w:p>
        </w:tc>
        <w:tc>
          <w:tcPr>
            <w:tcW w:w="851" w:type="dxa"/>
            <w:noWrap/>
            <w:vAlign w:val="center"/>
            <w:hideMark/>
          </w:tcPr>
          <w:p w14:paraId="545DD357"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91</w:t>
            </w:r>
          </w:p>
        </w:tc>
        <w:tc>
          <w:tcPr>
            <w:tcW w:w="850" w:type="dxa"/>
            <w:noWrap/>
            <w:vAlign w:val="center"/>
            <w:hideMark/>
          </w:tcPr>
          <w:p w14:paraId="2E818341"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79</w:t>
            </w:r>
          </w:p>
        </w:tc>
        <w:tc>
          <w:tcPr>
            <w:tcW w:w="851" w:type="dxa"/>
            <w:noWrap/>
            <w:vAlign w:val="center"/>
            <w:hideMark/>
          </w:tcPr>
          <w:p w14:paraId="39951580"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87</w:t>
            </w:r>
          </w:p>
        </w:tc>
        <w:tc>
          <w:tcPr>
            <w:tcW w:w="663" w:type="dxa"/>
            <w:noWrap/>
            <w:vAlign w:val="center"/>
            <w:hideMark/>
          </w:tcPr>
          <w:p w14:paraId="2766B4E1"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91</w:t>
            </w:r>
          </w:p>
        </w:tc>
        <w:tc>
          <w:tcPr>
            <w:tcW w:w="688" w:type="dxa"/>
            <w:noWrap/>
            <w:vAlign w:val="center"/>
            <w:hideMark/>
          </w:tcPr>
          <w:p w14:paraId="2A35EC5D"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92</w:t>
            </w:r>
          </w:p>
        </w:tc>
        <w:tc>
          <w:tcPr>
            <w:tcW w:w="709" w:type="dxa"/>
            <w:noWrap/>
            <w:vAlign w:val="center"/>
            <w:hideMark/>
          </w:tcPr>
          <w:p w14:paraId="71B97058"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91</w:t>
            </w:r>
          </w:p>
        </w:tc>
        <w:tc>
          <w:tcPr>
            <w:tcW w:w="709" w:type="dxa"/>
            <w:noWrap/>
            <w:vAlign w:val="center"/>
            <w:hideMark/>
          </w:tcPr>
          <w:p w14:paraId="7217C186"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90</w:t>
            </w:r>
          </w:p>
        </w:tc>
        <w:tc>
          <w:tcPr>
            <w:tcW w:w="850" w:type="dxa"/>
            <w:noWrap/>
            <w:vAlign w:val="center"/>
            <w:hideMark/>
          </w:tcPr>
          <w:p w14:paraId="14681EB4"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90</w:t>
            </w:r>
          </w:p>
        </w:tc>
        <w:tc>
          <w:tcPr>
            <w:tcW w:w="902" w:type="dxa"/>
            <w:noWrap/>
            <w:vAlign w:val="center"/>
            <w:hideMark/>
          </w:tcPr>
          <w:p w14:paraId="796E9DF4"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82</w:t>
            </w:r>
          </w:p>
        </w:tc>
      </w:tr>
      <w:tr w:rsidR="00A0104B" w:rsidRPr="00382694" w14:paraId="660DD3A3"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7A6AFB25"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ČR</w:t>
            </w:r>
          </w:p>
        </w:tc>
        <w:tc>
          <w:tcPr>
            <w:tcW w:w="709" w:type="dxa"/>
            <w:noWrap/>
            <w:vAlign w:val="center"/>
            <w:hideMark/>
          </w:tcPr>
          <w:p w14:paraId="7531A7AF"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741</w:t>
            </w:r>
          </w:p>
        </w:tc>
        <w:tc>
          <w:tcPr>
            <w:tcW w:w="851" w:type="dxa"/>
            <w:noWrap/>
            <w:vAlign w:val="center"/>
            <w:hideMark/>
          </w:tcPr>
          <w:p w14:paraId="0CFADE7C"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789</w:t>
            </w:r>
          </w:p>
        </w:tc>
        <w:tc>
          <w:tcPr>
            <w:tcW w:w="850" w:type="dxa"/>
            <w:noWrap/>
            <w:vAlign w:val="center"/>
            <w:hideMark/>
          </w:tcPr>
          <w:p w14:paraId="0F3602E8"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763</w:t>
            </w:r>
          </w:p>
        </w:tc>
        <w:tc>
          <w:tcPr>
            <w:tcW w:w="851" w:type="dxa"/>
            <w:noWrap/>
            <w:vAlign w:val="center"/>
            <w:hideMark/>
          </w:tcPr>
          <w:p w14:paraId="261A392D"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759</w:t>
            </w:r>
          </w:p>
        </w:tc>
        <w:tc>
          <w:tcPr>
            <w:tcW w:w="663" w:type="dxa"/>
            <w:noWrap/>
            <w:vAlign w:val="center"/>
            <w:hideMark/>
          </w:tcPr>
          <w:p w14:paraId="57104458"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776</w:t>
            </w:r>
          </w:p>
        </w:tc>
        <w:tc>
          <w:tcPr>
            <w:tcW w:w="688" w:type="dxa"/>
            <w:noWrap/>
            <w:vAlign w:val="center"/>
            <w:hideMark/>
          </w:tcPr>
          <w:p w14:paraId="261ACB5F"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768</w:t>
            </w:r>
          </w:p>
        </w:tc>
        <w:tc>
          <w:tcPr>
            <w:tcW w:w="709" w:type="dxa"/>
            <w:noWrap/>
            <w:vAlign w:val="center"/>
            <w:hideMark/>
          </w:tcPr>
          <w:p w14:paraId="6CF8C876"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753</w:t>
            </w:r>
          </w:p>
        </w:tc>
        <w:tc>
          <w:tcPr>
            <w:tcW w:w="709" w:type="dxa"/>
            <w:noWrap/>
            <w:vAlign w:val="center"/>
            <w:hideMark/>
          </w:tcPr>
          <w:p w14:paraId="1F2F459D"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738</w:t>
            </w:r>
          </w:p>
        </w:tc>
        <w:tc>
          <w:tcPr>
            <w:tcW w:w="850" w:type="dxa"/>
            <w:noWrap/>
            <w:vAlign w:val="center"/>
            <w:hideMark/>
          </w:tcPr>
          <w:p w14:paraId="738E5D7E"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741</w:t>
            </w:r>
          </w:p>
        </w:tc>
        <w:tc>
          <w:tcPr>
            <w:tcW w:w="902" w:type="dxa"/>
            <w:noWrap/>
            <w:vAlign w:val="center"/>
            <w:hideMark/>
          </w:tcPr>
          <w:p w14:paraId="37A59339"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740</w:t>
            </w:r>
          </w:p>
        </w:tc>
      </w:tr>
      <w:tr w:rsidR="00A0104B" w:rsidRPr="00382694" w14:paraId="4037E60D"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3B7CFD91" w14:textId="77777777" w:rsidR="00A0104B" w:rsidRPr="00275764" w:rsidRDefault="00A0104B" w:rsidP="00197E1E">
            <w:pPr>
              <w:spacing w:before="0" w:after="0"/>
              <w:jc w:val="right"/>
              <w:rPr>
                <w:rFonts w:ascii="Calibri" w:eastAsia="Times New Roman" w:hAnsi="Calibri" w:cs="Calibri"/>
                <w:color w:val="000000"/>
                <w:sz w:val="20"/>
                <w:szCs w:val="20"/>
                <w:lang w:eastAsia="cs-CZ"/>
              </w:rPr>
            </w:pPr>
          </w:p>
        </w:tc>
        <w:tc>
          <w:tcPr>
            <w:tcW w:w="709" w:type="dxa"/>
            <w:noWrap/>
            <w:vAlign w:val="center"/>
            <w:hideMark/>
          </w:tcPr>
          <w:p w14:paraId="451865FD"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851" w:type="dxa"/>
            <w:noWrap/>
            <w:vAlign w:val="center"/>
            <w:hideMark/>
          </w:tcPr>
          <w:p w14:paraId="540D6B3B"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850" w:type="dxa"/>
            <w:noWrap/>
            <w:vAlign w:val="center"/>
            <w:hideMark/>
          </w:tcPr>
          <w:p w14:paraId="21D7ABD9"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851" w:type="dxa"/>
            <w:noWrap/>
            <w:vAlign w:val="center"/>
            <w:hideMark/>
          </w:tcPr>
          <w:p w14:paraId="69E86F82"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663" w:type="dxa"/>
            <w:noWrap/>
            <w:vAlign w:val="center"/>
            <w:hideMark/>
          </w:tcPr>
          <w:p w14:paraId="150AB99A"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688" w:type="dxa"/>
            <w:noWrap/>
            <w:vAlign w:val="center"/>
            <w:hideMark/>
          </w:tcPr>
          <w:p w14:paraId="577F0796"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09" w:type="dxa"/>
            <w:noWrap/>
            <w:vAlign w:val="center"/>
            <w:hideMark/>
          </w:tcPr>
          <w:p w14:paraId="3F52D9A3"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709" w:type="dxa"/>
            <w:noWrap/>
            <w:vAlign w:val="center"/>
            <w:hideMark/>
          </w:tcPr>
          <w:p w14:paraId="68741B61"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850" w:type="dxa"/>
            <w:noWrap/>
            <w:vAlign w:val="center"/>
            <w:hideMark/>
          </w:tcPr>
          <w:p w14:paraId="494B37EC"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c>
          <w:tcPr>
            <w:tcW w:w="902" w:type="dxa"/>
            <w:noWrap/>
            <w:vAlign w:val="center"/>
            <w:hideMark/>
          </w:tcPr>
          <w:p w14:paraId="65AD30D9" w14:textId="77777777" w:rsidR="00A0104B" w:rsidRPr="00275764" w:rsidRDefault="00A0104B" w:rsidP="00197E1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cs-CZ"/>
              </w:rPr>
            </w:pPr>
          </w:p>
        </w:tc>
      </w:tr>
      <w:tr w:rsidR="00A0104B" w:rsidRPr="00382694" w14:paraId="695FDBCE"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78" w:type="dxa"/>
            <w:gridSpan w:val="11"/>
            <w:shd w:val="clear" w:color="auto" w:fill="FEFCBE" w:themeFill="accent1" w:themeFillTint="33"/>
            <w:noWrap/>
            <w:vAlign w:val="center"/>
            <w:hideMark/>
          </w:tcPr>
          <w:p w14:paraId="3B8145CF" w14:textId="77777777" w:rsidR="00A0104B" w:rsidRPr="00275764" w:rsidRDefault="00A0104B" w:rsidP="00197E1E">
            <w:pPr>
              <w:spacing w:before="0" w:after="0"/>
              <w:jc w:val="left"/>
              <w:rPr>
                <w:rFonts w:ascii="Times New Roman" w:eastAsia="Times New Roman" w:hAnsi="Times New Roman"/>
                <w:sz w:val="20"/>
                <w:szCs w:val="20"/>
                <w:lang w:eastAsia="cs-CZ"/>
              </w:rPr>
            </w:pPr>
            <w:r w:rsidRPr="00275764">
              <w:rPr>
                <w:rFonts w:ascii="Calibri" w:eastAsia="Times New Roman" w:hAnsi="Calibri" w:cs="Calibri"/>
                <w:color w:val="000000"/>
                <w:sz w:val="20"/>
                <w:szCs w:val="20"/>
                <w:lang w:eastAsia="cs-CZ"/>
              </w:rPr>
              <w:t>Součet úředních osob</w:t>
            </w:r>
            <w:r>
              <w:rPr>
                <w:rFonts w:ascii="Calibri" w:eastAsia="Times New Roman" w:hAnsi="Calibri" w:cs="Calibri"/>
                <w:color w:val="000000"/>
                <w:sz w:val="20"/>
                <w:szCs w:val="20"/>
                <w:lang w:eastAsia="cs-CZ"/>
              </w:rPr>
              <w:t>/</w:t>
            </w:r>
            <w:r w:rsidRPr="00275764">
              <w:rPr>
                <w:rFonts w:ascii="Calibri" w:eastAsia="Times New Roman" w:hAnsi="Calibri" w:cs="Calibri"/>
                <w:color w:val="000000"/>
                <w:sz w:val="20"/>
                <w:szCs w:val="20"/>
                <w:lang w:eastAsia="cs-CZ"/>
              </w:rPr>
              <w:t xml:space="preserve"> Součet pracovních úvazků úředních osob</w:t>
            </w:r>
          </w:p>
        </w:tc>
      </w:tr>
      <w:tr w:rsidR="00A0104B" w:rsidRPr="00382694" w14:paraId="3DE77C62"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1D80643A"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obce III. t</w:t>
            </w:r>
            <w:r w:rsidRPr="00382694">
              <w:rPr>
                <w:rFonts w:ascii="Calibri" w:eastAsia="Times New Roman" w:hAnsi="Calibri" w:cs="Calibri"/>
                <w:color w:val="000000"/>
                <w:sz w:val="20"/>
                <w:szCs w:val="20"/>
                <w:lang w:eastAsia="cs-CZ"/>
              </w:rPr>
              <w:t>.</w:t>
            </w:r>
          </w:p>
        </w:tc>
        <w:tc>
          <w:tcPr>
            <w:tcW w:w="709" w:type="dxa"/>
            <w:noWrap/>
            <w:vAlign w:val="center"/>
            <w:hideMark/>
          </w:tcPr>
          <w:p w14:paraId="6191B83F"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916</w:t>
            </w:r>
          </w:p>
        </w:tc>
        <w:tc>
          <w:tcPr>
            <w:tcW w:w="851" w:type="dxa"/>
            <w:noWrap/>
            <w:vAlign w:val="center"/>
            <w:hideMark/>
          </w:tcPr>
          <w:p w14:paraId="2E56250D"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711</w:t>
            </w:r>
          </w:p>
        </w:tc>
        <w:tc>
          <w:tcPr>
            <w:tcW w:w="850" w:type="dxa"/>
            <w:noWrap/>
            <w:vAlign w:val="center"/>
            <w:hideMark/>
          </w:tcPr>
          <w:p w14:paraId="39D8273C"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700</w:t>
            </w:r>
          </w:p>
        </w:tc>
        <w:tc>
          <w:tcPr>
            <w:tcW w:w="851" w:type="dxa"/>
            <w:noWrap/>
            <w:vAlign w:val="center"/>
            <w:hideMark/>
          </w:tcPr>
          <w:p w14:paraId="3465F586"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718</w:t>
            </w:r>
          </w:p>
        </w:tc>
        <w:tc>
          <w:tcPr>
            <w:tcW w:w="663" w:type="dxa"/>
            <w:noWrap/>
            <w:vAlign w:val="center"/>
            <w:hideMark/>
          </w:tcPr>
          <w:p w14:paraId="4688EF85"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706</w:t>
            </w:r>
          </w:p>
        </w:tc>
        <w:tc>
          <w:tcPr>
            <w:tcW w:w="688" w:type="dxa"/>
            <w:noWrap/>
            <w:vAlign w:val="center"/>
            <w:hideMark/>
          </w:tcPr>
          <w:p w14:paraId="0E5992FE"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712</w:t>
            </w:r>
          </w:p>
        </w:tc>
        <w:tc>
          <w:tcPr>
            <w:tcW w:w="709" w:type="dxa"/>
            <w:noWrap/>
            <w:vAlign w:val="center"/>
            <w:hideMark/>
          </w:tcPr>
          <w:p w14:paraId="1D68CD4D"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702</w:t>
            </w:r>
          </w:p>
        </w:tc>
        <w:tc>
          <w:tcPr>
            <w:tcW w:w="709" w:type="dxa"/>
            <w:noWrap/>
            <w:vAlign w:val="center"/>
            <w:hideMark/>
          </w:tcPr>
          <w:p w14:paraId="5898D13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704</w:t>
            </w:r>
          </w:p>
        </w:tc>
        <w:tc>
          <w:tcPr>
            <w:tcW w:w="850" w:type="dxa"/>
            <w:noWrap/>
            <w:vAlign w:val="center"/>
            <w:hideMark/>
          </w:tcPr>
          <w:p w14:paraId="799E5D47"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715</w:t>
            </w:r>
          </w:p>
        </w:tc>
        <w:tc>
          <w:tcPr>
            <w:tcW w:w="902" w:type="dxa"/>
            <w:noWrap/>
            <w:vAlign w:val="center"/>
            <w:hideMark/>
          </w:tcPr>
          <w:p w14:paraId="4B6D5F22"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721</w:t>
            </w:r>
            <w:r>
              <w:rPr>
                <w:rFonts w:ascii="Calibri" w:eastAsia="Times New Roman" w:hAnsi="Calibri" w:cs="Calibri"/>
                <w:color w:val="000000"/>
                <w:sz w:val="20"/>
                <w:szCs w:val="20"/>
                <w:lang w:eastAsia="cs-CZ"/>
              </w:rPr>
              <w:t>/652</w:t>
            </w:r>
          </w:p>
        </w:tc>
      </w:tr>
      <w:tr w:rsidR="00A0104B" w:rsidRPr="00382694" w14:paraId="76ADD3A4"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749B9E0E"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ÚČSM</w:t>
            </w:r>
          </w:p>
        </w:tc>
        <w:tc>
          <w:tcPr>
            <w:tcW w:w="709" w:type="dxa"/>
            <w:noWrap/>
            <w:vAlign w:val="center"/>
            <w:hideMark/>
          </w:tcPr>
          <w:p w14:paraId="110B72DA"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147</w:t>
            </w:r>
          </w:p>
        </w:tc>
        <w:tc>
          <w:tcPr>
            <w:tcW w:w="851" w:type="dxa"/>
            <w:noWrap/>
            <w:vAlign w:val="center"/>
            <w:hideMark/>
          </w:tcPr>
          <w:p w14:paraId="7F41E118"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199</w:t>
            </w:r>
          </w:p>
        </w:tc>
        <w:tc>
          <w:tcPr>
            <w:tcW w:w="850" w:type="dxa"/>
            <w:noWrap/>
            <w:vAlign w:val="center"/>
            <w:hideMark/>
          </w:tcPr>
          <w:p w14:paraId="1D655600"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204</w:t>
            </w:r>
          </w:p>
        </w:tc>
        <w:tc>
          <w:tcPr>
            <w:tcW w:w="851" w:type="dxa"/>
            <w:noWrap/>
            <w:vAlign w:val="center"/>
            <w:hideMark/>
          </w:tcPr>
          <w:p w14:paraId="53A0F047"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167</w:t>
            </w:r>
          </w:p>
        </w:tc>
        <w:tc>
          <w:tcPr>
            <w:tcW w:w="663" w:type="dxa"/>
            <w:noWrap/>
            <w:vAlign w:val="center"/>
            <w:hideMark/>
          </w:tcPr>
          <w:p w14:paraId="602EA90F"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156</w:t>
            </w:r>
          </w:p>
        </w:tc>
        <w:tc>
          <w:tcPr>
            <w:tcW w:w="688" w:type="dxa"/>
            <w:noWrap/>
            <w:vAlign w:val="center"/>
            <w:hideMark/>
          </w:tcPr>
          <w:p w14:paraId="79189969"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156</w:t>
            </w:r>
          </w:p>
        </w:tc>
        <w:tc>
          <w:tcPr>
            <w:tcW w:w="709" w:type="dxa"/>
            <w:noWrap/>
            <w:vAlign w:val="center"/>
            <w:hideMark/>
          </w:tcPr>
          <w:p w14:paraId="3FC23FBD"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147</w:t>
            </w:r>
          </w:p>
        </w:tc>
        <w:tc>
          <w:tcPr>
            <w:tcW w:w="709" w:type="dxa"/>
            <w:noWrap/>
            <w:vAlign w:val="center"/>
            <w:hideMark/>
          </w:tcPr>
          <w:p w14:paraId="1A141366"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151</w:t>
            </w:r>
          </w:p>
        </w:tc>
        <w:tc>
          <w:tcPr>
            <w:tcW w:w="850" w:type="dxa"/>
            <w:noWrap/>
            <w:vAlign w:val="center"/>
            <w:hideMark/>
          </w:tcPr>
          <w:p w14:paraId="0F38EC73"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154</w:t>
            </w:r>
          </w:p>
        </w:tc>
        <w:tc>
          <w:tcPr>
            <w:tcW w:w="902" w:type="dxa"/>
            <w:noWrap/>
            <w:vAlign w:val="center"/>
            <w:hideMark/>
          </w:tcPr>
          <w:p w14:paraId="15D3BAB1"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145</w:t>
            </w:r>
            <w:r>
              <w:rPr>
                <w:rFonts w:ascii="Calibri" w:eastAsia="Times New Roman" w:hAnsi="Calibri" w:cs="Calibri"/>
                <w:color w:val="000000"/>
                <w:sz w:val="20"/>
                <w:szCs w:val="20"/>
                <w:lang w:eastAsia="cs-CZ"/>
              </w:rPr>
              <w:t>/108</w:t>
            </w:r>
          </w:p>
        </w:tc>
      </w:tr>
      <w:tr w:rsidR="00A0104B" w:rsidRPr="00382694" w14:paraId="6F90F003" w14:textId="77777777" w:rsidTr="00197E1E">
        <w:trPr>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059D3564"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KÚ</w:t>
            </w:r>
          </w:p>
        </w:tc>
        <w:tc>
          <w:tcPr>
            <w:tcW w:w="709" w:type="dxa"/>
            <w:noWrap/>
            <w:vAlign w:val="center"/>
            <w:hideMark/>
          </w:tcPr>
          <w:p w14:paraId="7B15E5B6"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180</w:t>
            </w:r>
          </w:p>
        </w:tc>
        <w:tc>
          <w:tcPr>
            <w:tcW w:w="851" w:type="dxa"/>
            <w:noWrap/>
            <w:vAlign w:val="center"/>
            <w:hideMark/>
          </w:tcPr>
          <w:p w14:paraId="121A73A7"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103</w:t>
            </w:r>
          </w:p>
        </w:tc>
        <w:tc>
          <w:tcPr>
            <w:tcW w:w="850" w:type="dxa"/>
            <w:noWrap/>
            <w:vAlign w:val="center"/>
            <w:hideMark/>
          </w:tcPr>
          <w:p w14:paraId="1BD37CF3"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92</w:t>
            </w:r>
          </w:p>
        </w:tc>
        <w:tc>
          <w:tcPr>
            <w:tcW w:w="851" w:type="dxa"/>
            <w:noWrap/>
            <w:vAlign w:val="center"/>
            <w:hideMark/>
          </w:tcPr>
          <w:p w14:paraId="1B6D415C"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106</w:t>
            </w:r>
          </w:p>
        </w:tc>
        <w:tc>
          <w:tcPr>
            <w:tcW w:w="663" w:type="dxa"/>
            <w:noWrap/>
            <w:vAlign w:val="center"/>
            <w:hideMark/>
          </w:tcPr>
          <w:p w14:paraId="49711A0C"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101</w:t>
            </w:r>
          </w:p>
        </w:tc>
        <w:tc>
          <w:tcPr>
            <w:tcW w:w="688" w:type="dxa"/>
            <w:noWrap/>
            <w:vAlign w:val="center"/>
            <w:hideMark/>
          </w:tcPr>
          <w:p w14:paraId="13011DF9"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102</w:t>
            </w:r>
          </w:p>
        </w:tc>
        <w:tc>
          <w:tcPr>
            <w:tcW w:w="709" w:type="dxa"/>
            <w:noWrap/>
            <w:vAlign w:val="center"/>
            <w:hideMark/>
          </w:tcPr>
          <w:p w14:paraId="2CE7843E"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101</w:t>
            </w:r>
          </w:p>
        </w:tc>
        <w:tc>
          <w:tcPr>
            <w:tcW w:w="709" w:type="dxa"/>
            <w:noWrap/>
            <w:vAlign w:val="center"/>
            <w:hideMark/>
          </w:tcPr>
          <w:p w14:paraId="48C90D7F"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101</w:t>
            </w:r>
          </w:p>
        </w:tc>
        <w:tc>
          <w:tcPr>
            <w:tcW w:w="850" w:type="dxa"/>
            <w:noWrap/>
            <w:vAlign w:val="center"/>
            <w:hideMark/>
          </w:tcPr>
          <w:p w14:paraId="6417AC35"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101</w:t>
            </w:r>
          </w:p>
        </w:tc>
        <w:tc>
          <w:tcPr>
            <w:tcW w:w="902" w:type="dxa"/>
            <w:noWrap/>
            <w:vAlign w:val="center"/>
            <w:hideMark/>
          </w:tcPr>
          <w:p w14:paraId="7B365CBE" w14:textId="77777777" w:rsidR="00A0104B" w:rsidRPr="00275764"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100</w:t>
            </w:r>
            <w:r>
              <w:rPr>
                <w:rFonts w:ascii="Calibri" w:eastAsia="Times New Roman" w:hAnsi="Calibri" w:cs="Calibri"/>
                <w:color w:val="000000"/>
                <w:sz w:val="20"/>
                <w:szCs w:val="20"/>
                <w:lang w:eastAsia="cs-CZ"/>
              </w:rPr>
              <w:t>/91</w:t>
            </w:r>
          </w:p>
        </w:tc>
      </w:tr>
      <w:tr w:rsidR="00A0104B" w:rsidRPr="00382694" w14:paraId="72C0A22F" w14:textId="77777777" w:rsidTr="00197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noWrap/>
            <w:vAlign w:val="center"/>
            <w:hideMark/>
          </w:tcPr>
          <w:p w14:paraId="2654A132" w14:textId="77777777" w:rsidR="00A0104B" w:rsidRPr="00275764" w:rsidRDefault="00A0104B" w:rsidP="00197E1E">
            <w:pPr>
              <w:spacing w:before="0" w:after="0"/>
              <w:jc w:val="left"/>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SÚ – ČR</w:t>
            </w:r>
          </w:p>
        </w:tc>
        <w:tc>
          <w:tcPr>
            <w:tcW w:w="709" w:type="dxa"/>
            <w:noWrap/>
            <w:vAlign w:val="center"/>
            <w:hideMark/>
          </w:tcPr>
          <w:p w14:paraId="17B8C99E"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1243</w:t>
            </w:r>
          </w:p>
        </w:tc>
        <w:tc>
          <w:tcPr>
            <w:tcW w:w="851" w:type="dxa"/>
            <w:noWrap/>
            <w:vAlign w:val="center"/>
            <w:hideMark/>
          </w:tcPr>
          <w:p w14:paraId="271B6CB2"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1013</w:t>
            </w:r>
          </w:p>
        </w:tc>
        <w:tc>
          <w:tcPr>
            <w:tcW w:w="850" w:type="dxa"/>
            <w:noWrap/>
            <w:vAlign w:val="center"/>
            <w:hideMark/>
          </w:tcPr>
          <w:p w14:paraId="6225A847"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996</w:t>
            </w:r>
          </w:p>
        </w:tc>
        <w:tc>
          <w:tcPr>
            <w:tcW w:w="851" w:type="dxa"/>
            <w:noWrap/>
            <w:vAlign w:val="center"/>
            <w:hideMark/>
          </w:tcPr>
          <w:p w14:paraId="59B58DCC"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991</w:t>
            </w:r>
          </w:p>
        </w:tc>
        <w:tc>
          <w:tcPr>
            <w:tcW w:w="663" w:type="dxa"/>
            <w:noWrap/>
            <w:vAlign w:val="center"/>
            <w:hideMark/>
          </w:tcPr>
          <w:p w14:paraId="250DBB6E"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963</w:t>
            </w:r>
          </w:p>
        </w:tc>
        <w:tc>
          <w:tcPr>
            <w:tcW w:w="688" w:type="dxa"/>
            <w:noWrap/>
            <w:vAlign w:val="center"/>
            <w:hideMark/>
          </w:tcPr>
          <w:p w14:paraId="1ADC2927"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970</w:t>
            </w:r>
          </w:p>
        </w:tc>
        <w:tc>
          <w:tcPr>
            <w:tcW w:w="709" w:type="dxa"/>
            <w:noWrap/>
            <w:vAlign w:val="center"/>
            <w:hideMark/>
          </w:tcPr>
          <w:p w14:paraId="0B238DDF"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950</w:t>
            </w:r>
          </w:p>
        </w:tc>
        <w:tc>
          <w:tcPr>
            <w:tcW w:w="709" w:type="dxa"/>
            <w:noWrap/>
            <w:vAlign w:val="center"/>
            <w:hideMark/>
          </w:tcPr>
          <w:p w14:paraId="6E06492C"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956</w:t>
            </w:r>
          </w:p>
        </w:tc>
        <w:tc>
          <w:tcPr>
            <w:tcW w:w="850" w:type="dxa"/>
            <w:noWrap/>
            <w:vAlign w:val="center"/>
            <w:hideMark/>
          </w:tcPr>
          <w:p w14:paraId="023220CA"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970</w:t>
            </w:r>
          </w:p>
        </w:tc>
        <w:tc>
          <w:tcPr>
            <w:tcW w:w="902" w:type="dxa"/>
            <w:noWrap/>
            <w:vAlign w:val="center"/>
            <w:hideMark/>
          </w:tcPr>
          <w:p w14:paraId="582085FA" w14:textId="77777777" w:rsidR="00A0104B" w:rsidRPr="00275764"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275764">
              <w:rPr>
                <w:rFonts w:ascii="Calibri" w:eastAsia="Times New Roman" w:hAnsi="Calibri" w:cs="Calibri"/>
                <w:color w:val="000000"/>
                <w:sz w:val="20"/>
                <w:szCs w:val="20"/>
                <w:lang w:eastAsia="cs-CZ"/>
              </w:rPr>
              <w:t>966</w:t>
            </w:r>
            <w:r>
              <w:rPr>
                <w:rFonts w:ascii="Calibri" w:eastAsia="Times New Roman" w:hAnsi="Calibri" w:cs="Calibri"/>
                <w:color w:val="000000"/>
                <w:sz w:val="20"/>
                <w:szCs w:val="20"/>
                <w:lang w:eastAsia="cs-CZ"/>
              </w:rPr>
              <w:t>/851</w:t>
            </w:r>
          </w:p>
        </w:tc>
      </w:tr>
    </w:tbl>
    <w:p w14:paraId="631AD82A" w14:textId="77777777" w:rsidR="00A0104B" w:rsidRPr="00124479" w:rsidRDefault="00A0104B" w:rsidP="00A0104B">
      <w:pPr>
        <w:pStyle w:val="Citt"/>
        <w:spacing w:before="120"/>
      </w:pPr>
      <w:r w:rsidRPr="00124479">
        <w:t>Zdroj: ÚÚR</w:t>
      </w:r>
    </w:p>
    <w:p w14:paraId="17E39D19" w14:textId="2C63FA46" w:rsidR="00A0104B" w:rsidRPr="00C46768" w:rsidRDefault="00A0104B" w:rsidP="00A0104B">
      <w:pPr>
        <w:pStyle w:val="Titulek"/>
        <w:keepNext/>
      </w:pPr>
      <w:r w:rsidRPr="00C46768">
        <w:lastRenderedPageBreak/>
        <w:t xml:space="preserve">Obrázek </w:t>
      </w:r>
      <w:r w:rsidR="004B0591">
        <w:fldChar w:fldCharType="begin"/>
      </w:r>
      <w:r w:rsidR="004B0591">
        <w:instrText xml:space="preserve"> SEQ Obrázek \* ARABIC </w:instrText>
      </w:r>
      <w:r w:rsidR="004B0591">
        <w:fldChar w:fldCharType="separate"/>
      </w:r>
      <w:r w:rsidR="007105BE">
        <w:rPr>
          <w:noProof/>
        </w:rPr>
        <w:t>11</w:t>
      </w:r>
      <w:r w:rsidR="004B0591">
        <w:rPr>
          <w:noProof/>
        </w:rPr>
        <w:fldChar w:fldCharType="end"/>
      </w:r>
      <w:r w:rsidRPr="00C46768">
        <w:t>: Povolování staveb, prvoinstanční SSÚ, VS, 2020</w:t>
      </w:r>
    </w:p>
    <w:p w14:paraId="120E99C2" w14:textId="77777777" w:rsidR="00A0104B" w:rsidRPr="00C46768" w:rsidRDefault="00A0104B" w:rsidP="00A0104B">
      <w:pPr>
        <w:pStyle w:val="Text-Normaln"/>
        <w:widowControl w:val="0"/>
      </w:pPr>
      <w:r w:rsidRPr="00C46768">
        <w:rPr>
          <w:noProof/>
          <w:lang w:eastAsia="cs-CZ"/>
        </w:rPr>
        <w:drawing>
          <wp:inline distT="0" distB="0" distL="0" distR="0" wp14:anchorId="5A3A0A7C" wp14:editId="7FB10DF6">
            <wp:extent cx="4315460" cy="2641709"/>
            <wp:effectExtent l="0" t="0" r="889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4695" t="3433" b="1807"/>
                    <a:stretch/>
                  </pic:blipFill>
                  <pic:spPr bwMode="auto">
                    <a:xfrm>
                      <a:off x="0" y="0"/>
                      <a:ext cx="4334267" cy="2653221"/>
                    </a:xfrm>
                    <a:prstGeom prst="rect">
                      <a:avLst/>
                    </a:prstGeom>
                    <a:noFill/>
                    <a:ln>
                      <a:noFill/>
                    </a:ln>
                    <a:extLst>
                      <a:ext uri="{53640926-AAD7-44D8-BBD7-CCE9431645EC}">
                        <a14:shadowObscured xmlns:a14="http://schemas.microsoft.com/office/drawing/2010/main"/>
                      </a:ext>
                    </a:extLst>
                  </pic:spPr>
                </pic:pic>
              </a:graphicData>
            </a:graphic>
          </wp:inline>
        </w:drawing>
      </w:r>
    </w:p>
    <w:p w14:paraId="552D5A80" w14:textId="77777777" w:rsidR="00A0104B" w:rsidRPr="00124479" w:rsidRDefault="00A0104B" w:rsidP="00A0104B">
      <w:pPr>
        <w:pStyle w:val="Citt"/>
        <w:spacing w:before="120"/>
      </w:pPr>
      <w:r w:rsidRPr="00C46768">
        <w:t>Zdroj: ÚÚR</w:t>
      </w:r>
    </w:p>
    <w:p w14:paraId="47F5D517" w14:textId="0F7943BD" w:rsidR="00A0104B" w:rsidRPr="00C46768" w:rsidRDefault="00A0104B" w:rsidP="00A0104B">
      <w:pPr>
        <w:pStyle w:val="Titulek"/>
        <w:keepNext/>
      </w:pPr>
      <w:r w:rsidRPr="00C46768">
        <w:t xml:space="preserve">Obrázek </w:t>
      </w:r>
      <w:r w:rsidR="004B0591">
        <w:fldChar w:fldCharType="begin"/>
      </w:r>
      <w:r w:rsidR="004B0591">
        <w:instrText xml:space="preserve"> SEQ Obrázek \* ARABIC </w:instrText>
      </w:r>
      <w:r w:rsidR="004B0591">
        <w:fldChar w:fldCharType="separate"/>
      </w:r>
      <w:r w:rsidR="007105BE">
        <w:rPr>
          <w:noProof/>
        </w:rPr>
        <w:t>12</w:t>
      </w:r>
      <w:r w:rsidR="004B0591">
        <w:rPr>
          <w:noProof/>
        </w:rPr>
        <w:fldChar w:fldCharType="end"/>
      </w:r>
      <w:r w:rsidRPr="00C46768">
        <w:t>: Odvolací řízení, prvoinstanční SSÚ, VS, 2020</w:t>
      </w:r>
    </w:p>
    <w:p w14:paraId="3CFC9F1C" w14:textId="77777777" w:rsidR="00A0104B" w:rsidRPr="00C46768" w:rsidRDefault="00A0104B" w:rsidP="00A0104B">
      <w:pPr>
        <w:pStyle w:val="Text-Normaln"/>
        <w:widowControl w:val="0"/>
      </w:pPr>
      <w:r w:rsidRPr="00C46768">
        <w:rPr>
          <w:noProof/>
          <w:lang w:eastAsia="cs-CZ"/>
        </w:rPr>
        <w:drawing>
          <wp:inline distT="0" distB="0" distL="0" distR="0" wp14:anchorId="46718B2E" wp14:editId="0CF54472">
            <wp:extent cx="4121728" cy="25424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4925" t="2669" b="1983"/>
                    <a:stretch/>
                  </pic:blipFill>
                  <pic:spPr bwMode="auto">
                    <a:xfrm>
                      <a:off x="0" y="0"/>
                      <a:ext cx="4133734" cy="2549826"/>
                    </a:xfrm>
                    <a:prstGeom prst="rect">
                      <a:avLst/>
                    </a:prstGeom>
                    <a:noFill/>
                    <a:ln>
                      <a:noFill/>
                    </a:ln>
                    <a:extLst>
                      <a:ext uri="{53640926-AAD7-44D8-BBD7-CCE9431645EC}">
                        <a14:shadowObscured xmlns:a14="http://schemas.microsoft.com/office/drawing/2010/main"/>
                      </a:ext>
                    </a:extLst>
                  </pic:spPr>
                </pic:pic>
              </a:graphicData>
            </a:graphic>
          </wp:inline>
        </w:drawing>
      </w:r>
    </w:p>
    <w:p w14:paraId="4270C126" w14:textId="77777777" w:rsidR="00A0104B" w:rsidRPr="00124479" w:rsidRDefault="00A0104B" w:rsidP="00A0104B">
      <w:pPr>
        <w:pStyle w:val="Citt"/>
        <w:spacing w:before="120"/>
      </w:pPr>
      <w:r w:rsidRPr="00C46768">
        <w:t>Zdroj: ÚÚR</w:t>
      </w:r>
    </w:p>
    <w:p w14:paraId="7AAEAFAF" w14:textId="77777777" w:rsidR="00A0104B" w:rsidRPr="00C57DC3" w:rsidRDefault="00A0104B" w:rsidP="00A0104B">
      <w:pPr>
        <w:pStyle w:val="Text-Normaln"/>
        <w:widowControl w:val="0"/>
      </w:pPr>
      <w:r w:rsidRPr="00C57DC3">
        <w:t xml:space="preserve">Co se týká </w:t>
      </w:r>
      <w:r w:rsidRPr="00C57DC3">
        <w:rPr>
          <w:b/>
        </w:rPr>
        <w:t>druhoinstančních</w:t>
      </w:r>
      <w:r w:rsidRPr="00C57DC3">
        <w:t xml:space="preserve"> SSÚ, situace tam z pohledu počtu zaměstnanců vypadá následovně.</w:t>
      </w:r>
    </w:p>
    <w:p w14:paraId="1A96C776" w14:textId="77777777" w:rsidR="00A0104B" w:rsidRDefault="00A0104B" w:rsidP="00A0104B">
      <w:pPr>
        <w:pStyle w:val="Titulek"/>
        <w:keepNext/>
      </w:pPr>
      <w:r>
        <w:t xml:space="preserve">Tabulka </w:t>
      </w:r>
      <w:r w:rsidR="004B0591">
        <w:fldChar w:fldCharType="begin"/>
      </w:r>
      <w:r w:rsidR="004B0591">
        <w:instrText xml:space="preserve"> SEQ Tabulka \* ARABIC </w:instrText>
      </w:r>
      <w:r w:rsidR="004B0591">
        <w:fldChar w:fldCharType="separate"/>
      </w:r>
      <w:r>
        <w:rPr>
          <w:noProof/>
        </w:rPr>
        <w:t>6</w:t>
      </w:r>
      <w:r w:rsidR="004B0591">
        <w:rPr>
          <w:noProof/>
        </w:rPr>
        <w:fldChar w:fldCharType="end"/>
      </w:r>
      <w:r>
        <w:t>: Počet pracovníků, d</w:t>
      </w:r>
      <w:r w:rsidRPr="00124479">
        <w:t xml:space="preserve">ruhoinstanční </w:t>
      </w:r>
      <w:r>
        <w:t>S</w:t>
      </w:r>
      <w:r w:rsidRPr="00124479">
        <w:t xml:space="preserve">SÚ, </w:t>
      </w:r>
      <w:r>
        <w:t xml:space="preserve">DS, </w:t>
      </w:r>
      <w:r w:rsidRPr="00124479">
        <w:t>2020</w:t>
      </w:r>
    </w:p>
    <w:tbl>
      <w:tblPr>
        <w:tblStyle w:val="Barevntabulkaseznamu6zvraznn51"/>
        <w:tblW w:w="9062" w:type="dxa"/>
        <w:tblLook w:val="04A0" w:firstRow="1" w:lastRow="0" w:firstColumn="1" w:lastColumn="0" w:noHBand="0" w:noVBand="1"/>
      </w:tblPr>
      <w:tblGrid>
        <w:gridCol w:w="3676"/>
        <w:gridCol w:w="1795"/>
        <w:gridCol w:w="1795"/>
        <w:gridCol w:w="1796"/>
      </w:tblGrid>
      <w:tr w:rsidR="00A0104B" w:rsidRPr="00887C83" w14:paraId="5B3F1EE0" w14:textId="77777777" w:rsidTr="00197E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vAlign w:val="center"/>
            <w:hideMark/>
          </w:tcPr>
          <w:p w14:paraId="256EA926" w14:textId="77777777" w:rsidR="00A0104B" w:rsidRPr="0037126F" w:rsidRDefault="00A0104B" w:rsidP="00197E1E">
            <w:pPr>
              <w:spacing w:before="0" w:after="0"/>
              <w:jc w:val="left"/>
              <w:rPr>
                <w:rFonts w:asciiTheme="minorHAnsi" w:eastAsia="Times New Roman" w:hAnsiTheme="minorHAnsi" w:cstheme="minorHAnsi"/>
                <w:sz w:val="20"/>
                <w:szCs w:val="20"/>
                <w:lang w:eastAsia="cs-CZ"/>
              </w:rPr>
            </w:pPr>
          </w:p>
        </w:tc>
        <w:tc>
          <w:tcPr>
            <w:tcW w:w="1795" w:type="dxa"/>
            <w:vAlign w:val="center"/>
          </w:tcPr>
          <w:p w14:paraId="215BE1E3" w14:textId="77777777" w:rsidR="00A0104B" w:rsidRPr="00887C83"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sz w:val="20"/>
                <w:szCs w:val="20"/>
                <w:lang w:eastAsia="cs-CZ"/>
              </w:rPr>
              <w:t>počet úředních osob</w:t>
            </w:r>
          </w:p>
        </w:tc>
        <w:tc>
          <w:tcPr>
            <w:tcW w:w="1795" w:type="dxa"/>
            <w:vAlign w:val="center"/>
          </w:tcPr>
          <w:p w14:paraId="5CF57517" w14:textId="77777777" w:rsidR="00A0104B" w:rsidRPr="00887C83"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sz w:val="20"/>
                <w:szCs w:val="20"/>
                <w:lang w:eastAsia="cs-CZ"/>
              </w:rPr>
              <w:t>úřední osoby se ZOZ</w:t>
            </w:r>
          </w:p>
        </w:tc>
        <w:tc>
          <w:tcPr>
            <w:tcW w:w="1796" w:type="dxa"/>
            <w:vAlign w:val="center"/>
          </w:tcPr>
          <w:p w14:paraId="4F99D2F7" w14:textId="77777777" w:rsidR="00A0104B" w:rsidRPr="00887C83"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887C83">
              <w:rPr>
                <w:rFonts w:asciiTheme="minorHAnsi" w:eastAsia="Times New Roman" w:hAnsiTheme="minorHAnsi" w:cstheme="minorHAnsi"/>
                <w:sz w:val="20"/>
                <w:szCs w:val="20"/>
                <w:lang w:eastAsia="cs-CZ"/>
              </w:rPr>
              <w:t>pracovní úvazk</w:t>
            </w:r>
            <w:r w:rsidRPr="00887C83">
              <w:rPr>
                <w:rFonts w:asciiTheme="minorHAnsi" w:eastAsia="Times New Roman" w:hAnsiTheme="minorHAnsi" w:cstheme="minorHAnsi"/>
                <w:b w:val="0"/>
                <w:bCs w:val="0"/>
                <w:sz w:val="20"/>
                <w:szCs w:val="20"/>
                <w:lang w:eastAsia="cs-CZ"/>
              </w:rPr>
              <w:t>y</w:t>
            </w:r>
            <w:r w:rsidRPr="00887C83">
              <w:rPr>
                <w:rFonts w:asciiTheme="minorHAnsi" w:eastAsia="Times New Roman" w:hAnsiTheme="minorHAnsi" w:cstheme="minorHAnsi"/>
                <w:sz w:val="20"/>
                <w:szCs w:val="20"/>
                <w:lang w:eastAsia="cs-CZ"/>
              </w:rPr>
              <w:t xml:space="preserve"> úředních osob</w:t>
            </w:r>
          </w:p>
        </w:tc>
      </w:tr>
      <w:tr w:rsidR="00A0104B" w:rsidRPr="00887C83" w14:paraId="60C8950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tcPr>
          <w:p w14:paraId="1F906CB7" w14:textId="77777777" w:rsidR="00A0104B" w:rsidRPr="004753B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Ministerstvo dopravy (dáln., rychl. sil.)</w:t>
            </w:r>
          </w:p>
        </w:tc>
        <w:tc>
          <w:tcPr>
            <w:tcW w:w="1795" w:type="dxa"/>
            <w:vAlign w:val="center"/>
          </w:tcPr>
          <w:p w14:paraId="02A76D32"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4</w:t>
            </w:r>
          </w:p>
        </w:tc>
        <w:tc>
          <w:tcPr>
            <w:tcW w:w="1795" w:type="dxa"/>
            <w:vAlign w:val="center"/>
          </w:tcPr>
          <w:p w14:paraId="6C14B9EE"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722DC417"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4</w:t>
            </w:r>
          </w:p>
        </w:tc>
      </w:tr>
      <w:tr w:rsidR="00A0104B" w:rsidRPr="00887C83" w14:paraId="2EC8DAA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0A09EBF6"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Magistrát hlavního města Prahy</w:t>
            </w:r>
          </w:p>
        </w:tc>
        <w:tc>
          <w:tcPr>
            <w:tcW w:w="1795" w:type="dxa"/>
            <w:vAlign w:val="center"/>
          </w:tcPr>
          <w:p w14:paraId="39ADFB9B"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c>
          <w:tcPr>
            <w:tcW w:w="1795" w:type="dxa"/>
            <w:vAlign w:val="center"/>
          </w:tcPr>
          <w:p w14:paraId="629A4ED6"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4</w:t>
            </w:r>
          </w:p>
        </w:tc>
        <w:tc>
          <w:tcPr>
            <w:tcW w:w="1796" w:type="dxa"/>
            <w:vAlign w:val="center"/>
          </w:tcPr>
          <w:p w14:paraId="54CF464D"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r>
      <w:tr w:rsidR="00A0104B" w:rsidRPr="00887C83" w14:paraId="71DDC98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6A791AF9"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Středočeského kraje</w:t>
            </w:r>
          </w:p>
        </w:tc>
        <w:tc>
          <w:tcPr>
            <w:tcW w:w="1795" w:type="dxa"/>
            <w:vAlign w:val="center"/>
          </w:tcPr>
          <w:p w14:paraId="430CA849"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5</w:t>
            </w:r>
          </w:p>
        </w:tc>
        <w:tc>
          <w:tcPr>
            <w:tcW w:w="1795" w:type="dxa"/>
            <w:vAlign w:val="center"/>
          </w:tcPr>
          <w:p w14:paraId="57A0CC97"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1</w:t>
            </w:r>
          </w:p>
        </w:tc>
        <w:tc>
          <w:tcPr>
            <w:tcW w:w="1796" w:type="dxa"/>
            <w:vAlign w:val="center"/>
          </w:tcPr>
          <w:p w14:paraId="4ED58F0D"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5</w:t>
            </w:r>
          </w:p>
        </w:tc>
      </w:tr>
      <w:tr w:rsidR="00A0104B" w:rsidRPr="00887C83" w14:paraId="04A6DFD2"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648917C8"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Jihočeského kraje</w:t>
            </w:r>
          </w:p>
        </w:tc>
        <w:tc>
          <w:tcPr>
            <w:tcW w:w="1795" w:type="dxa"/>
            <w:vAlign w:val="center"/>
          </w:tcPr>
          <w:p w14:paraId="7A624877"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27830441"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1</w:t>
            </w:r>
          </w:p>
        </w:tc>
        <w:tc>
          <w:tcPr>
            <w:tcW w:w="1796" w:type="dxa"/>
            <w:vAlign w:val="center"/>
          </w:tcPr>
          <w:p w14:paraId="6846F160"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1</w:t>
            </w:r>
          </w:p>
        </w:tc>
      </w:tr>
      <w:tr w:rsidR="00A0104B" w:rsidRPr="00887C83" w14:paraId="272030D3"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10E53D01"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Plzeňského kraje</w:t>
            </w:r>
          </w:p>
        </w:tc>
        <w:tc>
          <w:tcPr>
            <w:tcW w:w="1795" w:type="dxa"/>
            <w:vAlign w:val="center"/>
          </w:tcPr>
          <w:p w14:paraId="45620E4E"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c>
          <w:tcPr>
            <w:tcW w:w="1795" w:type="dxa"/>
            <w:vAlign w:val="center"/>
          </w:tcPr>
          <w:p w14:paraId="5DCB8FFD"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655FCBF4"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1</w:t>
            </w:r>
          </w:p>
        </w:tc>
      </w:tr>
      <w:tr w:rsidR="00A0104B" w:rsidRPr="00887C83" w14:paraId="58584CC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18FDD8AF"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Karlovarského kraje</w:t>
            </w:r>
          </w:p>
        </w:tc>
        <w:tc>
          <w:tcPr>
            <w:tcW w:w="1795" w:type="dxa"/>
            <w:vAlign w:val="center"/>
          </w:tcPr>
          <w:p w14:paraId="5D6E76BB"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c>
          <w:tcPr>
            <w:tcW w:w="1795" w:type="dxa"/>
            <w:vAlign w:val="center"/>
          </w:tcPr>
          <w:p w14:paraId="71CDD6DF"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00B91B48"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1</w:t>
            </w:r>
          </w:p>
        </w:tc>
      </w:tr>
      <w:tr w:rsidR="00A0104B" w:rsidRPr="00887C83" w14:paraId="40E653D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4E867444"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Ústeckého kraje</w:t>
            </w:r>
          </w:p>
        </w:tc>
        <w:tc>
          <w:tcPr>
            <w:tcW w:w="1795" w:type="dxa"/>
            <w:vAlign w:val="center"/>
          </w:tcPr>
          <w:p w14:paraId="17273151"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c>
          <w:tcPr>
            <w:tcW w:w="1795" w:type="dxa"/>
            <w:vAlign w:val="center"/>
          </w:tcPr>
          <w:p w14:paraId="559BB762"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51D704F7"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3,2</w:t>
            </w:r>
          </w:p>
        </w:tc>
      </w:tr>
      <w:tr w:rsidR="00A0104B" w:rsidRPr="00887C83" w14:paraId="15BA481B"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5F2A5BD4"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lastRenderedPageBreak/>
              <w:t>Krajský úřad Libereckého kraje</w:t>
            </w:r>
          </w:p>
        </w:tc>
        <w:tc>
          <w:tcPr>
            <w:tcW w:w="1795" w:type="dxa"/>
            <w:vAlign w:val="center"/>
          </w:tcPr>
          <w:p w14:paraId="7711CB39"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6</w:t>
            </w:r>
          </w:p>
        </w:tc>
        <w:tc>
          <w:tcPr>
            <w:tcW w:w="1795" w:type="dxa"/>
            <w:vAlign w:val="center"/>
          </w:tcPr>
          <w:p w14:paraId="00AE498A"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4</w:t>
            </w:r>
          </w:p>
        </w:tc>
        <w:tc>
          <w:tcPr>
            <w:tcW w:w="1796" w:type="dxa"/>
            <w:vAlign w:val="center"/>
          </w:tcPr>
          <w:p w14:paraId="3947E21D"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0,51</w:t>
            </w:r>
          </w:p>
        </w:tc>
      </w:tr>
      <w:tr w:rsidR="00A0104B" w:rsidRPr="00887C83" w14:paraId="6B86FBBE"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266D0362"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Královéhradeckého kraje</w:t>
            </w:r>
          </w:p>
        </w:tc>
        <w:tc>
          <w:tcPr>
            <w:tcW w:w="1795" w:type="dxa"/>
            <w:vAlign w:val="center"/>
          </w:tcPr>
          <w:p w14:paraId="3F279CB2"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6DB32730"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3</w:t>
            </w:r>
          </w:p>
        </w:tc>
        <w:tc>
          <w:tcPr>
            <w:tcW w:w="1796" w:type="dxa"/>
            <w:vAlign w:val="center"/>
          </w:tcPr>
          <w:p w14:paraId="0CF34411"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r>
      <w:tr w:rsidR="00A0104B" w:rsidRPr="00887C83" w14:paraId="187EC4A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34749160"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Pardubického kraje</w:t>
            </w:r>
          </w:p>
        </w:tc>
        <w:tc>
          <w:tcPr>
            <w:tcW w:w="1795" w:type="dxa"/>
            <w:vAlign w:val="center"/>
          </w:tcPr>
          <w:p w14:paraId="76F9D255"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6</w:t>
            </w:r>
          </w:p>
        </w:tc>
        <w:tc>
          <w:tcPr>
            <w:tcW w:w="1795" w:type="dxa"/>
            <w:vAlign w:val="center"/>
          </w:tcPr>
          <w:p w14:paraId="69070B80"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4E511AD2"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6</w:t>
            </w:r>
          </w:p>
        </w:tc>
      </w:tr>
      <w:tr w:rsidR="00A0104B" w:rsidRPr="00887C83" w14:paraId="4CF997E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524B16C1"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kraje Vysočina</w:t>
            </w:r>
          </w:p>
        </w:tc>
        <w:tc>
          <w:tcPr>
            <w:tcW w:w="1795" w:type="dxa"/>
            <w:vAlign w:val="center"/>
          </w:tcPr>
          <w:p w14:paraId="25B4CD05"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242A09AB"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7BC19838"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0,05</w:t>
            </w:r>
          </w:p>
        </w:tc>
      </w:tr>
      <w:tr w:rsidR="00A0104B" w:rsidRPr="00887C83" w14:paraId="606D55C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1E4540A0"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Jihomoravského kraje</w:t>
            </w:r>
          </w:p>
        </w:tc>
        <w:tc>
          <w:tcPr>
            <w:tcW w:w="1795" w:type="dxa"/>
            <w:vAlign w:val="center"/>
          </w:tcPr>
          <w:p w14:paraId="61CD0D72"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1289A7A8"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45F19852"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1</w:t>
            </w:r>
          </w:p>
        </w:tc>
      </w:tr>
      <w:tr w:rsidR="00A0104B" w:rsidRPr="00887C83" w14:paraId="0B29A25B"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5D80CB3F"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Olomouckého kraje</w:t>
            </w:r>
          </w:p>
        </w:tc>
        <w:tc>
          <w:tcPr>
            <w:tcW w:w="1795" w:type="dxa"/>
            <w:vAlign w:val="center"/>
          </w:tcPr>
          <w:p w14:paraId="310217D0"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c>
          <w:tcPr>
            <w:tcW w:w="1795" w:type="dxa"/>
            <w:vAlign w:val="center"/>
          </w:tcPr>
          <w:p w14:paraId="38585DEE"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3</w:t>
            </w:r>
          </w:p>
        </w:tc>
        <w:tc>
          <w:tcPr>
            <w:tcW w:w="1796" w:type="dxa"/>
            <w:vAlign w:val="center"/>
          </w:tcPr>
          <w:p w14:paraId="3118455C"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r>
      <w:tr w:rsidR="00A0104B" w:rsidRPr="00887C83" w14:paraId="446A9465"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57463EEB"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Zlínského kraje</w:t>
            </w:r>
          </w:p>
        </w:tc>
        <w:tc>
          <w:tcPr>
            <w:tcW w:w="1795" w:type="dxa"/>
            <w:vAlign w:val="center"/>
          </w:tcPr>
          <w:p w14:paraId="3CE8B09C"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c>
          <w:tcPr>
            <w:tcW w:w="1795" w:type="dxa"/>
            <w:vAlign w:val="center"/>
          </w:tcPr>
          <w:p w14:paraId="45CC3873"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469E5D35"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r>
      <w:tr w:rsidR="00A0104B" w:rsidRPr="00887C83" w14:paraId="5AB1BAD9"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47CBADE0"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Krajský úřad Moravskoslezského kraje</w:t>
            </w:r>
          </w:p>
        </w:tc>
        <w:tc>
          <w:tcPr>
            <w:tcW w:w="1795" w:type="dxa"/>
            <w:vAlign w:val="center"/>
          </w:tcPr>
          <w:p w14:paraId="6BDA3347"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2CEE20E2"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46703BC4"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2,2</w:t>
            </w:r>
          </w:p>
        </w:tc>
      </w:tr>
      <w:tr w:rsidR="00A0104B" w:rsidRPr="00887C83" w14:paraId="49FA34B4"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6F59FF34"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Magistrát města Plzně</w:t>
            </w:r>
          </w:p>
        </w:tc>
        <w:tc>
          <w:tcPr>
            <w:tcW w:w="1795" w:type="dxa"/>
            <w:vAlign w:val="center"/>
          </w:tcPr>
          <w:p w14:paraId="6AA06F11"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27D1BEB6"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3</w:t>
            </w:r>
          </w:p>
        </w:tc>
        <w:tc>
          <w:tcPr>
            <w:tcW w:w="1796" w:type="dxa"/>
            <w:vAlign w:val="center"/>
          </w:tcPr>
          <w:p w14:paraId="348E164C"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r>
      <w:tr w:rsidR="00A0104B" w:rsidRPr="00887C83" w14:paraId="44E9ACA2"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1EC4C817"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Magistrát města Brna</w:t>
            </w:r>
          </w:p>
        </w:tc>
        <w:tc>
          <w:tcPr>
            <w:tcW w:w="1795" w:type="dxa"/>
            <w:vAlign w:val="center"/>
          </w:tcPr>
          <w:p w14:paraId="7E3CE701"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1</w:t>
            </w:r>
          </w:p>
        </w:tc>
        <w:tc>
          <w:tcPr>
            <w:tcW w:w="1795" w:type="dxa"/>
            <w:vAlign w:val="center"/>
          </w:tcPr>
          <w:p w14:paraId="01770A9A"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1</w:t>
            </w:r>
          </w:p>
        </w:tc>
        <w:tc>
          <w:tcPr>
            <w:tcW w:w="1796" w:type="dxa"/>
            <w:vAlign w:val="center"/>
          </w:tcPr>
          <w:p w14:paraId="4EDE6586"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0,1</w:t>
            </w:r>
          </w:p>
        </w:tc>
      </w:tr>
      <w:tr w:rsidR="00A0104B" w:rsidRPr="00887C83" w14:paraId="6038C337"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539097D2"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Magistrát města Ostravy</w:t>
            </w:r>
          </w:p>
        </w:tc>
        <w:tc>
          <w:tcPr>
            <w:tcW w:w="1795" w:type="dxa"/>
            <w:vAlign w:val="center"/>
          </w:tcPr>
          <w:p w14:paraId="6D1D2C60"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c>
          <w:tcPr>
            <w:tcW w:w="1795" w:type="dxa"/>
            <w:vAlign w:val="center"/>
          </w:tcPr>
          <w:p w14:paraId="133C5DF5"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2</w:t>
            </w:r>
          </w:p>
        </w:tc>
        <w:tc>
          <w:tcPr>
            <w:tcW w:w="1796" w:type="dxa"/>
            <w:vAlign w:val="center"/>
          </w:tcPr>
          <w:p w14:paraId="0DED35E1"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r>
      <w:tr w:rsidR="00A0104B" w:rsidRPr="00887C83" w14:paraId="67500459"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7CA603F2"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Ministerstvo dopravy (Odb. civil. let.)</w:t>
            </w:r>
          </w:p>
        </w:tc>
        <w:tc>
          <w:tcPr>
            <w:tcW w:w="1795" w:type="dxa"/>
            <w:vAlign w:val="center"/>
          </w:tcPr>
          <w:p w14:paraId="07F25B7F"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4</w:t>
            </w:r>
          </w:p>
        </w:tc>
        <w:tc>
          <w:tcPr>
            <w:tcW w:w="1795" w:type="dxa"/>
            <w:vAlign w:val="center"/>
          </w:tcPr>
          <w:p w14:paraId="77ACBEEC"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39254EE2"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0</w:t>
            </w:r>
          </w:p>
        </w:tc>
      </w:tr>
      <w:tr w:rsidR="00A0104B" w:rsidRPr="00887C83" w14:paraId="4462651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03C3B8C8"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Ministerstvo dopravy</w:t>
            </w:r>
          </w:p>
        </w:tc>
        <w:tc>
          <w:tcPr>
            <w:tcW w:w="1795" w:type="dxa"/>
            <w:vAlign w:val="center"/>
          </w:tcPr>
          <w:p w14:paraId="06947A18"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c>
          <w:tcPr>
            <w:tcW w:w="1795" w:type="dxa"/>
            <w:vAlign w:val="center"/>
          </w:tcPr>
          <w:p w14:paraId="091CAF5B"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2C7FF839" w14:textId="77777777" w:rsidR="00A0104B" w:rsidRPr="00887C83"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2</w:t>
            </w:r>
          </w:p>
        </w:tc>
      </w:tr>
      <w:tr w:rsidR="00A0104B" w:rsidRPr="00887C83" w14:paraId="2E2044E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6" w:type="dxa"/>
            <w:noWrap/>
            <w:vAlign w:val="center"/>
            <w:hideMark/>
          </w:tcPr>
          <w:p w14:paraId="0DCD2103" w14:textId="77777777" w:rsidR="00A0104B" w:rsidRPr="0037126F" w:rsidRDefault="00A0104B" w:rsidP="00197E1E">
            <w:pPr>
              <w:spacing w:before="0" w:after="0"/>
              <w:jc w:val="left"/>
              <w:rPr>
                <w:rFonts w:asciiTheme="minorHAnsi" w:eastAsia="Times New Roman" w:hAnsiTheme="minorHAnsi" w:cstheme="minorHAnsi"/>
                <w:b w:val="0"/>
                <w:bCs w:val="0"/>
                <w:sz w:val="20"/>
                <w:szCs w:val="20"/>
                <w:lang w:eastAsia="cs-CZ"/>
              </w:rPr>
            </w:pPr>
            <w:r w:rsidRPr="004753BF">
              <w:rPr>
                <w:rFonts w:asciiTheme="minorHAnsi" w:hAnsiTheme="minorHAnsi" w:cstheme="minorHAnsi"/>
                <w:b w:val="0"/>
                <w:bCs w:val="0"/>
                <w:color w:val="000000"/>
                <w:sz w:val="20"/>
                <w:szCs w:val="20"/>
              </w:rPr>
              <w:t>Ministerstvo dopravy (poz. komunikace)</w:t>
            </w:r>
          </w:p>
        </w:tc>
        <w:tc>
          <w:tcPr>
            <w:tcW w:w="1795" w:type="dxa"/>
            <w:vAlign w:val="center"/>
          </w:tcPr>
          <w:p w14:paraId="11783B05"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3</w:t>
            </w:r>
          </w:p>
        </w:tc>
        <w:tc>
          <w:tcPr>
            <w:tcW w:w="1795" w:type="dxa"/>
            <w:vAlign w:val="center"/>
          </w:tcPr>
          <w:p w14:paraId="4C7CFADE"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hAnsiTheme="minorHAnsi" w:cstheme="minorHAnsi"/>
                <w:color w:val="000000"/>
                <w:sz w:val="20"/>
                <w:szCs w:val="20"/>
              </w:rPr>
              <w:t>0</w:t>
            </w:r>
          </w:p>
        </w:tc>
        <w:tc>
          <w:tcPr>
            <w:tcW w:w="1796" w:type="dxa"/>
            <w:vAlign w:val="center"/>
          </w:tcPr>
          <w:p w14:paraId="71B0FE7F" w14:textId="77777777" w:rsidR="00A0104B" w:rsidRPr="00887C83"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887C83">
              <w:rPr>
                <w:rFonts w:asciiTheme="minorHAnsi" w:hAnsiTheme="minorHAnsi" w:cstheme="minorHAnsi"/>
                <w:color w:val="000000"/>
                <w:sz w:val="20"/>
                <w:szCs w:val="20"/>
              </w:rPr>
              <w:t>0,5</w:t>
            </w:r>
          </w:p>
        </w:tc>
      </w:tr>
    </w:tbl>
    <w:p w14:paraId="270001A6" w14:textId="77777777" w:rsidR="00A0104B" w:rsidRPr="00124479" w:rsidRDefault="00A0104B" w:rsidP="00A0104B">
      <w:pPr>
        <w:pStyle w:val="Citt"/>
        <w:spacing w:before="120"/>
      </w:pPr>
      <w:r w:rsidRPr="00C46768">
        <w:t>Zdroj: ÚÚR</w:t>
      </w:r>
    </w:p>
    <w:p w14:paraId="464C0BD4" w14:textId="77777777" w:rsidR="00A0104B" w:rsidRDefault="00A0104B" w:rsidP="00A0104B">
      <w:pPr>
        <w:pStyle w:val="Titulek"/>
        <w:keepNext/>
      </w:pPr>
      <w:r>
        <w:t xml:space="preserve">Tabulka </w:t>
      </w:r>
      <w:r w:rsidR="004B0591">
        <w:fldChar w:fldCharType="begin"/>
      </w:r>
      <w:r w:rsidR="004B0591">
        <w:instrText xml:space="preserve"> SEQ Tabulka \* ARABIC </w:instrText>
      </w:r>
      <w:r w:rsidR="004B0591">
        <w:fldChar w:fldCharType="separate"/>
      </w:r>
      <w:r>
        <w:rPr>
          <w:noProof/>
        </w:rPr>
        <w:t>7</w:t>
      </w:r>
      <w:r w:rsidR="004B0591">
        <w:rPr>
          <w:noProof/>
        </w:rPr>
        <w:fldChar w:fldCharType="end"/>
      </w:r>
      <w:r>
        <w:t>:</w:t>
      </w:r>
      <w:r w:rsidRPr="00887C83">
        <w:t xml:space="preserve"> </w:t>
      </w:r>
      <w:r>
        <w:t>Činnost SSÚ, d</w:t>
      </w:r>
      <w:r w:rsidRPr="00124479">
        <w:t xml:space="preserve">ruhoinstanční </w:t>
      </w:r>
      <w:r>
        <w:t>S</w:t>
      </w:r>
      <w:r w:rsidRPr="00124479">
        <w:t xml:space="preserve">SÚ, </w:t>
      </w:r>
      <w:r>
        <w:t xml:space="preserve">DS, </w:t>
      </w:r>
      <w:r w:rsidRPr="00124479">
        <w:t>2020</w:t>
      </w:r>
      <w:r>
        <w:t xml:space="preserve"> </w:t>
      </w:r>
    </w:p>
    <w:tbl>
      <w:tblPr>
        <w:tblStyle w:val="Barevntabulkaseznamu6zvraznn51"/>
        <w:tblW w:w="9072" w:type="dxa"/>
        <w:tblLayout w:type="fixed"/>
        <w:tblLook w:val="04A0" w:firstRow="1" w:lastRow="0" w:firstColumn="1" w:lastColumn="0" w:noHBand="0" w:noVBand="1"/>
      </w:tblPr>
      <w:tblGrid>
        <w:gridCol w:w="4820"/>
        <w:gridCol w:w="2126"/>
        <w:gridCol w:w="2126"/>
      </w:tblGrid>
      <w:tr w:rsidR="00A0104B" w:rsidRPr="00C52B17" w14:paraId="4BA3A3F1" w14:textId="77777777" w:rsidTr="00197E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noWrap/>
            <w:vAlign w:val="center"/>
            <w:hideMark/>
          </w:tcPr>
          <w:p w14:paraId="6E6EABA4" w14:textId="77777777" w:rsidR="00A0104B" w:rsidRPr="00C52B17" w:rsidRDefault="00A0104B" w:rsidP="00197E1E">
            <w:pPr>
              <w:spacing w:before="0" w:after="0"/>
              <w:jc w:val="center"/>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 </w:t>
            </w:r>
          </w:p>
        </w:tc>
        <w:tc>
          <w:tcPr>
            <w:tcW w:w="2126" w:type="dxa"/>
            <w:vAlign w:val="center"/>
            <w:hideMark/>
          </w:tcPr>
          <w:p w14:paraId="26BB9470" w14:textId="77777777" w:rsidR="00A0104B"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cs-CZ"/>
              </w:rPr>
            </w:pPr>
            <w:r>
              <w:rPr>
                <w:rFonts w:asciiTheme="minorHAnsi" w:eastAsia="Times New Roman" w:hAnsiTheme="minorHAnsi" w:cstheme="minorHAnsi"/>
                <w:color w:val="000000"/>
                <w:sz w:val="20"/>
                <w:szCs w:val="20"/>
                <w:lang w:eastAsia="cs-CZ"/>
              </w:rPr>
              <w:t>R</w:t>
            </w:r>
            <w:r w:rsidRPr="00C52B17">
              <w:rPr>
                <w:rFonts w:asciiTheme="minorHAnsi" w:eastAsia="Times New Roman" w:hAnsiTheme="minorHAnsi" w:cstheme="minorHAnsi"/>
                <w:color w:val="000000"/>
                <w:sz w:val="20"/>
                <w:szCs w:val="20"/>
                <w:lang w:eastAsia="cs-CZ"/>
              </w:rPr>
              <w:t xml:space="preserve">ozhodnutí odvolacího správního orgánu </w:t>
            </w:r>
          </w:p>
          <w:p w14:paraId="053A48DC" w14:textId="77777777" w:rsidR="00A0104B" w:rsidRPr="00C52B1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 § 90 odst. 1 písm. a), b), c)</w:t>
            </w:r>
          </w:p>
        </w:tc>
        <w:tc>
          <w:tcPr>
            <w:tcW w:w="2126" w:type="dxa"/>
            <w:vAlign w:val="center"/>
            <w:hideMark/>
          </w:tcPr>
          <w:p w14:paraId="2809CDEE" w14:textId="77777777" w:rsidR="00A0104B"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cs-CZ"/>
              </w:rPr>
            </w:pPr>
            <w:r>
              <w:rPr>
                <w:rFonts w:asciiTheme="minorHAnsi" w:eastAsia="Times New Roman" w:hAnsiTheme="minorHAnsi" w:cstheme="minorHAnsi"/>
                <w:color w:val="000000"/>
                <w:sz w:val="20"/>
                <w:szCs w:val="20"/>
                <w:lang w:eastAsia="cs-CZ"/>
              </w:rPr>
              <w:t>R</w:t>
            </w:r>
            <w:r w:rsidRPr="00C52B17">
              <w:rPr>
                <w:rFonts w:asciiTheme="minorHAnsi" w:eastAsia="Times New Roman" w:hAnsiTheme="minorHAnsi" w:cstheme="minorHAnsi"/>
                <w:color w:val="000000"/>
                <w:sz w:val="20"/>
                <w:szCs w:val="20"/>
                <w:lang w:eastAsia="cs-CZ"/>
              </w:rPr>
              <w:t xml:space="preserve">ozhodnutí odvolacího správního orgánu </w:t>
            </w:r>
          </w:p>
          <w:p w14:paraId="1B2DEB2B" w14:textId="77777777" w:rsidR="00A0104B" w:rsidRPr="00C52B17"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 § 90 odst. 5</w:t>
            </w:r>
          </w:p>
        </w:tc>
      </w:tr>
      <w:tr w:rsidR="00A0104B" w:rsidRPr="00C52B17" w14:paraId="139EC1EF"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5FD52DCA"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hlavního města Prahy</w:t>
            </w:r>
          </w:p>
        </w:tc>
        <w:tc>
          <w:tcPr>
            <w:tcW w:w="2126" w:type="dxa"/>
            <w:noWrap/>
            <w:vAlign w:val="center"/>
            <w:hideMark/>
          </w:tcPr>
          <w:p w14:paraId="104A850A"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c>
          <w:tcPr>
            <w:tcW w:w="2126" w:type="dxa"/>
            <w:noWrap/>
            <w:vAlign w:val="center"/>
            <w:hideMark/>
          </w:tcPr>
          <w:p w14:paraId="15DE7E4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4</w:t>
            </w:r>
          </w:p>
        </w:tc>
      </w:tr>
      <w:tr w:rsidR="00A0104B" w:rsidRPr="00C52B17" w14:paraId="5D407039"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4C82AF63"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Středočeského kraje</w:t>
            </w:r>
          </w:p>
        </w:tc>
        <w:tc>
          <w:tcPr>
            <w:tcW w:w="2126" w:type="dxa"/>
            <w:noWrap/>
            <w:vAlign w:val="center"/>
            <w:hideMark/>
          </w:tcPr>
          <w:p w14:paraId="4C8F405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4</w:t>
            </w:r>
          </w:p>
        </w:tc>
        <w:tc>
          <w:tcPr>
            <w:tcW w:w="2126" w:type="dxa"/>
            <w:noWrap/>
            <w:vAlign w:val="center"/>
            <w:hideMark/>
          </w:tcPr>
          <w:p w14:paraId="2EA3CEC7"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9</w:t>
            </w:r>
          </w:p>
        </w:tc>
      </w:tr>
      <w:tr w:rsidR="00A0104B" w:rsidRPr="00C52B17" w14:paraId="0B712958"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0C1E22F0"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Jihočeského kraje</w:t>
            </w:r>
          </w:p>
        </w:tc>
        <w:tc>
          <w:tcPr>
            <w:tcW w:w="2126" w:type="dxa"/>
            <w:noWrap/>
            <w:vAlign w:val="center"/>
            <w:hideMark/>
          </w:tcPr>
          <w:p w14:paraId="7B2EF7B3"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33</w:t>
            </w:r>
          </w:p>
        </w:tc>
        <w:tc>
          <w:tcPr>
            <w:tcW w:w="2126" w:type="dxa"/>
            <w:noWrap/>
            <w:vAlign w:val="center"/>
            <w:hideMark/>
          </w:tcPr>
          <w:p w14:paraId="53E175CD"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8</w:t>
            </w:r>
          </w:p>
        </w:tc>
      </w:tr>
      <w:tr w:rsidR="00A0104B" w:rsidRPr="00C52B17" w14:paraId="2521997F"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0F4BCFB7"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Plzeňského kraje</w:t>
            </w:r>
          </w:p>
        </w:tc>
        <w:tc>
          <w:tcPr>
            <w:tcW w:w="2126" w:type="dxa"/>
            <w:noWrap/>
            <w:vAlign w:val="center"/>
            <w:hideMark/>
          </w:tcPr>
          <w:p w14:paraId="6A6C628A"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3</w:t>
            </w:r>
          </w:p>
        </w:tc>
        <w:tc>
          <w:tcPr>
            <w:tcW w:w="2126" w:type="dxa"/>
            <w:noWrap/>
            <w:vAlign w:val="center"/>
            <w:hideMark/>
          </w:tcPr>
          <w:p w14:paraId="5B0D37C6"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r>
      <w:tr w:rsidR="00A0104B" w:rsidRPr="00C52B17" w14:paraId="69F3524C"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150A6C90"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Karlovarského kraje</w:t>
            </w:r>
          </w:p>
        </w:tc>
        <w:tc>
          <w:tcPr>
            <w:tcW w:w="2126" w:type="dxa"/>
            <w:noWrap/>
            <w:vAlign w:val="center"/>
            <w:hideMark/>
          </w:tcPr>
          <w:p w14:paraId="4BF39878"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6</w:t>
            </w:r>
          </w:p>
        </w:tc>
        <w:tc>
          <w:tcPr>
            <w:tcW w:w="2126" w:type="dxa"/>
            <w:noWrap/>
            <w:vAlign w:val="center"/>
            <w:hideMark/>
          </w:tcPr>
          <w:p w14:paraId="5B2D0A5C"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5</w:t>
            </w:r>
          </w:p>
        </w:tc>
      </w:tr>
      <w:tr w:rsidR="00A0104B" w:rsidRPr="00C52B17" w14:paraId="1400319B"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36A91683"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Ústeckého kraje</w:t>
            </w:r>
          </w:p>
        </w:tc>
        <w:tc>
          <w:tcPr>
            <w:tcW w:w="2126" w:type="dxa"/>
            <w:noWrap/>
            <w:vAlign w:val="center"/>
            <w:hideMark/>
          </w:tcPr>
          <w:p w14:paraId="0FD15E7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c>
          <w:tcPr>
            <w:tcW w:w="2126" w:type="dxa"/>
            <w:noWrap/>
            <w:vAlign w:val="center"/>
            <w:hideMark/>
          </w:tcPr>
          <w:p w14:paraId="6E217130"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r>
      <w:tr w:rsidR="00A0104B" w:rsidRPr="00C52B17" w14:paraId="16355C97"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667BC1D3"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Libereckého kraje</w:t>
            </w:r>
          </w:p>
        </w:tc>
        <w:tc>
          <w:tcPr>
            <w:tcW w:w="2126" w:type="dxa"/>
            <w:noWrap/>
            <w:vAlign w:val="center"/>
            <w:hideMark/>
          </w:tcPr>
          <w:p w14:paraId="34C7B689"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6</w:t>
            </w:r>
          </w:p>
        </w:tc>
        <w:tc>
          <w:tcPr>
            <w:tcW w:w="2126" w:type="dxa"/>
            <w:noWrap/>
            <w:vAlign w:val="center"/>
            <w:hideMark/>
          </w:tcPr>
          <w:p w14:paraId="6CB27B69"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r>
      <w:tr w:rsidR="00A0104B" w:rsidRPr="00C52B17" w14:paraId="1C94A613"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182DC0A2"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Královéhradeckého kraje</w:t>
            </w:r>
          </w:p>
        </w:tc>
        <w:tc>
          <w:tcPr>
            <w:tcW w:w="2126" w:type="dxa"/>
            <w:noWrap/>
            <w:vAlign w:val="center"/>
            <w:hideMark/>
          </w:tcPr>
          <w:p w14:paraId="2E43CE09"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4</w:t>
            </w:r>
          </w:p>
        </w:tc>
        <w:tc>
          <w:tcPr>
            <w:tcW w:w="2126" w:type="dxa"/>
            <w:noWrap/>
            <w:vAlign w:val="center"/>
            <w:hideMark/>
          </w:tcPr>
          <w:p w14:paraId="7A43F82C"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3</w:t>
            </w:r>
          </w:p>
        </w:tc>
      </w:tr>
      <w:tr w:rsidR="00A0104B" w:rsidRPr="00C52B17" w14:paraId="67C9E312"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0DB3E492"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Pardubického kraje</w:t>
            </w:r>
          </w:p>
        </w:tc>
        <w:tc>
          <w:tcPr>
            <w:tcW w:w="2126" w:type="dxa"/>
            <w:noWrap/>
            <w:vAlign w:val="center"/>
            <w:hideMark/>
          </w:tcPr>
          <w:p w14:paraId="49547B52"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7</w:t>
            </w:r>
          </w:p>
        </w:tc>
        <w:tc>
          <w:tcPr>
            <w:tcW w:w="2126" w:type="dxa"/>
            <w:noWrap/>
            <w:vAlign w:val="center"/>
            <w:hideMark/>
          </w:tcPr>
          <w:p w14:paraId="490BE12A"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4</w:t>
            </w:r>
          </w:p>
        </w:tc>
      </w:tr>
      <w:tr w:rsidR="00A0104B" w:rsidRPr="00C52B17" w14:paraId="13E8E3E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47190913"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Kraje Vysočina</w:t>
            </w:r>
          </w:p>
        </w:tc>
        <w:tc>
          <w:tcPr>
            <w:tcW w:w="2126" w:type="dxa"/>
            <w:noWrap/>
            <w:vAlign w:val="center"/>
            <w:hideMark/>
          </w:tcPr>
          <w:p w14:paraId="267DE81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9</w:t>
            </w:r>
          </w:p>
        </w:tc>
        <w:tc>
          <w:tcPr>
            <w:tcW w:w="2126" w:type="dxa"/>
            <w:noWrap/>
            <w:vAlign w:val="center"/>
            <w:hideMark/>
          </w:tcPr>
          <w:p w14:paraId="473D40B9"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6</w:t>
            </w:r>
          </w:p>
        </w:tc>
      </w:tr>
      <w:tr w:rsidR="00A0104B" w:rsidRPr="00C52B17" w14:paraId="692FB997"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687C07EE"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Jihomoravského kraje</w:t>
            </w:r>
          </w:p>
        </w:tc>
        <w:tc>
          <w:tcPr>
            <w:tcW w:w="2126" w:type="dxa"/>
            <w:noWrap/>
            <w:vAlign w:val="center"/>
            <w:hideMark/>
          </w:tcPr>
          <w:p w14:paraId="79492EB1"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c>
          <w:tcPr>
            <w:tcW w:w="2126" w:type="dxa"/>
            <w:noWrap/>
            <w:vAlign w:val="center"/>
            <w:hideMark/>
          </w:tcPr>
          <w:p w14:paraId="07913876"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2</w:t>
            </w:r>
          </w:p>
        </w:tc>
      </w:tr>
      <w:tr w:rsidR="00A0104B" w:rsidRPr="00C52B17" w14:paraId="28FC6ED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66EFD4EF"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Olomouckého kraje</w:t>
            </w:r>
          </w:p>
        </w:tc>
        <w:tc>
          <w:tcPr>
            <w:tcW w:w="2126" w:type="dxa"/>
            <w:noWrap/>
            <w:vAlign w:val="center"/>
            <w:hideMark/>
          </w:tcPr>
          <w:p w14:paraId="19C8B110"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14</w:t>
            </w:r>
          </w:p>
        </w:tc>
        <w:tc>
          <w:tcPr>
            <w:tcW w:w="2126" w:type="dxa"/>
            <w:noWrap/>
            <w:vAlign w:val="center"/>
            <w:hideMark/>
          </w:tcPr>
          <w:p w14:paraId="433D7D4B"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9</w:t>
            </w:r>
          </w:p>
        </w:tc>
      </w:tr>
      <w:tr w:rsidR="00A0104B" w:rsidRPr="00C52B17" w14:paraId="57431BA9"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77357B68"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Zlínského kraje</w:t>
            </w:r>
          </w:p>
        </w:tc>
        <w:tc>
          <w:tcPr>
            <w:tcW w:w="2126" w:type="dxa"/>
            <w:noWrap/>
            <w:vAlign w:val="center"/>
            <w:hideMark/>
          </w:tcPr>
          <w:p w14:paraId="59CC394B"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2</w:t>
            </w:r>
          </w:p>
        </w:tc>
        <w:tc>
          <w:tcPr>
            <w:tcW w:w="2126" w:type="dxa"/>
            <w:noWrap/>
            <w:vAlign w:val="center"/>
            <w:hideMark/>
          </w:tcPr>
          <w:p w14:paraId="0ABEDD79"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1</w:t>
            </w:r>
          </w:p>
        </w:tc>
      </w:tr>
      <w:tr w:rsidR="00A0104B" w:rsidRPr="00C52B17" w14:paraId="577FAFA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4488FEC8"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Moravskoslezského kraje</w:t>
            </w:r>
          </w:p>
        </w:tc>
        <w:tc>
          <w:tcPr>
            <w:tcW w:w="2126" w:type="dxa"/>
            <w:noWrap/>
            <w:vAlign w:val="center"/>
            <w:hideMark/>
          </w:tcPr>
          <w:p w14:paraId="56A31712"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6</w:t>
            </w:r>
          </w:p>
        </w:tc>
        <w:tc>
          <w:tcPr>
            <w:tcW w:w="2126" w:type="dxa"/>
            <w:noWrap/>
            <w:vAlign w:val="center"/>
            <w:hideMark/>
          </w:tcPr>
          <w:p w14:paraId="49B8F444"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4</w:t>
            </w:r>
          </w:p>
        </w:tc>
      </w:tr>
      <w:tr w:rsidR="00A0104B" w:rsidRPr="00C52B17" w14:paraId="711859B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5882FA3A"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města Brna</w:t>
            </w:r>
          </w:p>
        </w:tc>
        <w:tc>
          <w:tcPr>
            <w:tcW w:w="2126" w:type="dxa"/>
            <w:noWrap/>
            <w:vAlign w:val="center"/>
            <w:hideMark/>
          </w:tcPr>
          <w:p w14:paraId="33C66B5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7</w:t>
            </w:r>
          </w:p>
        </w:tc>
        <w:tc>
          <w:tcPr>
            <w:tcW w:w="2126" w:type="dxa"/>
            <w:noWrap/>
            <w:vAlign w:val="center"/>
            <w:hideMark/>
          </w:tcPr>
          <w:p w14:paraId="5E11EF5B"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2</w:t>
            </w:r>
          </w:p>
        </w:tc>
      </w:tr>
      <w:tr w:rsidR="00A0104B" w:rsidRPr="00C52B17" w14:paraId="0FA7B2B4"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4E368B49"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města Plzně</w:t>
            </w:r>
          </w:p>
        </w:tc>
        <w:tc>
          <w:tcPr>
            <w:tcW w:w="2126" w:type="dxa"/>
            <w:noWrap/>
            <w:vAlign w:val="center"/>
            <w:hideMark/>
          </w:tcPr>
          <w:p w14:paraId="1D8A4637"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c>
          <w:tcPr>
            <w:tcW w:w="2126" w:type="dxa"/>
            <w:noWrap/>
            <w:vAlign w:val="center"/>
            <w:hideMark/>
          </w:tcPr>
          <w:p w14:paraId="5CB46586"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r>
      <w:tr w:rsidR="00A0104B" w:rsidRPr="00C52B17" w14:paraId="25536BBF"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2F7F61E2"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města Ostravy</w:t>
            </w:r>
          </w:p>
        </w:tc>
        <w:tc>
          <w:tcPr>
            <w:tcW w:w="2126" w:type="dxa"/>
            <w:noWrap/>
            <w:vAlign w:val="center"/>
            <w:hideMark/>
          </w:tcPr>
          <w:p w14:paraId="44DAE14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1</w:t>
            </w:r>
          </w:p>
        </w:tc>
        <w:tc>
          <w:tcPr>
            <w:tcW w:w="2126" w:type="dxa"/>
            <w:noWrap/>
            <w:vAlign w:val="center"/>
            <w:hideMark/>
          </w:tcPr>
          <w:p w14:paraId="1C02751C"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3</w:t>
            </w:r>
          </w:p>
        </w:tc>
      </w:tr>
      <w:tr w:rsidR="00A0104B" w:rsidRPr="00C52B17" w14:paraId="22311B51"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0C593730"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color w:val="000000"/>
                <w:sz w:val="20"/>
                <w:szCs w:val="20"/>
                <w:lang w:eastAsia="cs-CZ"/>
              </w:rPr>
              <w:t>MD – Oddělení</w:t>
            </w:r>
            <w:r w:rsidRPr="00C52B17">
              <w:rPr>
                <w:rFonts w:asciiTheme="minorHAnsi" w:eastAsia="Times New Roman" w:hAnsiTheme="minorHAnsi" w:cstheme="minorHAnsi"/>
                <w:b w:val="0"/>
                <w:bCs w:val="0"/>
                <w:color w:val="000000"/>
                <w:sz w:val="20"/>
                <w:szCs w:val="20"/>
                <w:lang w:eastAsia="cs-CZ"/>
              </w:rPr>
              <w:t xml:space="preserve"> rozklad</w:t>
            </w:r>
            <w:r w:rsidRPr="004753BF">
              <w:rPr>
                <w:rFonts w:asciiTheme="minorHAnsi" w:eastAsia="Times New Roman" w:hAnsiTheme="minorHAnsi" w:cstheme="minorHAnsi"/>
                <w:b w:val="0"/>
                <w:bCs w:val="0"/>
                <w:color w:val="000000"/>
                <w:sz w:val="20"/>
                <w:szCs w:val="20"/>
                <w:lang w:eastAsia="cs-CZ"/>
              </w:rPr>
              <w:t>.</w:t>
            </w:r>
            <w:r w:rsidRPr="00C52B17">
              <w:rPr>
                <w:rFonts w:asciiTheme="minorHAnsi" w:eastAsia="Times New Roman" w:hAnsiTheme="minorHAnsi" w:cstheme="minorHAnsi"/>
                <w:b w:val="0"/>
                <w:bCs w:val="0"/>
                <w:color w:val="000000"/>
                <w:sz w:val="20"/>
                <w:szCs w:val="20"/>
                <w:lang w:eastAsia="cs-CZ"/>
              </w:rPr>
              <w:t xml:space="preserve"> komise</w:t>
            </w:r>
          </w:p>
        </w:tc>
        <w:tc>
          <w:tcPr>
            <w:tcW w:w="2126" w:type="dxa"/>
            <w:noWrap/>
            <w:vAlign w:val="center"/>
            <w:hideMark/>
          </w:tcPr>
          <w:p w14:paraId="55A6D3C6"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3</w:t>
            </w:r>
          </w:p>
        </w:tc>
        <w:tc>
          <w:tcPr>
            <w:tcW w:w="2126" w:type="dxa"/>
            <w:noWrap/>
            <w:vAlign w:val="center"/>
            <w:hideMark/>
          </w:tcPr>
          <w:p w14:paraId="7C173AA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2</w:t>
            </w:r>
          </w:p>
        </w:tc>
      </w:tr>
      <w:tr w:rsidR="00A0104B" w:rsidRPr="00C52B17" w14:paraId="0BC9BD48"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50F1AA66"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color w:val="000000"/>
                <w:sz w:val="20"/>
                <w:szCs w:val="20"/>
                <w:lang w:eastAsia="cs-CZ"/>
              </w:rPr>
              <w:t>MD – Oddělení</w:t>
            </w:r>
            <w:r w:rsidRPr="00C52B17">
              <w:rPr>
                <w:rFonts w:asciiTheme="minorHAnsi" w:eastAsia="Times New Roman" w:hAnsiTheme="minorHAnsi" w:cstheme="minorHAnsi"/>
                <w:b w:val="0"/>
                <w:bCs w:val="0"/>
                <w:color w:val="000000"/>
                <w:sz w:val="20"/>
                <w:szCs w:val="20"/>
                <w:lang w:eastAsia="cs-CZ"/>
              </w:rPr>
              <w:t xml:space="preserve"> silnič</w:t>
            </w:r>
            <w:r w:rsidRPr="004753BF">
              <w:rPr>
                <w:rFonts w:asciiTheme="minorHAnsi" w:eastAsia="Times New Roman" w:hAnsiTheme="minorHAnsi" w:cstheme="minorHAnsi"/>
                <w:b w:val="0"/>
                <w:bCs w:val="0"/>
                <w:color w:val="000000"/>
                <w:sz w:val="20"/>
                <w:szCs w:val="20"/>
                <w:lang w:eastAsia="cs-CZ"/>
              </w:rPr>
              <w:t>.</w:t>
            </w:r>
            <w:r w:rsidRPr="00C52B17">
              <w:rPr>
                <w:rFonts w:asciiTheme="minorHAnsi" w:eastAsia="Times New Roman" w:hAnsiTheme="minorHAnsi" w:cstheme="minorHAnsi"/>
                <w:b w:val="0"/>
                <w:bCs w:val="0"/>
                <w:color w:val="000000"/>
                <w:sz w:val="20"/>
                <w:szCs w:val="20"/>
                <w:lang w:eastAsia="cs-CZ"/>
              </w:rPr>
              <w:t xml:space="preserve"> </w:t>
            </w:r>
            <w:r w:rsidRPr="004753BF">
              <w:rPr>
                <w:rFonts w:asciiTheme="minorHAnsi" w:eastAsia="Times New Roman" w:hAnsiTheme="minorHAnsi" w:cstheme="minorHAnsi"/>
                <w:b w:val="0"/>
                <w:bCs w:val="0"/>
                <w:color w:val="000000"/>
                <w:sz w:val="20"/>
                <w:szCs w:val="20"/>
                <w:lang w:eastAsia="cs-CZ"/>
              </w:rPr>
              <w:t>s</w:t>
            </w:r>
            <w:r w:rsidRPr="00C52B17">
              <w:rPr>
                <w:rFonts w:asciiTheme="minorHAnsi" w:eastAsia="Times New Roman" w:hAnsiTheme="minorHAnsi" w:cstheme="minorHAnsi"/>
                <w:b w:val="0"/>
                <w:bCs w:val="0"/>
                <w:color w:val="000000"/>
                <w:sz w:val="20"/>
                <w:szCs w:val="20"/>
                <w:lang w:eastAsia="cs-CZ"/>
              </w:rPr>
              <w:t>práv</w:t>
            </w:r>
            <w:r w:rsidRPr="004753BF">
              <w:rPr>
                <w:rFonts w:asciiTheme="minorHAnsi" w:eastAsia="Times New Roman" w:hAnsiTheme="minorHAnsi" w:cstheme="minorHAnsi"/>
                <w:b w:val="0"/>
                <w:bCs w:val="0"/>
                <w:color w:val="000000"/>
                <w:sz w:val="20"/>
                <w:szCs w:val="20"/>
                <w:lang w:eastAsia="cs-CZ"/>
              </w:rPr>
              <w:t>.</w:t>
            </w:r>
            <w:r w:rsidRPr="00C52B17">
              <w:rPr>
                <w:rFonts w:asciiTheme="minorHAnsi" w:eastAsia="Times New Roman" w:hAnsiTheme="minorHAnsi" w:cstheme="minorHAnsi"/>
                <w:b w:val="0"/>
                <w:bCs w:val="0"/>
                <w:color w:val="000000"/>
                <w:sz w:val="20"/>
                <w:szCs w:val="20"/>
                <w:lang w:eastAsia="cs-CZ"/>
              </w:rPr>
              <w:t xml:space="preserve"> úřadu</w:t>
            </w:r>
          </w:p>
        </w:tc>
        <w:tc>
          <w:tcPr>
            <w:tcW w:w="2126" w:type="dxa"/>
            <w:noWrap/>
            <w:vAlign w:val="center"/>
            <w:hideMark/>
          </w:tcPr>
          <w:p w14:paraId="6222D8D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2</w:t>
            </w:r>
          </w:p>
        </w:tc>
        <w:tc>
          <w:tcPr>
            <w:tcW w:w="2126" w:type="dxa"/>
            <w:noWrap/>
            <w:vAlign w:val="center"/>
            <w:hideMark/>
          </w:tcPr>
          <w:p w14:paraId="6DE52BA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0</w:t>
            </w:r>
          </w:p>
        </w:tc>
      </w:tr>
      <w:tr w:rsidR="00A0104B" w:rsidRPr="00C52B17" w14:paraId="1A2199BE"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556F2B6D"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color w:val="000000"/>
                <w:sz w:val="20"/>
                <w:szCs w:val="20"/>
                <w:lang w:eastAsia="cs-CZ"/>
              </w:rPr>
              <w:t>MD – Odd.</w:t>
            </w:r>
            <w:r w:rsidRPr="00C52B17">
              <w:rPr>
                <w:rFonts w:asciiTheme="minorHAnsi" w:eastAsia="Times New Roman" w:hAnsiTheme="minorHAnsi" w:cstheme="minorHAnsi"/>
                <w:b w:val="0"/>
                <w:bCs w:val="0"/>
                <w:color w:val="000000"/>
                <w:sz w:val="20"/>
                <w:szCs w:val="20"/>
                <w:lang w:eastAsia="cs-CZ"/>
              </w:rPr>
              <w:t xml:space="preserve"> infrastruktury letišť a plavby</w:t>
            </w:r>
          </w:p>
        </w:tc>
        <w:tc>
          <w:tcPr>
            <w:tcW w:w="2126" w:type="dxa"/>
            <w:noWrap/>
            <w:vAlign w:val="center"/>
            <w:hideMark/>
          </w:tcPr>
          <w:p w14:paraId="24E1DE40"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7</w:t>
            </w:r>
          </w:p>
        </w:tc>
        <w:tc>
          <w:tcPr>
            <w:tcW w:w="2126" w:type="dxa"/>
            <w:noWrap/>
            <w:vAlign w:val="center"/>
            <w:hideMark/>
          </w:tcPr>
          <w:p w14:paraId="0817F513"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5</w:t>
            </w:r>
          </w:p>
        </w:tc>
      </w:tr>
      <w:tr w:rsidR="00A0104B" w:rsidRPr="00C52B17" w14:paraId="2FE591C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20" w:type="dxa"/>
            <w:vAlign w:val="center"/>
            <w:hideMark/>
          </w:tcPr>
          <w:p w14:paraId="1613DE93"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4753BF">
              <w:rPr>
                <w:rFonts w:asciiTheme="minorHAnsi" w:eastAsia="Times New Roman" w:hAnsiTheme="minorHAnsi" w:cstheme="minorHAnsi"/>
                <w:b w:val="0"/>
                <w:bCs w:val="0"/>
                <w:color w:val="000000"/>
                <w:sz w:val="20"/>
                <w:szCs w:val="20"/>
                <w:lang w:eastAsia="cs-CZ"/>
              </w:rPr>
              <w:t>MD – Odbor</w:t>
            </w:r>
            <w:r w:rsidRPr="00C52B17">
              <w:rPr>
                <w:rFonts w:asciiTheme="minorHAnsi" w:eastAsia="Times New Roman" w:hAnsiTheme="minorHAnsi" w:cstheme="minorHAnsi"/>
                <w:b w:val="0"/>
                <w:bCs w:val="0"/>
                <w:color w:val="000000"/>
                <w:sz w:val="20"/>
                <w:szCs w:val="20"/>
                <w:lang w:eastAsia="cs-CZ"/>
              </w:rPr>
              <w:t xml:space="preserve"> drah, železniční a kombin</w:t>
            </w:r>
            <w:r w:rsidRPr="004753BF">
              <w:rPr>
                <w:rFonts w:asciiTheme="minorHAnsi" w:eastAsia="Times New Roman" w:hAnsiTheme="minorHAnsi" w:cstheme="minorHAnsi"/>
                <w:b w:val="0"/>
                <w:bCs w:val="0"/>
                <w:color w:val="000000"/>
                <w:sz w:val="20"/>
                <w:szCs w:val="20"/>
                <w:lang w:eastAsia="cs-CZ"/>
              </w:rPr>
              <w:t>.</w:t>
            </w:r>
            <w:r w:rsidRPr="00C52B17">
              <w:rPr>
                <w:rFonts w:asciiTheme="minorHAnsi" w:eastAsia="Times New Roman" w:hAnsiTheme="minorHAnsi" w:cstheme="minorHAnsi"/>
                <w:b w:val="0"/>
                <w:bCs w:val="0"/>
                <w:color w:val="000000"/>
                <w:sz w:val="20"/>
                <w:szCs w:val="20"/>
                <w:lang w:eastAsia="cs-CZ"/>
              </w:rPr>
              <w:t xml:space="preserve"> dopravy</w:t>
            </w:r>
          </w:p>
        </w:tc>
        <w:tc>
          <w:tcPr>
            <w:tcW w:w="2126" w:type="dxa"/>
            <w:noWrap/>
            <w:vAlign w:val="center"/>
            <w:hideMark/>
          </w:tcPr>
          <w:p w14:paraId="134E6AF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1</w:t>
            </w:r>
          </w:p>
        </w:tc>
        <w:tc>
          <w:tcPr>
            <w:tcW w:w="2126" w:type="dxa"/>
            <w:noWrap/>
            <w:vAlign w:val="center"/>
            <w:hideMark/>
          </w:tcPr>
          <w:p w14:paraId="426B77F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C52B17">
              <w:rPr>
                <w:rFonts w:asciiTheme="minorHAnsi" w:eastAsia="Times New Roman" w:hAnsiTheme="minorHAnsi" w:cstheme="minorHAnsi"/>
                <w:color w:val="000000"/>
                <w:sz w:val="20"/>
                <w:szCs w:val="20"/>
                <w:lang w:eastAsia="cs-CZ"/>
              </w:rPr>
              <w:t>5</w:t>
            </w:r>
          </w:p>
        </w:tc>
      </w:tr>
    </w:tbl>
    <w:p w14:paraId="1516335F" w14:textId="77777777" w:rsidR="00A0104B" w:rsidRPr="00124479" w:rsidRDefault="00A0104B" w:rsidP="00A0104B">
      <w:pPr>
        <w:pStyle w:val="Citt"/>
        <w:spacing w:before="120"/>
      </w:pPr>
      <w:r w:rsidRPr="00C46768">
        <w:t>Zdroj: ÚÚR</w:t>
      </w:r>
    </w:p>
    <w:p w14:paraId="0FBD8035" w14:textId="77777777" w:rsidR="00A0104B" w:rsidRDefault="00A0104B" w:rsidP="00A0104B">
      <w:pPr>
        <w:pStyle w:val="Titulek"/>
        <w:keepNext/>
      </w:pPr>
      <w:r>
        <w:lastRenderedPageBreak/>
        <w:t xml:space="preserve">Tabulka </w:t>
      </w:r>
      <w:r w:rsidR="004B0591">
        <w:fldChar w:fldCharType="begin"/>
      </w:r>
      <w:r w:rsidR="004B0591">
        <w:instrText xml:space="preserve"> SEQ Tabulka \* ARABIC </w:instrText>
      </w:r>
      <w:r w:rsidR="004B0591">
        <w:fldChar w:fldCharType="separate"/>
      </w:r>
      <w:r>
        <w:rPr>
          <w:noProof/>
        </w:rPr>
        <w:t>8</w:t>
      </w:r>
      <w:r w:rsidR="004B0591">
        <w:rPr>
          <w:noProof/>
        </w:rPr>
        <w:fldChar w:fldCharType="end"/>
      </w:r>
      <w:r>
        <w:t>: Počet pracovníků, d</w:t>
      </w:r>
      <w:r w:rsidRPr="00124479">
        <w:t xml:space="preserve">ruhoinstanční </w:t>
      </w:r>
      <w:r>
        <w:t>S</w:t>
      </w:r>
      <w:r w:rsidRPr="00124479">
        <w:t xml:space="preserve">SÚ, </w:t>
      </w:r>
      <w:r>
        <w:t xml:space="preserve">VS, </w:t>
      </w:r>
      <w:r w:rsidRPr="00124479">
        <w:t>2020</w:t>
      </w:r>
    </w:p>
    <w:tbl>
      <w:tblPr>
        <w:tblStyle w:val="Barevntabulkaseznamu6zvraznn51"/>
        <w:tblW w:w="9078" w:type="dxa"/>
        <w:tblLayout w:type="fixed"/>
        <w:tblLook w:val="04A0" w:firstRow="1" w:lastRow="0" w:firstColumn="1" w:lastColumn="0" w:noHBand="0" w:noVBand="1"/>
      </w:tblPr>
      <w:tblGrid>
        <w:gridCol w:w="3539"/>
        <w:gridCol w:w="1846"/>
        <w:gridCol w:w="1846"/>
        <w:gridCol w:w="1847"/>
      </w:tblGrid>
      <w:tr w:rsidR="00A0104B" w:rsidRPr="002A6DE0" w14:paraId="793D0EB7" w14:textId="77777777" w:rsidTr="00197E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3EC29AC" w14:textId="77777777" w:rsidR="00A0104B" w:rsidRPr="002A6DE0" w:rsidRDefault="00A0104B" w:rsidP="00197E1E">
            <w:pPr>
              <w:spacing w:before="0" w:after="0"/>
              <w:jc w:val="center"/>
              <w:rPr>
                <w:rFonts w:asciiTheme="minorHAnsi" w:eastAsia="Times New Roman" w:hAnsiTheme="minorHAnsi" w:cstheme="minorHAnsi"/>
                <w:b w:val="0"/>
                <w:bCs w:val="0"/>
                <w:sz w:val="20"/>
                <w:szCs w:val="20"/>
                <w:lang w:eastAsia="cs-CZ"/>
              </w:rPr>
            </w:pPr>
          </w:p>
        </w:tc>
        <w:tc>
          <w:tcPr>
            <w:tcW w:w="1846" w:type="dxa"/>
            <w:vAlign w:val="center"/>
          </w:tcPr>
          <w:p w14:paraId="4607A312" w14:textId="77777777" w:rsidR="00A0104B" w:rsidRPr="002A6DE0"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sz w:val="20"/>
                <w:szCs w:val="20"/>
                <w:lang w:eastAsia="cs-CZ"/>
              </w:rPr>
              <w:t>počet úředních osob</w:t>
            </w:r>
          </w:p>
        </w:tc>
        <w:tc>
          <w:tcPr>
            <w:tcW w:w="1846" w:type="dxa"/>
            <w:vAlign w:val="center"/>
          </w:tcPr>
          <w:p w14:paraId="2E07BF7C" w14:textId="77777777" w:rsidR="00A0104B" w:rsidRPr="002A6DE0"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cs-CZ"/>
              </w:rPr>
            </w:pPr>
            <w:r w:rsidRPr="0013554F">
              <w:rPr>
                <w:rFonts w:asciiTheme="minorHAnsi" w:eastAsia="Times New Roman" w:hAnsiTheme="minorHAnsi" w:cstheme="minorHAnsi"/>
                <w:sz w:val="20"/>
                <w:szCs w:val="20"/>
                <w:lang w:eastAsia="cs-CZ"/>
              </w:rPr>
              <w:t>úřední osoby se ZOZ</w:t>
            </w:r>
          </w:p>
        </w:tc>
        <w:tc>
          <w:tcPr>
            <w:tcW w:w="1847" w:type="dxa"/>
            <w:vAlign w:val="center"/>
          </w:tcPr>
          <w:p w14:paraId="7A49B8A2" w14:textId="77777777" w:rsidR="00A0104B" w:rsidRPr="002A6DE0"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87C83">
              <w:rPr>
                <w:rFonts w:asciiTheme="minorHAnsi" w:eastAsia="Times New Roman" w:hAnsiTheme="minorHAnsi" w:cstheme="minorHAnsi"/>
                <w:sz w:val="20"/>
                <w:szCs w:val="20"/>
                <w:lang w:eastAsia="cs-CZ"/>
              </w:rPr>
              <w:t>pracovní úvazk</w:t>
            </w:r>
            <w:r w:rsidRPr="00887C83">
              <w:rPr>
                <w:rFonts w:asciiTheme="minorHAnsi" w:eastAsia="Times New Roman" w:hAnsiTheme="minorHAnsi" w:cstheme="minorHAnsi"/>
                <w:b w:val="0"/>
                <w:bCs w:val="0"/>
                <w:sz w:val="20"/>
                <w:szCs w:val="20"/>
                <w:lang w:eastAsia="cs-CZ"/>
              </w:rPr>
              <w:t>y</w:t>
            </w:r>
            <w:r w:rsidRPr="00887C83">
              <w:rPr>
                <w:rFonts w:asciiTheme="minorHAnsi" w:eastAsia="Times New Roman" w:hAnsiTheme="minorHAnsi" w:cstheme="minorHAnsi"/>
                <w:sz w:val="20"/>
                <w:szCs w:val="20"/>
                <w:lang w:eastAsia="cs-CZ"/>
              </w:rPr>
              <w:t xml:space="preserve"> úředních osob</w:t>
            </w:r>
          </w:p>
        </w:tc>
      </w:tr>
      <w:tr w:rsidR="00A0104B" w:rsidRPr="002A6DE0" w14:paraId="0A1C2AF0"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366A8A07" w14:textId="77777777" w:rsidR="00A0104B" w:rsidRPr="00C52B17" w:rsidRDefault="00A0104B" w:rsidP="00197E1E">
            <w:pPr>
              <w:spacing w:before="0" w:after="0"/>
              <w:rPr>
                <w:rFonts w:asciiTheme="minorHAnsi" w:eastAsia="Times New Roman" w:hAnsiTheme="minorHAnsi" w:cstheme="minorHAnsi"/>
                <w:b w:val="0"/>
                <w:bCs w:val="0"/>
                <w:sz w:val="20"/>
                <w:szCs w:val="20"/>
                <w:lang w:eastAsia="cs-CZ"/>
              </w:rPr>
            </w:pPr>
            <w:r w:rsidRPr="00C52B17">
              <w:rPr>
                <w:rFonts w:asciiTheme="minorHAnsi" w:eastAsia="Times New Roman" w:hAnsiTheme="minorHAnsi" w:cstheme="minorHAnsi"/>
                <w:b w:val="0"/>
                <w:bCs w:val="0"/>
                <w:color w:val="000000"/>
                <w:sz w:val="20"/>
                <w:szCs w:val="20"/>
                <w:lang w:eastAsia="cs-CZ"/>
              </w:rPr>
              <w:t>Magistrát hlavního města Prahy</w:t>
            </w:r>
          </w:p>
        </w:tc>
        <w:tc>
          <w:tcPr>
            <w:tcW w:w="1846" w:type="dxa"/>
            <w:vAlign w:val="center"/>
            <w:hideMark/>
          </w:tcPr>
          <w:p w14:paraId="303DF8A6"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C52B17">
              <w:rPr>
                <w:rFonts w:asciiTheme="minorHAnsi" w:eastAsia="Times New Roman" w:hAnsiTheme="minorHAnsi" w:cstheme="minorHAnsi"/>
                <w:sz w:val="20"/>
                <w:szCs w:val="20"/>
                <w:lang w:eastAsia="cs-CZ"/>
              </w:rPr>
              <w:t>13</w:t>
            </w:r>
          </w:p>
        </w:tc>
        <w:tc>
          <w:tcPr>
            <w:tcW w:w="1846" w:type="dxa"/>
            <w:vAlign w:val="center"/>
            <w:hideMark/>
          </w:tcPr>
          <w:p w14:paraId="5478C46E"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C52B17">
              <w:rPr>
                <w:rFonts w:asciiTheme="minorHAnsi" w:eastAsia="Times New Roman" w:hAnsiTheme="minorHAnsi" w:cstheme="minorHAnsi"/>
                <w:sz w:val="20"/>
                <w:szCs w:val="20"/>
                <w:lang w:eastAsia="cs-CZ"/>
              </w:rPr>
              <w:t>11</w:t>
            </w:r>
          </w:p>
        </w:tc>
        <w:tc>
          <w:tcPr>
            <w:tcW w:w="1847" w:type="dxa"/>
            <w:vAlign w:val="center"/>
          </w:tcPr>
          <w:p w14:paraId="38149EC8"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r w:rsidRPr="002A6DE0">
              <w:rPr>
                <w:rFonts w:asciiTheme="minorHAnsi" w:hAnsiTheme="minorHAnsi" w:cstheme="minorHAnsi"/>
                <w:color w:val="000000"/>
                <w:sz w:val="20"/>
                <w:szCs w:val="20"/>
              </w:rPr>
              <w:t>12</w:t>
            </w:r>
          </w:p>
        </w:tc>
      </w:tr>
      <w:tr w:rsidR="00A0104B" w:rsidRPr="002A6DE0" w14:paraId="67FE3883"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5A7E937"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Středočeského kraje</w:t>
            </w:r>
          </w:p>
        </w:tc>
        <w:tc>
          <w:tcPr>
            <w:tcW w:w="1846" w:type="dxa"/>
            <w:noWrap/>
            <w:vAlign w:val="center"/>
            <w:hideMark/>
          </w:tcPr>
          <w:p w14:paraId="45AACD6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9</w:t>
            </w:r>
          </w:p>
        </w:tc>
        <w:tc>
          <w:tcPr>
            <w:tcW w:w="1846" w:type="dxa"/>
            <w:noWrap/>
            <w:vAlign w:val="center"/>
            <w:hideMark/>
          </w:tcPr>
          <w:p w14:paraId="4495D96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9</w:t>
            </w:r>
          </w:p>
        </w:tc>
        <w:tc>
          <w:tcPr>
            <w:tcW w:w="1847" w:type="dxa"/>
            <w:noWrap/>
            <w:vAlign w:val="center"/>
          </w:tcPr>
          <w:p w14:paraId="43C14198"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9</w:t>
            </w:r>
          </w:p>
        </w:tc>
      </w:tr>
      <w:tr w:rsidR="00A0104B" w:rsidRPr="002A6DE0" w14:paraId="68F115D0"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ECAE0B2"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Jihočeského kraje</w:t>
            </w:r>
          </w:p>
        </w:tc>
        <w:tc>
          <w:tcPr>
            <w:tcW w:w="1846" w:type="dxa"/>
            <w:noWrap/>
            <w:vAlign w:val="center"/>
            <w:hideMark/>
          </w:tcPr>
          <w:p w14:paraId="681ABDBD"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4</w:t>
            </w:r>
          </w:p>
        </w:tc>
        <w:tc>
          <w:tcPr>
            <w:tcW w:w="1846" w:type="dxa"/>
            <w:noWrap/>
            <w:vAlign w:val="center"/>
            <w:hideMark/>
          </w:tcPr>
          <w:p w14:paraId="64EDFAE3"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2</w:t>
            </w:r>
          </w:p>
        </w:tc>
        <w:tc>
          <w:tcPr>
            <w:tcW w:w="1847" w:type="dxa"/>
            <w:noWrap/>
            <w:vAlign w:val="center"/>
          </w:tcPr>
          <w:p w14:paraId="18BEC0A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1,71</w:t>
            </w:r>
          </w:p>
        </w:tc>
      </w:tr>
      <w:tr w:rsidR="00A0104B" w:rsidRPr="002A6DE0" w14:paraId="15E3418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3DEBC49"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Plzeňského kraje</w:t>
            </w:r>
          </w:p>
        </w:tc>
        <w:tc>
          <w:tcPr>
            <w:tcW w:w="1846" w:type="dxa"/>
            <w:noWrap/>
            <w:vAlign w:val="center"/>
            <w:hideMark/>
          </w:tcPr>
          <w:p w14:paraId="12E9E954"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5</w:t>
            </w:r>
          </w:p>
        </w:tc>
        <w:tc>
          <w:tcPr>
            <w:tcW w:w="1846" w:type="dxa"/>
            <w:noWrap/>
            <w:vAlign w:val="center"/>
            <w:hideMark/>
          </w:tcPr>
          <w:p w14:paraId="32A906D2"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4</w:t>
            </w:r>
          </w:p>
        </w:tc>
        <w:tc>
          <w:tcPr>
            <w:tcW w:w="1847" w:type="dxa"/>
            <w:noWrap/>
            <w:vAlign w:val="center"/>
          </w:tcPr>
          <w:p w14:paraId="19776ED3"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2</w:t>
            </w:r>
          </w:p>
        </w:tc>
      </w:tr>
      <w:tr w:rsidR="00A0104B" w:rsidRPr="002A6DE0" w14:paraId="0E04F7CB"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A55F70A"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Karlovarského kraje</w:t>
            </w:r>
          </w:p>
        </w:tc>
        <w:tc>
          <w:tcPr>
            <w:tcW w:w="1846" w:type="dxa"/>
            <w:noWrap/>
            <w:vAlign w:val="center"/>
            <w:hideMark/>
          </w:tcPr>
          <w:p w14:paraId="5EF32567"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4</w:t>
            </w:r>
          </w:p>
        </w:tc>
        <w:tc>
          <w:tcPr>
            <w:tcW w:w="1846" w:type="dxa"/>
            <w:noWrap/>
            <w:vAlign w:val="center"/>
            <w:hideMark/>
          </w:tcPr>
          <w:p w14:paraId="30EEDA67"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4</w:t>
            </w:r>
          </w:p>
        </w:tc>
        <w:tc>
          <w:tcPr>
            <w:tcW w:w="1847" w:type="dxa"/>
            <w:noWrap/>
            <w:vAlign w:val="center"/>
          </w:tcPr>
          <w:p w14:paraId="563D702B"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4</w:t>
            </w:r>
          </w:p>
        </w:tc>
      </w:tr>
      <w:tr w:rsidR="00A0104B" w:rsidRPr="002A6DE0" w14:paraId="05449AD6"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FA2D5E0"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Ústeckého kraje</w:t>
            </w:r>
          </w:p>
        </w:tc>
        <w:tc>
          <w:tcPr>
            <w:tcW w:w="1846" w:type="dxa"/>
            <w:noWrap/>
            <w:vAlign w:val="center"/>
            <w:hideMark/>
          </w:tcPr>
          <w:p w14:paraId="54F3D5E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4</w:t>
            </w:r>
          </w:p>
        </w:tc>
        <w:tc>
          <w:tcPr>
            <w:tcW w:w="1846" w:type="dxa"/>
            <w:noWrap/>
            <w:vAlign w:val="center"/>
            <w:hideMark/>
          </w:tcPr>
          <w:p w14:paraId="2960FAF9"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3</w:t>
            </w:r>
          </w:p>
        </w:tc>
        <w:tc>
          <w:tcPr>
            <w:tcW w:w="1847" w:type="dxa"/>
            <w:noWrap/>
            <w:vAlign w:val="center"/>
          </w:tcPr>
          <w:p w14:paraId="0888DAF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3</w:t>
            </w:r>
          </w:p>
        </w:tc>
      </w:tr>
      <w:tr w:rsidR="00A0104B" w:rsidRPr="002A6DE0" w14:paraId="7E9B670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33F4AF34"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Libereckého kraje</w:t>
            </w:r>
          </w:p>
        </w:tc>
        <w:tc>
          <w:tcPr>
            <w:tcW w:w="1846" w:type="dxa"/>
            <w:noWrap/>
            <w:vAlign w:val="center"/>
            <w:hideMark/>
          </w:tcPr>
          <w:p w14:paraId="4CF21EDA"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1</w:t>
            </w:r>
          </w:p>
        </w:tc>
        <w:tc>
          <w:tcPr>
            <w:tcW w:w="1846" w:type="dxa"/>
            <w:noWrap/>
            <w:vAlign w:val="center"/>
            <w:hideMark/>
          </w:tcPr>
          <w:p w14:paraId="7F967D8A"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1</w:t>
            </w:r>
          </w:p>
        </w:tc>
        <w:tc>
          <w:tcPr>
            <w:tcW w:w="1847" w:type="dxa"/>
            <w:noWrap/>
            <w:vAlign w:val="center"/>
          </w:tcPr>
          <w:p w14:paraId="4B5B09F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1</w:t>
            </w:r>
          </w:p>
        </w:tc>
      </w:tr>
      <w:tr w:rsidR="00A0104B" w:rsidRPr="002A6DE0" w14:paraId="6654D70E"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ACB9CBB"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Královéhradeckého kraje</w:t>
            </w:r>
          </w:p>
        </w:tc>
        <w:tc>
          <w:tcPr>
            <w:tcW w:w="1846" w:type="dxa"/>
            <w:noWrap/>
            <w:vAlign w:val="center"/>
            <w:hideMark/>
          </w:tcPr>
          <w:p w14:paraId="60488614"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6" w:type="dxa"/>
            <w:noWrap/>
            <w:vAlign w:val="center"/>
            <w:hideMark/>
          </w:tcPr>
          <w:p w14:paraId="594C866E"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7" w:type="dxa"/>
            <w:noWrap/>
            <w:vAlign w:val="center"/>
          </w:tcPr>
          <w:p w14:paraId="67CE09A4"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7</w:t>
            </w:r>
          </w:p>
        </w:tc>
      </w:tr>
      <w:tr w:rsidR="00A0104B" w:rsidRPr="002A6DE0" w14:paraId="07DB835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FCB254D"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Pardubického kraje</w:t>
            </w:r>
          </w:p>
        </w:tc>
        <w:tc>
          <w:tcPr>
            <w:tcW w:w="1846" w:type="dxa"/>
            <w:noWrap/>
            <w:vAlign w:val="center"/>
            <w:hideMark/>
          </w:tcPr>
          <w:p w14:paraId="0F62E66C"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6" w:type="dxa"/>
            <w:noWrap/>
            <w:vAlign w:val="center"/>
            <w:hideMark/>
          </w:tcPr>
          <w:p w14:paraId="602E82D7"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5</w:t>
            </w:r>
          </w:p>
        </w:tc>
        <w:tc>
          <w:tcPr>
            <w:tcW w:w="1847" w:type="dxa"/>
            <w:noWrap/>
            <w:vAlign w:val="center"/>
          </w:tcPr>
          <w:p w14:paraId="735E687D"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5,75</w:t>
            </w:r>
          </w:p>
        </w:tc>
      </w:tr>
      <w:tr w:rsidR="00A0104B" w:rsidRPr="002A6DE0" w14:paraId="0EF9E519"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B49704E"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Kraje Vysočina</w:t>
            </w:r>
          </w:p>
        </w:tc>
        <w:tc>
          <w:tcPr>
            <w:tcW w:w="1846" w:type="dxa"/>
            <w:noWrap/>
            <w:vAlign w:val="center"/>
            <w:hideMark/>
          </w:tcPr>
          <w:p w14:paraId="1B660474"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5</w:t>
            </w:r>
          </w:p>
        </w:tc>
        <w:tc>
          <w:tcPr>
            <w:tcW w:w="1846" w:type="dxa"/>
            <w:noWrap/>
            <w:vAlign w:val="center"/>
            <w:hideMark/>
          </w:tcPr>
          <w:p w14:paraId="33C59EBF"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5</w:t>
            </w:r>
          </w:p>
        </w:tc>
        <w:tc>
          <w:tcPr>
            <w:tcW w:w="1847" w:type="dxa"/>
            <w:noWrap/>
            <w:vAlign w:val="center"/>
          </w:tcPr>
          <w:p w14:paraId="3F67DF9A"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1,2</w:t>
            </w:r>
          </w:p>
        </w:tc>
      </w:tr>
      <w:tr w:rsidR="00A0104B" w:rsidRPr="002A6DE0" w14:paraId="5AE0B5AE"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3D6B4DE"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Jihomoravského kraje</w:t>
            </w:r>
          </w:p>
        </w:tc>
        <w:tc>
          <w:tcPr>
            <w:tcW w:w="1846" w:type="dxa"/>
            <w:noWrap/>
            <w:vAlign w:val="center"/>
            <w:hideMark/>
          </w:tcPr>
          <w:p w14:paraId="7EE578BE"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6" w:type="dxa"/>
            <w:noWrap/>
            <w:vAlign w:val="center"/>
            <w:hideMark/>
          </w:tcPr>
          <w:p w14:paraId="445617E5"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7" w:type="dxa"/>
            <w:noWrap/>
            <w:vAlign w:val="center"/>
          </w:tcPr>
          <w:p w14:paraId="35DF843C"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7</w:t>
            </w:r>
          </w:p>
        </w:tc>
      </w:tr>
      <w:tr w:rsidR="00A0104B" w:rsidRPr="002A6DE0" w14:paraId="03C39B79"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9A6C3C7"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Olomouckého kraje</w:t>
            </w:r>
          </w:p>
        </w:tc>
        <w:tc>
          <w:tcPr>
            <w:tcW w:w="1846" w:type="dxa"/>
            <w:noWrap/>
            <w:vAlign w:val="center"/>
            <w:hideMark/>
          </w:tcPr>
          <w:p w14:paraId="0DB194E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6</w:t>
            </w:r>
          </w:p>
        </w:tc>
        <w:tc>
          <w:tcPr>
            <w:tcW w:w="1846" w:type="dxa"/>
            <w:noWrap/>
            <w:vAlign w:val="center"/>
            <w:hideMark/>
          </w:tcPr>
          <w:p w14:paraId="70A9C25F"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6</w:t>
            </w:r>
          </w:p>
        </w:tc>
        <w:tc>
          <w:tcPr>
            <w:tcW w:w="1847" w:type="dxa"/>
            <w:noWrap/>
            <w:vAlign w:val="center"/>
          </w:tcPr>
          <w:p w14:paraId="3B92A4A8"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6</w:t>
            </w:r>
          </w:p>
        </w:tc>
      </w:tr>
      <w:tr w:rsidR="00A0104B" w:rsidRPr="002A6DE0" w14:paraId="28644D24"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2302DA7"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Zlínského kraje</w:t>
            </w:r>
          </w:p>
        </w:tc>
        <w:tc>
          <w:tcPr>
            <w:tcW w:w="1846" w:type="dxa"/>
            <w:noWrap/>
            <w:vAlign w:val="center"/>
            <w:hideMark/>
          </w:tcPr>
          <w:p w14:paraId="0D541818"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8</w:t>
            </w:r>
          </w:p>
        </w:tc>
        <w:tc>
          <w:tcPr>
            <w:tcW w:w="1846" w:type="dxa"/>
            <w:noWrap/>
            <w:vAlign w:val="center"/>
            <w:hideMark/>
          </w:tcPr>
          <w:p w14:paraId="6E2CFB9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7</w:t>
            </w:r>
          </w:p>
        </w:tc>
        <w:tc>
          <w:tcPr>
            <w:tcW w:w="1847" w:type="dxa"/>
            <w:noWrap/>
            <w:vAlign w:val="center"/>
          </w:tcPr>
          <w:p w14:paraId="4EBC49B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8</w:t>
            </w:r>
          </w:p>
        </w:tc>
      </w:tr>
      <w:tr w:rsidR="00A0104B" w:rsidRPr="002A6DE0" w14:paraId="0B08497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AF0343F"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Krajský úřad Moravskoslezského kraje</w:t>
            </w:r>
          </w:p>
        </w:tc>
        <w:tc>
          <w:tcPr>
            <w:tcW w:w="1846" w:type="dxa"/>
            <w:noWrap/>
            <w:vAlign w:val="center"/>
            <w:hideMark/>
          </w:tcPr>
          <w:p w14:paraId="5C112A6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10</w:t>
            </w:r>
          </w:p>
        </w:tc>
        <w:tc>
          <w:tcPr>
            <w:tcW w:w="1846" w:type="dxa"/>
            <w:noWrap/>
            <w:vAlign w:val="center"/>
            <w:hideMark/>
          </w:tcPr>
          <w:p w14:paraId="1993AEBF"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10</w:t>
            </w:r>
          </w:p>
        </w:tc>
        <w:tc>
          <w:tcPr>
            <w:tcW w:w="1847" w:type="dxa"/>
            <w:noWrap/>
            <w:vAlign w:val="center"/>
          </w:tcPr>
          <w:p w14:paraId="51A39141"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10</w:t>
            </w:r>
          </w:p>
        </w:tc>
      </w:tr>
      <w:tr w:rsidR="00A0104B" w:rsidRPr="002A6DE0" w14:paraId="13E4072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7F77F26"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města Plzně</w:t>
            </w:r>
          </w:p>
        </w:tc>
        <w:tc>
          <w:tcPr>
            <w:tcW w:w="1846" w:type="dxa"/>
            <w:noWrap/>
            <w:vAlign w:val="center"/>
            <w:hideMark/>
          </w:tcPr>
          <w:p w14:paraId="4CD5A6A0"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3</w:t>
            </w:r>
          </w:p>
        </w:tc>
        <w:tc>
          <w:tcPr>
            <w:tcW w:w="1846" w:type="dxa"/>
            <w:noWrap/>
            <w:vAlign w:val="center"/>
            <w:hideMark/>
          </w:tcPr>
          <w:p w14:paraId="3B662F74"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3</w:t>
            </w:r>
          </w:p>
        </w:tc>
        <w:tc>
          <w:tcPr>
            <w:tcW w:w="1847" w:type="dxa"/>
            <w:noWrap/>
            <w:vAlign w:val="center"/>
          </w:tcPr>
          <w:p w14:paraId="5A373B1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3</w:t>
            </w:r>
          </w:p>
        </w:tc>
      </w:tr>
      <w:tr w:rsidR="00A0104B" w:rsidRPr="002A6DE0" w14:paraId="0F51C5D4"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DF241EC"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Magistrát města Brna</w:t>
            </w:r>
          </w:p>
        </w:tc>
        <w:tc>
          <w:tcPr>
            <w:tcW w:w="1846" w:type="dxa"/>
            <w:noWrap/>
            <w:vAlign w:val="center"/>
            <w:hideMark/>
          </w:tcPr>
          <w:p w14:paraId="41D7D8C5"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9</w:t>
            </w:r>
          </w:p>
        </w:tc>
        <w:tc>
          <w:tcPr>
            <w:tcW w:w="1846" w:type="dxa"/>
            <w:noWrap/>
            <w:vAlign w:val="center"/>
            <w:hideMark/>
          </w:tcPr>
          <w:p w14:paraId="10A3D5D6"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8</w:t>
            </w:r>
          </w:p>
        </w:tc>
        <w:tc>
          <w:tcPr>
            <w:tcW w:w="1847" w:type="dxa"/>
            <w:noWrap/>
            <w:vAlign w:val="center"/>
          </w:tcPr>
          <w:p w14:paraId="784F252A" w14:textId="77777777" w:rsidR="00A0104B" w:rsidRPr="00C52B17"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9</w:t>
            </w:r>
          </w:p>
        </w:tc>
      </w:tr>
      <w:tr w:rsidR="00A0104B" w:rsidRPr="002A6DE0" w14:paraId="7A93A17F"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F1F1C5F" w14:textId="77777777" w:rsidR="00A0104B" w:rsidRPr="00C52B1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C52B17">
              <w:rPr>
                <w:rFonts w:asciiTheme="minorHAnsi" w:eastAsia="Times New Roman" w:hAnsiTheme="minorHAnsi" w:cstheme="minorHAnsi"/>
                <w:b w:val="0"/>
                <w:bCs w:val="0"/>
                <w:color w:val="000000"/>
                <w:sz w:val="20"/>
                <w:szCs w:val="20"/>
                <w:lang w:eastAsia="cs-CZ"/>
              </w:rPr>
              <w:t>Ministerstvo zemědělství</w:t>
            </w:r>
          </w:p>
        </w:tc>
        <w:tc>
          <w:tcPr>
            <w:tcW w:w="1846" w:type="dxa"/>
            <w:noWrap/>
            <w:vAlign w:val="center"/>
            <w:hideMark/>
          </w:tcPr>
          <w:p w14:paraId="779057DA"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10</w:t>
            </w:r>
          </w:p>
        </w:tc>
        <w:tc>
          <w:tcPr>
            <w:tcW w:w="1846" w:type="dxa"/>
            <w:noWrap/>
            <w:vAlign w:val="center"/>
            <w:hideMark/>
          </w:tcPr>
          <w:p w14:paraId="7787433F"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C52B17">
              <w:rPr>
                <w:rFonts w:asciiTheme="minorHAnsi" w:eastAsia="Times New Roman" w:hAnsiTheme="minorHAnsi" w:cstheme="minorHAnsi"/>
                <w:sz w:val="20"/>
                <w:szCs w:val="20"/>
                <w:lang w:eastAsia="cs-CZ"/>
              </w:rPr>
              <w:t>6</w:t>
            </w:r>
          </w:p>
        </w:tc>
        <w:tc>
          <w:tcPr>
            <w:tcW w:w="1847" w:type="dxa"/>
            <w:noWrap/>
            <w:vAlign w:val="center"/>
          </w:tcPr>
          <w:p w14:paraId="1B2BCE3C" w14:textId="77777777" w:rsidR="00A0104B" w:rsidRPr="00C52B17"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2A6DE0">
              <w:rPr>
                <w:rFonts w:asciiTheme="minorHAnsi" w:hAnsiTheme="minorHAnsi" w:cstheme="minorHAnsi"/>
                <w:color w:val="000000"/>
                <w:sz w:val="20"/>
                <w:szCs w:val="20"/>
              </w:rPr>
              <w:t>10</w:t>
            </w:r>
          </w:p>
        </w:tc>
      </w:tr>
    </w:tbl>
    <w:p w14:paraId="0CA76CD7" w14:textId="77777777" w:rsidR="00A0104B" w:rsidRPr="00124479" w:rsidRDefault="00A0104B" w:rsidP="00A0104B">
      <w:pPr>
        <w:pStyle w:val="Citt"/>
        <w:spacing w:before="120"/>
      </w:pPr>
      <w:r w:rsidRPr="00C46768">
        <w:t>Zdroj: ÚÚR</w:t>
      </w:r>
    </w:p>
    <w:p w14:paraId="0E073692" w14:textId="77777777" w:rsidR="00A0104B" w:rsidRDefault="00A0104B" w:rsidP="00A0104B">
      <w:pPr>
        <w:pStyle w:val="Titulek"/>
        <w:keepNext/>
      </w:pPr>
      <w:r>
        <w:t xml:space="preserve">Tabulka </w:t>
      </w:r>
      <w:r w:rsidR="004B0591">
        <w:fldChar w:fldCharType="begin"/>
      </w:r>
      <w:r w:rsidR="004B0591">
        <w:instrText xml:space="preserve"> SEQ Tabulka \* ARABIC </w:instrText>
      </w:r>
      <w:r w:rsidR="004B0591">
        <w:fldChar w:fldCharType="separate"/>
      </w:r>
      <w:r>
        <w:rPr>
          <w:noProof/>
        </w:rPr>
        <w:t>9</w:t>
      </w:r>
      <w:r w:rsidR="004B0591">
        <w:rPr>
          <w:noProof/>
        </w:rPr>
        <w:fldChar w:fldCharType="end"/>
      </w:r>
      <w:r>
        <w:t>: Činnost SSÚ, d</w:t>
      </w:r>
      <w:r w:rsidRPr="00124479">
        <w:t xml:space="preserve">ruhoinstanční </w:t>
      </w:r>
      <w:r>
        <w:t>S</w:t>
      </w:r>
      <w:r w:rsidRPr="00124479">
        <w:t xml:space="preserve">SÚ, </w:t>
      </w:r>
      <w:r>
        <w:t xml:space="preserve">VS, </w:t>
      </w:r>
      <w:r w:rsidRPr="00124479">
        <w:t>2020</w:t>
      </w:r>
    </w:p>
    <w:tbl>
      <w:tblPr>
        <w:tblStyle w:val="Barevntabulkaseznamu6zvraznn51"/>
        <w:tblW w:w="9062" w:type="dxa"/>
        <w:tblLook w:val="04A0" w:firstRow="1" w:lastRow="0" w:firstColumn="1" w:lastColumn="0" w:noHBand="0" w:noVBand="1"/>
      </w:tblPr>
      <w:tblGrid>
        <w:gridCol w:w="4668"/>
        <w:gridCol w:w="2197"/>
        <w:gridCol w:w="2197"/>
      </w:tblGrid>
      <w:tr w:rsidR="00A0104B" w:rsidRPr="00F524A1" w14:paraId="57E0D424" w14:textId="77777777" w:rsidTr="00197E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45C536EF" w14:textId="77777777" w:rsidR="00A0104B" w:rsidRPr="00F524A1" w:rsidRDefault="00A0104B" w:rsidP="00197E1E">
            <w:pPr>
              <w:spacing w:before="0" w:after="0"/>
              <w:jc w:val="left"/>
              <w:rPr>
                <w:rFonts w:asciiTheme="minorHAnsi" w:eastAsia="Times New Roman" w:hAnsiTheme="minorHAnsi" w:cstheme="minorHAnsi"/>
                <w:b w:val="0"/>
                <w:bCs w:val="0"/>
                <w:color w:val="000000"/>
                <w:sz w:val="20"/>
                <w:szCs w:val="20"/>
                <w:lang w:eastAsia="cs-CZ"/>
              </w:rPr>
            </w:pPr>
          </w:p>
        </w:tc>
        <w:tc>
          <w:tcPr>
            <w:tcW w:w="2197" w:type="dxa"/>
            <w:vAlign w:val="center"/>
          </w:tcPr>
          <w:p w14:paraId="39D95BFF" w14:textId="77777777" w:rsidR="00A0104B" w:rsidRPr="00F524A1"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cs-CZ"/>
              </w:rPr>
            </w:pPr>
            <w:r>
              <w:rPr>
                <w:rFonts w:asciiTheme="minorHAnsi" w:eastAsia="Times New Roman" w:hAnsiTheme="minorHAnsi" w:cstheme="minorHAnsi"/>
                <w:color w:val="000000"/>
                <w:sz w:val="20"/>
                <w:szCs w:val="20"/>
                <w:lang w:eastAsia="cs-CZ"/>
              </w:rPr>
              <w:t>R</w:t>
            </w:r>
            <w:r w:rsidRPr="00A35951">
              <w:rPr>
                <w:rFonts w:asciiTheme="minorHAnsi" w:eastAsia="Times New Roman" w:hAnsiTheme="minorHAnsi" w:cstheme="minorHAnsi"/>
                <w:color w:val="000000"/>
                <w:sz w:val="20"/>
                <w:szCs w:val="20"/>
                <w:lang w:eastAsia="cs-CZ"/>
              </w:rPr>
              <w:t>ozhodnutí odvolacího správního orgánu - § 90 odst. 1 písm. a), b), c)</w:t>
            </w:r>
          </w:p>
        </w:tc>
        <w:tc>
          <w:tcPr>
            <w:tcW w:w="2197" w:type="dxa"/>
            <w:vAlign w:val="center"/>
          </w:tcPr>
          <w:p w14:paraId="62AB1210" w14:textId="77777777" w:rsidR="00A0104B" w:rsidRPr="00F524A1" w:rsidRDefault="00A0104B" w:rsidP="00197E1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eastAsia="cs-CZ"/>
              </w:rPr>
            </w:pPr>
            <w:r>
              <w:rPr>
                <w:rFonts w:asciiTheme="minorHAnsi" w:eastAsia="Times New Roman" w:hAnsiTheme="minorHAnsi" w:cstheme="minorHAnsi"/>
                <w:color w:val="000000"/>
                <w:sz w:val="20"/>
                <w:szCs w:val="20"/>
                <w:lang w:eastAsia="cs-CZ"/>
              </w:rPr>
              <w:t>R</w:t>
            </w:r>
            <w:r w:rsidRPr="00A35951">
              <w:rPr>
                <w:rFonts w:asciiTheme="minorHAnsi" w:eastAsia="Times New Roman" w:hAnsiTheme="minorHAnsi" w:cstheme="minorHAnsi"/>
                <w:color w:val="000000"/>
                <w:sz w:val="20"/>
                <w:szCs w:val="20"/>
                <w:lang w:eastAsia="cs-CZ"/>
              </w:rPr>
              <w:t>ozhodnutí odvolacího správního orgánu - § 90 odst. 5</w:t>
            </w:r>
          </w:p>
        </w:tc>
      </w:tr>
      <w:tr w:rsidR="00A0104B" w:rsidRPr="00F524A1" w14:paraId="2050E8B3"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7374B3B"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Magistrát hlavního města Prahy</w:t>
            </w:r>
          </w:p>
        </w:tc>
        <w:tc>
          <w:tcPr>
            <w:tcW w:w="2197" w:type="dxa"/>
            <w:vAlign w:val="center"/>
          </w:tcPr>
          <w:p w14:paraId="4F4E14B0"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6</w:t>
            </w:r>
          </w:p>
        </w:tc>
        <w:tc>
          <w:tcPr>
            <w:tcW w:w="2197" w:type="dxa"/>
            <w:vAlign w:val="center"/>
          </w:tcPr>
          <w:p w14:paraId="017C8041"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w:t>
            </w:r>
          </w:p>
        </w:tc>
      </w:tr>
      <w:tr w:rsidR="00A0104B" w:rsidRPr="00F524A1" w14:paraId="22A5184D"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AFBDF83"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Středočeského kraje</w:t>
            </w:r>
          </w:p>
        </w:tc>
        <w:tc>
          <w:tcPr>
            <w:tcW w:w="2197" w:type="dxa"/>
            <w:vAlign w:val="center"/>
          </w:tcPr>
          <w:p w14:paraId="0BBA8AAF"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75</w:t>
            </w:r>
          </w:p>
        </w:tc>
        <w:tc>
          <w:tcPr>
            <w:tcW w:w="2197" w:type="dxa"/>
            <w:vAlign w:val="center"/>
          </w:tcPr>
          <w:p w14:paraId="0E670E87"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62</w:t>
            </w:r>
          </w:p>
        </w:tc>
      </w:tr>
      <w:tr w:rsidR="00A0104B" w:rsidRPr="00F524A1" w14:paraId="6EDC9BB1"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2A211D9"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Jihočeského kraje</w:t>
            </w:r>
          </w:p>
        </w:tc>
        <w:tc>
          <w:tcPr>
            <w:tcW w:w="2197" w:type="dxa"/>
            <w:vAlign w:val="center"/>
          </w:tcPr>
          <w:p w14:paraId="0E937D70"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24</w:t>
            </w:r>
          </w:p>
        </w:tc>
        <w:tc>
          <w:tcPr>
            <w:tcW w:w="2197" w:type="dxa"/>
            <w:vAlign w:val="center"/>
          </w:tcPr>
          <w:p w14:paraId="4B3FEFBA"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15</w:t>
            </w:r>
          </w:p>
        </w:tc>
      </w:tr>
      <w:tr w:rsidR="00A0104B" w:rsidRPr="00F524A1" w14:paraId="1D39A27B"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204DCF70"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Plzeňského kraje</w:t>
            </w:r>
          </w:p>
        </w:tc>
        <w:tc>
          <w:tcPr>
            <w:tcW w:w="2197" w:type="dxa"/>
            <w:vAlign w:val="center"/>
          </w:tcPr>
          <w:p w14:paraId="641BB229"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14</w:t>
            </w:r>
          </w:p>
        </w:tc>
        <w:tc>
          <w:tcPr>
            <w:tcW w:w="2197" w:type="dxa"/>
            <w:vAlign w:val="center"/>
          </w:tcPr>
          <w:p w14:paraId="158EAAC2"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11</w:t>
            </w:r>
          </w:p>
        </w:tc>
      </w:tr>
      <w:tr w:rsidR="00A0104B" w:rsidRPr="00F524A1" w14:paraId="24E949AD"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471AFF88"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Karlovarského kraje</w:t>
            </w:r>
          </w:p>
        </w:tc>
        <w:tc>
          <w:tcPr>
            <w:tcW w:w="2197" w:type="dxa"/>
            <w:vAlign w:val="center"/>
          </w:tcPr>
          <w:p w14:paraId="71C9DCBE"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5</w:t>
            </w:r>
          </w:p>
        </w:tc>
        <w:tc>
          <w:tcPr>
            <w:tcW w:w="2197" w:type="dxa"/>
            <w:vAlign w:val="center"/>
          </w:tcPr>
          <w:p w14:paraId="68266B25"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w:t>
            </w:r>
          </w:p>
        </w:tc>
      </w:tr>
      <w:tr w:rsidR="00A0104B" w:rsidRPr="00F524A1" w14:paraId="677A980B"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24BC4685"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Ústeckého kraje</w:t>
            </w:r>
          </w:p>
        </w:tc>
        <w:tc>
          <w:tcPr>
            <w:tcW w:w="2197" w:type="dxa"/>
            <w:vAlign w:val="center"/>
          </w:tcPr>
          <w:p w14:paraId="65EA1988"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38</w:t>
            </w:r>
          </w:p>
        </w:tc>
        <w:tc>
          <w:tcPr>
            <w:tcW w:w="2197" w:type="dxa"/>
            <w:vAlign w:val="center"/>
          </w:tcPr>
          <w:p w14:paraId="60E25F9B"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8</w:t>
            </w:r>
          </w:p>
        </w:tc>
      </w:tr>
      <w:tr w:rsidR="00A0104B" w:rsidRPr="00F524A1" w14:paraId="45841726"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527DCEC"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Libereckého kraje</w:t>
            </w:r>
          </w:p>
        </w:tc>
        <w:tc>
          <w:tcPr>
            <w:tcW w:w="2197" w:type="dxa"/>
            <w:vAlign w:val="center"/>
          </w:tcPr>
          <w:p w14:paraId="45533E66"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6</w:t>
            </w:r>
          </w:p>
        </w:tc>
        <w:tc>
          <w:tcPr>
            <w:tcW w:w="2197" w:type="dxa"/>
            <w:vAlign w:val="center"/>
          </w:tcPr>
          <w:p w14:paraId="258DA1C7"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17</w:t>
            </w:r>
          </w:p>
        </w:tc>
      </w:tr>
      <w:tr w:rsidR="00A0104B" w:rsidRPr="00F524A1" w14:paraId="3C3F88D8"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778EE0F"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Královéhradeckého kraje</w:t>
            </w:r>
          </w:p>
        </w:tc>
        <w:tc>
          <w:tcPr>
            <w:tcW w:w="2197" w:type="dxa"/>
            <w:vAlign w:val="center"/>
          </w:tcPr>
          <w:p w14:paraId="7551ACCF"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40</w:t>
            </w:r>
          </w:p>
        </w:tc>
        <w:tc>
          <w:tcPr>
            <w:tcW w:w="2197" w:type="dxa"/>
            <w:vAlign w:val="center"/>
          </w:tcPr>
          <w:p w14:paraId="595F68AD"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15</w:t>
            </w:r>
          </w:p>
        </w:tc>
      </w:tr>
      <w:tr w:rsidR="00A0104B" w:rsidRPr="00F524A1" w14:paraId="0BA1DD7A"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C7191B2"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Pardubického kraje</w:t>
            </w:r>
          </w:p>
        </w:tc>
        <w:tc>
          <w:tcPr>
            <w:tcW w:w="2197" w:type="dxa"/>
            <w:vAlign w:val="center"/>
          </w:tcPr>
          <w:p w14:paraId="5BEF4197"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9</w:t>
            </w:r>
          </w:p>
        </w:tc>
        <w:tc>
          <w:tcPr>
            <w:tcW w:w="2197" w:type="dxa"/>
            <w:vAlign w:val="center"/>
          </w:tcPr>
          <w:p w14:paraId="04B4154D"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w:t>
            </w:r>
          </w:p>
        </w:tc>
      </w:tr>
      <w:tr w:rsidR="00A0104B" w:rsidRPr="00F524A1" w14:paraId="39B03FCA"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BBA5521"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Kraje Vysočina</w:t>
            </w:r>
          </w:p>
        </w:tc>
        <w:tc>
          <w:tcPr>
            <w:tcW w:w="2197" w:type="dxa"/>
            <w:vAlign w:val="center"/>
          </w:tcPr>
          <w:p w14:paraId="1660BB97"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8</w:t>
            </w:r>
          </w:p>
        </w:tc>
        <w:tc>
          <w:tcPr>
            <w:tcW w:w="2197" w:type="dxa"/>
            <w:vAlign w:val="center"/>
          </w:tcPr>
          <w:p w14:paraId="18095937"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7</w:t>
            </w:r>
          </w:p>
        </w:tc>
      </w:tr>
      <w:tr w:rsidR="00A0104B" w:rsidRPr="00F524A1" w14:paraId="58CC0760"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98BF3B0"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Jihomoravského kraje</w:t>
            </w:r>
          </w:p>
        </w:tc>
        <w:tc>
          <w:tcPr>
            <w:tcW w:w="2197" w:type="dxa"/>
            <w:vAlign w:val="center"/>
          </w:tcPr>
          <w:p w14:paraId="49106F78"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24</w:t>
            </w:r>
          </w:p>
        </w:tc>
        <w:tc>
          <w:tcPr>
            <w:tcW w:w="2197" w:type="dxa"/>
            <w:vAlign w:val="center"/>
          </w:tcPr>
          <w:p w14:paraId="169121D8"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8</w:t>
            </w:r>
          </w:p>
        </w:tc>
      </w:tr>
      <w:tr w:rsidR="00A0104B" w:rsidRPr="00F524A1" w14:paraId="22BAE800"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2643D8A6"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Olomouckého kraje</w:t>
            </w:r>
          </w:p>
        </w:tc>
        <w:tc>
          <w:tcPr>
            <w:tcW w:w="2197" w:type="dxa"/>
            <w:vAlign w:val="center"/>
          </w:tcPr>
          <w:p w14:paraId="13DB2BED"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12</w:t>
            </w:r>
          </w:p>
        </w:tc>
        <w:tc>
          <w:tcPr>
            <w:tcW w:w="2197" w:type="dxa"/>
            <w:vAlign w:val="center"/>
          </w:tcPr>
          <w:p w14:paraId="5A30F1D9"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9</w:t>
            </w:r>
          </w:p>
        </w:tc>
      </w:tr>
      <w:tr w:rsidR="00A0104B" w:rsidRPr="00F524A1" w14:paraId="5677B10A"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7631D7D"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Zlínského kraje</w:t>
            </w:r>
          </w:p>
        </w:tc>
        <w:tc>
          <w:tcPr>
            <w:tcW w:w="2197" w:type="dxa"/>
            <w:vAlign w:val="center"/>
          </w:tcPr>
          <w:p w14:paraId="306F4E48"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13</w:t>
            </w:r>
          </w:p>
        </w:tc>
        <w:tc>
          <w:tcPr>
            <w:tcW w:w="2197" w:type="dxa"/>
            <w:vAlign w:val="center"/>
          </w:tcPr>
          <w:p w14:paraId="391ADC06"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9</w:t>
            </w:r>
          </w:p>
        </w:tc>
      </w:tr>
      <w:tr w:rsidR="00A0104B" w:rsidRPr="00F524A1" w14:paraId="15761F81"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48CFA4D3"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Krajský úřad Moravskoslezského kraje</w:t>
            </w:r>
          </w:p>
        </w:tc>
        <w:tc>
          <w:tcPr>
            <w:tcW w:w="2197" w:type="dxa"/>
            <w:vAlign w:val="center"/>
          </w:tcPr>
          <w:p w14:paraId="60F30479"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29</w:t>
            </w:r>
          </w:p>
        </w:tc>
        <w:tc>
          <w:tcPr>
            <w:tcW w:w="2197" w:type="dxa"/>
            <w:vAlign w:val="center"/>
          </w:tcPr>
          <w:p w14:paraId="65FF7D48"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16</w:t>
            </w:r>
          </w:p>
        </w:tc>
      </w:tr>
      <w:tr w:rsidR="00A0104B" w:rsidRPr="00F524A1" w14:paraId="117F5007"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FA3645D"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Magistrát města Plzně</w:t>
            </w:r>
          </w:p>
        </w:tc>
        <w:tc>
          <w:tcPr>
            <w:tcW w:w="2197" w:type="dxa"/>
            <w:vAlign w:val="center"/>
          </w:tcPr>
          <w:p w14:paraId="6A4E2F15"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0</w:t>
            </w:r>
          </w:p>
        </w:tc>
        <w:tc>
          <w:tcPr>
            <w:tcW w:w="2197" w:type="dxa"/>
            <w:vAlign w:val="center"/>
          </w:tcPr>
          <w:p w14:paraId="547116AA"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0</w:t>
            </w:r>
          </w:p>
        </w:tc>
      </w:tr>
      <w:tr w:rsidR="00A0104B" w:rsidRPr="00F524A1" w14:paraId="6F88D0DB" w14:textId="77777777" w:rsidTr="00197E1E">
        <w:trPr>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C2DCEF8"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Magistrát města Brna</w:t>
            </w:r>
          </w:p>
        </w:tc>
        <w:tc>
          <w:tcPr>
            <w:tcW w:w="2197" w:type="dxa"/>
            <w:vAlign w:val="center"/>
          </w:tcPr>
          <w:p w14:paraId="6469E34C"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0</w:t>
            </w:r>
          </w:p>
        </w:tc>
        <w:tc>
          <w:tcPr>
            <w:tcW w:w="2197" w:type="dxa"/>
            <w:vAlign w:val="center"/>
          </w:tcPr>
          <w:p w14:paraId="4D41C754" w14:textId="77777777" w:rsidR="00A0104B" w:rsidRPr="00F524A1" w:rsidRDefault="00A0104B" w:rsidP="00197E1E">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2</w:t>
            </w:r>
          </w:p>
        </w:tc>
      </w:tr>
      <w:tr w:rsidR="00A0104B" w:rsidRPr="00F524A1" w14:paraId="2FD19DA8" w14:textId="77777777" w:rsidTr="00197E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EC15E9D" w14:textId="77777777" w:rsidR="00A0104B" w:rsidRPr="00A95487" w:rsidRDefault="00A0104B" w:rsidP="00197E1E">
            <w:pPr>
              <w:spacing w:before="0" w:after="0"/>
              <w:jc w:val="left"/>
              <w:rPr>
                <w:rFonts w:asciiTheme="minorHAnsi" w:eastAsia="Times New Roman" w:hAnsiTheme="minorHAnsi" w:cstheme="minorHAnsi"/>
                <w:b w:val="0"/>
                <w:bCs w:val="0"/>
                <w:color w:val="000000"/>
                <w:sz w:val="20"/>
                <w:szCs w:val="20"/>
                <w:lang w:eastAsia="cs-CZ"/>
              </w:rPr>
            </w:pPr>
            <w:r w:rsidRPr="00A95487">
              <w:rPr>
                <w:rFonts w:asciiTheme="minorHAnsi" w:hAnsiTheme="minorHAnsi" w:cstheme="minorHAnsi"/>
                <w:b w:val="0"/>
                <w:bCs w:val="0"/>
                <w:color w:val="000000"/>
                <w:sz w:val="20"/>
                <w:szCs w:val="20"/>
              </w:rPr>
              <w:t>Ministerstvo zemědělství</w:t>
            </w:r>
          </w:p>
        </w:tc>
        <w:tc>
          <w:tcPr>
            <w:tcW w:w="2197" w:type="dxa"/>
            <w:vAlign w:val="center"/>
          </w:tcPr>
          <w:p w14:paraId="0B578D06"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9</w:t>
            </w:r>
          </w:p>
        </w:tc>
        <w:tc>
          <w:tcPr>
            <w:tcW w:w="2197" w:type="dxa"/>
            <w:vAlign w:val="center"/>
          </w:tcPr>
          <w:p w14:paraId="38C9C685" w14:textId="77777777" w:rsidR="00A0104B" w:rsidRPr="00F524A1" w:rsidRDefault="00A0104B" w:rsidP="00197E1E">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cs-CZ"/>
              </w:rPr>
            </w:pPr>
            <w:r w:rsidRPr="00F524A1">
              <w:rPr>
                <w:rFonts w:asciiTheme="minorHAnsi" w:hAnsiTheme="minorHAnsi" w:cstheme="minorHAnsi"/>
                <w:color w:val="000000"/>
                <w:sz w:val="20"/>
                <w:szCs w:val="20"/>
              </w:rPr>
              <w:t>17</w:t>
            </w:r>
          </w:p>
        </w:tc>
      </w:tr>
    </w:tbl>
    <w:p w14:paraId="7D86636B" w14:textId="676E7FA7" w:rsidR="00A0104B" w:rsidRDefault="00A0104B" w:rsidP="00A0104B">
      <w:pPr>
        <w:pStyle w:val="Nadpis10"/>
        <w:numPr>
          <w:ilvl w:val="0"/>
          <w:numId w:val="0"/>
        </w:numPr>
        <w:ind w:left="357" w:hanging="357"/>
        <w:rPr>
          <w:rFonts w:ascii="Garamond" w:hAnsi="Garamond"/>
          <w:b w:val="0"/>
          <w:bCs w:val="0"/>
          <w:i/>
          <w:iCs/>
          <w:color w:val="000000"/>
          <w:sz w:val="22"/>
          <w:szCs w:val="20"/>
          <w:lang w:eastAsia="cs-CZ"/>
        </w:rPr>
      </w:pPr>
      <w:r w:rsidRPr="00A0104B">
        <w:rPr>
          <w:rFonts w:ascii="Garamond" w:hAnsi="Garamond"/>
          <w:b w:val="0"/>
          <w:bCs w:val="0"/>
          <w:i/>
          <w:iCs/>
          <w:color w:val="000000"/>
          <w:sz w:val="22"/>
          <w:szCs w:val="20"/>
          <w:lang w:eastAsia="cs-CZ"/>
        </w:rPr>
        <w:t>Zdroj: ÚÚR</w:t>
      </w:r>
    </w:p>
    <w:p w14:paraId="15241F75" w14:textId="25D793A9" w:rsidR="00AA7E86" w:rsidRDefault="00AA7E86" w:rsidP="00A0104B">
      <w:pPr>
        <w:pStyle w:val="Nadpis10"/>
        <w:numPr>
          <w:ilvl w:val="0"/>
          <w:numId w:val="0"/>
        </w:numPr>
        <w:ind w:left="357" w:hanging="357"/>
        <w:rPr>
          <w:rFonts w:ascii="Garamond" w:hAnsi="Garamond"/>
          <w:b w:val="0"/>
          <w:bCs w:val="0"/>
          <w:i/>
          <w:iCs/>
          <w:color w:val="000000"/>
          <w:sz w:val="22"/>
          <w:szCs w:val="20"/>
          <w:lang w:eastAsia="cs-CZ"/>
        </w:rPr>
      </w:pPr>
    </w:p>
    <w:p w14:paraId="5D7A99A2" w14:textId="77777777" w:rsidR="00AA7E86" w:rsidRDefault="00AA7E86" w:rsidP="00AA7E86">
      <w:pPr>
        <w:pStyle w:val="Normln-tun"/>
      </w:pPr>
    </w:p>
    <w:p w14:paraId="09C3572A" w14:textId="0027981B" w:rsidR="00AA7E86" w:rsidRPr="005F419F" w:rsidRDefault="005F419F" w:rsidP="00AA7E86">
      <w:pPr>
        <w:pStyle w:val="Normln-tun"/>
        <w:rPr>
          <w:b/>
          <w:bCs/>
          <w:caps/>
        </w:rPr>
      </w:pPr>
      <w:r>
        <w:rPr>
          <w:b/>
          <w:bCs/>
          <w:caps/>
        </w:rPr>
        <w:lastRenderedPageBreak/>
        <w:t xml:space="preserve">B. </w:t>
      </w:r>
      <w:r w:rsidRPr="005F419F">
        <w:rPr>
          <w:b/>
          <w:bCs/>
          <w:caps/>
        </w:rPr>
        <w:t>Vybraná ustanovení aktuální koaliční smlouvy a programového prohlášení vlády</w:t>
      </w:r>
    </w:p>
    <w:p w14:paraId="7F58C941" w14:textId="45BC9374" w:rsidR="00AA7E86" w:rsidRPr="00E7073F" w:rsidRDefault="00B25B7A" w:rsidP="00AA7E86">
      <w:pPr>
        <w:pStyle w:val="Normln-tun"/>
      </w:pPr>
      <w:r>
        <w:t>Zde uvádíme</w:t>
      </w:r>
      <w:r w:rsidR="00AA7E86" w:rsidRPr="00234F39">
        <w:t xml:space="preserve"> znění aktuální koaliční smlouvy a programového prohlášení vlády, které se k tomuto tématu vyjadřují a ze kterých lze hlavní cíle, jichž je žádoucí dosáhnout, vyčíst. Tyto dokumenty zároveň do určité míry stanovují meze možným volbám variant k dosažení stanovených cílů. Uvedené materiály tak </w:t>
      </w:r>
      <w:r>
        <w:t>byly</w:t>
      </w:r>
      <w:r w:rsidR="00AA7E86" w:rsidRPr="00234F39">
        <w:t xml:space="preserve"> při volbě variant respektov</w:t>
      </w:r>
      <w:r>
        <w:t>ány</w:t>
      </w:r>
      <w:r w:rsidR="00AA7E86">
        <w:t>.</w:t>
      </w:r>
      <w:r w:rsidR="00AA7E86" w:rsidRPr="00E7073F">
        <w:t xml:space="preserve"> </w:t>
      </w:r>
    </w:p>
    <w:p w14:paraId="0C2DB34F" w14:textId="77777777" w:rsidR="00AA7E86" w:rsidRPr="00570A29" w:rsidRDefault="00AA7E86" w:rsidP="00AA7E86">
      <w:pPr>
        <w:pStyle w:val="Normln-tun"/>
        <w:rPr>
          <w:u w:val="single"/>
        </w:rPr>
      </w:pPr>
      <w:r w:rsidRPr="00570A29">
        <w:rPr>
          <w:u w:val="single"/>
        </w:rPr>
        <w:t>Koaliční smlouva uzavřená mezi Občanskou demokratickou stranou, stranou KDU-ČSL, stranou TOP 09 (koalice SPOLU), Českou pirátskou stranou a hnutím STAROSTOVÉ A NEZÁVISLÍ (koalice Piráti a Starostové) na volební období 2021–2025</w:t>
      </w:r>
      <w:r w:rsidRPr="00570A29">
        <w:rPr>
          <w:rStyle w:val="Znakapoznpodarou"/>
          <w:u w:val="single"/>
        </w:rPr>
        <w:footnoteReference w:id="15"/>
      </w:r>
    </w:p>
    <w:p w14:paraId="5044985E" w14:textId="77777777" w:rsidR="00AA7E86" w:rsidRDefault="00AA7E86" w:rsidP="00AA7E86">
      <w:pPr>
        <w:pStyle w:val="Normln-tun"/>
        <w:rPr>
          <w:i/>
          <w:iCs/>
        </w:rPr>
      </w:pPr>
      <w:r w:rsidRPr="00570A29">
        <w:rPr>
          <w:i/>
          <w:iCs/>
        </w:rPr>
        <w:t xml:space="preserve">„Upravíme nový stavební zákon a jeho účinnost tak, aby bylo zajištěno </w:t>
      </w:r>
      <w:r w:rsidRPr="00570A29">
        <w:rPr>
          <w:b/>
          <w:bCs/>
          <w:i/>
          <w:iCs/>
        </w:rPr>
        <w:t>rychlé, transparentní, digitální a občanovi blízké stavební řízení</w:t>
      </w:r>
      <w:r w:rsidRPr="00570A29">
        <w:rPr>
          <w:i/>
          <w:iCs/>
        </w:rPr>
        <w:t xml:space="preserve"> prostřednictvím Portálu stavebníka. </w:t>
      </w:r>
      <w:r w:rsidRPr="00570A29">
        <w:rPr>
          <w:b/>
          <w:bCs/>
          <w:i/>
          <w:iCs/>
        </w:rPr>
        <w:t>Zabráníme kolapsu stavebního řízení</w:t>
      </w:r>
      <w:r w:rsidRPr="00570A29">
        <w:rPr>
          <w:i/>
          <w:iCs/>
        </w:rPr>
        <w:t xml:space="preserve"> v ČR jako jedné z podmínek rychlé výstavby bydlení</w:t>
      </w:r>
      <w:r w:rsidRPr="00570A29">
        <w:rPr>
          <w:b/>
          <w:bCs/>
          <w:i/>
          <w:iCs/>
        </w:rPr>
        <w:t>. Odmítáme destrukci spojeného modelu veřejné správy</w:t>
      </w:r>
      <w:r w:rsidRPr="00570A29">
        <w:rPr>
          <w:i/>
          <w:iCs/>
        </w:rPr>
        <w:t xml:space="preserve">. Se samosprávami a kraji (SMO ČR, SMS ČR a AK ČR) zákon změníme. Veřejnost bude zapojena, aniž by to řízení zdržovalo. Stavební řízení musí být </w:t>
      </w:r>
      <w:r w:rsidRPr="00570A29">
        <w:rPr>
          <w:b/>
          <w:bCs/>
          <w:i/>
          <w:iCs/>
        </w:rPr>
        <w:t>předvídatelné, přizpůsobené různým typům staveb a vyvažující veřejné a soukromé zájmy.</w:t>
      </w:r>
      <w:r w:rsidRPr="00570A29">
        <w:rPr>
          <w:i/>
          <w:iCs/>
        </w:rPr>
        <w:t xml:space="preserve"> </w:t>
      </w:r>
      <w:r w:rsidRPr="00570A29">
        <w:rPr>
          <w:b/>
          <w:bCs/>
          <w:i/>
          <w:iCs/>
        </w:rPr>
        <w:t>Stavebník bude jednat jen s jedním úřadem a ten si sám zajistí další podklady.</w:t>
      </w:r>
      <w:r w:rsidRPr="00570A29">
        <w:rPr>
          <w:i/>
          <w:iCs/>
        </w:rPr>
        <w:t xml:space="preserve"> </w:t>
      </w:r>
    </w:p>
    <w:p w14:paraId="7296309A" w14:textId="77777777" w:rsidR="00AA7E86" w:rsidRDefault="00AA7E86" w:rsidP="00AA7E86">
      <w:pPr>
        <w:pStyle w:val="Normln-tun"/>
        <w:rPr>
          <w:i/>
          <w:iCs/>
        </w:rPr>
      </w:pPr>
      <w:r w:rsidRPr="00570A29">
        <w:rPr>
          <w:b/>
          <w:bCs/>
          <w:i/>
          <w:iCs/>
        </w:rPr>
        <w:t>Zjednodušíme podmínky a zkrátíme lhůty u jednoduchých staveb</w:t>
      </w:r>
      <w:r w:rsidRPr="00570A29">
        <w:rPr>
          <w:i/>
          <w:iCs/>
        </w:rPr>
        <w:t xml:space="preserve">. </w:t>
      </w:r>
      <w:r w:rsidRPr="0048668B">
        <w:rPr>
          <w:b/>
          <w:bCs/>
          <w:i/>
          <w:iCs/>
        </w:rPr>
        <w:t>Zachováme stavební úřady na místní úrovni, aby rozhodovaly se znalostí prostředí. Počítáme se specializovaným stavebním úřadem pro strategické a rozsáhlejší liniové stavby</w:t>
      </w:r>
      <w:r w:rsidRPr="00570A29">
        <w:rPr>
          <w:i/>
          <w:iCs/>
        </w:rPr>
        <w:t xml:space="preserve">. </w:t>
      </w:r>
    </w:p>
    <w:p w14:paraId="06D377B7" w14:textId="77777777" w:rsidR="00AA7E86" w:rsidRPr="00570A29" w:rsidRDefault="00AA7E86" w:rsidP="00AA7E86">
      <w:pPr>
        <w:pStyle w:val="Normln-tun"/>
        <w:rPr>
          <w:i/>
          <w:iCs/>
        </w:rPr>
      </w:pPr>
      <w:r w:rsidRPr="00302990">
        <w:rPr>
          <w:b/>
          <w:bCs/>
          <w:i/>
          <w:iCs/>
        </w:rPr>
        <w:t>Místo centralizace posílíme metodickou podporu</w:t>
      </w:r>
      <w:r w:rsidRPr="00570A29">
        <w:rPr>
          <w:i/>
          <w:iCs/>
        </w:rPr>
        <w:t xml:space="preserve"> stavebních úřadů tak, aby byl dostupný jednoznačný výklad stavebního zákona a územně plánovací dokumentace…“</w:t>
      </w:r>
    </w:p>
    <w:p w14:paraId="2F2B92BB" w14:textId="77777777" w:rsidR="00AA7E86" w:rsidRPr="00302990" w:rsidRDefault="00AA7E86" w:rsidP="00AA7E86">
      <w:pPr>
        <w:pStyle w:val="Normln-tun"/>
        <w:rPr>
          <w:u w:val="single"/>
        </w:rPr>
      </w:pPr>
      <w:r w:rsidRPr="00302990">
        <w:rPr>
          <w:u w:val="single"/>
        </w:rPr>
        <w:t>Programové prohlášení vlády České republiky ze dne 6. ledna 2022</w:t>
      </w:r>
      <w:r w:rsidRPr="00302990">
        <w:rPr>
          <w:rStyle w:val="Znakapoznpodarou"/>
          <w:u w:val="single"/>
        </w:rPr>
        <w:footnoteReference w:id="16"/>
      </w:r>
    </w:p>
    <w:p w14:paraId="35A8E893" w14:textId="77777777" w:rsidR="00AA7E86" w:rsidRDefault="00AA7E86" w:rsidP="00AA7E86">
      <w:pPr>
        <w:pStyle w:val="Normln-tun"/>
      </w:pPr>
      <w:r>
        <w:rPr>
          <w:i/>
          <w:iCs/>
        </w:rPr>
        <w:t>„</w:t>
      </w:r>
      <w:r w:rsidRPr="005E1F82">
        <w:rPr>
          <w:i/>
          <w:iCs/>
        </w:rPr>
        <w:t>Regionální a místní rozvoj – Preambule –</w:t>
      </w:r>
      <w:r>
        <w:t xml:space="preserve"> </w:t>
      </w:r>
      <w:r w:rsidRPr="00302990">
        <w:rPr>
          <w:i/>
          <w:iCs/>
        </w:rPr>
        <w:t xml:space="preserve">Nejdůležitější je v současné době </w:t>
      </w:r>
      <w:r w:rsidRPr="005E1F82">
        <w:rPr>
          <w:b/>
          <w:bCs/>
          <w:i/>
          <w:iCs/>
        </w:rPr>
        <w:t>zásadní zrychlení stavebního řízení ve spolupráci se samosprávami a při zachování ochrany ostatních zájmů</w:t>
      </w:r>
      <w:r w:rsidRPr="00302990">
        <w:rPr>
          <w:i/>
          <w:iCs/>
        </w:rPr>
        <w:t>…</w:t>
      </w:r>
    </w:p>
    <w:p w14:paraId="2BEF24AC" w14:textId="77777777" w:rsidR="00AA7E86" w:rsidRPr="005E1F82" w:rsidRDefault="00AA7E86" w:rsidP="00AA7E86">
      <w:pPr>
        <w:pStyle w:val="Normln-tun"/>
        <w:rPr>
          <w:i/>
          <w:iCs/>
        </w:rPr>
      </w:pPr>
      <w:r w:rsidRPr="005E1F82">
        <w:rPr>
          <w:i/>
          <w:iCs/>
        </w:rPr>
        <w:t>Bydlení, stavební zákon a územní plánování</w:t>
      </w:r>
    </w:p>
    <w:p w14:paraId="105EA916" w14:textId="77777777" w:rsidR="00AA7E86" w:rsidRPr="005E1F82" w:rsidRDefault="00AA7E86" w:rsidP="00613EB8">
      <w:pPr>
        <w:pStyle w:val="Normln-tun"/>
        <w:numPr>
          <w:ilvl w:val="0"/>
          <w:numId w:val="80"/>
        </w:numPr>
        <w:ind w:left="426" w:hanging="426"/>
        <w:rPr>
          <w:i/>
          <w:iCs/>
          <w:lang w:eastAsia="cs-CZ"/>
        </w:rPr>
      </w:pPr>
      <w:r w:rsidRPr="005E1F82">
        <w:rPr>
          <w:i/>
          <w:iCs/>
          <w:lang w:eastAsia="cs-CZ"/>
        </w:rPr>
        <w:t xml:space="preserve">V 1. pololetí roku 2022 předložíme úpravu nového stavebního zákona tak, aby bylo zajištěno </w:t>
      </w:r>
      <w:r w:rsidRPr="004C2539">
        <w:rPr>
          <w:b/>
          <w:bCs/>
          <w:i/>
          <w:iCs/>
          <w:lang w:eastAsia="cs-CZ"/>
        </w:rPr>
        <w:t>rychlé, transparentní, digitální a občanovi blízké</w:t>
      </w:r>
      <w:r w:rsidRPr="005E1F82">
        <w:rPr>
          <w:i/>
          <w:iCs/>
          <w:lang w:eastAsia="cs-CZ"/>
        </w:rPr>
        <w:t xml:space="preserve"> stavební řízení prostřednictvím Portálu stavebníka. </w:t>
      </w:r>
      <w:r w:rsidRPr="004C2539">
        <w:rPr>
          <w:b/>
          <w:bCs/>
          <w:i/>
          <w:iCs/>
          <w:lang w:eastAsia="cs-CZ"/>
        </w:rPr>
        <w:t>Zabráníme kolapsu stavebního řízení v ČR, který by byl důsledkem destrukce smíšeného modelu veřejné správy</w:t>
      </w:r>
      <w:r w:rsidRPr="005E1F82">
        <w:rPr>
          <w:i/>
          <w:iCs/>
          <w:lang w:eastAsia="cs-CZ"/>
        </w:rPr>
        <w:t xml:space="preserve">. Ve spolupráci se samosprávami a kraji (SMO ČR, SMS ČR a AK ČR) zákon změníme a </w:t>
      </w:r>
      <w:r w:rsidRPr="004C2539">
        <w:rPr>
          <w:b/>
          <w:bCs/>
          <w:i/>
          <w:iCs/>
          <w:lang w:eastAsia="cs-CZ"/>
        </w:rPr>
        <w:t>zachováme stavební úřady na místní úrovni</w:t>
      </w:r>
      <w:r w:rsidRPr="005E1F82">
        <w:rPr>
          <w:i/>
          <w:iCs/>
          <w:lang w:eastAsia="cs-CZ"/>
        </w:rPr>
        <w:t xml:space="preserve">, kde rozhodují se znalostí prostředí.  </w:t>
      </w:r>
      <w:r w:rsidRPr="004C2539">
        <w:rPr>
          <w:b/>
          <w:bCs/>
          <w:i/>
          <w:iCs/>
          <w:lang w:eastAsia="cs-CZ"/>
        </w:rPr>
        <w:t>Začne fungovat specializovaný stavební úřad pro strategické a rozsáhlejší liniové stavby</w:t>
      </w:r>
      <w:r w:rsidRPr="005E1F82">
        <w:rPr>
          <w:i/>
          <w:iCs/>
          <w:lang w:eastAsia="cs-CZ"/>
        </w:rPr>
        <w:t>.</w:t>
      </w:r>
    </w:p>
    <w:p w14:paraId="1A89793A" w14:textId="77777777" w:rsidR="00AA7E86" w:rsidRPr="005E1F82" w:rsidRDefault="00AA7E86" w:rsidP="00613EB8">
      <w:pPr>
        <w:pStyle w:val="Normln-tun"/>
        <w:numPr>
          <w:ilvl w:val="0"/>
          <w:numId w:val="80"/>
        </w:numPr>
        <w:ind w:left="426" w:hanging="426"/>
        <w:rPr>
          <w:i/>
          <w:iCs/>
          <w:lang w:eastAsia="cs-CZ"/>
        </w:rPr>
      </w:pPr>
      <w:r w:rsidRPr="005E1F82">
        <w:rPr>
          <w:i/>
          <w:iCs/>
          <w:lang w:eastAsia="cs-CZ"/>
        </w:rPr>
        <w:t xml:space="preserve">Stavební řízení bude </w:t>
      </w:r>
      <w:r w:rsidRPr="00FF5DC6">
        <w:rPr>
          <w:b/>
          <w:bCs/>
          <w:i/>
          <w:iCs/>
          <w:lang w:eastAsia="cs-CZ"/>
        </w:rPr>
        <w:t>předvídatelné, přizpůsobené různým typům staveb a vyvažující veřejné a soukromé zájmy</w:t>
      </w:r>
      <w:r w:rsidRPr="005E1F82">
        <w:rPr>
          <w:i/>
          <w:iCs/>
          <w:lang w:eastAsia="cs-CZ"/>
        </w:rPr>
        <w:t xml:space="preserve">. </w:t>
      </w:r>
      <w:r w:rsidRPr="00FF5DC6">
        <w:rPr>
          <w:b/>
          <w:bCs/>
          <w:i/>
          <w:iCs/>
          <w:lang w:eastAsia="cs-CZ"/>
        </w:rPr>
        <w:t>Stavebník bude jednat jen s jedním úřadem a ten si sám zajistí další podklady. Zavedeme institut Jednotného environmentálního povolení. Zjednodušíme podmínky u jednoduchých staveb.</w:t>
      </w:r>
    </w:p>
    <w:p w14:paraId="26FC5D72" w14:textId="77777777" w:rsidR="00AA7E86" w:rsidRPr="005E1F82" w:rsidRDefault="00AA7E86" w:rsidP="00613EB8">
      <w:pPr>
        <w:pStyle w:val="Normln-tun"/>
        <w:numPr>
          <w:ilvl w:val="0"/>
          <w:numId w:val="80"/>
        </w:numPr>
        <w:ind w:left="426" w:hanging="426"/>
        <w:rPr>
          <w:i/>
          <w:iCs/>
          <w:lang w:eastAsia="cs-CZ"/>
        </w:rPr>
      </w:pPr>
      <w:r w:rsidRPr="005E1F82">
        <w:rPr>
          <w:i/>
          <w:iCs/>
          <w:lang w:eastAsia="cs-CZ"/>
        </w:rPr>
        <w:t xml:space="preserve">U nové výstavby bude možnost dohodnout transparentní a předvídatelná pravidla mezi samosprávami a investory. </w:t>
      </w:r>
      <w:r w:rsidRPr="00204333">
        <w:rPr>
          <w:b/>
          <w:bCs/>
          <w:i/>
          <w:iCs/>
          <w:lang w:eastAsia="cs-CZ"/>
        </w:rPr>
        <w:t>Podpoříme využívání plánovacích smluv.</w:t>
      </w:r>
      <w:r w:rsidRPr="005E1F82">
        <w:rPr>
          <w:i/>
          <w:iCs/>
          <w:lang w:eastAsia="cs-CZ"/>
        </w:rPr>
        <w:t xml:space="preserve"> Odmítáme NIMBY efekt, budeme však </w:t>
      </w:r>
      <w:r w:rsidRPr="005E1F82">
        <w:rPr>
          <w:i/>
          <w:iCs/>
          <w:lang w:eastAsia="cs-CZ"/>
        </w:rPr>
        <w:lastRenderedPageBreak/>
        <w:t xml:space="preserve">podporovat </w:t>
      </w:r>
      <w:r w:rsidRPr="00204333">
        <w:rPr>
          <w:b/>
          <w:bCs/>
          <w:i/>
          <w:iCs/>
          <w:lang w:eastAsia="cs-CZ"/>
        </w:rPr>
        <w:t>zapojení veřejnosti a její seznámení s investorskými záměry, aniž by to řízení zdržovalo</w:t>
      </w:r>
      <w:r w:rsidRPr="005E1F82">
        <w:rPr>
          <w:i/>
          <w:iCs/>
          <w:lang w:eastAsia="cs-CZ"/>
        </w:rPr>
        <w:t>.</w:t>
      </w:r>
    </w:p>
    <w:p w14:paraId="3A999ACF" w14:textId="77777777" w:rsidR="00AA7E86" w:rsidRPr="005E1F82" w:rsidRDefault="00AA7E86" w:rsidP="00613EB8">
      <w:pPr>
        <w:pStyle w:val="Normln-tun"/>
        <w:numPr>
          <w:ilvl w:val="0"/>
          <w:numId w:val="80"/>
        </w:numPr>
        <w:ind w:left="426" w:hanging="426"/>
        <w:rPr>
          <w:i/>
          <w:iCs/>
          <w:lang w:eastAsia="cs-CZ"/>
        </w:rPr>
      </w:pPr>
      <w:r w:rsidRPr="00204333">
        <w:rPr>
          <w:b/>
          <w:bCs/>
          <w:i/>
          <w:iCs/>
          <w:lang w:eastAsia="cs-CZ"/>
        </w:rPr>
        <w:t>Místo centralizace posílíme metodickou podporu</w:t>
      </w:r>
      <w:r w:rsidRPr="005E1F82">
        <w:rPr>
          <w:i/>
          <w:iCs/>
          <w:lang w:eastAsia="cs-CZ"/>
        </w:rPr>
        <w:t xml:space="preserve"> stavebních úřadů tak, aby byl dostupný jednoznačný výklad stavebního zákona a územně plánovací dokumentace</w:t>
      </w:r>
      <w:r>
        <w:rPr>
          <w:i/>
          <w:iCs/>
          <w:lang w:eastAsia="cs-CZ"/>
        </w:rPr>
        <w:t>…</w:t>
      </w:r>
    </w:p>
    <w:p w14:paraId="31D4BA1D" w14:textId="77777777" w:rsidR="00AA7E86" w:rsidRPr="005E1F82" w:rsidRDefault="00AA7E86" w:rsidP="00613EB8">
      <w:pPr>
        <w:pStyle w:val="Normln-tun"/>
        <w:numPr>
          <w:ilvl w:val="0"/>
          <w:numId w:val="80"/>
        </w:numPr>
        <w:ind w:left="426" w:hanging="426"/>
        <w:rPr>
          <w:i/>
          <w:iCs/>
          <w:lang w:eastAsia="cs-CZ"/>
        </w:rPr>
      </w:pPr>
      <w:r w:rsidRPr="005E1F82">
        <w:rPr>
          <w:i/>
          <w:iCs/>
          <w:lang w:eastAsia="cs-CZ"/>
        </w:rPr>
        <w:t>V návaznosti na novelu stavebního zákona během volebního období zrealizujeme projekt digitalizace stavebního řízení a územního plánování. Společně s digitalizací nově definujeme katalog jednotlivých funkčních ploch v rámci územního plánování tak, aby odpovídal potřebám různé velikosti měst a obcí…</w:t>
      </w:r>
    </w:p>
    <w:p w14:paraId="48F4A5E1" w14:textId="77777777" w:rsidR="00AA7E86" w:rsidRPr="00D96769" w:rsidRDefault="00AA7E86" w:rsidP="00AA7E86">
      <w:pPr>
        <w:pStyle w:val="Normln-tun"/>
        <w:rPr>
          <w:i/>
          <w:iCs/>
        </w:rPr>
      </w:pPr>
      <w:r w:rsidRPr="00D96769">
        <w:rPr>
          <w:i/>
          <w:iCs/>
        </w:rPr>
        <w:t>Železnice – Výrazně pokročíme s přípravou klíčových staveb prvních částí vysokorychlostních tratí z Prahy do Drážďan, z Prahy do Brna, z Brna do Ostravy a z Brna do Vídně…“</w:t>
      </w:r>
    </w:p>
    <w:p w14:paraId="5A489129" w14:textId="325844EB" w:rsidR="00AA7E86" w:rsidRPr="00A0104B" w:rsidRDefault="00AA7E86" w:rsidP="00A0104B">
      <w:pPr>
        <w:pStyle w:val="Nadpis10"/>
        <w:numPr>
          <w:ilvl w:val="0"/>
          <w:numId w:val="0"/>
        </w:numPr>
        <w:ind w:left="357" w:hanging="357"/>
        <w:rPr>
          <w:rFonts w:ascii="Garamond" w:hAnsi="Garamond"/>
          <w:b w:val="0"/>
          <w:bCs w:val="0"/>
          <w:i/>
          <w:iCs/>
          <w:color w:val="000000"/>
          <w:sz w:val="22"/>
          <w:szCs w:val="20"/>
          <w:lang w:eastAsia="cs-CZ"/>
        </w:rPr>
      </w:pPr>
    </w:p>
    <w:sectPr w:rsidR="00AA7E86" w:rsidRPr="00A0104B" w:rsidSect="007422C6">
      <w:headerReference w:type="even" r:id="rId24"/>
      <w:headerReference w:type="default" r:id="rId25"/>
      <w:footerReference w:type="even" r:id="rId26"/>
      <w:footerReference w:type="default" r:id="rId27"/>
      <w:headerReference w:type="first" r:id="rId28"/>
      <w:footerReference w:type="first" r:id="rId29"/>
      <w:pgSz w:w="11906" w:h="16838" w:code="9"/>
      <w:pgMar w:top="1701"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5E2F6" w14:textId="77777777" w:rsidR="00197E1E" w:rsidRDefault="00197E1E" w:rsidP="0030783E">
      <w:r>
        <w:separator/>
      </w:r>
    </w:p>
  </w:endnote>
  <w:endnote w:type="continuationSeparator" w:id="0">
    <w:p w14:paraId="1036D730" w14:textId="77777777" w:rsidR="00197E1E" w:rsidRDefault="00197E1E" w:rsidP="0030783E">
      <w:r>
        <w:continuationSeparator/>
      </w:r>
    </w:p>
  </w:endnote>
  <w:endnote w:type="continuationNotice" w:id="1">
    <w:p w14:paraId="071119EA" w14:textId="77777777" w:rsidR="00197E1E" w:rsidRDefault="00197E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T*Switzerland">
    <w:altName w:val="Times New Roman"/>
    <w:charset w:val="00"/>
    <w:family w:val="auto"/>
    <w:pitch w:val="variable"/>
    <w:sig w:usb0="00000003" w:usb1="00000000" w:usb2="00000000" w:usb3="00000000" w:csb0="00000001"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 w:name="Times">
    <w:panose1 w:val="02020603050405020304"/>
    <w:charset w:val="EE"/>
    <w:family w:val="roman"/>
    <w:pitch w:val="variable"/>
    <w:sig w:usb0="E0002EFF" w:usb1="C000785B" w:usb2="00000009" w:usb3="00000000" w:csb0="000001F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7B739" w14:textId="77777777" w:rsidR="00197E1E" w:rsidRDefault="00197E1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091152"/>
      <w:docPartObj>
        <w:docPartGallery w:val="Page Numbers (Bottom of Page)"/>
        <w:docPartUnique/>
      </w:docPartObj>
    </w:sdtPr>
    <w:sdtEndPr/>
    <w:sdtContent>
      <w:p w14:paraId="2F820205" w14:textId="7FE8A15F" w:rsidR="00197E1E" w:rsidRDefault="00197E1E">
        <w:pPr>
          <w:pStyle w:val="Zpat"/>
          <w:jc w:val="center"/>
        </w:pPr>
        <w:r>
          <w:fldChar w:fldCharType="begin"/>
        </w:r>
        <w:r>
          <w:instrText>PAGE   \* MERGEFORMAT</w:instrText>
        </w:r>
        <w:r>
          <w:fldChar w:fldCharType="separate"/>
        </w:r>
        <w:r w:rsidR="004B0591">
          <w:rPr>
            <w:noProof/>
          </w:rPr>
          <w:t>1</w:t>
        </w:r>
        <w:r>
          <w:fldChar w:fldCharType="end"/>
        </w:r>
      </w:p>
    </w:sdtContent>
  </w:sdt>
  <w:p w14:paraId="48338465" w14:textId="292BF8D9" w:rsidR="00197E1E" w:rsidRPr="00D46380" w:rsidRDefault="00197E1E">
    <w:pPr>
      <w:pStyle w:val="Zpat"/>
      <w:jc w:val="cen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2CF79" w14:textId="77777777" w:rsidR="00197E1E" w:rsidRDefault="00197E1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4E6F9" w14:textId="77777777" w:rsidR="00197E1E" w:rsidRDefault="00197E1E" w:rsidP="0030783E">
      <w:r>
        <w:separator/>
      </w:r>
    </w:p>
  </w:footnote>
  <w:footnote w:type="continuationSeparator" w:id="0">
    <w:p w14:paraId="689634C8" w14:textId="77777777" w:rsidR="00197E1E" w:rsidRDefault="00197E1E" w:rsidP="0030783E">
      <w:r>
        <w:continuationSeparator/>
      </w:r>
    </w:p>
  </w:footnote>
  <w:footnote w:type="continuationNotice" w:id="1">
    <w:p w14:paraId="278B2581" w14:textId="77777777" w:rsidR="00197E1E" w:rsidRDefault="00197E1E">
      <w:pPr>
        <w:spacing w:before="0" w:after="0"/>
      </w:pPr>
    </w:p>
  </w:footnote>
  <w:footnote w:id="2">
    <w:p w14:paraId="3908859A" w14:textId="2B6A7AC3" w:rsidR="00197E1E" w:rsidRDefault="00197E1E">
      <w:pPr>
        <w:pStyle w:val="Textpoznpodarou"/>
      </w:pPr>
      <w:r>
        <w:rPr>
          <w:rStyle w:val="Znakapoznpodarou"/>
        </w:rPr>
        <w:footnoteRef/>
      </w:r>
      <w:r>
        <w:t xml:space="preserve"> Data v celé kapitole jsou za rok 2020.</w:t>
      </w:r>
    </w:p>
  </w:footnote>
  <w:footnote w:id="3">
    <w:p w14:paraId="56BAF25E" w14:textId="660A3709" w:rsidR="00197E1E" w:rsidRDefault="00197E1E" w:rsidP="004F75F1">
      <w:pPr>
        <w:pStyle w:val="Textpoznpodarou"/>
      </w:pPr>
      <w:r>
        <w:rPr>
          <w:rStyle w:val="Znakapoznpodarou"/>
        </w:rPr>
        <w:footnoteRef/>
      </w:r>
      <w:r>
        <w:t xml:space="preserve"> Validace a varianty možných úprav systému financování přeneseného výkonu státní správy včetně příslušných podkladových analýz (zaměřených zejména na náklady, přínosy a dopady). Dostupné z https://www.mvcr.cz/soubor/validace-a-varianty-moznych-uprav-systemu-financovani-preneseneho-vykonu-statni-spravy-vcetne-prislusnych-podkladovych-analyz-zamerenych-zejmena-na-naklady-prinosy-a-dopady.aspx</w:t>
      </w:r>
    </w:p>
  </w:footnote>
  <w:footnote w:id="4">
    <w:p w14:paraId="6EFCD0D3" w14:textId="67B471DC" w:rsidR="00197E1E" w:rsidRDefault="00197E1E">
      <w:pPr>
        <w:pStyle w:val="Textpoznpodarou"/>
      </w:pPr>
      <w:r>
        <w:rPr>
          <w:rStyle w:val="Znakapoznpodarou"/>
        </w:rPr>
        <w:footnoteRef/>
      </w:r>
      <w:r>
        <w:t xml:space="preserve"> Tj. n</w:t>
      </w:r>
      <w:r w:rsidRPr="0086600F">
        <w:t>e formou podkladových aktů</w:t>
      </w:r>
      <w:r>
        <w:t>,</w:t>
      </w:r>
      <w:r w:rsidRPr="0086600F">
        <w:t xml:space="preserve"> tj. závazných stanovisek, stanovisek, vyjádření apod.</w:t>
      </w:r>
    </w:p>
  </w:footnote>
  <w:footnote w:id="5">
    <w:p w14:paraId="1DE2D8B8" w14:textId="75FE8CB9" w:rsidR="00197E1E" w:rsidRDefault="00197E1E" w:rsidP="002B6055">
      <w:pPr>
        <w:pStyle w:val="Textpoznpodarou"/>
      </w:pPr>
      <w:r>
        <w:rPr>
          <w:rStyle w:val="Znakapoznpodarou"/>
        </w:rPr>
        <w:footnoteRef/>
      </w:r>
      <w:r>
        <w:t xml:space="preserve"> V případě požadavku integrace DO by musel být zaveden dvojí režim - </w:t>
      </w:r>
      <w:r>
        <w:tab/>
        <w:t>v případě, že by kompetenci DO vykonával obecní úřad ORP a tento úřad vedl i stavební řízení, DO by se mohly podílet přímo na vypracování aktu prvoinstančního SÚ tak, aby došlo k procesní integraci; pokud by ale stavební řízení vedl jiný úřad než obecní úřad ORP (úřad na obci II. nebo I. typu), DO by svou kompetenci mohly vykonávat pouze formou koordinovaného vyjádření/závazného stanoviska.</w:t>
      </w:r>
    </w:p>
  </w:footnote>
  <w:footnote w:id="6">
    <w:p w14:paraId="20AA7773" w14:textId="2F6B7DB3" w:rsidR="00197E1E" w:rsidRDefault="00197E1E">
      <w:pPr>
        <w:pStyle w:val="Textpoznpodarou"/>
      </w:pPr>
      <w:r>
        <w:rPr>
          <w:rStyle w:val="Znakapoznpodarou"/>
        </w:rPr>
        <w:footnoteRef/>
      </w:r>
      <w:r>
        <w:t xml:space="preserve"> </w:t>
      </w:r>
      <w:r w:rsidRPr="00766C1E">
        <w:t>https://www.mvcr.cz/soubor/analyza-vybranych-prostorovych-aspektu-verejne-spravy-a-zlepseni-dostupnosti-jejich-sluzeb.aspx</w:t>
      </w:r>
    </w:p>
  </w:footnote>
  <w:footnote w:id="7">
    <w:p w14:paraId="3C9F6768" w14:textId="7754BEFB" w:rsidR="00197E1E" w:rsidRDefault="00197E1E">
      <w:pPr>
        <w:pStyle w:val="Textpoznpodarou"/>
      </w:pPr>
      <w:r>
        <w:rPr>
          <w:rStyle w:val="Znakapoznpodarou"/>
        </w:rPr>
        <w:footnoteRef/>
      </w:r>
      <w:r>
        <w:t xml:space="preserve"> Dle metodiky </w:t>
      </w:r>
      <w:r w:rsidRPr="00D339DA">
        <w:t>Better regulation’ toolbox 2021</w:t>
      </w:r>
      <w:r>
        <w:t xml:space="preserve">. </w:t>
      </w:r>
      <w:r w:rsidRPr="00D339DA">
        <w:t>European Commission</w:t>
      </w:r>
    </w:p>
  </w:footnote>
  <w:footnote w:id="8">
    <w:p w14:paraId="7B4D0328" w14:textId="675E7788" w:rsidR="00197E1E" w:rsidRDefault="00197E1E">
      <w:pPr>
        <w:pStyle w:val="Textpoznpodarou"/>
      </w:pPr>
      <w:r>
        <w:rPr>
          <w:rStyle w:val="Znakapoznpodarou"/>
        </w:rPr>
        <w:footnoteRef/>
      </w:r>
      <w:r>
        <w:t xml:space="preserve"> Toto kritérium by bylo možné použít i jako váhu pro zvážení zbývajících kritérií, relativní výsledek by i tak zůstal stejný. Ke změně by došlo pouze v absolutní výši hodnoty celkového hodnocení.  </w:t>
      </w:r>
    </w:p>
  </w:footnote>
  <w:footnote w:id="9">
    <w:p w14:paraId="03AEA806" w14:textId="77777777" w:rsidR="00197E1E" w:rsidRDefault="00197E1E" w:rsidP="00B92EA5">
      <w:pPr>
        <w:pStyle w:val="Textpoznpodarou"/>
      </w:pPr>
      <w:r>
        <w:rPr>
          <w:rStyle w:val="Znakapoznpodarou"/>
        </w:rPr>
        <w:footnoteRef/>
      </w:r>
      <w:r>
        <w:t xml:space="preserve"> </w:t>
      </w:r>
      <w:r w:rsidRPr="0069403D">
        <w:t xml:space="preserve">Pokud tedy </w:t>
      </w:r>
      <w:r>
        <w:t>kap. 1.2.2.1</w:t>
      </w:r>
      <w:r w:rsidRPr="0069403D">
        <w:t>, lze postup výpočtu celkové sumy přínosů ze zkrácení povolovacího procesu 7,1 mld. Kč zjednodušeně popsat následovně. Výpočet vychází primárně z hodnoty investičních nákladů na různé kategorie staveb (dopravní, železniční, bytové domy, komerční nemovitosti). U dopravních a železničních staveb pak dále z detailů jednotlivých zakázek poskytnutých ŘSD a SŽDC (zdroje financování, IRR projekty, trvání jednotlivých přípravných i realizačních fází atd.), a to tak, aby bylo možné správně rozalokovat výdaje a poté přínosy z realizace staveb v jednotlivých letech. Skupiny těchto přínosů jsou též popsány v RIA. Za prvé jde o přínosy v průběhu přípravy a realizace zakázek, kdy jsou utráceny finanční prostředky, které však díky multiplikačnímu efektu (multiplikátor vypočetl zpracovatel na základě standardního postupu z input-output tabulek ČSÚ) zajišťují i např. příjmy do státního rozpočtu. Za druhé jsou to pak přínosy po realizaci stavby, které jsou odhadovány při přípravě investičního záměru jednotlivými zadavateli ve formě IRR. Namodelováním těchto přínosů dle konkrétních záměrů největších zadavatelů veřejných zakázek v ČR dostaneme odhad jejich roční výše, které může být dosaženo, pokud se stavba vůbec postaví a pokud se postaví včas (úspory materiálních nákladů z oddalování nebo zastavení staveb RIA též zohledňuje).</w:t>
      </w:r>
    </w:p>
  </w:footnote>
  <w:footnote w:id="10">
    <w:p w14:paraId="456CCCEA" w14:textId="77777777" w:rsidR="00197E1E" w:rsidRDefault="00197E1E" w:rsidP="009B43CA">
      <w:pPr>
        <w:pStyle w:val="Textpoznpodarou"/>
      </w:pPr>
      <w:r>
        <w:rPr>
          <w:rStyle w:val="Znakapoznpodarou"/>
        </w:rPr>
        <w:footnoteRef/>
      </w:r>
      <w:r>
        <w:t xml:space="preserve"> Výpočet dle Přílohy 1 k Metodice pro stanovení nákladů na výkon státní správy v přenesené působnosti, schválené usnesením vlády č. 731 ze 13. července 2020.</w:t>
      </w:r>
    </w:p>
  </w:footnote>
  <w:footnote w:id="11">
    <w:p w14:paraId="79FE1262" w14:textId="77777777" w:rsidR="00197E1E" w:rsidRDefault="00197E1E" w:rsidP="009B43CA">
      <w:pPr>
        <w:pStyle w:val="Textpoznpodarou"/>
      </w:pPr>
      <w:r>
        <w:rPr>
          <w:rStyle w:val="Znakapoznpodarou"/>
        </w:rPr>
        <w:footnoteRef/>
      </w:r>
      <w:r>
        <w:t xml:space="preserve"> Jedná se o následující činnosti:</w:t>
      </w:r>
    </w:p>
    <w:p w14:paraId="23143097" w14:textId="77777777" w:rsidR="00197E1E" w:rsidRDefault="00197E1E" w:rsidP="009B43CA">
      <w:pPr>
        <w:pStyle w:val="Textpoznpodarou"/>
      </w:pPr>
      <w:r>
        <w:t xml:space="preserve">a) územní rozhodnutí podle § 92 zákona č. 183/2006 Sb., </w:t>
      </w:r>
    </w:p>
    <w:p w14:paraId="5898D56A" w14:textId="77777777" w:rsidR="00197E1E" w:rsidRDefault="00197E1E" w:rsidP="009B43CA">
      <w:pPr>
        <w:pStyle w:val="Textpoznpodarou"/>
      </w:pPr>
      <w:r>
        <w:t xml:space="preserve">b) společné povolení, kterým se stavba umisťuje a povoluje, podle § 94j až 94p zákona č. 183/2006 Sb., </w:t>
      </w:r>
    </w:p>
    <w:p w14:paraId="7A402510" w14:textId="77777777" w:rsidR="00197E1E" w:rsidRDefault="00197E1E" w:rsidP="009B43CA">
      <w:pPr>
        <w:pStyle w:val="Textpoznpodarou"/>
      </w:pPr>
      <w:r>
        <w:t xml:space="preserve">c) společný územní souhlas a souhlas s provedením ohlášeného stavebního záměru podle § 96a zákona č. 183/2006 Sb., </w:t>
      </w:r>
    </w:p>
    <w:p w14:paraId="09DAC3B0" w14:textId="77777777" w:rsidR="00197E1E" w:rsidRDefault="00197E1E" w:rsidP="009B43CA">
      <w:pPr>
        <w:pStyle w:val="Textpoznpodarou"/>
      </w:pPr>
      <w:r>
        <w:t>d) souhlas s provedením ohlášeného stavebního záměru podle § 106 zákona č. 183/2006 Sb.</w:t>
      </w:r>
    </w:p>
    <w:p w14:paraId="2891E791" w14:textId="77777777" w:rsidR="00197E1E" w:rsidRDefault="00197E1E" w:rsidP="009B43CA">
      <w:pPr>
        <w:pStyle w:val="Textpoznpodarou"/>
      </w:pPr>
      <w:r>
        <w:t>e) povolení změny stavby před jejím dokončením podle § 118 odst. 3 zákona č. 183/2006 Sb.</w:t>
      </w:r>
    </w:p>
    <w:p w14:paraId="006D7B19" w14:textId="77777777" w:rsidR="00197E1E" w:rsidRDefault="00197E1E" w:rsidP="009B43CA">
      <w:pPr>
        <w:pStyle w:val="Textpoznpodarou"/>
      </w:pPr>
      <w:r>
        <w:t>f) výzva o přidělení čísla popisného nebo evidenčního, popřípadě orientačního, podle § 121 odst. 2 zákona č. 183/2006 Sb.,</w:t>
      </w:r>
    </w:p>
    <w:p w14:paraId="03182442" w14:textId="77777777" w:rsidR="00197E1E" w:rsidRDefault="00197E1E" w:rsidP="009B43CA">
      <w:pPr>
        <w:pStyle w:val="Textpoznpodarou"/>
      </w:pPr>
      <w:r>
        <w:t>g) kolaudační souhlas podle § 122 zákona č. 183/2006 Sb.,</w:t>
      </w:r>
    </w:p>
    <w:p w14:paraId="5033B7F7" w14:textId="77777777" w:rsidR="00197E1E" w:rsidRDefault="00197E1E" w:rsidP="009B43CA">
      <w:pPr>
        <w:pStyle w:val="Textpoznpodarou"/>
      </w:pPr>
      <w:r>
        <w:t>h) kolaudační rozhodnutí podle § 122a zákona č. 183/2006 Sb.,</w:t>
      </w:r>
    </w:p>
    <w:p w14:paraId="6B2568B6" w14:textId="77777777" w:rsidR="00197E1E" w:rsidRDefault="00197E1E" w:rsidP="009B43CA">
      <w:pPr>
        <w:pStyle w:val="Textpoznpodarou"/>
      </w:pPr>
      <w:r>
        <w:t>i) ověření dokumentace skutečného provedení stavby podle § 125 odst. 4 zákona č. 183/2006 Sb.,</w:t>
      </w:r>
    </w:p>
    <w:p w14:paraId="152F07E1" w14:textId="77777777" w:rsidR="00197E1E" w:rsidRDefault="00197E1E" w:rsidP="009B43CA">
      <w:pPr>
        <w:pStyle w:val="Textpoznpodarou"/>
      </w:pPr>
      <w:r>
        <w:t xml:space="preserve">j) rozhodnutí o dodatečném povolení stavby podle § 129 odst. 3 zákona č. 183/2006 Sb., </w:t>
      </w:r>
    </w:p>
    <w:p w14:paraId="484DFCA8" w14:textId="77777777" w:rsidR="00197E1E" w:rsidRDefault="00197E1E" w:rsidP="009B43CA">
      <w:pPr>
        <w:pStyle w:val="Textpoznpodarou"/>
      </w:pPr>
      <w:r>
        <w:t>k) rozhodnutí o povolení výjimky z obecných požadavků na výstavbu podle § 169 odst. 3 až 6 zákona č. 183/2006 Sb.</w:t>
      </w:r>
    </w:p>
  </w:footnote>
  <w:footnote w:id="12">
    <w:p w14:paraId="72E2A287" w14:textId="77777777" w:rsidR="00197E1E" w:rsidRDefault="00197E1E" w:rsidP="009B43CA">
      <w:pPr>
        <w:pStyle w:val="Textpoznpodarou"/>
      </w:pPr>
      <w:r>
        <w:rPr>
          <w:rStyle w:val="Znakapoznpodarou"/>
        </w:rPr>
        <w:footnoteRef/>
      </w:r>
      <w:r>
        <w:t xml:space="preserve"> Za extrémní případy jsou považovány ty správní obvody, jejichž stavební úřady vykonají přes 1 000 úkonů za rok. To se týkalo v roce 2020 celkem 14 správních obvodů, jmenovitě jsou to Praha, Brno, Plzeň, Ostrava, České Budějovice, Říčany, Hradec Králové, Olomouc, Kladno, Pardubice, Zlín, Benešov, Český Krumlov a Kolín, přičemž první čtyři jmenovaná města, ač jsou členěna na několik správních obvodů, byla posuzována jako jeden správní obvod. </w:t>
      </w:r>
    </w:p>
  </w:footnote>
  <w:footnote w:id="13">
    <w:p w14:paraId="7B820BA7" w14:textId="77777777" w:rsidR="00197E1E" w:rsidRDefault="00197E1E" w:rsidP="009B43CA">
      <w:pPr>
        <w:pStyle w:val="Textpoznpodarou"/>
      </w:pPr>
      <w:r>
        <w:rPr>
          <w:rStyle w:val="Znakapoznpodarou"/>
        </w:rPr>
        <w:footnoteRef/>
      </w:r>
      <w:r>
        <w:t xml:space="preserve"> Konkrétně jde o stavební úřady Mirovice, Nýrsko, Skuteč, Suchdol nad Lužnicí, Šumná, Toužim, Volary a Všeruby.</w:t>
      </w:r>
    </w:p>
  </w:footnote>
  <w:footnote w:id="14">
    <w:p w14:paraId="739D3C6B" w14:textId="77777777" w:rsidR="00197E1E" w:rsidRDefault="00197E1E" w:rsidP="00F47609">
      <w:pPr>
        <w:pStyle w:val="Textpoznpodarou"/>
      </w:pPr>
      <w:r>
        <w:rPr>
          <w:rStyle w:val="Znakapoznpodarou"/>
        </w:rPr>
        <w:footnoteRef/>
      </w:r>
      <w:r>
        <w:t xml:space="preserve"> Validace a varianty možných úprav systému financování přeneseného výkonu státní správy včetně příslušných podkladových analýz (zaměřených zejména na náklady, přínosy a dopady). Dostupné z https://www.mvcr.cz/soubor/validace-a-varianty-moznych-uprav-systemu-financovani-preneseneho-vykonu-statni-spravy-vcetne-prislusnych-podkladovych-analyz-zamerenych-zejmena-na-naklady-prinosy-a-dopady.aspx</w:t>
      </w:r>
    </w:p>
  </w:footnote>
  <w:footnote w:id="15">
    <w:p w14:paraId="6C8C7D2E" w14:textId="77777777" w:rsidR="00197E1E" w:rsidRDefault="00197E1E" w:rsidP="00AA7E86">
      <w:pPr>
        <w:pStyle w:val="Textpoznpodarou"/>
      </w:pPr>
      <w:r>
        <w:rPr>
          <w:rStyle w:val="Znakapoznpodarou"/>
        </w:rPr>
        <w:footnoteRef/>
      </w:r>
      <w:r>
        <w:t xml:space="preserve"> Dostupné např. z </w:t>
      </w:r>
      <w:r w:rsidRPr="001C1005">
        <w:t>https://www.ods.cz/dl/50342/SPOLU-PirSTAN-KOALICNI-SMLOUVA.pdf</w:t>
      </w:r>
    </w:p>
  </w:footnote>
  <w:footnote w:id="16">
    <w:p w14:paraId="64AB42BF" w14:textId="77777777" w:rsidR="00197E1E" w:rsidRDefault="00197E1E" w:rsidP="00AA7E86">
      <w:pPr>
        <w:pStyle w:val="Textpoznpodarou"/>
      </w:pPr>
      <w:r>
        <w:rPr>
          <w:rStyle w:val="Znakapoznpodarou"/>
        </w:rPr>
        <w:footnoteRef/>
      </w:r>
      <w:r>
        <w:t xml:space="preserve"> </w:t>
      </w:r>
      <w:r w:rsidRPr="001C1005">
        <w:t>https://www.vlada.cz/cz/programove-prohlaseni-vlady-193547/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19707" w14:textId="6B8CC94A" w:rsidR="00197E1E" w:rsidRDefault="00197E1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99D51" w14:textId="1313181E" w:rsidR="00197E1E" w:rsidRDefault="00197E1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E2AB" w14:textId="3E48024B" w:rsidR="00197E1E" w:rsidRDefault="00197E1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15:restartNumberingAfterBreak="0">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0" w:firstLine="425"/>
      </w:pPr>
    </w:lvl>
    <w:lvl w:ilvl="1">
      <w:start w:val="1"/>
      <w:numFmt w:val="lowerLetter"/>
      <w:lvlText w:val="%2)"/>
      <w:lvlJc w:val="left"/>
      <w:pPr>
        <w:tabs>
          <w:tab w:val="num" w:pos="425"/>
        </w:tabs>
        <w:ind w:left="425" w:hanging="425"/>
      </w:pPr>
    </w:lvl>
    <w:lvl w:ilvl="2">
      <w:start w:val="1"/>
      <w:numFmt w:val="decima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70017E"/>
    <w:multiLevelType w:val="hybridMultilevel"/>
    <w:tmpl w:val="0D803A10"/>
    <w:lvl w:ilvl="0" w:tplc="21788176">
      <w:start w:val="1"/>
      <w:numFmt w:val="bullet"/>
      <w:lvlText w:val=""/>
      <w:lvlJc w:val="left"/>
      <w:pPr>
        <w:ind w:left="720" w:hanging="360"/>
      </w:pPr>
      <w:rPr>
        <w:rFonts w:ascii="Symbol" w:hAnsi="Symbol" w:hint="default"/>
      </w:rPr>
    </w:lvl>
    <w:lvl w:ilvl="1" w:tplc="C3C2886E">
      <w:start w:val="1"/>
      <w:numFmt w:val="bullet"/>
      <w:pStyle w:val="Puce2"/>
      <w:lvlText w:val="­"/>
      <w:lvlJc w:val="left"/>
      <w:pPr>
        <w:ind w:left="1440" w:hanging="360"/>
      </w:pPr>
      <w:rPr>
        <w:rFonts w:ascii="Arial" w:hAnsi="Arial" w:hint="default"/>
      </w:rPr>
    </w:lvl>
    <w:lvl w:ilvl="2" w:tplc="D15A1D96">
      <w:start w:val="1"/>
      <w:numFmt w:val="bullet"/>
      <w:pStyle w:val="Puce3"/>
      <w:lvlText w:val="­"/>
      <w:lvlJc w:val="left"/>
      <w:pPr>
        <w:ind w:left="2160" w:hanging="360"/>
      </w:pPr>
      <w:rPr>
        <w:rFonts w:ascii="Arial" w:hAnsi="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F50190"/>
    <w:multiLevelType w:val="multilevel"/>
    <w:tmpl w:val="754C540C"/>
    <w:styleLink w:val="Style3import"/>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0D1B93"/>
    <w:multiLevelType w:val="multilevel"/>
    <w:tmpl w:val="E8A48D7C"/>
    <w:styleLink w:val="VariantaA-sla"/>
    <w:lvl w:ilvl="0">
      <w:start w:val="1"/>
      <w:numFmt w:val="decimal"/>
      <w:lvlText w:val="%1."/>
      <w:lvlJc w:val="left"/>
      <w:pPr>
        <w:ind w:left="357" w:hanging="357"/>
      </w:pPr>
    </w:lvl>
    <w:lvl w:ilvl="1">
      <w:start w:val="1"/>
      <w:numFmt w:val="decimal"/>
      <w:lvlText w:val="%1.%2."/>
      <w:lvlJc w:val="left"/>
      <w:pPr>
        <w:ind w:left="851" w:hanging="494"/>
      </w:pPr>
    </w:lvl>
    <w:lvl w:ilvl="2">
      <w:start w:val="1"/>
      <w:numFmt w:val="decimal"/>
      <w:lvlText w:val="%1.%2.%3."/>
      <w:lvlJc w:val="left"/>
      <w:pPr>
        <w:ind w:left="1474" w:hanging="623"/>
      </w:pPr>
    </w:lvl>
    <w:lvl w:ilvl="3">
      <w:start w:val="1"/>
      <w:numFmt w:val="decimal"/>
      <w:lvlText w:val="%1.%2.%3.%4."/>
      <w:lvlJc w:val="left"/>
      <w:pPr>
        <w:tabs>
          <w:tab w:val="num" w:pos="1474"/>
        </w:tabs>
        <w:ind w:left="2268" w:hanging="794"/>
      </w:pPr>
    </w:lvl>
    <w:lvl w:ilvl="4">
      <w:start w:val="1"/>
      <w:numFmt w:val="decimal"/>
      <w:lvlText w:val="%1.%2.%3.%4.%5."/>
      <w:lvlJc w:val="left"/>
      <w:pPr>
        <w:ind w:left="3232" w:hanging="964"/>
      </w:pPr>
    </w:lvl>
    <w:lvl w:ilvl="5">
      <w:start w:val="1"/>
      <w:numFmt w:val="decimal"/>
      <w:lvlText w:val="%1.%2.%3.%4.%5.%6."/>
      <w:lvlJc w:val="left"/>
      <w:pPr>
        <w:ind w:left="4366" w:hanging="1134"/>
      </w:pPr>
    </w:lvl>
    <w:lvl w:ilvl="6">
      <w:start w:val="1"/>
      <w:numFmt w:val="decimal"/>
      <w:lvlText w:val="%1.%2.%3.%4.%5.%6.%7."/>
      <w:lvlJc w:val="left"/>
      <w:pPr>
        <w:tabs>
          <w:tab w:val="num" w:pos="3232"/>
        </w:tabs>
        <w:ind w:left="4536" w:hanging="1304"/>
      </w:pPr>
    </w:lvl>
    <w:lvl w:ilvl="7">
      <w:start w:val="1"/>
      <w:numFmt w:val="decimal"/>
      <w:lvlText w:val="%1.%2.%3.%4.%5.%6.%7.%8."/>
      <w:lvlJc w:val="left"/>
      <w:pPr>
        <w:tabs>
          <w:tab w:val="num" w:pos="3232"/>
        </w:tabs>
        <w:ind w:left="4706" w:hanging="1474"/>
      </w:pPr>
    </w:lvl>
    <w:lvl w:ilvl="8">
      <w:start w:val="1"/>
      <w:numFmt w:val="decimal"/>
      <w:lvlText w:val="%1.%2.%3.%4.%5.%6.%7.%8.%9."/>
      <w:lvlJc w:val="left"/>
      <w:pPr>
        <w:ind w:left="4876" w:hanging="1644"/>
      </w:pPr>
    </w:lvl>
  </w:abstractNum>
  <w:abstractNum w:abstractNumId="6" w15:restartNumberingAfterBreak="0">
    <w:nsid w:val="049E608E"/>
    <w:multiLevelType w:val="hybridMultilevel"/>
    <w:tmpl w:val="93B4EDA4"/>
    <w:lvl w:ilvl="0" w:tplc="2AF09662">
      <w:numFmt w:val="bullet"/>
      <w:pStyle w:val="Seznamsodrkami"/>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4BD6D2A"/>
    <w:multiLevelType w:val="hybridMultilevel"/>
    <w:tmpl w:val="EEDC0ADA"/>
    <w:lvl w:ilvl="0" w:tplc="A2BA41CE">
      <w:start w:val="1"/>
      <w:numFmt w:val="bullet"/>
      <w:pStyle w:val="odrazka"/>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8" w15:restartNumberingAfterBreak="0">
    <w:nsid w:val="0569455D"/>
    <w:multiLevelType w:val="hybridMultilevel"/>
    <w:tmpl w:val="970E9A32"/>
    <w:lvl w:ilvl="0" w:tplc="A532135E">
      <w:start w:val="1"/>
      <w:numFmt w:val="bullet"/>
      <w:lvlText w:val=""/>
      <w:lvlJc w:val="left"/>
      <w:pPr>
        <w:ind w:left="719" w:hanging="360"/>
      </w:pPr>
      <w:rPr>
        <w:rFonts w:ascii="Symbol" w:hAnsi="Symbol" w:hint="default"/>
      </w:rPr>
    </w:lvl>
    <w:lvl w:ilvl="1" w:tplc="04050003">
      <w:start w:val="1"/>
      <w:numFmt w:val="bullet"/>
      <w:lvlText w:val="o"/>
      <w:lvlJc w:val="left"/>
      <w:pPr>
        <w:ind w:left="1439" w:hanging="360"/>
      </w:pPr>
      <w:rPr>
        <w:rFonts w:ascii="Courier New" w:hAnsi="Courier New" w:cs="Courier New" w:hint="default"/>
      </w:rPr>
    </w:lvl>
    <w:lvl w:ilvl="2" w:tplc="04050005" w:tentative="1">
      <w:start w:val="1"/>
      <w:numFmt w:val="bullet"/>
      <w:lvlText w:val=""/>
      <w:lvlJc w:val="left"/>
      <w:pPr>
        <w:ind w:left="2159" w:hanging="360"/>
      </w:pPr>
      <w:rPr>
        <w:rFonts w:ascii="Wingdings" w:hAnsi="Wingdings" w:hint="default"/>
      </w:rPr>
    </w:lvl>
    <w:lvl w:ilvl="3" w:tplc="04050001" w:tentative="1">
      <w:start w:val="1"/>
      <w:numFmt w:val="bullet"/>
      <w:lvlText w:val=""/>
      <w:lvlJc w:val="left"/>
      <w:pPr>
        <w:ind w:left="2879" w:hanging="360"/>
      </w:pPr>
      <w:rPr>
        <w:rFonts w:ascii="Symbol" w:hAnsi="Symbol" w:hint="default"/>
      </w:rPr>
    </w:lvl>
    <w:lvl w:ilvl="4" w:tplc="04050003" w:tentative="1">
      <w:start w:val="1"/>
      <w:numFmt w:val="bullet"/>
      <w:lvlText w:val="o"/>
      <w:lvlJc w:val="left"/>
      <w:pPr>
        <w:ind w:left="3599" w:hanging="360"/>
      </w:pPr>
      <w:rPr>
        <w:rFonts w:ascii="Courier New" w:hAnsi="Courier New" w:cs="Courier New" w:hint="default"/>
      </w:rPr>
    </w:lvl>
    <w:lvl w:ilvl="5" w:tplc="04050005" w:tentative="1">
      <w:start w:val="1"/>
      <w:numFmt w:val="bullet"/>
      <w:lvlText w:val=""/>
      <w:lvlJc w:val="left"/>
      <w:pPr>
        <w:ind w:left="4319" w:hanging="360"/>
      </w:pPr>
      <w:rPr>
        <w:rFonts w:ascii="Wingdings" w:hAnsi="Wingdings" w:hint="default"/>
      </w:rPr>
    </w:lvl>
    <w:lvl w:ilvl="6" w:tplc="04050001" w:tentative="1">
      <w:start w:val="1"/>
      <w:numFmt w:val="bullet"/>
      <w:lvlText w:val=""/>
      <w:lvlJc w:val="left"/>
      <w:pPr>
        <w:ind w:left="5039" w:hanging="360"/>
      </w:pPr>
      <w:rPr>
        <w:rFonts w:ascii="Symbol" w:hAnsi="Symbol" w:hint="default"/>
      </w:rPr>
    </w:lvl>
    <w:lvl w:ilvl="7" w:tplc="04050003" w:tentative="1">
      <w:start w:val="1"/>
      <w:numFmt w:val="bullet"/>
      <w:lvlText w:val="o"/>
      <w:lvlJc w:val="left"/>
      <w:pPr>
        <w:ind w:left="5759" w:hanging="360"/>
      </w:pPr>
      <w:rPr>
        <w:rFonts w:ascii="Courier New" w:hAnsi="Courier New" w:cs="Courier New" w:hint="default"/>
      </w:rPr>
    </w:lvl>
    <w:lvl w:ilvl="8" w:tplc="04050005" w:tentative="1">
      <w:start w:val="1"/>
      <w:numFmt w:val="bullet"/>
      <w:lvlText w:val=""/>
      <w:lvlJc w:val="left"/>
      <w:pPr>
        <w:ind w:left="6479" w:hanging="360"/>
      </w:pPr>
      <w:rPr>
        <w:rFonts w:ascii="Wingdings" w:hAnsi="Wingdings" w:hint="default"/>
      </w:rPr>
    </w:lvl>
  </w:abstractNum>
  <w:abstractNum w:abstractNumId="9" w15:restartNumberingAfterBreak="0">
    <w:nsid w:val="07021736"/>
    <w:multiLevelType w:val="hybridMultilevel"/>
    <w:tmpl w:val="2676E64A"/>
    <w:lvl w:ilvl="0" w:tplc="606EF93C">
      <w:start w:val="1"/>
      <w:numFmt w:val="bullet"/>
      <w:pStyle w:val="Odrazka11"/>
      <w:lvlText w:val="-"/>
      <w:lvlJc w:val="left"/>
      <w:pPr>
        <w:ind w:left="149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0" w15:restartNumberingAfterBreak="0">
    <w:nsid w:val="0C473890"/>
    <w:multiLevelType w:val="hybridMultilevel"/>
    <w:tmpl w:val="51104BE6"/>
    <w:lvl w:ilvl="0" w:tplc="E098CFEC">
      <w:start w:val="1"/>
      <w:numFmt w:val="upperLetter"/>
      <w:pStyle w:val="slovanseznam4"/>
      <w:lvlText w:val="%1."/>
      <w:lvlJc w:val="left"/>
      <w:pPr>
        <w:tabs>
          <w:tab w:val="num" w:pos="1429"/>
        </w:tabs>
        <w:ind w:left="1429"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D7617CB"/>
    <w:multiLevelType w:val="hybridMultilevel"/>
    <w:tmpl w:val="099E674C"/>
    <w:lvl w:ilvl="0" w:tplc="A532135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E54D0F"/>
    <w:multiLevelType w:val="hybridMultilevel"/>
    <w:tmpl w:val="7EF03348"/>
    <w:lvl w:ilvl="0" w:tplc="BCCA24F2">
      <w:start w:val="1"/>
      <w:numFmt w:val="decimal"/>
      <w:pStyle w:val="vpis"/>
      <w:lvlText w:val="%1."/>
      <w:lvlJc w:val="left"/>
      <w:pPr>
        <w:ind w:left="720" w:hanging="360"/>
      </w:pPr>
      <w:rPr>
        <w:rFonts w:hint="default"/>
      </w:rPr>
    </w:lvl>
    <w:lvl w:ilvl="1" w:tplc="E3222E40" w:tentative="1">
      <w:start w:val="1"/>
      <w:numFmt w:val="lowerLetter"/>
      <w:lvlText w:val="%2."/>
      <w:lvlJc w:val="left"/>
      <w:pPr>
        <w:ind w:left="1440" w:hanging="360"/>
      </w:pPr>
    </w:lvl>
    <w:lvl w:ilvl="2" w:tplc="C944BB86" w:tentative="1">
      <w:start w:val="1"/>
      <w:numFmt w:val="lowerRoman"/>
      <w:lvlText w:val="%3."/>
      <w:lvlJc w:val="right"/>
      <w:pPr>
        <w:ind w:left="2160" w:hanging="180"/>
      </w:pPr>
    </w:lvl>
    <w:lvl w:ilvl="3" w:tplc="7DDCC8E6" w:tentative="1">
      <w:start w:val="1"/>
      <w:numFmt w:val="decimal"/>
      <w:lvlText w:val="%4."/>
      <w:lvlJc w:val="left"/>
      <w:pPr>
        <w:ind w:left="2880" w:hanging="360"/>
      </w:pPr>
    </w:lvl>
    <w:lvl w:ilvl="4" w:tplc="9C0E2D0E" w:tentative="1">
      <w:start w:val="1"/>
      <w:numFmt w:val="lowerLetter"/>
      <w:lvlText w:val="%5."/>
      <w:lvlJc w:val="left"/>
      <w:pPr>
        <w:ind w:left="3600" w:hanging="360"/>
      </w:pPr>
    </w:lvl>
    <w:lvl w:ilvl="5" w:tplc="F884A804" w:tentative="1">
      <w:start w:val="1"/>
      <w:numFmt w:val="lowerRoman"/>
      <w:lvlText w:val="%6."/>
      <w:lvlJc w:val="right"/>
      <w:pPr>
        <w:ind w:left="4320" w:hanging="180"/>
      </w:pPr>
    </w:lvl>
    <w:lvl w:ilvl="6" w:tplc="1C425342" w:tentative="1">
      <w:start w:val="1"/>
      <w:numFmt w:val="decimal"/>
      <w:lvlText w:val="%7."/>
      <w:lvlJc w:val="left"/>
      <w:pPr>
        <w:ind w:left="5040" w:hanging="360"/>
      </w:pPr>
    </w:lvl>
    <w:lvl w:ilvl="7" w:tplc="8728853C" w:tentative="1">
      <w:start w:val="1"/>
      <w:numFmt w:val="lowerLetter"/>
      <w:lvlText w:val="%8."/>
      <w:lvlJc w:val="left"/>
      <w:pPr>
        <w:ind w:left="5760" w:hanging="360"/>
      </w:pPr>
    </w:lvl>
    <w:lvl w:ilvl="8" w:tplc="B464E53A" w:tentative="1">
      <w:start w:val="1"/>
      <w:numFmt w:val="lowerRoman"/>
      <w:lvlText w:val="%9."/>
      <w:lvlJc w:val="right"/>
      <w:pPr>
        <w:ind w:left="6480" w:hanging="180"/>
      </w:pPr>
    </w:lvl>
  </w:abstractNum>
  <w:abstractNum w:abstractNumId="13" w15:restartNumberingAfterBreak="0">
    <w:nsid w:val="0FEE5181"/>
    <w:multiLevelType w:val="hybridMultilevel"/>
    <w:tmpl w:val="84682E3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B74CD4"/>
    <w:multiLevelType w:val="multilevel"/>
    <w:tmpl w:val="77C2D922"/>
    <w:name w:val="list-bullet-black-table2"/>
    <w:lvl w:ilvl="0">
      <w:start w:val="1"/>
      <w:numFmt w:val="bullet"/>
      <w:lvlRestart w:val="0"/>
      <w:pStyle w:val="list-bullet-black-table"/>
      <w:lvlText w:val=""/>
      <w:lvlJc w:val="left"/>
      <w:pPr>
        <w:ind w:left="284" w:hanging="284"/>
      </w:pPr>
      <w:rPr>
        <w:rFonts w:ascii="Symbol" w:hAnsi="Symbol" w:hint="default"/>
        <w:color w:val="000000" w:themeColor="text1"/>
        <w:sz w:val="16"/>
      </w:rPr>
    </w:lvl>
    <w:lvl w:ilvl="1">
      <w:start w:val="1"/>
      <w:numFmt w:val="bullet"/>
      <w:lvlText w:val="-"/>
      <w:lvlJc w:val="left"/>
      <w:pPr>
        <w:ind w:left="568" w:hanging="284"/>
      </w:pPr>
      <w:rPr>
        <w:rFonts w:ascii="Arial" w:hAnsi="Arial" w:cs="Arial"/>
        <w:color w:val="000000" w:themeColor="text1"/>
        <w:sz w:val="16"/>
      </w:rPr>
    </w:lvl>
    <w:lvl w:ilvl="2">
      <w:start w:val="1"/>
      <w:numFmt w:val="bullet"/>
      <w:lvlText w:val=""/>
      <w:lvlJc w:val="left"/>
      <w:pPr>
        <w:ind w:left="852" w:hanging="284"/>
      </w:pPr>
      <w:rPr>
        <w:rFonts w:ascii="Symbol" w:hAnsi="Symbol" w:hint="default"/>
        <w:color w:val="000000" w:themeColor="text1"/>
        <w:sz w:val="16"/>
      </w:rPr>
    </w:lvl>
    <w:lvl w:ilvl="3">
      <w:start w:val="1"/>
      <w:numFmt w:val="bullet"/>
      <w:lvlText w:val="-"/>
      <w:lvlJc w:val="left"/>
      <w:pPr>
        <w:ind w:left="1136" w:hanging="284"/>
      </w:pPr>
      <w:rPr>
        <w:rFonts w:ascii="Arial" w:hAnsi="Arial" w:cs="Arial"/>
        <w:color w:val="000000" w:themeColor="text1"/>
        <w:sz w:val="16"/>
      </w:rPr>
    </w:lvl>
    <w:lvl w:ilvl="4">
      <w:start w:val="1"/>
      <w:numFmt w:val="bullet"/>
      <w:lvlText w:val=""/>
      <w:lvlJc w:val="left"/>
      <w:pPr>
        <w:ind w:left="1420" w:hanging="284"/>
      </w:pPr>
      <w:rPr>
        <w:rFonts w:ascii="Symbol" w:hAnsi="Symbol" w:hint="default"/>
        <w:color w:val="000000" w:themeColor="text1"/>
        <w:sz w:val="16"/>
      </w:rPr>
    </w:lvl>
    <w:lvl w:ilvl="5">
      <w:start w:val="1"/>
      <w:numFmt w:val="bullet"/>
      <w:lvlText w:val="-"/>
      <w:lvlJc w:val="left"/>
      <w:pPr>
        <w:ind w:left="1704" w:hanging="284"/>
      </w:pPr>
      <w:rPr>
        <w:rFonts w:ascii="Arial" w:hAnsi="Arial" w:cs="Arial"/>
        <w:color w:val="000000" w:themeColor="text1"/>
        <w:sz w:val="16"/>
      </w:rPr>
    </w:lvl>
    <w:lvl w:ilvl="6">
      <w:start w:val="1"/>
      <w:numFmt w:val="bullet"/>
      <w:lvlText w:val=""/>
      <w:lvlJc w:val="left"/>
      <w:pPr>
        <w:ind w:left="1988" w:hanging="284"/>
      </w:pPr>
      <w:rPr>
        <w:rFonts w:ascii="Symbol" w:hAnsi="Symbol" w:hint="default"/>
        <w:color w:val="000000" w:themeColor="text1"/>
        <w:sz w:val="16"/>
      </w:rPr>
    </w:lvl>
    <w:lvl w:ilvl="7">
      <w:start w:val="1"/>
      <w:numFmt w:val="bullet"/>
      <w:lvlText w:val="-"/>
      <w:lvlJc w:val="left"/>
      <w:pPr>
        <w:ind w:left="2272" w:hanging="284"/>
      </w:pPr>
      <w:rPr>
        <w:rFonts w:ascii="Arial" w:hAnsi="Arial" w:cs="Arial"/>
        <w:color w:val="000000" w:themeColor="text1"/>
        <w:sz w:val="16"/>
      </w:rPr>
    </w:lvl>
    <w:lvl w:ilvl="8">
      <w:start w:val="1"/>
      <w:numFmt w:val="bullet"/>
      <w:lvlText w:val=""/>
      <w:lvlJc w:val="left"/>
      <w:pPr>
        <w:ind w:left="2556" w:hanging="284"/>
      </w:pPr>
      <w:rPr>
        <w:rFonts w:ascii="Symbol" w:hAnsi="Symbol" w:hint="default"/>
        <w:color w:val="000000" w:themeColor="text1"/>
        <w:sz w:val="16"/>
      </w:rPr>
    </w:lvl>
  </w:abstractNum>
  <w:abstractNum w:abstractNumId="15" w15:restartNumberingAfterBreak="0">
    <w:nsid w:val="123B1BF3"/>
    <w:multiLevelType w:val="hybridMultilevel"/>
    <w:tmpl w:val="D57A52D6"/>
    <w:lvl w:ilvl="0" w:tplc="A802CEAA">
      <w:start w:val="1"/>
      <w:numFmt w:val="bullet"/>
      <w:pStyle w:val="neslovanseznam2"/>
      <w:lvlText w:val="o"/>
      <w:lvlJc w:val="left"/>
      <w:pPr>
        <w:tabs>
          <w:tab w:val="num" w:pos="717"/>
        </w:tabs>
        <w:ind w:left="717" w:hanging="360"/>
      </w:pPr>
      <w:rPr>
        <w:rFonts w:ascii="Courier New" w:hAnsi="Courier New" w:hint="default"/>
      </w:rPr>
    </w:lvl>
    <w:lvl w:ilvl="1" w:tplc="04050019">
      <w:start w:val="1"/>
      <w:numFmt w:val="lowerLetter"/>
      <w:lvlText w:val="%2."/>
      <w:lvlJc w:val="left"/>
      <w:pPr>
        <w:tabs>
          <w:tab w:val="num" w:pos="1428"/>
        </w:tabs>
        <w:ind w:left="1428" w:hanging="360"/>
      </w:pPr>
    </w:lvl>
    <w:lvl w:ilvl="2" w:tplc="0405001B">
      <w:start w:val="1"/>
      <w:numFmt w:val="lowerRoman"/>
      <w:lvlText w:val="%3."/>
      <w:lvlJc w:val="right"/>
      <w:pPr>
        <w:tabs>
          <w:tab w:val="num" w:pos="2148"/>
        </w:tabs>
        <w:ind w:left="2148" w:hanging="180"/>
      </w:pPr>
    </w:lvl>
    <w:lvl w:ilvl="3" w:tplc="0405000F" w:tentative="1">
      <w:start w:val="1"/>
      <w:numFmt w:val="decimal"/>
      <w:lvlText w:val="%4."/>
      <w:lvlJc w:val="left"/>
      <w:pPr>
        <w:tabs>
          <w:tab w:val="num" w:pos="2868"/>
        </w:tabs>
        <w:ind w:left="2868" w:hanging="360"/>
      </w:pPr>
    </w:lvl>
    <w:lvl w:ilvl="4" w:tplc="04050019" w:tentative="1">
      <w:start w:val="1"/>
      <w:numFmt w:val="lowerLetter"/>
      <w:lvlText w:val="%5."/>
      <w:lvlJc w:val="left"/>
      <w:pPr>
        <w:tabs>
          <w:tab w:val="num" w:pos="3588"/>
        </w:tabs>
        <w:ind w:left="3588" w:hanging="360"/>
      </w:pPr>
    </w:lvl>
    <w:lvl w:ilvl="5" w:tplc="0405001B" w:tentative="1">
      <w:start w:val="1"/>
      <w:numFmt w:val="lowerRoman"/>
      <w:lvlText w:val="%6."/>
      <w:lvlJc w:val="right"/>
      <w:pPr>
        <w:tabs>
          <w:tab w:val="num" w:pos="4308"/>
        </w:tabs>
        <w:ind w:left="4308" w:hanging="180"/>
      </w:pPr>
    </w:lvl>
    <w:lvl w:ilvl="6" w:tplc="0405000F" w:tentative="1">
      <w:start w:val="1"/>
      <w:numFmt w:val="decimal"/>
      <w:lvlText w:val="%7."/>
      <w:lvlJc w:val="left"/>
      <w:pPr>
        <w:tabs>
          <w:tab w:val="num" w:pos="5028"/>
        </w:tabs>
        <w:ind w:left="5028" w:hanging="360"/>
      </w:pPr>
    </w:lvl>
    <w:lvl w:ilvl="7" w:tplc="04050019" w:tentative="1">
      <w:start w:val="1"/>
      <w:numFmt w:val="lowerLetter"/>
      <w:lvlText w:val="%8."/>
      <w:lvlJc w:val="left"/>
      <w:pPr>
        <w:tabs>
          <w:tab w:val="num" w:pos="5748"/>
        </w:tabs>
        <w:ind w:left="5748" w:hanging="360"/>
      </w:pPr>
    </w:lvl>
    <w:lvl w:ilvl="8" w:tplc="0405001B" w:tentative="1">
      <w:start w:val="1"/>
      <w:numFmt w:val="lowerRoman"/>
      <w:lvlText w:val="%9."/>
      <w:lvlJc w:val="right"/>
      <w:pPr>
        <w:tabs>
          <w:tab w:val="num" w:pos="6468"/>
        </w:tabs>
        <w:ind w:left="6468" w:hanging="180"/>
      </w:pPr>
    </w:lvl>
  </w:abstractNum>
  <w:abstractNum w:abstractNumId="16" w15:restartNumberingAfterBreak="0">
    <w:nsid w:val="1262685D"/>
    <w:multiLevelType w:val="singleLevel"/>
    <w:tmpl w:val="D96C95A2"/>
    <w:lvl w:ilvl="0">
      <w:start w:val="1"/>
      <w:numFmt w:val="bullet"/>
      <w:pStyle w:val="Seznamsodrkami4"/>
      <w:lvlText w:val=""/>
      <w:lvlJc w:val="left"/>
      <w:pPr>
        <w:tabs>
          <w:tab w:val="num" w:pos="3163"/>
        </w:tabs>
        <w:ind w:left="3163" w:hanging="283"/>
      </w:pPr>
      <w:rPr>
        <w:rFonts w:ascii="Symbol" w:hAnsi="Symbol"/>
      </w:rPr>
    </w:lvl>
  </w:abstractNum>
  <w:abstractNum w:abstractNumId="17"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cs="Times New Roman"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18" w15:restartNumberingAfterBreak="0">
    <w:nsid w:val="197E2CDF"/>
    <w:multiLevelType w:val="hybridMultilevel"/>
    <w:tmpl w:val="5CB60E74"/>
    <w:lvl w:ilvl="0" w:tplc="A53213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9906D64"/>
    <w:multiLevelType w:val="singleLevel"/>
    <w:tmpl w:val="E9028870"/>
    <w:lvl w:ilvl="0">
      <w:start w:val="1"/>
      <w:numFmt w:val="upperRoman"/>
      <w:pStyle w:val="Podnadpis"/>
      <w:lvlText w:val="%1."/>
      <w:lvlJc w:val="left"/>
      <w:pPr>
        <w:tabs>
          <w:tab w:val="num" w:pos="720"/>
        </w:tabs>
        <w:ind w:left="720" w:hanging="720"/>
      </w:pPr>
      <w:rPr>
        <w:rFonts w:hint="default"/>
      </w:rPr>
    </w:lvl>
  </w:abstractNum>
  <w:abstractNum w:abstractNumId="2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1" w15:restartNumberingAfterBreak="0">
    <w:nsid w:val="1B6A6399"/>
    <w:multiLevelType w:val="hybridMultilevel"/>
    <w:tmpl w:val="3C9C8DEC"/>
    <w:lvl w:ilvl="0" w:tplc="A53213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C5B108A"/>
    <w:multiLevelType w:val="hybridMultilevel"/>
    <w:tmpl w:val="9F62EDE8"/>
    <w:lvl w:ilvl="0" w:tplc="82E280E8">
      <w:start w:val="1"/>
      <w:numFmt w:val="bullet"/>
      <w:pStyle w:val="Bullet2"/>
      <w:lvlText w:val="o"/>
      <w:lvlJc w:val="left"/>
      <w:pPr>
        <w:tabs>
          <w:tab w:val="num" w:pos="720"/>
        </w:tabs>
        <w:ind w:left="720" w:hanging="360"/>
      </w:pPr>
      <w:rPr>
        <w:rFonts w:ascii="Courier New" w:hAnsi="Courier New" w:hint="default"/>
      </w:rPr>
    </w:lvl>
    <w:lvl w:ilvl="1" w:tplc="CC7C4B5C" w:tentative="1">
      <w:start w:val="1"/>
      <w:numFmt w:val="bullet"/>
      <w:lvlText w:val="o"/>
      <w:lvlJc w:val="left"/>
      <w:pPr>
        <w:tabs>
          <w:tab w:val="num" w:pos="1440"/>
        </w:tabs>
        <w:ind w:left="1440" w:hanging="360"/>
      </w:pPr>
      <w:rPr>
        <w:rFonts w:ascii="Courier New" w:hAnsi="Courier New" w:hint="default"/>
      </w:rPr>
    </w:lvl>
    <w:lvl w:ilvl="2" w:tplc="77F6998E" w:tentative="1">
      <w:start w:val="1"/>
      <w:numFmt w:val="bullet"/>
      <w:lvlText w:val=""/>
      <w:lvlJc w:val="left"/>
      <w:pPr>
        <w:tabs>
          <w:tab w:val="num" w:pos="2160"/>
        </w:tabs>
        <w:ind w:left="2160" w:hanging="360"/>
      </w:pPr>
      <w:rPr>
        <w:rFonts w:ascii="Wingdings" w:hAnsi="Wingdings" w:hint="default"/>
      </w:rPr>
    </w:lvl>
    <w:lvl w:ilvl="3" w:tplc="61CA0874" w:tentative="1">
      <w:start w:val="1"/>
      <w:numFmt w:val="bullet"/>
      <w:lvlText w:val=""/>
      <w:lvlJc w:val="left"/>
      <w:pPr>
        <w:tabs>
          <w:tab w:val="num" w:pos="2880"/>
        </w:tabs>
        <w:ind w:left="2880" w:hanging="360"/>
      </w:pPr>
      <w:rPr>
        <w:rFonts w:ascii="Symbol" w:hAnsi="Symbol" w:hint="default"/>
      </w:rPr>
    </w:lvl>
    <w:lvl w:ilvl="4" w:tplc="A58C6D90" w:tentative="1">
      <w:start w:val="1"/>
      <w:numFmt w:val="bullet"/>
      <w:lvlText w:val="o"/>
      <w:lvlJc w:val="left"/>
      <w:pPr>
        <w:tabs>
          <w:tab w:val="num" w:pos="3600"/>
        </w:tabs>
        <w:ind w:left="3600" w:hanging="360"/>
      </w:pPr>
      <w:rPr>
        <w:rFonts w:ascii="Courier New" w:hAnsi="Courier New" w:hint="default"/>
      </w:rPr>
    </w:lvl>
    <w:lvl w:ilvl="5" w:tplc="CF8A61F0" w:tentative="1">
      <w:start w:val="1"/>
      <w:numFmt w:val="bullet"/>
      <w:lvlText w:val=""/>
      <w:lvlJc w:val="left"/>
      <w:pPr>
        <w:tabs>
          <w:tab w:val="num" w:pos="4320"/>
        </w:tabs>
        <w:ind w:left="4320" w:hanging="360"/>
      </w:pPr>
      <w:rPr>
        <w:rFonts w:ascii="Wingdings" w:hAnsi="Wingdings" w:hint="default"/>
      </w:rPr>
    </w:lvl>
    <w:lvl w:ilvl="6" w:tplc="B978A902" w:tentative="1">
      <w:start w:val="1"/>
      <w:numFmt w:val="bullet"/>
      <w:lvlText w:val=""/>
      <w:lvlJc w:val="left"/>
      <w:pPr>
        <w:tabs>
          <w:tab w:val="num" w:pos="5040"/>
        </w:tabs>
        <w:ind w:left="5040" w:hanging="360"/>
      </w:pPr>
      <w:rPr>
        <w:rFonts w:ascii="Symbol" w:hAnsi="Symbol" w:hint="default"/>
      </w:rPr>
    </w:lvl>
    <w:lvl w:ilvl="7" w:tplc="23F01EC6" w:tentative="1">
      <w:start w:val="1"/>
      <w:numFmt w:val="bullet"/>
      <w:lvlText w:val="o"/>
      <w:lvlJc w:val="left"/>
      <w:pPr>
        <w:tabs>
          <w:tab w:val="num" w:pos="5760"/>
        </w:tabs>
        <w:ind w:left="5760" w:hanging="360"/>
      </w:pPr>
      <w:rPr>
        <w:rFonts w:ascii="Courier New" w:hAnsi="Courier New" w:hint="default"/>
      </w:rPr>
    </w:lvl>
    <w:lvl w:ilvl="8" w:tplc="0A54AD8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5B668A"/>
    <w:multiLevelType w:val="multilevel"/>
    <w:tmpl w:val="AAA8A300"/>
    <w:lvl w:ilvl="0">
      <w:start w:val="1"/>
      <w:numFmt w:val="upperRoman"/>
      <w:pStyle w:val="Nadpis1"/>
      <w:lvlText w:val="Článek %1."/>
      <w:lvlJc w:val="left"/>
      <w:pPr>
        <w:ind w:left="0" w:firstLine="0"/>
      </w:pPr>
    </w:lvl>
    <w:lvl w:ilvl="1">
      <w:start w:val="1"/>
      <w:numFmt w:val="decimalZero"/>
      <w:pStyle w:val="Nadpis2"/>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24" w15:restartNumberingAfterBreak="0">
    <w:nsid w:val="1EE7439A"/>
    <w:multiLevelType w:val="hybridMultilevel"/>
    <w:tmpl w:val="61569464"/>
    <w:lvl w:ilvl="0" w:tplc="A532135E">
      <w:start w:val="1"/>
      <w:numFmt w:val="bullet"/>
      <w:lvlText w:val=""/>
      <w:lvlJc w:val="left"/>
      <w:pPr>
        <w:ind w:left="718" w:hanging="360"/>
      </w:pPr>
      <w:rPr>
        <w:rFonts w:ascii="Symbol" w:hAnsi="Symbol" w:hint="default"/>
      </w:rPr>
    </w:lvl>
    <w:lvl w:ilvl="1" w:tplc="04050003">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5" w15:restartNumberingAfterBreak="0">
    <w:nsid w:val="203254F4"/>
    <w:multiLevelType w:val="multilevel"/>
    <w:tmpl w:val="7A76935A"/>
    <w:styleLink w:val="IA"/>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1920"/>
        </w:tabs>
        <w:ind w:left="1920" w:hanging="72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8" w15:restartNumberingAfterBreak="0">
    <w:nsid w:val="26107D47"/>
    <w:multiLevelType w:val="hybridMultilevel"/>
    <w:tmpl w:val="C87CB5D0"/>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9" w15:restartNumberingAfterBreak="0">
    <w:nsid w:val="27FC33AE"/>
    <w:multiLevelType w:val="hybridMultilevel"/>
    <w:tmpl w:val="A29243F4"/>
    <w:lvl w:ilvl="0" w:tplc="A53213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2" w15:restartNumberingAfterBreak="0">
    <w:nsid w:val="329A7890"/>
    <w:multiLevelType w:val="multilevel"/>
    <w:tmpl w:val="325445E4"/>
    <w:lvl w:ilvl="0">
      <w:start w:val="1"/>
      <w:numFmt w:val="decimal"/>
      <w:lvlText w:val="%1"/>
      <w:lvlJc w:val="left"/>
      <w:pPr>
        <w:ind w:left="432" w:hanging="432"/>
      </w:pPr>
      <w:rPr>
        <w:rFonts w:asciiTheme="majorHAnsi" w:hAnsiTheme="majorHAnsi" w:hint="default"/>
      </w:rPr>
    </w:lvl>
    <w:lvl w:ilvl="1">
      <w:start w:val="1"/>
      <w:numFmt w:val="decimal"/>
      <w:pStyle w:val="Nadpis20"/>
      <w:lvlText w:val="%1.%2"/>
      <w:lvlJc w:val="left"/>
      <w:pPr>
        <w:ind w:left="576" w:hanging="576"/>
      </w:pPr>
      <w:rPr>
        <w:rFonts w:hint="default"/>
      </w:rPr>
    </w:lvl>
    <w:lvl w:ilvl="2">
      <w:start w:val="1"/>
      <w:numFmt w:val="decimal"/>
      <w:pStyle w:val="Nadpis3"/>
      <w:lvlText w:val="%1.%2.%3"/>
      <w:lvlJc w:val="left"/>
      <w:pPr>
        <w:ind w:left="398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3935683"/>
    <w:multiLevelType w:val="hybridMultilevel"/>
    <w:tmpl w:val="73C24F16"/>
    <w:lvl w:ilvl="0" w:tplc="C51E8EC8">
      <w:start w:val="1"/>
      <w:numFmt w:val="bullet"/>
      <w:pStyle w:val="odrky1"/>
      <w:lvlText w:val=""/>
      <w:lvlJc w:val="left"/>
      <w:pPr>
        <w:ind w:left="360" w:hanging="360"/>
      </w:pPr>
      <w:rPr>
        <w:rFonts w:ascii="Wingdings" w:hAnsi="Wingdings" w:hint="default"/>
      </w:rPr>
    </w:lvl>
    <w:lvl w:ilvl="1" w:tplc="388A59D6">
      <w:start w:val="1"/>
      <w:numFmt w:val="bullet"/>
      <w:lvlText w:val="o"/>
      <w:lvlJc w:val="left"/>
      <w:pPr>
        <w:tabs>
          <w:tab w:val="num" w:pos="1440"/>
        </w:tabs>
        <w:ind w:left="1440" w:hanging="360"/>
      </w:pPr>
      <w:rPr>
        <w:rFonts w:ascii="Courier New" w:hAnsi="Courier New" w:hint="default"/>
      </w:rPr>
    </w:lvl>
    <w:lvl w:ilvl="2" w:tplc="EF065FE4">
      <w:start w:val="1"/>
      <w:numFmt w:val="bullet"/>
      <w:lvlText w:val=""/>
      <w:lvlJc w:val="left"/>
      <w:pPr>
        <w:tabs>
          <w:tab w:val="num" w:pos="2160"/>
        </w:tabs>
        <w:ind w:left="2160" w:hanging="360"/>
      </w:pPr>
      <w:rPr>
        <w:rFonts w:ascii="Wingdings" w:hAnsi="Wingdings" w:hint="default"/>
      </w:rPr>
    </w:lvl>
    <w:lvl w:ilvl="3" w:tplc="073604AC">
      <w:start w:val="1"/>
      <w:numFmt w:val="bullet"/>
      <w:lvlText w:val=""/>
      <w:lvlJc w:val="left"/>
      <w:pPr>
        <w:tabs>
          <w:tab w:val="num" w:pos="2880"/>
        </w:tabs>
        <w:ind w:left="2880" w:hanging="360"/>
      </w:pPr>
      <w:rPr>
        <w:rFonts w:ascii="Symbol" w:hAnsi="Symbol" w:hint="default"/>
      </w:rPr>
    </w:lvl>
    <w:lvl w:ilvl="4" w:tplc="AC5CD714">
      <w:start w:val="1"/>
      <w:numFmt w:val="bullet"/>
      <w:lvlText w:val="o"/>
      <w:lvlJc w:val="left"/>
      <w:pPr>
        <w:tabs>
          <w:tab w:val="num" w:pos="3600"/>
        </w:tabs>
        <w:ind w:left="3600" w:hanging="360"/>
      </w:pPr>
      <w:rPr>
        <w:rFonts w:ascii="Courier New" w:hAnsi="Courier New" w:hint="default"/>
      </w:rPr>
    </w:lvl>
    <w:lvl w:ilvl="5" w:tplc="C09A72AC">
      <w:start w:val="1"/>
      <w:numFmt w:val="bullet"/>
      <w:lvlText w:val=""/>
      <w:lvlJc w:val="left"/>
      <w:pPr>
        <w:tabs>
          <w:tab w:val="num" w:pos="4320"/>
        </w:tabs>
        <w:ind w:left="4320" w:hanging="360"/>
      </w:pPr>
      <w:rPr>
        <w:rFonts w:ascii="Wingdings" w:hAnsi="Wingdings" w:hint="default"/>
      </w:rPr>
    </w:lvl>
    <w:lvl w:ilvl="6" w:tplc="8BD4D9AE">
      <w:start w:val="1"/>
      <w:numFmt w:val="bullet"/>
      <w:lvlText w:val=""/>
      <w:lvlJc w:val="left"/>
      <w:pPr>
        <w:tabs>
          <w:tab w:val="num" w:pos="5040"/>
        </w:tabs>
        <w:ind w:left="5040" w:hanging="360"/>
      </w:pPr>
      <w:rPr>
        <w:rFonts w:ascii="Symbol" w:hAnsi="Symbol" w:hint="default"/>
      </w:rPr>
    </w:lvl>
    <w:lvl w:ilvl="7" w:tplc="7F9E43D0">
      <w:start w:val="1"/>
      <w:numFmt w:val="bullet"/>
      <w:lvlText w:val="o"/>
      <w:lvlJc w:val="left"/>
      <w:pPr>
        <w:tabs>
          <w:tab w:val="num" w:pos="5760"/>
        </w:tabs>
        <w:ind w:left="5760" w:hanging="360"/>
      </w:pPr>
      <w:rPr>
        <w:rFonts w:ascii="Courier New" w:hAnsi="Courier New" w:hint="default"/>
      </w:rPr>
    </w:lvl>
    <w:lvl w:ilvl="8" w:tplc="D28241EC">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3650526F"/>
    <w:multiLevelType w:val="multilevel"/>
    <w:tmpl w:val="08090025"/>
    <w:styleLink w:val="lnekoddl"/>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6534455"/>
    <w:multiLevelType w:val="hybridMultilevel"/>
    <w:tmpl w:val="43C8E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393023FD"/>
    <w:multiLevelType w:val="hybridMultilevel"/>
    <w:tmpl w:val="56A09C0A"/>
    <w:lvl w:ilvl="0" w:tplc="A53213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A5C271E"/>
    <w:multiLevelType w:val="hybridMultilevel"/>
    <w:tmpl w:val="D08C43AC"/>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3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0" w15:restartNumberingAfterBreak="0">
    <w:nsid w:val="3F207B55"/>
    <w:multiLevelType w:val="hybridMultilevel"/>
    <w:tmpl w:val="CF52265C"/>
    <w:lvl w:ilvl="0" w:tplc="D432FB6A">
      <w:start w:val="1"/>
      <w:numFmt w:val="bullet"/>
      <w:pStyle w:val="neslovanseznam3"/>
      <w:lvlText w:val=""/>
      <w:lvlJc w:val="left"/>
      <w:pPr>
        <w:tabs>
          <w:tab w:val="num" w:pos="1074"/>
        </w:tabs>
        <w:ind w:left="1074"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40D56789"/>
    <w:multiLevelType w:val="hybridMultilevel"/>
    <w:tmpl w:val="9F6CA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44" w15:restartNumberingAfterBreak="0">
    <w:nsid w:val="43391C9E"/>
    <w:multiLevelType w:val="multilevel"/>
    <w:tmpl w:val="45344E96"/>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1855"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44C6C4F"/>
    <w:multiLevelType w:val="hybridMultilevel"/>
    <w:tmpl w:val="C2361FAE"/>
    <w:lvl w:ilvl="0" w:tplc="8CFE4CA4">
      <w:start w:val="1"/>
      <w:numFmt w:val="bullet"/>
      <w:pStyle w:val="neslovanseznam4"/>
      <w:lvlText w:val="◊"/>
      <w:lvlJc w:val="left"/>
      <w:pPr>
        <w:tabs>
          <w:tab w:val="num" w:pos="1432"/>
        </w:tabs>
        <w:ind w:left="1432" w:hanging="360"/>
      </w:pPr>
      <w:rPr>
        <w:rFonts w:ascii="Courier New" w:hAnsi="Courier New" w:hint="default"/>
      </w:rPr>
    </w:lvl>
    <w:lvl w:ilvl="1" w:tplc="04050019" w:tentative="1">
      <w:start w:val="1"/>
      <w:numFmt w:val="lowerLetter"/>
      <w:lvlText w:val="%2."/>
      <w:lvlJc w:val="left"/>
      <w:pPr>
        <w:tabs>
          <w:tab w:val="num" w:pos="2869"/>
        </w:tabs>
        <w:ind w:left="2869" w:hanging="360"/>
      </w:pPr>
    </w:lvl>
    <w:lvl w:ilvl="2" w:tplc="0405001B" w:tentative="1">
      <w:start w:val="1"/>
      <w:numFmt w:val="lowerRoman"/>
      <w:lvlText w:val="%3."/>
      <w:lvlJc w:val="right"/>
      <w:pPr>
        <w:tabs>
          <w:tab w:val="num" w:pos="3589"/>
        </w:tabs>
        <w:ind w:left="3589" w:hanging="180"/>
      </w:pPr>
    </w:lvl>
    <w:lvl w:ilvl="3" w:tplc="0405000F" w:tentative="1">
      <w:start w:val="1"/>
      <w:numFmt w:val="decimal"/>
      <w:lvlText w:val="%4."/>
      <w:lvlJc w:val="left"/>
      <w:pPr>
        <w:tabs>
          <w:tab w:val="num" w:pos="4309"/>
        </w:tabs>
        <w:ind w:left="4309" w:hanging="360"/>
      </w:pPr>
    </w:lvl>
    <w:lvl w:ilvl="4" w:tplc="04050019" w:tentative="1">
      <w:start w:val="1"/>
      <w:numFmt w:val="lowerLetter"/>
      <w:lvlText w:val="%5."/>
      <w:lvlJc w:val="left"/>
      <w:pPr>
        <w:tabs>
          <w:tab w:val="num" w:pos="5029"/>
        </w:tabs>
        <w:ind w:left="5029" w:hanging="360"/>
      </w:pPr>
    </w:lvl>
    <w:lvl w:ilvl="5" w:tplc="0405001B" w:tentative="1">
      <w:start w:val="1"/>
      <w:numFmt w:val="lowerRoman"/>
      <w:lvlText w:val="%6."/>
      <w:lvlJc w:val="right"/>
      <w:pPr>
        <w:tabs>
          <w:tab w:val="num" w:pos="5749"/>
        </w:tabs>
        <w:ind w:left="5749" w:hanging="180"/>
      </w:pPr>
    </w:lvl>
    <w:lvl w:ilvl="6" w:tplc="0405000F" w:tentative="1">
      <w:start w:val="1"/>
      <w:numFmt w:val="decimal"/>
      <w:lvlText w:val="%7."/>
      <w:lvlJc w:val="left"/>
      <w:pPr>
        <w:tabs>
          <w:tab w:val="num" w:pos="6469"/>
        </w:tabs>
        <w:ind w:left="6469" w:hanging="360"/>
      </w:pPr>
    </w:lvl>
    <w:lvl w:ilvl="7" w:tplc="04050019" w:tentative="1">
      <w:start w:val="1"/>
      <w:numFmt w:val="lowerLetter"/>
      <w:lvlText w:val="%8."/>
      <w:lvlJc w:val="left"/>
      <w:pPr>
        <w:tabs>
          <w:tab w:val="num" w:pos="7189"/>
        </w:tabs>
        <w:ind w:left="7189" w:hanging="360"/>
      </w:pPr>
    </w:lvl>
    <w:lvl w:ilvl="8" w:tplc="0405001B" w:tentative="1">
      <w:start w:val="1"/>
      <w:numFmt w:val="lowerRoman"/>
      <w:lvlText w:val="%9."/>
      <w:lvlJc w:val="right"/>
      <w:pPr>
        <w:tabs>
          <w:tab w:val="num" w:pos="7909"/>
        </w:tabs>
        <w:ind w:left="7909" w:hanging="180"/>
      </w:pPr>
    </w:lvl>
  </w:abstractNum>
  <w:abstractNum w:abstractNumId="46" w15:restartNumberingAfterBreak="0">
    <w:nsid w:val="44E55798"/>
    <w:multiLevelType w:val="multilevel"/>
    <w:tmpl w:val="2C949522"/>
    <w:styleLink w:val="seznamliteratury"/>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8" w15:restartNumberingAfterBreak="0">
    <w:nsid w:val="456B50DB"/>
    <w:multiLevelType w:val="hybridMultilevel"/>
    <w:tmpl w:val="4AB430C4"/>
    <w:lvl w:ilvl="0" w:tplc="28A8273A">
      <w:start w:val="1"/>
      <w:numFmt w:val="bullet"/>
      <w:pStyle w:val="Odraky2"/>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15:restartNumberingAfterBreak="0">
    <w:nsid w:val="459811CB"/>
    <w:multiLevelType w:val="hybridMultilevel"/>
    <w:tmpl w:val="8B7C9718"/>
    <w:lvl w:ilvl="0" w:tplc="D6147BFA">
      <w:start w:val="1"/>
      <w:numFmt w:val="lowerRoman"/>
      <w:pStyle w:val="slovanseznam30"/>
      <w:lvlText w:val="%1."/>
      <w:lvlJc w:val="left"/>
      <w:pPr>
        <w:tabs>
          <w:tab w:val="num" w:pos="1072"/>
        </w:tabs>
        <w:ind w:left="1074"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0" w15:restartNumberingAfterBreak="0">
    <w:nsid w:val="4617175F"/>
    <w:multiLevelType w:val="hybridMultilevel"/>
    <w:tmpl w:val="9064CFEA"/>
    <w:lvl w:ilvl="0" w:tplc="3880E71A">
      <w:start w:val="1"/>
      <w:numFmt w:val="decimal"/>
      <w:pStyle w:val="Nadpis10"/>
      <w:lvlText w:val="%1."/>
      <w:lvlJc w:val="left"/>
      <w:pPr>
        <w:ind w:left="720" w:hanging="360"/>
      </w:pPr>
      <w:rPr>
        <w:rFonts w:ascii="Cambria" w:hAnsi="Cambria" w:hint="default"/>
        <w:b/>
        <w:i w:val="0"/>
        <w:sz w:val="28"/>
      </w:rPr>
    </w:lvl>
    <w:lvl w:ilvl="1" w:tplc="FEE069E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47B70AE6"/>
    <w:multiLevelType w:val="hybridMultilevel"/>
    <w:tmpl w:val="A89841E2"/>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53" w15:restartNumberingAfterBreak="0">
    <w:nsid w:val="48442057"/>
    <w:multiLevelType w:val="hybridMultilevel"/>
    <w:tmpl w:val="B8AC2DB8"/>
    <w:lvl w:ilvl="0" w:tplc="A532135E">
      <w:start w:val="1"/>
      <w:numFmt w:val="bullet"/>
      <w:lvlText w:val=""/>
      <w:lvlJc w:val="left"/>
      <w:pPr>
        <w:ind w:left="719" w:hanging="360"/>
      </w:pPr>
      <w:rPr>
        <w:rFonts w:ascii="Symbol" w:hAnsi="Symbol" w:hint="default"/>
      </w:rPr>
    </w:lvl>
    <w:lvl w:ilvl="1" w:tplc="04050003">
      <w:start w:val="1"/>
      <w:numFmt w:val="bullet"/>
      <w:lvlText w:val="o"/>
      <w:lvlJc w:val="left"/>
      <w:pPr>
        <w:ind w:left="1439" w:hanging="360"/>
      </w:pPr>
      <w:rPr>
        <w:rFonts w:ascii="Courier New" w:hAnsi="Courier New" w:cs="Courier New" w:hint="default"/>
      </w:rPr>
    </w:lvl>
    <w:lvl w:ilvl="2" w:tplc="04050005" w:tentative="1">
      <w:start w:val="1"/>
      <w:numFmt w:val="bullet"/>
      <w:lvlText w:val=""/>
      <w:lvlJc w:val="left"/>
      <w:pPr>
        <w:ind w:left="2159" w:hanging="360"/>
      </w:pPr>
      <w:rPr>
        <w:rFonts w:ascii="Wingdings" w:hAnsi="Wingdings" w:hint="default"/>
      </w:rPr>
    </w:lvl>
    <w:lvl w:ilvl="3" w:tplc="04050001" w:tentative="1">
      <w:start w:val="1"/>
      <w:numFmt w:val="bullet"/>
      <w:lvlText w:val=""/>
      <w:lvlJc w:val="left"/>
      <w:pPr>
        <w:ind w:left="2879" w:hanging="360"/>
      </w:pPr>
      <w:rPr>
        <w:rFonts w:ascii="Symbol" w:hAnsi="Symbol" w:hint="default"/>
      </w:rPr>
    </w:lvl>
    <w:lvl w:ilvl="4" w:tplc="04050003" w:tentative="1">
      <w:start w:val="1"/>
      <w:numFmt w:val="bullet"/>
      <w:lvlText w:val="o"/>
      <w:lvlJc w:val="left"/>
      <w:pPr>
        <w:ind w:left="3599" w:hanging="360"/>
      </w:pPr>
      <w:rPr>
        <w:rFonts w:ascii="Courier New" w:hAnsi="Courier New" w:cs="Courier New" w:hint="default"/>
      </w:rPr>
    </w:lvl>
    <w:lvl w:ilvl="5" w:tplc="04050005" w:tentative="1">
      <w:start w:val="1"/>
      <w:numFmt w:val="bullet"/>
      <w:lvlText w:val=""/>
      <w:lvlJc w:val="left"/>
      <w:pPr>
        <w:ind w:left="4319" w:hanging="360"/>
      </w:pPr>
      <w:rPr>
        <w:rFonts w:ascii="Wingdings" w:hAnsi="Wingdings" w:hint="default"/>
      </w:rPr>
    </w:lvl>
    <w:lvl w:ilvl="6" w:tplc="04050001" w:tentative="1">
      <w:start w:val="1"/>
      <w:numFmt w:val="bullet"/>
      <w:lvlText w:val=""/>
      <w:lvlJc w:val="left"/>
      <w:pPr>
        <w:ind w:left="5039" w:hanging="360"/>
      </w:pPr>
      <w:rPr>
        <w:rFonts w:ascii="Symbol" w:hAnsi="Symbol" w:hint="default"/>
      </w:rPr>
    </w:lvl>
    <w:lvl w:ilvl="7" w:tplc="04050003" w:tentative="1">
      <w:start w:val="1"/>
      <w:numFmt w:val="bullet"/>
      <w:lvlText w:val="o"/>
      <w:lvlJc w:val="left"/>
      <w:pPr>
        <w:ind w:left="5759" w:hanging="360"/>
      </w:pPr>
      <w:rPr>
        <w:rFonts w:ascii="Courier New" w:hAnsi="Courier New" w:cs="Courier New" w:hint="default"/>
      </w:rPr>
    </w:lvl>
    <w:lvl w:ilvl="8" w:tplc="04050005" w:tentative="1">
      <w:start w:val="1"/>
      <w:numFmt w:val="bullet"/>
      <w:lvlText w:val=""/>
      <w:lvlJc w:val="left"/>
      <w:pPr>
        <w:ind w:left="6479" w:hanging="360"/>
      </w:pPr>
      <w:rPr>
        <w:rFonts w:ascii="Wingdings" w:hAnsi="Wingdings" w:hint="default"/>
      </w:rPr>
    </w:lvl>
  </w:abstractNum>
  <w:abstractNum w:abstractNumId="54" w15:restartNumberingAfterBreak="0">
    <w:nsid w:val="4CB4640A"/>
    <w:multiLevelType w:val="hybridMultilevel"/>
    <w:tmpl w:val="2C90E5CC"/>
    <w:lvl w:ilvl="0" w:tplc="A532135E">
      <w:start w:val="1"/>
      <w:numFmt w:val="bullet"/>
      <w:lvlText w:val=""/>
      <w:lvlJc w:val="left"/>
      <w:pPr>
        <w:ind w:left="716"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55" w15:restartNumberingAfterBreak="0">
    <w:nsid w:val="4F89775E"/>
    <w:multiLevelType w:val="multilevel"/>
    <w:tmpl w:val="0D8ABE32"/>
    <w:styleLink w:val="VariantaB-sla"/>
    <w:lvl w:ilvl="0">
      <w:start w:val="1"/>
      <w:numFmt w:val="decimal"/>
      <w:pStyle w:val="slovanseznamB"/>
      <w:lvlText w:val="%1)"/>
      <w:lvlJc w:val="left"/>
      <w:pPr>
        <w:ind w:left="360" w:hanging="360"/>
      </w:pPr>
    </w:lvl>
    <w:lvl w:ilvl="1">
      <w:start w:val="1"/>
      <w:numFmt w:val="lowerLetter"/>
      <w:pStyle w:val="slovanseznamB2"/>
      <w:lvlText w:val="%2)"/>
      <w:lvlJc w:val="left"/>
      <w:pPr>
        <w:ind w:left="720" w:hanging="360"/>
      </w:pPr>
    </w:lvl>
    <w:lvl w:ilvl="2">
      <w:start w:val="1"/>
      <w:numFmt w:val="lowerRoman"/>
      <w:pStyle w:val="slovanseznamB3"/>
      <w:lvlText w:val="%3)"/>
      <w:lvlJc w:val="left"/>
      <w:pPr>
        <w:ind w:left="1080" w:hanging="360"/>
      </w:pPr>
    </w:lvl>
    <w:lvl w:ilvl="3">
      <w:start w:val="1"/>
      <w:numFmt w:val="decimal"/>
      <w:pStyle w:val="slovanseznamB4"/>
      <w:lvlText w:val="(%4)"/>
      <w:lvlJc w:val="left"/>
      <w:pPr>
        <w:ind w:left="1440" w:hanging="360"/>
      </w:pPr>
    </w:lvl>
    <w:lvl w:ilvl="4">
      <w:start w:val="1"/>
      <w:numFmt w:val="lowerLetter"/>
      <w:pStyle w:val="slovanseznamB5"/>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1F26F75"/>
    <w:multiLevelType w:val="hybridMultilevel"/>
    <w:tmpl w:val="71AAFF04"/>
    <w:lvl w:ilvl="0" w:tplc="04050001">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35230BA"/>
    <w:multiLevelType w:val="hybridMultilevel"/>
    <w:tmpl w:val="01F6AC8A"/>
    <w:lvl w:ilvl="0" w:tplc="C76ACC00">
      <w:start w:val="1"/>
      <w:numFmt w:val="lowerLetter"/>
      <w:pStyle w:val="slovanseznam2"/>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9" w15:restartNumberingAfterBreak="0">
    <w:nsid w:val="58A321E4"/>
    <w:multiLevelType w:val="multilevel"/>
    <w:tmpl w:val="E8BAE50A"/>
    <w:styleLink w:val="VariantaA-odrky"/>
    <w:lvl w:ilvl="0">
      <w:start w:val="1"/>
      <w:numFmt w:val="bullet"/>
      <w:lvlText w:val=""/>
      <w:lvlJc w:val="left"/>
      <w:pPr>
        <w:ind w:left="357" w:hanging="357"/>
      </w:pPr>
      <w:rPr>
        <w:rFonts w:ascii="Wingdings" w:hAnsi="Wingdings"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w:hAnsi="Wingdings" w:hint="default"/>
        <w:sz w:val="10"/>
      </w:rPr>
    </w:lvl>
    <w:lvl w:ilvl="3">
      <w:start w:val="1"/>
      <w:numFmt w:val="bullet"/>
      <w:lvlText w:val=""/>
      <w:lvlJc w:val="left"/>
      <w:pPr>
        <w:ind w:left="1428" w:hanging="357"/>
      </w:pPr>
      <w:rPr>
        <w:rFonts w:ascii="Wingdings" w:hAnsi="Wingdings" w:hint="default"/>
        <w:sz w:val="10"/>
      </w:rPr>
    </w:lvl>
    <w:lvl w:ilvl="4">
      <w:start w:val="1"/>
      <w:numFmt w:val="bullet"/>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60"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1" w15:restartNumberingAfterBreak="0">
    <w:nsid w:val="5B57623B"/>
    <w:multiLevelType w:val="hybridMultilevel"/>
    <w:tmpl w:val="86C0D7F6"/>
    <w:lvl w:ilvl="0" w:tplc="D6AC1F7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63" w15:restartNumberingAfterBreak="0">
    <w:nsid w:val="5C7006B0"/>
    <w:multiLevelType w:val="hybridMultilevel"/>
    <w:tmpl w:val="F91672DA"/>
    <w:lvl w:ilvl="0" w:tplc="AFA49EF6">
      <w:start w:val="1"/>
      <w:numFmt w:val="bullet"/>
      <w:pStyle w:val="Odraky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5" w15:restartNumberingAfterBreak="0">
    <w:nsid w:val="62017A81"/>
    <w:multiLevelType w:val="hybridMultilevel"/>
    <w:tmpl w:val="ACCCB2EC"/>
    <w:lvl w:ilvl="0" w:tplc="98AEED28">
      <w:start w:val="1"/>
      <w:numFmt w:val="upperLetter"/>
      <w:pStyle w:val="Nadpis4"/>
      <w:lvlText w:val="%1."/>
      <w:lvlJc w:val="left"/>
      <w:pPr>
        <w:ind w:left="1440" w:hanging="360"/>
      </w:pPr>
    </w:lvl>
    <w:lvl w:ilvl="1" w:tplc="8664258E">
      <w:start w:val="1"/>
      <w:numFmt w:val="decimal"/>
      <w:lvlText w:val="%2."/>
      <w:lvlJc w:val="left"/>
      <w:pPr>
        <w:ind w:left="2160" w:hanging="360"/>
      </w:pPr>
      <w:rPr>
        <w:rFonts w:hint="default"/>
      </w:r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6" w15:restartNumberingAfterBreak="0">
    <w:nsid w:val="62C850AC"/>
    <w:multiLevelType w:val="hybridMultilevel"/>
    <w:tmpl w:val="A1D61B1E"/>
    <w:lvl w:ilvl="0" w:tplc="0409000F">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04090019">
      <w:start w:val="6"/>
      <w:numFmt w:val="bullet"/>
      <w:lvlText w:val="-"/>
      <w:lvlJc w:val="left"/>
      <w:pPr>
        <w:tabs>
          <w:tab w:val="num" w:pos="1108"/>
        </w:tabs>
        <w:ind w:left="1108" w:hanging="360"/>
      </w:pPr>
      <w:rPr>
        <w:rFonts w:ascii="Arial" w:eastAsia="Times New Roman" w:hAnsi="Arial" w:cs="Times New Roman" w:hint="default"/>
      </w:rPr>
    </w:lvl>
    <w:lvl w:ilvl="2" w:tplc="0409001B">
      <w:start w:val="1"/>
      <w:numFmt w:val="bullet"/>
      <w:lvlText w:val=""/>
      <w:lvlJc w:val="left"/>
      <w:pPr>
        <w:tabs>
          <w:tab w:val="num" w:pos="1828"/>
        </w:tabs>
        <w:ind w:left="1828" w:hanging="360"/>
      </w:pPr>
      <w:rPr>
        <w:rFonts w:ascii="Wingdings" w:hAnsi="Wingdings" w:cs="Wingdings" w:hint="default"/>
      </w:rPr>
    </w:lvl>
    <w:lvl w:ilvl="3" w:tplc="0409000F">
      <w:start w:val="1"/>
      <w:numFmt w:val="bullet"/>
      <w:lvlText w:val=""/>
      <w:lvlJc w:val="left"/>
      <w:pPr>
        <w:tabs>
          <w:tab w:val="num" w:pos="2548"/>
        </w:tabs>
        <w:ind w:left="2548" w:hanging="360"/>
      </w:pPr>
      <w:rPr>
        <w:rFonts w:ascii="Symbol" w:hAnsi="Symbol" w:cs="Symbol" w:hint="default"/>
      </w:rPr>
    </w:lvl>
    <w:lvl w:ilvl="4" w:tplc="04090019">
      <w:start w:val="1"/>
      <w:numFmt w:val="bullet"/>
      <w:lvlText w:val="o"/>
      <w:lvlJc w:val="left"/>
      <w:pPr>
        <w:tabs>
          <w:tab w:val="num" w:pos="3268"/>
        </w:tabs>
        <w:ind w:left="3268" w:hanging="360"/>
      </w:pPr>
      <w:rPr>
        <w:rFonts w:ascii="Courier New" w:hAnsi="Courier New" w:cs="Courier New" w:hint="default"/>
      </w:rPr>
    </w:lvl>
    <w:lvl w:ilvl="5" w:tplc="0409001B">
      <w:start w:val="1"/>
      <w:numFmt w:val="bullet"/>
      <w:lvlText w:val=""/>
      <w:lvlJc w:val="left"/>
      <w:pPr>
        <w:tabs>
          <w:tab w:val="num" w:pos="3988"/>
        </w:tabs>
        <w:ind w:left="3988" w:hanging="360"/>
      </w:pPr>
      <w:rPr>
        <w:rFonts w:ascii="Wingdings" w:hAnsi="Wingdings" w:cs="Wingdings" w:hint="default"/>
      </w:rPr>
    </w:lvl>
    <w:lvl w:ilvl="6" w:tplc="0409000F">
      <w:start w:val="1"/>
      <w:numFmt w:val="bullet"/>
      <w:lvlText w:val=""/>
      <w:lvlJc w:val="left"/>
      <w:pPr>
        <w:tabs>
          <w:tab w:val="num" w:pos="4708"/>
        </w:tabs>
        <w:ind w:left="4708" w:hanging="360"/>
      </w:pPr>
      <w:rPr>
        <w:rFonts w:ascii="Symbol" w:hAnsi="Symbol" w:cs="Symbol" w:hint="default"/>
      </w:rPr>
    </w:lvl>
    <w:lvl w:ilvl="7" w:tplc="04090019">
      <w:start w:val="1"/>
      <w:numFmt w:val="bullet"/>
      <w:lvlText w:val="o"/>
      <w:lvlJc w:val="left"/>
      <w:pPr>
        <w:tabs>
          <w:tab w:val="num" w:pos="5428"/>
        </w:tabs>
        <w:ind w:left="5428" w:hanging="360"/>
      </w:pPr>
      <w:rPr>
        <w:rFonts w:ascii="Courier New" w:hAnsi="Courier New" w:cs="Courier New" w:hint="default"/>
      </w:rPr>
    </w:lvl>
    <w:lvl w:ilvl="8" w:tplc="0409001B">
      <w:start w:val="1"/>
      <w:numFmt w:val="bullet"/>
      <w:lvlText w:val=""/>
      <w:lvlJc w:val="left"/>
      <w:pPr>
        <w:tabs>
          <w:tab w:val="num" w:pos="6148"/>
        </w:tabs>
        <w:ind w:left="6148" w:hanging="360"/>
      </w:pPr>
      <w:rPr>
        <w:rFonts w:ascii="Wingdings" w:hAnsi="Wingdings" w:cs="Wingdings" w:hint="default"/>
      </w:rPr>
    </w:lvl>
  </w:abstractNum>
  <w:abstractNum w:abstractNumId="67" w15:restartNumberingAfterBreak="0">
    <w:nsid w:val="6578686E"/>
    <w:multiLevelType w:val="hybridMultilevel"/>
    <w:tmpl w:val="016AA782"/>
    <w:lvl w:ilvl="0" w:tplc="9594D6F4">
      <w:start w:val="1"/>
      <w:numFmt w:val="decimal"/>
      <w:pStyle w:val="slovanseznam"/>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70" w15:restartNumberingAfterBreak="0">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cs="Times New Roman"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cs="Times New Roman"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cs="Times New Roman" w:hint="default"/>
        <w:color w:val="006DB6"/>
      </w:rPr>
    </w:lvl>
    <w:lvl w:ilvl="8">
      <w:start w:val="1"/>
      <w:numFmt w:val="bullet"/>
      <w:lvlText w:val=""/>
      <w:lvlJc w:val="left"/>
      <w:pPr>
        <w:ind w:left="2556" w:hanging="284"/>
      </w:pPr>
      <w:rPr>
        <w:rFonts w:ascii="Symbol" w:hAnsi="Symbol" w:hint="default"/>
        <w:color w:val="006DB6"/>
      </w:rPr>
    </w:lvl>
  </w:abstractNum>
  <w:abstractNum w:abstractNumId="7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3" w15:restartNumberingAfterBreak="0">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74" w15:restartNumberingAfterBreak="0">
    <w:nsid w:val="6C815FAF"/>
    <w:multiLevelType w:val="hybridMultilevel"/>
    <w:tmpl w:val="B98805AA"/>
    <w:lvl w:ilvl="0" w:tplc="955A081E">
      <w:start w:val="1"/>
      <w:numFmt w:val="upperLetter"/>
      <w:pStyle w:val="zelen"/>
      <w:lvlText w:val="%1."/>
      <w:lvlJc w:val="left"/>
      <w:pPr>
        <w:ind w:left="360" w:hanging="360"/>
      </w:pPr>
      <w:rPr>
        <w:rFonts w:ascii="Cambria" w:hAnsi="Cambria" w:hint="default"/>
        <w:u w:val="single"/>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9FE0E356">
      <w:numFmt w:val="bullet"/>
      <w:lvlText w:val="•"/>
      <w:lvlJc w:val="left"/>
      <w:pPr>
        <w:ind w:left="2865" w:hanging="705"/>
      </w:pPr>
      <w:rPr>
        <w:rFonts w:ascii="Garamond" w:eastAsia="Calibri" w:hAnsi="Garamond" w:cs="Times New Roman"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76" w15:restartNumberingAfterBreak="0">
    <w:nsid w:val="6F19583B"/>
    <w:multiLevelType w:val="singleLevel"/>
    <w:tmpl w:val="FC060CD6"/>
    <w:lvl w:ilvl="0">
      <w:start w:val="1"/>
      <w:numFmt w:val="bullet"/>
      <w:pStyle w:val="odrky"/>
      <w:lvlText w:val=""/>
      <w:lvlJc w:val="left"/>
      <w:pPr>
        <w:tabs>
          <w:tab w:val="num" w:pos="644"/>
        </w:tabs>
        <w:ind w:left="624" w:hanging="340"/>
      </w:pPr>
      <w:rPr>
        <w:rFonts w:ascii="Symbol" w:hAnsi="Symbol" w:hint="default"/>
      </w:rPr>
    </w:lvl>
  </w:abstractNum>
  <w:abstractNum w:abstractNumId="77" w15:restartNumberingAfterBreak="0">
    <w:nsid w:val="703D2D53"/>
    <w:multiLevelType w:val="hybridMultilevel"/>
    <w:tmpl w:val="4F38990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1800F4A"/>
    <w:multiLevelType w:val="hybridMultilevel"/>
    <w:tmpl w:val="6F50B164"/>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79" w15:restartNumberingAfterBreak="0">
    <w:nsid w:val="736C54F2"/>
    <w:multiLevelType w:val="hybridMultilevel"/>
    <w:tmpl w:val="3C4C9490"/>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80" w15:restartNumberingAfterBreak="0">
    <w:nsid w:val="748A1512"/>
    <w:multiLevelType w:val="hybridMultilevel"/>
    <w:tmpl w:val="F10CE0B8"/>
    <w:lvl w:ilvl="0" w:tplc="9F5658D0">
      <w:start w:val="1"/>
      <w:numFmt w:val="bullet"/>
      <w:pStyle w:val="Puce1"/>
      <w:lvlText w:val=""/>
      <w:lvlJc w:val="left"/>
      <w:pPr>
        <w:tabs>
          <w:tab w:val="num" w:pos="1069"/>
        </w:tabs>
        <w:ind w:left="993" w:hanging="284"/>
      </w:pPr>
      <w:rPr>
        <w:rFonts w:ascii="Symbol" w:hAnsi="Symbol" w:hint="default"/>
        <w:sz w:val="20"/>
      </w:rPr>
    </w:lvl>
    <w:lvl w:ilvl="1" w:tplc="040C0003">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78937799"/>
    <w:multiLevelType w:val="hybridMultilevel"/>
    <w:tmpl w:val="D9CCEA10"/>
    <w:lvl w:ilvl="0" w:tplc="A532135E">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82" w15:restartNumberingAfterBreak="0">
    <w:nsid w:val="7A316C99"/>
    <w:multiLevelType w:val="hybridMultilevel"/>
    <w:tmpl w:val="E0E2F1FE"/>
    <w:lvl w:ilvl="0" w:tplc="429811A2">
      <w:start w:val="1"/>
      <w:numFmt w:val="bullet"/>
      <w:pStyle w:val="Spiegelstric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A4F7A03"/>
    <w:multiLevelType w:val="hybridMultilevel"/>
    <w:tmpl w:val="0B32001C"/>
    <w:lvl w:ilvl="0" w:tplc="A532135E">
      <w:start w:val="1"/>
      <w:numFmt w:val="bullet"/>
      <w:lvlText w:val=""/>
      <w:lvlJc w:val="left"/>
      <w:pPr>
        <w:ind w:left="718" w:hanging="360"/>
      </w:pPr>
      <w:rPr>
        <w:rFonts w:ascii="Symbol" w:hAnsi="Symbol" w:hint="default"/>
      </w:rPr>
    </w:lvl>
    <w:lvl w:ilvl="1" w:tplc="04050003">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84" w15:restartNumberingAfterBreak="0">
    <w:nsid w:val="7A625691"/>
    <w:multiLevelType w:val="hybridMultilevel"/>
    <w:tmpl w:val="7C8CA11C"/>
    <w:lvl w:ilvl="0" w:tplc="3ECC643A">
      <w:start w:val="1"/>
      <w:numFmt w:val="bullet"/>
      <w:pStyle w:val="Odstavecseseznamem1"/>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85" w15:restartNumberingAfterBreak="0">
    <w:nsid w:val="7AED3648"/>
    <w:multiLevelType w:val="multilevel"/>
    <w:tmpl w:val="AA96D182"/>
    <w:lvl w:ilvl="0">
      <w:start w:val="1"/>
      <w:numFmt w:val="decimal"/>
      <w:lvlText w:val="%1"/>
      <w:lvlJc w:val="left"/>
      <w:pPr>
        <w:ind w:left="432" w:hanging="432"/>
      </w:pPr>
      <w:rPr>
        <w:rFonts w:asciiTheme="majorHAnsi" w:hAnsiTheme="majorHAnsi" w:hint="default"/>
      </w:rPr>
    </w:lvl>
    <w:lvl w:ilvl="1">
      <w:start w:val="1"/>
      <w:numFmt w:val="upperLetter"/>
      <w:pStyle w:val="Nadpis2a"/>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7B8609CC"/>
    <w:multiLevelType w:val="multilevel"/>
    <w:tmpl w:val="09426706"/>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7C0E659B"/>
    <w:multiLevelType w:val="hybridMultilevel"/>
    <w:tmpl w:val="3B66146A"/>
    <w:lvl w:ilvl="0" w:tplc="A532135E">
      <w:start w:val="1"/>
      <w:numFmt w:val="bullet"/>
      <w:lvlText w:val=""/>
      <w:lvlJc w:val="left"/>
      <w:pPr>
        <w:ind w:left="719" w:hanging="360"/>
      </w:pPr>
      <w:rPr>
        <w:rFonts w:ascii="Symbol" w:hAnsi="Symbol" w:hint="default"/>
      </w:rPr>
    </w:lvl>
    <w:lvl w:ilvl="1" w:tplc="A0B6CCAE">
      <w:start w:val="27"/>
      <w:numFmt w:val="bullet"/>
      <w:lvlText w:val="-"/>
      <w:lvlJc w:val="left"/>
      <w:pPr>
        <w:ind w:left="1439" w:hanging="360"/>
      </w:pPr>
      <w:rPr>
        <w:rFonts w:ascii="Garamond" w:eastAsia="Calibri" w:hAnsi="Garamond" w:cs="Times New Roman" w:hint="default"/>
      </w:rPr>
    </w:lvl>
    <w:lvl w:ilvl="2" w:tplc="04050005" w:tentative="1">
      <w:start w:val="1"/>
      <w:numFmt w:val="bullet"/>
      <w:lvlText w:val=""/>
      <w:lvlJc w:val="left"/>
      <w:pPr>
        <w:ind w:left="2159" w:hanging="360"/>
      </w:pPr>
      <w:rPr>
        <w:rFonts w:ascii="Wingdings" w:hAnsi="Wingdings" w:hint="default"/>
      </w:rPr>
    </w:lvl>
    <w:lvl w:ilvl="3" w:tplc="04050001" w:tentative="1">
      <w:start w:val="1"/>
      <w:numFmt w:val="bullet"/>
      <w:lvlText w:val=""/>
      <w:lvlJc w:val="left"/>
      <w:pPr>
        <w:ind w:left="2879" w:hanging="360"/>
      </w:pPr>
      <w:rPr>
        <w:rFonts w:ascii="Symbol" w:hAnsi="Symbol" w:hint="default"/>
      </w:rPr>
    </w:lvl>
    <w:lvl w:ilvl="4" w:tplc="04050003" w:tentative="1">
      <w:start w:val="1"/>
      <w:numFmt w:val="bullet"/>
      <w:lvlText w:val="o"/>
      <w:lvlJc w:val="left"/>
      <w:pPr>
        <w:ind w:left="3599" w:hanging="360"/>
      </w:pPr>
      <w:rPr>
        <w:rFonts w:ascii="Courier New" w:hAnsi="Courier New" w:cs="Courier New" w:hint="default"/>
      </w:rPr>
    </w:lvl>
    <w:lvl w:ilvl="5" w:tplc="04050005" w:tentative="1">
      <w:start w:val="1"/>
      <w:numFmt w:val="bullet"/>
      <w:lvlText w:val=""/>
      <w:lvlJc w:val="left"/>
      <w:pPr>
        <w:ind w:left="4319" w:hanging="360"/>
      </w:pPr>
      <w:rPr>
        <w:rFonts w:ascii="Wingdings" w:hAnsi="Wingdings" w:hint="default"/>
      </w:rPr>
    </w:lvl>
    <w:lvl w:ilvl="6" w:tplc="04050001" w:tentative="1">
      <w:start w:val="1"/>
      <w:numFmt w:val="bullet"/>
      <w:lvlText w:val=""/>
      <w:lvlJc w:val="left"/>
      <w:pPr>
        <w:ind w:left="5039" w:hanging="360"/>
      </w:pPr>
      <w:rPr>
        <w:rFonts w:ascii="Symbol" w:hAnsi="Symbol" w:hint="default"/>
      </w:rPr>
    </w:lvl>
    <w:lvl w:ilvl="7" w:tplc="04050003" w:tentative="1">
      <w:start w:val="1"/>
      <w:numFmt w:val="bullet"/>
      <w:lvlText w:val="o"/>
      <w:lvlJc w:val="left"/>
      <w:pPr>
        <w:ind w:left="5759" w:hanging="360"/>
      </w:pPr>
      <w:rPr>
        <w:rFonts w:ascii="Courier New" w:hAnsi="Courier New" w:cs="Courier New" w:hint="default"/>
      </w:rPr>
    </w:lvl>
    <w:lvl w:ilvl="8" w:tplc="04050005" w:tentative="1">
      <w:start w:val="1"/>
      <w:numFmt w:val="bullet"/>
      <w:lvlText w:val=""/>
      <w:lvlJc w:val="left"/>
      <w:pPr>
        <w:ind w:left="6479" w:hanging="360"/>
      </w:pPr>
      <w:rPr>
        <w:rFonts w:ascii="Wingdings" w:hAnsi="Wingdings" w:hint="default"/>
      </w:rPr>
    </w:lvl>
  </w:abstractNum>
  <w:abstractNum w:abstractNumId="8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89" w15:restartNumberingAfterBreak="0">
    <w:nsid w:val="7DE93192"/>
    <w:multiLevelType w:val="multilevel"/>
    <w:tmpl w:val="646C230A"/>
    <w:lvl w:ilvl="0">
      <w:start w:val="1"/>
      <w:numFmt w:val="decimal"/>
      <w:pStyle w:val="Literatura"/>
      <w:lvlText w:val="[%1]"/>
      <w:lvlJc w:val="left"/>
      <w:pPr>
        <w:tabs>
          <w:tab w:val="num" w:pos="652"/>
        </w:tabs>
        <w:ind w:left="624" w:hanging="397"/>
      </w:pPr>
      <w:rPr>
        <w:b w:val="0"/>
      </w:rPr>
    </w:lvl>
    <w:lvl w:ilvl="1">
      <w:start w:val="1"/>
      <w:numFmt w:val="lowerLetter"/>
      <w:lvlText w:val="%2."/>
      <w:lvlJc w:val="left"/>
      <w:pPr>
        <w:tabs>
          <w:tab w:val="num" w:pos="1667"/>
        </w:tabs>
        <w:ind w:left="1667" w:hanging="360"/>
      </w:pPr>
    </w:lvl>
    <w:lvl w:ilvl="2">
      <w:start w:val="1"/>
      <w:numFmt w:val="lowerRoman"/>
      <w:lvlText w:val="%3."/>
      <w:lvlJc w:val="right"/>
      <w:pPr>
        <w:tabs>
          <w:tab w:val="num" w:pos="2387"/>
        </w:tabs>
        <w:ind w:left="2387" w:hanging="180"/>
      </w:pPr>
    </w:lvl>
    <w:lvl w:ilvl="3">
      <w:start w:val="1"/>
      <w:numFmt w:val="decimal"/>
      <w:lvlText w:val="%4."/>
      <w:lvlJc w:val="left"/>
      <w:pPr>
        <w:tabs>
          <w:tab w:val="num" w:pos="3107"/>
        </w:tabs>
        <w:ind w:left="3107" w:hanging="360"/>
      </w:pPr>
    </w:lvl>
    <w:lvl w:ilvl="4">
      <w:start w:val="1"/>
      <w:numFmt w:val="lowerLetter"/>
      <w:lvlText w:val="%5."/>
      <w:lvlJc w:val="left"/>
      <w:pPr>
        <w:tabs>
          <w:tab w:val="num" w:pos="3827"/>
        </w:tabs>
        <w:ind w:left="3827" w:hanging="360"/>
      </w:pPr>
    </w:lvl>
    <w:lvl w:ilvl="5">
      <w:start w:val="1"/>
      <w:numFmt w:val="lowerRoman"/>
      <w:lvlText w:val="%6."/>
      <w:lvlJc w:val="right"/>
      <w:pPr>
        <w:tabs>
          <w:tab w:val="num" w:pos="4547"/>
        </w:tabs>
        <w:ind w:left="4547" w:hanging="180"/>
      </w:pPr>
    </w:lvl>
    <w:lvl w:ilvl="6">
      <w:start w:val="1"/>
      <w:numFmt w:val="decimal"/>
      <w:lvlText w:val="%7."/>
      <w:lvlJc w:val="left"/>
      <w:pPr>
        <w:tabs>
          <w:tab w:val="num" w:pos="5267"/>
        </w:tabs>
        <w:ind w:left="5267" w:hanging="360"/>
      </w:pPr>
    </w:lvl>
    <w:lvl w:ilvl="7">
      <w:start w:val="1"/>
      <w:numFmt w:val="lowerLetter"/>
      <w:lvlText w:val="%8."/>
      <w:lvlJc w:val="left"/>
      <w:pPr>
        <w:tabs>
          <w:tab w:val="num" w:pos="5987"/>
        </w:tabs>
        <w:ind w:left="5987" w:hanging="360"/>
      </w:pPr>
    </w:lvl>
    <w:lvl w:ilvl="8">
      <w:start w:val="1"/>
      <w:numFmt w:val="lowerRoman"/>
      <w:lvlText w:val="%9."/>
      <w:lvlJc w:val="right"/>
      <w:pPr>
        <w:tabs>
          <w:tab w:val="num" w:pos="6707"/>
        </w:tabs>
        <w:ind w:left="6707" w:hanging="180"/>
      </w:pPr>
    </w:lvl>
  </w:abstractNum>
  <w:abstractNum w:abstractNumId="90" w15:restartNumberingAfterBreak="0">
    <w:nsid w:val="7E084B59"/>
    <w:multiLevelType w:val="hybridMultilevel"/>
    <w:tmpl w:val="A1E09356"/>
    <w:lvl w:ilvl="0" w:tplc="0718937C">
      <w:start w:val="1"/>
      <w:numFmt w:val="bullet"/>
      <w:pStyle w:val="neslovanseznam1"/>
      <w:lvlText w:val=""/>
      <w:lvlJc w:val="left"/>
      <w:pPr>
        <w:tabs>
          <w:tab w:val="num" w:pos="360"/>
        </w:tabs>
        <w:ind w:left="360" w:hanging="360"/>
      </w:pPr>
      <w:rPr>
        <w:rFonts w:ascii="Symbol" w:hAnsi="Symbol"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1" w15:restartNumberingAfterBreak="0">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2"/>
  </w:num>
  <w:num w:numId="2">
    <w:abstractNumId w:val="19"/>
  </w:num>
  <w:num w:numId="3">
    <w:abstractNumId w:val="73"/>
  </w:num>
  <w:num w:numId="4">
    <w:abstractNumId w:val="91"/>
  </w:num>
  <w:num w:numId="5">
    <w:abstractNumId w:val="34"/>
  </w:num>
  <w:num w:numId="6">
    <w:abstractNumId w:val="56"/>
  </w:num>
  <w:num w:numId="7">
    <w:abstractNumId w:val="22"/>
  </w:num>
  <w:num w:numId="8">
    <w:abstractNumId w:val="66"/>
  </w:num>
  <w:num w:numId="9">
    <w:abstractNumId w:val="84"/>
  </w:num>
  <w:num w:numId="10">
    <w:abstractNumId w:val="12"/>
  </w:num>
  <w:num w:numId="11">
    <w:abstractNumId w:val="48"/>
  </w:num>
  <w:num w:numId="12">
    <w:abstractNumId w:val="33"/>
  </w:num>
  <w:num w:numId="13">
    <w:abstractNumId w:val="63"/>
  </w:num>
  <w:num w:numId="14">
    <w:abstractNumId w:val="85"/>
  </w:num>
  <w:num w:numId="15">
    <w:abstractNumId w:val="44"/>
  </w:num>
  <w:num w:numId="16">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num>
  <w:num w:numId="18">
    <w:abstractNumId w:val="15"/>
  </w:num>
  <w:num w:numId="19">
    <w:abstractNumId w:val="40"/>
  </w:num>
  <w:num w:numId="20">
    <w:abstractNumId w:val="45"/>
  </w:num>
  <w:num w:numId="21">
    <w:abstractNumId w:val="67"/>
  </w:num>
  <w:num w:numId="22">
    <w:abstractNumId w:val="57"/>
  </w:num>
  <w:num w:numId="23">
    <w:abstractNumId w:val="49"/>
  </w:num>
  <w:num w:numId="24">
    <w:abstractNumId w:val="10"/>
  </w:num>
  <w:num w:numId="25">
    <w:abstractNumId w:val="74"/>
  </w:num>
  <w:num w:numId="26">
    <w:abstractNumId w:val="6"/>
  </w:num>
  <w:num w:numId="27">
    <w:abstractNumId w:val="0"/>
  </w:num>
  <w:num w:numId="28">
    <w:abstractNumId w:val="76"/>
  </w:num>
  <w:num w:numId="29">
    <w:abstractNumId w:val="1"/>
  </w:num>
  <w:num w:numId="30">
    <w:abstractNumId w:val="46"/>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num>
  <w:num w:numId="33">
    <w:abstractNumId w:val="7"/>
  </w:num>
  <w:num w:numId="34">
    <w:abstractNumId w:val="9"/>
  </w:num>
  <w:num w:numId="35">
    <w:abstractNumId w:val="64"/>
  </w:num>
  <w:num w:numId="36">
    <w:abstractNumId w:val="42"/>
  </w:num>
  <w:num w:numId="37">
    <w:abstractNumId w:val="72"/>
  </w:num>
  <w:num w:numId="38">
    <w:abstractNumId w:val="31"/>
  </w:num>
  <w:num w:numId="39">
    <w:abstractNumId w:val="43"/>
  </w:num>
  <w:num w:numId="40">
    <w:abstractNumId w:val="26"/>
  </w:num>
  <w:num w:numId="41">
    <w:abstractNumId w:val="20"/>
  </w:num>
  <w:num w:numId="42">
    <w:abstractNumId w:val="47"/>
  </w:num>
  <w:num w:numId="43">
    <w:abstractNumId w:val="30"/>
  </w:num>
  <w:num w:numId="44">
    <w:abstractNumId w:val="58"/>
  </w:num>
  <w:num w:numId="45">
    <w:abstractNumId w:val="88"/>
  </w:num>
  <w:num w:numId="46">
    <w:abstractNumId w:val="4"/>
  </w:num>
  <w:num w:numId="47">
    <w:abstractNumId w:val="3"/>
  </w:num>
  <w:num w:numId="48">
    <w:abstractNumId w:val="25"/>
  </w:num>
  <w:num w:numId="49">
    <w:abstractNumId w:val="82"/>
  </w:num>
  <w:num w:numId="50">
    <w:abstractNumId w:val="80"/>
  </w:num>
  <w:num w:numId="51">
    <w:abstractNumId w:val="14"/>
  </w:num>
  <w:num w:numId="52">
    <w:abstractNumId w:val="70"/>
  </w:num>
  <w:num w:numId="53">
    <w:abstractNumId w:val="39"/>
  </w:num>
  <w:num w:numId="54">
    <w:abstractNumId w:val="16"/>
  </w:num>
  <w:num w:numId="55">
    <w:abstractNumId w:val="68"/>
  </w:num>
  <w:num w:numId="56">
    <w:abstractNumId w:val="71"/>
  </w:num>
  <w:num w:numId="57">
    <w:abstractNumId w:val="69"/>
  </w:num>
  <w:num w:numId="58">
    <w:abstractNumId w:val="75"/>
  </w:num>
  <w:num w:numId="59">
    <w:abstractNumId w:val="27"/>
  </w:num>
  <w:num w:numId="60">
    <w:abstractNumId w:val="51"/>
  </w:num>
  <w:num w:numId="61">
    <w:abstractNumId w:val="35"/>
  </w:num>
  <w:num w:numId="62">
    <w:abstractNumId w:val="5"/>
  </w:num>
  <w:num w:numId="63">
    <w:abstractNumId w:val="17"/>
  </w:num>
  <w:num w:numId="64">
    <w:abstractNumId w:val="55"/>
  </w:num>
  <w:num w:numId="65">
    <w:abstractNumId w:val="59"/>
  </w:num>
  <w:num w:numId="66">
    <w:abstractNumId w:val="23"/>
  </w:num>
  <w:num w:numId="67">
    <w:abstractNumId w:val="50"/>
  </w:num>
  <w:num w:numId="68">
    <w:abstractNumId w:val="65"/>
  </w:num>
  <w:num w:numId="69">
    <w:abstractNumId w:val="61"/>
  </w:num>
  <w:num w:numId="70">
    <w:abstractNumId w:val="13"/>
  </w:num>
  <w:num w:numId="71">
    <w:abstractNumId w:val="77"/>
  </w:num>
  <w:num w:numId="72">
    <w:abstractNumId w:val="36"/>
  </w:num>
  <w:num w:numId="73">
    <w:abstractNumId w:val="78"/>
  </w:num>
  <w:num w:numId="74">
    <w:abstractNumId w:val="8"/>
  </w:num>
  <w:num w:numId="75">
    <w:abstractNumId w:val="24"/>
  </w:num>
  <w:num w:numId="76">
    <w:abstractNumId w:val="11"/>
  </w:num>
  <w:num w:numId="77">
    <w:abstractNumId w:val="83"/>
  </w:num>
  <w:num w:numId="78">
    <w:abstractNumId w:val="54"/>
  </w:num>
  <w:num w:numId="79">
    <w:abstractNumId w:val="28"/>
  </w:num>
  <w:num w:numId="80">
    <w:abstractNumId w:val="52"/>
  </w:num>
  <w:num w:numId="81">
    <w:abstractNumId w:val="79"/>
  </w:num>
  <w:num w:numId="82">
    <w:abstractNumId w:val="38"/>
  </w:num>
  <w:num w:numId="83">
    <w:abstractNumId w:val="41"/>
  </w:num>
  <w:num w:numId="84">
    <w:abstractNumId w:val="87"/>
  </w:num>
  <w:num w:numId="85">
    <w:abstractNumId w:val="18"/>
  </w:num>
  <w:num w:numId="86">
    <w:abstractNumId w:val="21"/>
  </w:num>
  <w:num w:numId="87">
    <w:abstractNumId w:val="29"/>
  </w:num>
  <w:num w:numId="88">
    <w:abstractNumId w:val="37"/>
  </w:num>
  <w:num w:numId="89">
    <w:abstractNumId w:val="53"/>
  </w:num>
  <w:num w:numId="90">
    <w:abstractNumId w:val="8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20"/>
  <w:displayHorizontalDrawingGridEvery w:val="2"/>
  <w:characterSpacingControl w:val="doNotCompress"/>
  <w:hdrShapeDefaults>
    <o:shapedefaults v:ext="edit" spidmax="6145" fill="f" fillcolor="white" strokecolor="red">
      <v:fill color="white" on="f"/>
      <v:stroke dashstyle="1 1"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05"/>
    <w:rsid w:val="00000082"/>
    <w:rsid w:val="000003D9"/>
    <w:rsid w:val="000003F2"/>
    <w:rsid w:val="000006EE"/>
    <w:rsid w:val="0000079A"/>
    <w:rsid w:val="00000845"/>
    <w:rsid w:val="00000992"/>
    <w:rsid w:val="000009DE"/>
    <w:rsid w:val="000015DB"/>
    <w:rsid w:val="00001864"/>
    <w:rsid w:val="00001BD2"/>
    <w:rsid w:val="0000224A"/>
    <w:rsid w:val="000022FD"/>
    <w:rsid w:val="000023A3"/>
    <w:rsid w:val="000023BC"/>
    <w:rsid w:val="00002475"/>
    <w:rsid w:val="000026D0"/>
    <w:rsid w:val="0000287D"/>
    <w:rsid w:val="00002926"/>
    <w:rsid w:val="00002979"/>
    <w:rsid w:val="00002BBB"/>
    <w:rsid w:val="00002E6E"/>
    <w:rsid w:val="00002E84"/>
    <w:rsid w:val="00002E96"/>
    <w:rsid w:val="000036DD"/>
    <w:rsid w:val="0000386D"/>
    <w:rsid w:val="00003953"/>
    <w:rsid w:val="00003979"/>
    <w:rsid w:val="00003AC0"/>
    <w:rsid w:val="00003B16"/>
    <w:rsid w:val="00003C04"/>
    <w:rsid w:val="0000411E"/>
    <w:rsid w:val="0000422D"/>
    <w:rsid w:val="000046F8"/>
    <w:rsid w:val="0000477D"/>
    <w:rsid w:val="0000479D"/>
    <w:rsid w:val="000048FF"/>
    <w:rsid w:val="000049A8"/>
    <w:rsid w:val="00004A43"/>
    <w:rsid w:val="00004B32"/>
    <w:rsid w:val="00004CBE"/>
    <w:rsid w:val="00004CC4"/>
    <w:rsid w:val="00004DCF"/>
    <w:rsid w:val="00004FD2"/>
    <w:rsid w:val="0000519A"/>
    <w:rsid w:val="000052A2"/>
    <w:rsid w:val="00005572"/>
    <w:rsid w:val="00005AE8"/>
    <w:rsid w:val="00005B47"/>
    <w:rsid w:val="00005F27"/>
    <w:rsid w:val="000061A1"/>
    <w:rsid w:val="000063E0"/>
    <w:rsid w:val="0000647A"/>
    <w:rsid w:val="000066AF"/>
    <w:rsid w:val="000066CE"/>
    <w:rsid w:val="000066F6"/>
    <w:rsid w:val="00006722"/>
    <w:rsid w:val="00006A1A"/>
    <w:rsid w:val="00006E0B"/>
    <w:rsid w:val="00007006"/>
    <w:rsid w:val="00007188"/>
    <w:rsid w:val="000073B1"/>
    <w:rsid w:val="0000782F"/>
    <w:rsid w:val="00007FBC"/>
    <w:rsid w:val="00010034"/>
    <w:rsid w:val="000100CE"/>
    <w:rsid w:val="000101A8"/>
    <w:rsid w:val="0001021A"/>
    <w:rsid w:val="0001033F"/>
    <w:rsid w:val="00010A79"/>
    <w:rsid w:val="00010DEA"/>
    <w:rsid w:val="00010E39"/>
    <w:rsid w:val="00010ED5"/>
    <w:rsid w:val="00011008"/>
    <w:rsid w:val="000111F8"/>
    <w:rsid w:val="00011368"/>
    <w:rsid w:val="0001170A"/>
    <w:rsid w:val="000118B7"/>
    <w:rsid w:val="00011C32"/>
    <w:rsid w:val="00011EE8"/>
    <w:rsid w:val="00012186"/>
    <w:rsid w:val="000121F0"/>
    <w:rsid w:val="00012257"/>
    <w:rsid w:val="00012494"/>
    <w:rsid w:val="0001271F"/>
    <w:rsid w:val="00012791"/>
    <w:rsid w:val="000128A0"/>
    <w:rsid w:val="00012D24"/>
    <w:rsid w:val="00012D31"/>
    <w:rsid w:val="00012E31"/>
    <w:rsid w:val="00013246"/>
    <w:rsid w:val="00013616"/>
    <w:rsid w:val="0001387D"/>
    <w:rsid w:val="000139E4"/>
    <w:rsid w:val="00013B26"/>
    <w:rsid w:val="00013CE0"/>
    <w:rsid w:val="00013F06"/>
    <w:rsid w:val="000140D2"/>
    <w:rsid w:val="000141C9"/>
    <w:rsid w:val="00014685"/>
    <w:rsid w:val="00014AF6"/>
    <w:rsid w:val="00014D16"/>
    <w:rsid w:val="00014E8A"/>
    <w:rsid w:val="00015210"/>
    <w:rsid w:val="0001525E"/>
    <w:rsid w:val="00015337"/>
    <w:rsid w:val="0001547C"/>
    <w:rsid w:val="00015597"/>
    <w:rsid w:val="00015A7F"/>
    <w:rsid w:val="00015D84"/>
    <w:rsid w:val="00015E21"/>
    <w:rsid w:val="00015F1A"/>
    <w:rsid w:val="0001605D"/>
    <w:rsid w:val="0001616A"/>
    <w:rsid w:val="00016339"/>
    <w:rsid w:val="00016392"/>
    <w:rsid w:val="000165B8"/>
    <w:rsid w:val="00016864"/>
    <w:rsid w:val="00016999"/>
    <w:rsid w:val="00017255"/>
    <w:rsid w:val="00017277"/>
    <w:rsid w:val="000172E1"/>
    <w:rsid w:val="00017355"/>
    <w:rsid w:val="0001745D"/>
    <w:rsid w:val="00017479"/>
    <w:rsid w:val="0001780D"/>
    <w:rsid w:val="00017BEC"/>
    <w:rsid w:val="00017FC8"/>
    <w:rsid w:val="000200BB"/>
    <w:rsid w:val="000202BA"/>
    <w:rsid w:val="00020385"/>
    <w:rsid w:val="000203AE"/>
    <w:rsid w:val="00020455"/>
    <w:rsid w:val="000204E7"/>
    <w:rsid w:val="000206C8"/>
    <w:rsid w:val="000207A6"/>
    <w:rsid w:val="00020819"/>
    <w:rsid w:val="00020856"/>
    <w:rsid w:val="00020C96"/>
    <w:rsid w:val="00020EE0"/>
    <w:rsid w:val="00021046"/>
    <w:rsid w:val="000210BC"/>
    <w:rsid w:val="00021481"/>
    <w:rsid w:val="0002170F"/>
    <w:rsid w:val="00021B32"/>
    <w:rsid w:val="00021D77"/>
    <w:rsid w:val="00021E9F"/>
    <w:rsid w:val="00021F34"/>
    <w:rsid w:val="000220FC"/>
    <w:rsid w:val="00022184"/>
    <w:rsid w:val="000221F6"/>
    <w:rsid w:val="000222EB"/>
    <w:rsid w:val="00022374"/>
    <w:rsid w:val="00022391"/>
    <w:rsid w:val="000223F2"/>
    <w:rsid w:val="00022484"/>
    <w:rsid w:val="0002266A"/>
    <w:rsid w:val="00022672"/>
    <w:rsid w:val="00022865"/>
    <w:rsid w:val="000229CE"/>
    <w:rsid w:val="00023071"/>
    <w:rsid w:val="000230F5"/>
    <w:rsid w:val="00023120"/>
    <w:rsid w:val="000231FC"/>
    <w:rsid w:val="0002325A"/>
    <w:rsid w:val="000233B2"/>
    <w:rsid w:val="000234A3"/>
    <w:rsid w:val="000234AE"/>
    <w:rsid w:val="000235E6"/>
    <w:rsid w:val="0002361E"/>
    <w:rsid w:val="00023911"/>
    <w:rsid w:val="00023A5A"/>
    <w:rsid w:val="00023ACF"/>
    <w:rsid w:val="00023BDB"/>
    <w:rsid w:val="00023D89"/>
    <w:rsid w:val="0002405F"/>
    <w:rsid w:val="000241C6"/>
    <w:rsid w:val="0002432E"/>
    <w:rsid w:val="00024377"/>
    <w:rsid w:val="000245EE"/>
    <w:rsid w:val="000247D8"/>
    <w:rsid w:val="00024D4F"/>
    <w:rsid w:val="00024D90"/>
    <w:rsid w:val="00024E55"/>
    <w:rsid w:val="00025001"/>
    <w:rsid w:val="0002506E"/>
    <w:rsid w:val="000250C8"/>
    <w:rsid w:val="00025275"/>
    <w:rsid w:val="000253D8"/>
    <w:rsid w:val="000254F1"/>
    <w:rsid w:val="0002559A"/>
    <w:rsid w:val="00025AA5"/>
    <w:rsid w:val="00025CD0"/>
    <w:rsid w:val="00025D6B"/>
    <w:rsid w:val="0002652E"/>
    <w:rsid w:val="00026645"/>
    <w:rsid w:val="00026A5E"/>
    <w:rsid w:val="00026B3D"/>
    <w:rsid w:val="00026F09"/>
    <w:rsid w:val="00026FAF"/>
    <w:rsid w:val="00027174"/>
    <w:rsid w:val="000274E1"/>
    <w:rsid w:val="00027505"/>
    <w:rsid w:val="000278EC"/>
    <w:rsid w:val="00027A09"/>
    <w:rsid w:val="00027E9C"/>
    <w:rsid w:val="000303D0"/>
    <w:rsid w:val="00030715"/>
    <w:rsid w:val="0003086D"/>
    <w:rsid w:val="00030874"/>
    <w:rsid w:val="00030997"/>
    <w:rsid w:val="00030A4A"/>
    <w:rsid w:val="00030CC4"/>
    <w:rsid w:val="00030CEC"/>
    <w:rsid w:val="00030E7C"/>
    <w:rsid w:val="00030E84"/>
    <w:rsid w:val="000312A7"/>
    <w:rsid w:val="0003153E"/>
    <w:rsid w:val="00031557"/>
    <w:rsid w:val="0003188F"/>
    <w:rsid w:val="00031AA3"/>
    <w:rsid w:val="00031B35"/>
    <w:rsid w:val="00031B9A"/>
    <w:rsid w:val="00031DFC"/>
    <w:rsid w:val="00031E17"/>
    <w:rsid w:val="00032201"/>
    <w:rsid w:val="000322D0"/>
    <w:rsid w:val="00032840"/>
    <w:rsid w:val="0003298A"/>
    <w:rsid w:val="00032A5F"/>
    <w:rsid w:val="000332A8"/>
    <w:rsid w:val="000336BC"/>
    <w:rsid w:val="00033A2C"/>
    <w:rsid w:val="00033A86"/>
    <w:rsid w:val="00033C63"/>
    <w:rsid w:val="00033D75"/>
    <w:rsid w:val="00033EA4"/>
    <w:rsid w:val="00033F74"/>
    <w:rsid w:val="000342F2"/>
    <w:rsid w:val="000344D6"/>
    <w:rsid w:val="00034527"/>
    <w:rsid w:val="000346B2"/>
    <w:rsid w:val="00034A3B"/>
    <w:rsid w:val="00034B3C"/>
    <w:rsid w:val="00034BD9"/>
    <w:rsid w:val="00034E9D"/>
    <w:rsid w:val="0003512D"/>
    <w:rsid w:val="00035636"/>
    <w:rsid w:val="00035A38"/>
    <w:rsid w:val="00035AB0"/>
    <w:rsid w:val="00035B3B"/>
    <w:rsid w:val="00035C0B"/>
    <w:rsid w:val="000363AC"/>
    <w:rsid w:val="00036CDE"/>
    <w:rsid w:val="00036D8B"/>
    <w:rsid w:val="00036D9B"/>
    <w:rsid w:val="00037648"/>
    <w:rsid w:val="0003767C"/>
    <w:rsid w:val="000378A6"/>
    <w:rsid w:val="000379C3"/>
    <w:rsid w:val="000403A7"/>
    <w:rsid w:val="000406E5"/>
    <w:rsid w:val="00040DC5"/>
    <w:rsid w:val="00040F55"/>
    <w:rsid w:val="000410C9"/>
    <w:rsid w:val="00041432"/>
    <w:rsid w:val="0004147F"/>
    <w:rsid w:val="000414A4"/>
    <w:rsid w:val="000419AC"/>
    <w:rsid w:val="00041A24"/>
    <w:rsid w:val="00041B6B"/>
    <w:rsid w:val="00041BD4"/>
    <w:rsid w:val="00041D2C"/>
    <w:rsid w:val="00041DDF"/>
    <w:rsid w:val="00041E6F"/>
    <w:rsid w:val="00042303"/>
    <w:rsid w:val="00042376"/>
    <w:rsid w:val="00042702"/>
    <w:rsid w:val="000428C2"/>
    <w:rsid w:val="00042BCA"/>
    <w:rsid w:val="00042C51"/>
    <w:rsid w:val="00042CC1"/>
    <w:rsid w:val="00042EEC"/>
    <w:rsid w:val="00043179"/>
    <w:rsid w:val="00043260"/>
    <w:rsid w:val="00043523"/>
    <w:rsid w:val="000435FB"/>
    <w:rsid w:val="00043613"/>
    <w:rsid w:val="00043B09"/>
    <w:rsid w:val="00043D33"/>
    <w:rsid w:val="00044035"/>
    <w:rsid w:val="00044369"/>
    <w:rsid w:val="000443FA"/>
    <w:rsid w:val="0004479C"/>
    <w:rsid w:val="00044831"/>
    <w:rsid w:val="00044B50"/>
    <w:rsid w:val="00044C5E"/>
    <w:rsid w:val="00044D43"/>
    <w:rsid w:val="00044D91"/>
    <w:rsid w:val="00045035"/>
    <w:rsid w:val="000456BB"/>
    <w:rsid w:val="0004576A"/>
    <w:rsid w:val="0004576B"/>
    <w:rsid w:val="00045929"/>
    <w:rsid w:val="00045B10"/>
    <w:rsid w:val="00045F48"/>
    <w:rsid w:val="00046299"/>
    <w:rsid w:val="000462F8"/>
    <w:rsid w:val="0004634C"/>
    <w:rsid w:val="0004645E"/>
    <w:rsid w:val="000467E4"/>
    <w:rsid w:val="000467F9"/>
    <w:rsid w:val="000469C4"/>
    <w:rsid w:val="000469DF"/>
    <w:rsid w:val="0004770E"/>
    <w:rsid w:val="00047793"/>
    <w:rsid w:val="000477E1"/>
    <w:rsid w:val="0004798F"/>
    <w:rsid w:val="00047B1A"/>
    <w:rsid w:val="00047C25"/>
    <w:rsid w:val="00047C89"/>
    <w:rsid w:val="00050001"/>
    <w:rsid w:val="0005009F"/>
    <w:rsid w:val="000501F5"/>
    <w:rsid w:val="00050349"/>
    <w:rsid w:val="00050501"/>
    <w:rsid w:val="00050665"/>
    <w:rsid w:val="000506A1"/>
    <w:rsid w:val="00050A2A"/>
    <w:rsid w:val="00050B98"/>
    <w:rsid w:val="00050C4B"/>
    <w:rsid w:val="00050E00"/>
    <w:rsid w:val="00050E1E"/>
    <w:rsid w:val="00051393"/>
    <w:rsid w:val="000519F1"/>
    <w:rsid w:val="00051C08"/>
    <w:rsid w:val="00051CC4"/>
    <w:rsid w:val="00051D09"/>
    <w:rsid w:val="00051D97"/>
    <w:rsid w:val="0005229E"/>
    <w:rsid w:val="000522F0"/>
    <w:rsid w:val="000523AC"/>
    <w:rsid w:val="000525CB"/>
    <w:rsid w:val="000527F4"/>
    <w:rsid w:val="0005287C"/>
    <w:rsid w:val="000528B4"/>
    <w:rsid w:val="000528B5"/>
    <w:rsid w:val="00052986"/>
    <w:rsid w:val="00052C1A"/>
    <w:rsid w:val="00052C4D"/>
    <w:rsid w:val="00052C78"/>
    <w:rsid w:val="00052EA5"/>
    <w:rsid w:val="00052FC0"/>
    <w:rsid w:val="0005367F"/>
    <w:rsid w:val="00053688"/>
    <w:rsid w:val="0005385B"/>
    <w:rsid w:val="00053B15"/>
    <w:rsid w:val="00053B5D"/>
    <w:rsid w:val="000540C7"/>
    <w:rsid w:val="000545DF"/>
    <w:rsid w:val="00054767"/>
    <w:rsid w:val="00054780"/>
    <w:rsid w:val="00054984"/>
    <w:rsid w:val="00054B39"/>
    <w:rsid w:val="00054B4F"/>
    <w:rsid w:val="00054DC5"/>
    <w:rsid w:val="00054DF0"/>
    <w:rsid w:val="00054E30"/>
    <w:rsid w:val="00054E4E"/>
    <w:rsid w:val="00055062"/>
    <w:rsid w:val="0005519D"/>
    <w:rsid w:val="00055508"/>
    <w:rsid w:val="000555AD"/>
    <w:rsid w:val="000555CF"/>
    <w:rsid w:val="00055A1A"/>
    <w:rsid w:val="00055B69"/>
    <w:rsid w:val="00055B6E"/>
    <w:rsid w:val="00055D32"/>
    <w:rsid w:val="00055DE6"/>
    <w:rsid w:val="000560CF"/>
    <w:rsid w:val="000562DF"/>
    <w:rsid w:val="00056347"/>
    <w:rsid w:val="00056573"/>
    <w:rsid w:val="000565BF"/>
    <w:rsid w:val="0005670E"/>
    <w:rsid w:val="0005672C"/>
    <w:rsid w:val="000569A3"/>
    <w:rsid w:val="00056C03"/>
    <w:rsid w:val="00056CA8"/>
    <w:rsid w:val="00056CAD"/>
    <w:rsid w:val="000574A4"/>
    <w:rsid w:val="00057590"/>
    <w:rsid w:val="000575D5"/>
    <w:rsid w:val="00057868"/>
    <w:rsid w:val="000579CD"/>
    <w:rsid w:val="00057BCF"/>
    <w:rsid w:val="00057C1B"/>
    <w:rsid w:val="00057D97"/>
    <w:rsid w:val="0006004E"/>
    <w:rsid w:val="0006009C"/>
    <w:rsid w:val="0006010D"/>
    <w:rsid w:val="00060CB6"/>
    <w:rsid w:val="00060EE3"/>
    <w:rsid w:val="00060F06"/>
    <w:rsid w:val="00061220"/>
    <w:rsid w:val="00061395"/>
    <w:rsid w:val="0006162F"/>
    <w:rsid w:val="00061647"/>
    <w:rsid w:val="00061739"/>
    <w:rsid w:val="00061870"/>
    <w:rsid w:val="000618EC"/>
    <w:rsid w:val="000619CB"/>
    <w:rsid w:val="00061C09"/>
    <w:rsid w:val="00061C13"/>
    <w:rsid w:val="00061CB1"/>
    <w:rsid w:val="00061CB4"/>
    <w:rsid w:val="00061D26"/>
    <w:rsid w:val="00061D2C"/>
    <w:rsid w:val="00061E14"/>
    <w:rsid w:val="00062261"/>
    <w:rsid w:val="00062286"/>
    <w:rsid w:val="000623F7"/>
    <w:rsid w:val="00062589"/>
    <w:rsid w:val="00062A35"/>
    <w:rsid w:val="00062F3F"/>
    <w:rsid w:val="00062F7A"/>
    <w:rsid w:val="000630B8"/>
    <w:rsid w:val="000630DD"/>
    <w:rsid w:val="000634D5"/>
    <w:rsid w:val="000635A5"/>
    <w:rsid w:val="0006377A"/>
    <w:rsid w:val="000637BD"/>
    <w:rsid w:val="000638FC"/>
    <w:rsid w:val="00063B26"/>
    <w:rsid w:val="00063B6F"/>
    <w:rsid w:val="00063C15"/>
    <w:rsid w:val="00063F7C"/>
    <w:rsid w:val="0006431F"/>
    <w:rsid w:val="000648F8"/>
    <w:rsid w:val="000649C3"/>
    <w:rsid w:val="00064A7C"/>
    <w:rsid w:val="00064C9D"/>
    <w:rsid w:val="00065179"/>
    <w:rsid w:val="000654AE"/>
    <w:rsid w:val="00065558"/>
    <w:rsid w:val="0006588D"/>
    <w:rsid w:val="000661A9"/>
    <w:rsid w:val="00066320"/>
    <w:rsid w:val="00066537"/>
    <w:rsid w:val="00066D6C"/>
    <w:rsid w:val="00066E0D"/>
    <w:rsid w:val="00066ED3"/>
    <w:rsid w:val="00067968"/>
    <w:rsid w:val="00067A17"/>
    <w:rsid w:val="00067CD6"/>
    <w:rsid w:val="00067D9F"/>
    <w:rsid w:val="00067E3E"/>
    <w:rsid w:val="000701D1"/>
    <w:rsid w:val="00070257"/>
    <w:rsid w:val="000702A4"/>
    <w:rsid w:val="0007037F"/>
    <w:rsid w:val="00070744"/>
    <w:rsid w:val="00070A58"/>
    <w:rsid w:val="00070AC2"/>
    <w:rsid w:val="00070AF3"/>
    <w:rsid w:val="00070CDC"/>
    <w:rsid w:val="00070E1F"/>
    <w:rsid w:val="00070F11"/>
    <w:rsid w:val="00070FB9"/>
    <w:rsid w:val="000712BE"/>
    <w:rsid w:val="0007133E"/>
    <w:rsid w:val="0007178A"/>
    <w:rsid w:val="0007180B"/>
    <w:rsid w:val="00071A5F"/>
    <w:rsid w:val="00071B11"/>
    <w:rsid w:val="00071DA7"/>
    <w:rsid w:val="00071EA4"/>
    <w:rsid w:val="00071EE4"/>
    <w:rsid w:val="00072429"/>
    <w:rsid w:val="000724D8"/>
    <w:rsid w:val="0007278D"/>
    <w:rsid w:val="00072AE1"/>
    <w:rsid w:val="00072B6B"/>
    <w:rsid w:val="00072C34"/>
    <w:rsid w:val="00072D58"/>
    <w:rsid w:val="000730D4"/>
    <w:rsid w:val="000730E5"/>
    <w:rsid w:val="000731C9"/>
    <w:rsid w:val="00073230"/>
    <w:rsid w:val="0007325B"/>
    <w:rsid w:val="000733A7"/>
    <w:rsid w:val="00073713"/>
    <w:rsid w:val="00073C1F"/>
    <w:rsid w:val="00073EF3"/>
    <w:rsid w:val="000740EB"/>
    <w:rsid w:val="00074474"/>
    <w:rsid w:val="000745E0"/>
    <w:rsid w:val="00074668"/>
    <w:rsid w:val="00074876"/>
    <w:rsid w:val="000748B2"/>
    <w:rsid w:val="00074DC0"/>
    <w:rsid w:val="00074F29"/>
    <w:rsid w:val="00074FB0"/>
    <w:rsid w:val="000753FF"/>
    <w:rsid w:val="0007592A"/>
    <w:rsid w:val="00075977"/>
    <w:rsid w:val="000759A1"/>
    <w:rsid w:val="00075A5C"/>
    <w:rsid w:val="00075AF8"/>
    <w:rsid w:val="00075B43"/>
    <w:rsid w:val="00075B6F"/>
    <w:rsid w:val="00075E62"/>
    <w:rsid w:val="00075FE7"/>
    <w:rsid w:val="00076029"/>
    <w:rsid w:val="000761A4"/>
    <w:rsid w:val="0007666E"/>
    <w:rsid w:val="00076859"/>
    <w:rsid w:val="00076AB9"/>
    <w:rsid w:val="00076B0E"/>
    <w:rsid w:val="00076EC2"/>
    <w:rsid w:val="00076F61"/>
    <w:rsid w:val="00076F9B"/>
    <w:rsid w:val="00077150"/>
    <w:rsid w:val="000773A4"/>
    <w:rsid w:val="000773A6"/>
    <w:rsid w:val="000775C7"/>
    <w:rsid w:val="000776B9"/>
    <w:rsid w:val="000777BF"/>
    <w:rsid w:val="000777D7"/>
    <w:rsid w:val="0007786B"/>
    <w:rsid w:val="00077890"/>
    <w:rsid w:val="000779EE"/>
    <w:rsid w:val="00077A2A"/>
    <w:rsid w:val="00077A36"/>
    <w:rsid w:val="00077AFF"/>
    <w:rsid w:val="00077C38"/>
    <w:rsid w:val="00077D02"/>
    <w:rsid w:val="00077FDC"/>
    <w:rsid w:val="000802B7"/>
    <w:rsid w:val="000802E8"/>
    <w:rsid w:val="000803C2"/>
    <w:rsid w:val="0008064D"/>
    <w:rsid w:val="0008069D"/>
    <w:rsid w:val="000807F3"/>
    <w:rsid w:val="00080A2A"/>
    <w:rsid w:val="00080B65"/>
    <w:rsid w:val="00080BFB"/>
    <w:rsid w:val="00080D0D"/>
    <w:rsid w:val="00080DC3"/>
    <w:rsid w:val="00080F72"/>
    <w:rsid w:val="0008114F"/>
    <w:rsid w:val="00081595"/>
    <w:rsid w:val="0008164B"/>
    <w:rsid w:val="00082168"/>
    <w:rsid w:val="00082188"/>
    <w:rsid w:val="000822D7"/>
    <w:rsid w:val="000822FC"/>
    <w:rsid w:val="0008243B"/>
    <w:rsid w:val="000824E4"/>
    <w:rsid w:val="00082863"/>
    <w:rsid w:val="00083194"/>
    <w:rsid w:val="00083463"/>
    <w:rsid w:val="00083582"/>
    <w:rsid w:val="00083A52"/>
    <w:rsid w:val="00083B90"/>
    <w:rsid w:val="00083CF6"/>
    <w:rsid w:val="00083D34"/>
    <w:rsid w:val="00083E58"/>
    <w:rsid w:val="0008400A"/>
    <w:rsid w:val="00084265"/>
    <w:rsid w:val="00084556"/>
    <w:rsid w:val="000845B0"/>
    <w:rsid w:val="00084772"/>
    <w:rsid w:val="000847E5"/>
    <w:rsid w:val="00084CDE"/>
    <w:rsid w:val="00084DEC"/>
    <w:rsid w:val="0008505F"/>
    <w:rsid w:val="000855AB"/>
    <w:rsid w:val="00085680"/>
    <w:rsid w:val="000856C3"/>
    <w:rsid w:val="00085A85"/>
    <w:rsid w:val="00085CE1"/>
    <w:rsid w:val="00085D7C"/>
    <w:rsid w:val="00086062"/>
    <w:rsid w:val="000863CA"/>
    <w:rsid w:val="00086456"/>
    <w:rsid w:val="00086487"/>
    <w:rsid w:val="00086641"/>
    <w:rsid w:val="000866E3"/>
    <w:rsid w:val="000869BF"/>
    <w:rsid w:val="00086A53"/>
    <w:rsid w:val="00086AF3"/>
    <w:rsid w:val="00086B70"/>
    <w:rsid w:val="00086C05"/>
    <w:rsid w:val="00086E1C"/>
    <w:rsid w:val="00086E5C"/>
    <w:rsid w:val="00087003"/>
    <w:rsid w:val="00087279"/>
    <w:rsid w:val="00087735"/>
    <w:rsid w:val="00087751"/>
    <w:rsid w:val="0008787C"/>
    <w:rsid w:val="00087A33"/>
    <w:rsid w:val="00087AF2"/>
    <w:rsid w:val="00087B05"/>
    <w:rsid w:val="00087D65"/>
    <w:rsid w:val="00087F01"/>
    <w:rsid w:val="0009011E"/>
    <w:rsid w:val="00090171"/>
    <w:rsid w:val="000903F9"/>
    <w:rsid w:val="000906BD"/>
    <w:rsid w:val="00090765"/>
    <w:rsid w:val="00090B2E"/>
    <w:rsid w:val="00090B9F"/>
    <w:rsid w:val="00090D25"/>
    <w:rsid w:val="00090DF8"/>
    <w:rsid w:val="00090EA0"/>
    <w:rsid w:val="00090EE9"/>
    <w:rsid w:val="00090EEE"/>
    <w:rsid w:val="000911A3"/>
    <w:rsid w:val="00091408"/>
    <w:rsid w:val="000915CB"/>
    <w:rsid w:val="000916E9"/>
    <w:rsid w:val="00091883"/>
    <w:rsid w:val="000918B3"/>
    <w:rsid w:val="000918F9"/>
    <w:rsid w:val="0009197D"/>
    <w:rsid w:val="00091E9B"/>
    <w:rsid w:val="0009234F"/>
    <w:rsid w:val="0009241C"/>
    <w:rsid w:val="0009260E"/>
    <w:rsid w:val="00092662"/>
    <w:rsid w:val="000926A0"/>
    <w:rsid w:val="00092796"/>
    <w:rsid w:val="00092A99"/>
    <w:rsid w:val="00092C20"/>
    <w:rsid w:val="00092CEA"/>
    <w:rsid w:val="00092DD0"/>
    <w:rsid w:val="0009311B"/>
    <w:rsid w:val="000931DB"/>
    <w:rsid w:val="000933AA"/>
    <w:rsid w:val="0009348A"/>
    <w:rsid w:val="00093542"/>
    <w:rsid w:val="000935C9"/>
    <w:rsid w:val="0009370C"/>
    <w:rsid w:val="00093C24"/>
    <w:rsid w:val="00093EC2"/>
    <w:rsid w:val="00093F3D"/>
    <w:rsid w:val="00094120"/>
    <w:rsid w:val="0009426E"/>
    <w:rsid w:val="000945ED"/>
    <w:rsid w:val="00094A74"/>
    <w:rsid w:val="00094E05"/>
    <w:rsid w:val="0009550C"/>
    <w:rsid w:val="000956D9"/>
    <w:rsid w:val="000956FA"/>
    <w:rsid w:val="00095A64"/>
    <w:rsid w:val="00095A8E"/>
    <w:rsid w:val="00095AC6"/>
    <w:rsid w:val="000961A5"/>
    <w:rsid w:val="00096529"/>
    <w:rsid w:val="00096627"/>
    <w:rsid w:val="00096A17"/>
    <w:rsid w:val="00096C0C"/>
    <w:rsid w:val="00096E37"/>
    <w:rsid w:val="00096EE3"/>
    <w:rsid w:val="000971B5"/>
    <w:rsid w:val="0009736B"/>
    <w:rsid w:val="0009736F"/>
    <w:rsid w:val="0009760C"/>
    <w:rsid w:val="0009771D"/>
    <w:rsid w:val="00097955"/>
    <w:rsid w:val="00097ACD"/>
    <w:rsid w:val="00097BD0"/>
    <w:rsid w:val="00097BE8"/>
    <w:rsid w:val="000A0009"/>
    <w:rsid w:val="000A004C"/>
    <w:rsid w:val="000A010E"/>
    <w:rsid w:val="000A036B"/>
    <w:rsid w:val="000A0674"/>
    <w:rsid w:val="000A06CF"/>
    <w:rsid w:val="000A076B"/>
    <w:rsid w:val="000A07CE"/>
    <w:rsid w:val="000A0B9F"/>
    <w:rsid w:val="000A0D2A"/>
    <w:rsid w:val="000A0F84"/>
    <w:rsid w:val="000A10A8"/>
    <w:rsid w:val="000A16A1"/>
    <w:rsid w:val="000A16AD"/>
    <w:rsid w:val="000A1823"/>
    <w:rsid w:val="000A1ABE"/>
    <w:rsid w:val="000A1D88"/>
    <w:rsid w:val="000A1F85"/>
    <w:rsid w:val="000A28A6"/>
    <w:rsid w:val="000A2918"/>
    <w:rsid w:val="000A2A76"/>
    <w:rsid w:val="000A2ACB"/>
    <w:rsid w:val="000A2B2B"/>
    <w:rsid w:val="000A2F0D"/>
    <w:rsid w:val="000A2F9B"/>
    <w:rsid w:val="000A30AF"/>
    <w:rsid w:val="000A33B8"/>
    <w:rsid w:val="000A3462"/>
    <w:rsid w:val="000A3718"/>
    <w:rsid w:val="000A37BB"/>
    <w:rsid w:val="000A37DC"/>
    <w:rsid w:val="000A387E"/>
    <w:rsid w:val="000A3A47"/>
    <w:rsid w:val="000A3E92"/>
    <w:rsid w:val="000A3F21"/>
    <w:rsid w:val="000A4055"/>
    <w:rsid w:val="000A40B2"/>
    <w:rsid w:val="000A42A6"/>
    <w:rsid w:val="000A46A1"/>
    <w:rsid w:val="000A499D"/>
    <w:rsid w:val="000A4B12"/>
    <w:rsid w:val="000A5037"/>
    <w:rsid w:val="000A524A"/>
    <w:rsid w:val="000A5433"/>
    <w:rsid w:val="000A564C"/>
    <w:rsid w:val="000A56CF"/>
    <w:rsid w:val="000A590C"/>
    <w:rsid w:val="000A594D"/>
    <w:rsid w:val="000A5965"/>
    <w:rsid w:val="000A5C0B"/>
    <w:rsid w:val="000A5CF7"/>
    <w:rsid w:val="000A60C6"/>
    <w:rsid w:val="000A612D"/>
    <w:rsid w:val="000A633A"/>
    <w:rsid w:val="000A637D"/>
    <w:rsid w:val="000A6398"/>
    <w:rsid w:val="000A646F"/>
    <w:rsid w:val="000A64B6"/>
    <w:rsid w:val="000A65A2"/>
    <w:rsid w:val="000A6814"/>
    <w:rsid w:val="000A6E5C"/>
    <w:rsid w:val="000A71EE"/>
    <w:rsid w:val="000A7331"/>
    <w:rsid w:val="000A785E"/>
    <w:rsid w:val="000A7BBC"/>
    <w:rsid w:val="000A7EBE"/>
    <w:rsid w:val="000A7F56"/>
    <w:rsid w:val="000A7FCC"/>
    <w:rsid w:val="000B0061"/>
    <w:rsid w:val="000B02BF"/>
    <w:rsid w:val="000B0327"/>
    <w:rsid w:val="000B0461"/>
    <w:rsid w:val="000B068E"/>
    <w:rsid w:val="000B06BD"/>
    <w:rsid w:val="000B070A"/>
    <w:rsid w:val="000B0945"/>
    <w:rsid w:val="000B09F7"/>
    <w:rsid w:val="000B0C7B"/>
    <w:rsid w:val="000B0DC1"/>
    <w:rsid w:val="000B135A"/>
    <w:rsid w:val="000B1430"/>
    <w:rsid w:val="000B159C"/>
    <w:rsid w:val="000B19D8"/>
    <w:rsid w:val="000B1BD2"/>
    <w:rsid w:val="000B208A"/>
    <w:rsid w:val="000B210D"/>
    <w:rsid w:val="000B2309"/>
    <w:rsid w:val="000B25BB"/>
    <w:rsid w:val="000B28F5"/>
    <w:rsid w:val="000B2C94"/>
    <w:rsid w:val="000B3214"/>
    <w:rsid w:val="000B33F6"/>
    <w:rsid w:val="000B3597"/>
    <w:rsid w:val="000B3610"/>
    <w:rsid w:val="000B3792"/>
    <w:rsid w:val="000B3835"/>
    <w:rsid w:val="000B3937"/>
    <w:rsid w:val="000B399F"/>
    <w:rsid w:val="000B3AA8"/>
    <w:rsid w:val="000B3CE9"/>
    <w:rsid w:val="000B3E2F"/>
    <w:rsid w:val="000B408B"/>
    <w:rsid w:val="000B4367"/>
    <w:rsid w:val="000B453F"/>
    <w:rsid w:val="000B461A"/>
    <w:rsid w:val="000B49A6"/>
    <w:rsid w:val="000B4CFB"/>
    <w:rsid w:val="000B4D0D"/>
    <w:rsid w:val="000B4F34"/>
    <w:rsid w:val="000B5151"/>
    <w:rsid w:val="000B546B"/>
    <w:rsid w:val="000B5822"/>
    <w:rsid w:val="000B5837"/>
    <w:rsid w:val="000B5A03"/>
    <w:rsid w:val="000B5B18"/>
    <w:rsid w:val="000B5D3A"/>
    <w:rsid w:val="000B5D64"/>
    <w:rsid w:val="000B61C0"/>
    <w:rsid w:val="000B627A"/>
    <w:rsid w:val="000B633C"/>
    <w:rsid w:val="000B63CA"/>
    <w:rsid w:val="000B6403"/>
    <w:rsid w:val="000B6455"/>
    <w:rsid w:val="000B64D9"/>
    <w:rsid w:val="000B6527"/>
    <w:rsid w:val="000B67E8"/>
    <w:rsid w:val="000B6B70"/>
    <w:rsid w:val="000B6C61"/>
    <w:rsid w:val="000B709C"/>
    <w:rsid w:val="000B720C"/>
    <w:rsid w:val="000B72B0"/>
    <w:rsid w:val="000B7FE7"/>
    <w:rsid w:val="000C00BF"/>
    <w:rsid w:val="000C016D"/>
    <w:rsid w:val="000C034B"/>
    <w:rsid w:val="000C03F3"/>
    <w:rsid w:val="000C0701"/>
    <w:rsid w:val="000C09D2"/>
    <w:rsid w:val="000C0A7E"/>
    <w:rsid w:val="000C0AAE"/>
    <w:rsid w:val="000C0DF9"/>
    <w:rsid w:val="000C13AD"/>
    <w:rsid w:val="000C178B"/>
    <w:rsid w:val="000C17C0"/>
    <w:rsid w:val="000C18A8"/>
    <w:rsid w:val="000C1F0E"/>
    <w:rsid w:val="000C2018"/>
    <w:rsid w:val="000C20A6"/>
    <w:rsid w:val="000C20FF"/>
    <w:rsid w:val="000C2109"/>
    <w:rsid w:val="000C234B"/>
    <w:rsid w:val="000C28C0"/>
    <w:rsid w:val="000C2A96"/>
    <w:rsid w:val="000C2B31"/>
    <w:rsid w:val="000C2BE2"/>
    <w:rsid w:val="000C2C5B"/>
    <w:rsid w:val="000C2D6B"/>
    <w:rsid w:val="000C2E83"/>
    <w:rsid w:val="000C2F69"/>
    <w:rsid w:val="000C3147"/>
    <w:rsid w:val="000C3203"/>
    <w:rsid w:val="000C3498"/>
    <w:rsid w:val="000C35B4"/>
    <w:rsid w:val="000C380A"/>
    <w:rsid w:val="000C3904"/>
    <w:rsid w:val="000C3AB8"/>
    <w:rsid w:val="000C3B90"/>
    <w:rsid w:val="000C4151"/>
    <w:rsid w:val="000C4965"/>
    <w:rsid w:val="000C4C86"/>
    <w:rsid w:val="000C4CEF"/>
    <w:rsid w:val="000C4EE9"/>
    <w:rsid w:val="000C4FD3"/>
    <w:rsid w:val="000C519D"/>
    <w:rsid w:val="000C5264"/>
    <w:rsid w:val="000C5455"/>
    <w:rsid w:val="000C547A"/>
    <w:rsid w:val="000C548A"/>
    <w:rsid w:val="000C5520"/>
    <w:rsid w:val="000C55D7"/>
    <w:rsid w:val="000C5607"/>
    <w:rsid w:val="000C56BD"/>
    <w:rsid w:val="000C5770"/>
    <w:rsid w:val="000C58DB"/>
    <w:rsid w:val="000C5A61"/>
    <w:rsid w:val="000C5BB4"/>
    <w:rsid w:val="000C5C07"/>
    <w:rsid w:val="000C5D5D"/>
    <w:rsid w:val="000C5D86"/>
    <w:rsid w:val="000C5F08"/>
    <w:rsid w:val="000C62C9"/>
    <w:rsid w:val="000C65F2"/>
    <w:rsid w:val="000C6885"/>
    <w:rsid w:val="000C68C3"/>
    <w:rsid w:val="000C69D5"/>
    <w:rsid w:val="000C6A16"/>
    <w:rsid w:val="000C6A86"/>
    <w:rsid w:val="000C6AC2"/>
    <w:rsid w:val="000C7019"/>
    <w:rsid w:val="000C7843"/>
    <w:rsid w:val="000C7AC9"/>
    <w:rsid w:val="000C7AD2"/>
    <w:rsid w:val="000C7D06"/>
    <w:rsid w:val="000C7D6D"/>
    <w:rsid w:val="000D01B7"/>
    <w:rsid w:val="000D020A"/>
    <w:rsid w:val="000D021D"/>
    <w:rsid w:val="000D0575"/>
    <w:rsid w:val="000D0693"/>
    <w:rsid w:val="000D0C02"/>
    <w:rsid w:val="000D0C32"/>
    <w:rsid w:val="000D0D40"/>
    <w:rsid w:val="000D0E0E"/>
    <w:rsid w:val="000D0ED3"/>
    <w:rsid w:val="000D0EF4"/>
    <w:rsid w:val="000D0F50"/>
    <w:rsid w:val="000D1102"/>
    <w:rsid w:val="000D113D"/>
    <w:rsid w:val="000D1159"/>
    <w:rsid w:val="000D1174"/>
    <w:rsid w:val="000D139A"/>
    <w:rsid w:val="000D1431"/>
    <w:rsid w:val="000D1535"/>
    <w:rsid w:val="000D15D7"/>
    <w:rsid w:val="000D17AE"/>
    <w:rsid w:val="000D1BE9"/>
    <w:rsid w:val="000D1E11"/>
    <w:rsid w:val="000D1EDB"/>
    <w:rsid w:val="000D2379"/>
    <w:rsid w:val="000D254F"/>
    <w:rsid w:val="000D2600"/>
    <w:rsid w:val="000D2AE2"/>
    <w:rsid w:val="000D2EBA"/>
    <w:rsid w:val="000D30C4"/>
    <w:rsid w:val="000D3A0F"/>
    <w:rsid w:val="000D3B3B"/>
    <w:rsid w:val="000D3F0C"/>
    <w:rsid w:val="000D4154"/>
    <w:rsid w:val="000D4199"/>
    <w:rsid w:val="000D41DA"/>
    <w:rsid w:val="000D45A9"/>
    <w:rsid w:val="000D46B4"/>
    <w:rsid w:val="000D473E"/>
    <w:rsid w:val="000D48A5"/>
    <w:rsid w:val="000D4A60"/>
    <w:rsid w:val="000D4DC3"/>
    <w:rsid w:val="000D51B0"/>
    <w:rsid w:val="000D527C"/>
    <w:rsid w:val="000D5397"/>
    <w:rsid w:val="000D5708"/>
    <w:rsid w:val="000D5990"/>
    <w:rsid w:val="000D5BE0"/>
    <w:rsid w:val="000D5DE3"/>
    <w:rsid w:val="000D6070"/>
    <w:rsid w:val="000D60D6"/>
    <w:rsid w:val="000D6201"/>
    <w:rsid w:val="000D621E"/>
    <w:rsid w:val="000D63D8"/>
    <w:rsid w:val="000D63ED"/>
    <w:rsid w:val="000D6E2D"/>
    <w:rsid w:val="000D6EF0"/>
    <w:rsid w:val="000D755C"/>
    <w:rsid w:val="000D77D0"/>
    <w:rsid w:val="000D7D99"/>
    <w:rsid w:val="000E00E2"/>
    <w:rsid w:val="000E00EF"/>
    <w:rsid w:val="000E0113"/>
    <w:rsid w:val="000E01A9"/>
    <w:rsid w:val="000E031C"/>
    <w:rsid w:val="000E0459"/>
    <w:rsid w:val="000E06D0"/>
    <w:rsid w:val="000E090A"/>
    <w:rsid w:val="000E0915"/>
    <w:rsid w:val="000E0AA9"/>
    <w:rsid w:val="000E0EE6"/>
    <w:rsid w:val="000E1360"/>
    <w:rsid w:val="000E14B3"/>
    <w:rsid w:val="000E1579"/>
    <w:rsid w:val="000E1595"/>
    <w:rsid w:val="000E1EC3"/>
    <w:rsid w:val="000E21F6"/>
    <w:rsid w:val="000E28B7"/>
    <w:rsid w:val="000E2A8D"/>
    <w:rsid w:val="000E2E10"/>
    <w:rsid w:val="000E2FEE"/>
    <w:rsid w:val="000E31E3"/>
    <w:rsid w:val="000E35E9"/>
    <w:rsid w:val="000E37B5"/>
    <w:rsid w:val="000E39A9"/>
    <w:rsid w:val="000E3A87"/>
    <w:rsid w:val="000E3AE5"/>
    <w:rsid w:val="000E41C3"/>
    <w:rsid w:val="000E42EA"/>
    <w:rsid w:val="000E44AB"/>
    <w:rsid w:val="000E45AE"/>
    <w:rsid w:val="000E4719"/>
    <w:rsid w:val="000E48E2"/>
    <w:rsid w:val="000E4980"/>
    <w:rsid w:val="000E4AB4"/>
    <w:rsid w:val="000E4BA0"/>
    <w:rsid w:val="000E4D0D"/>
    <w:rsid w:val="000E4E3C"/>
    <w:rsid w:val="000E4F51"/>
    <w:rsid w:val="000E5177"/>
    <w:rsid w:val="000E51FB"/>
    <w:rsid w:val="000E5416"/>
    <w:rsid w:val="000E5436"/>
    <w:rsid w:val="000E54F4"/>
    <w:rsid w:val="000E561A"/>
    <w:rsid w:val="000E56A2"/>
    <w:rsid w:val="000E5812"/>
    <w:rsid w:val="000E5885"/>
    <w:rsid w:val="000E5924"/>
    <w:rsid w:val="000E5AC0"/>
    <w:rsid w:val="000E6202"/>
    <w:rsid w:val="000E6276"/>
    <w:rsid w:val="000E635F"/>
    <w:rsid w:val="000E645F"/>
    <w:rsid w:val="000E655A"/>
    <w:rsid w:val="000E6564"/>
    <w:rsid w:val="000E6664"/>
    <w:rsid w:val="000E6A6B"/>
    <w:rsid w:val="000E6AEE"/>
    <w:rsid w:val="000E6B0E"/>
    <w:rsid w:val="000E7417"/>
    <w:rsid w:val="000E7682"/>
    <w:rsid w:val="000E76F8"/>
    <w:rsid w:val="000E7717"/>
    <w:rsid w:val="000E7B0E"/>
    <w:rsid w:val="000F060F"/>
    <w:rsid w:val="000F061E"/>
    <w:rsid w:val="000F0675"/>
    <w:rsid w:val="000F0862"/>
    <w:rsid w:val="000F0930"/>
    <w:rsid w:val="000F09AB"/>
    <w:rsid w:val="000F0ACA"/>
    <w:rsid w:val="000F0BA0"/>
    <w:rsid w:val="000F12BD"/>
    <w:rsid w:val="000F1302"/>
    <w:rsid w:val="000F144C"/>
    <w:rsid w:val="000F159D"/>
    <w:rsid w:val="000F15A0"/>
    <w:rsid w:val="000F1908"/>
    <w:rsid w:val="000F1C21"/>
    <w:rsid w:val="000F1E75"/>
    <w:rsid w:val="000F20DE"/>
    <w:rsid w:val="000F20EC"/>
    <w:rsid w:val="000F238B"/>
    <w:rsid w:val="000F2472"/>
    <w:rsid w:val="000F2489"/>
    <w:rsid w:val="000F2695"/>
    <w:rsid w:val="000F26C0"/>
    <w:rsid w:val="000F27A6"/>
    <w:rsid w:val="000F2E0B"/>
    <w:rsid w:val="000F2E60"/>
    <w:rsid w:val="000F2F05"/>
    <w:rsid w:val="000F3011"/>
    <w:rsid w:val="000F303D"/>
    <w:rsid w:val="000F351F"/>
    <w:rsid w:val="000F3739"/>
    <w:rsid w:val="000F398A"/>
    <w:rsid w:val="000F39D6"/>
    <w:rsid w:val="000F3B25"/>
    <w:rsid w:val="000F3B59"/>
    <w:rsid w:val="000F3B9D"/>
    <w:rsid w:val="000F3CE0"/>
    <w:rsid w:val="000F3E36"/>
    <w:rsid w:val="000F4604"/>
    <w:rsid w:val="000F48D8"/>
    <w:rsid w:val="000F4B47"/>
    <w:rsid w:val="000F4BB1"/>
    <w:rsid w:val="000F4CAE"/>
    <w:rsid w:val="000F4E9D"/>
    <w:rsid w:val="000F4FCC"/>
    <w:rsid w:val="000F5107"/>
    <w:rsid w:val="000F518D"/>
    <w:rsid w:val="000F574F"/>
    <w:rsid w:val="000F57C2"/>
    <w:rsid w:val="000F5B62"/>
    <w:rsid w:val="000F5F53"/>
    <w:rsid w:val="000F5F69"/>
    <w:rsid w:val="000F5F87"/>
    <w:rsid w:val="000F6208"/>
    <w:rsid w:val="000F62AB"/>
    <w:rsid w:val="000F6364"/>
    <w:rsid w:val="000F6722"/>
    <w:rsid w:val="000F68E7"/>
    <w:rsid w:val="000F6C35"/>
    <w:rsid w:val="000F6C94"/>
    <w:rsid w:val="000F6DEB"/>
    <w:rsid w:val="000F701D"/>
    <w:rsid w:val="000F71B8"/>
    <w:rsid w:val="000F7230"/>
    <w:rsid w:val="000F73A7"/>
    <w:rsid w:val="000F7588"/>
    <w:rsid w:val="000F7598"/>
    <w:rsid w:val="000F77EB"/>
    <w:rsid w:val="000F7869"/>
    <w:rsid w:val="000F7870"/>
    <w:rsid w:val="000F79A8"/>
    <w:rsid w:val="000F7A8D"/>
    <w:rsid w:val="000F7AF1"/>
    <w:rsid w:val="000F7B87"/>
    <w:rsid w:val="000F7B8B"/>
    <w:rsid w:val="000F7C6C"/>
    <w:rsid w:val="000F7C88"/>
    <w:rsid w:val="000F7DA9"/>
    <w:rsid w:val="000F7E43"/>
    <w:rsid w:val="00100050"/>
    <w:rsid w:val="0010021A"/>
    <w:rsid w:val="00100249"/>
    <w:rsid w:val="00100393"/>
    <w:rsid w:val="0010064F"/>
    <w:rsid w:val="00100765"/>
    <w:rsid w:val="001009A4"/>
    <w:rsid w:val="00101196"/>
    <w:rsid w:val="0010119E"/>
    <w:rsid w:val="00101606"/>
    <w:rsid w:val="001017E8"/>
    <w:rsid w:val="0010182A"/>
    <w:rsid w:val="00101895"/>
    <w:rsid w:val="00101B3B"/>
    <w:rsid w:val="00101CFA"/>
    <w:rsid w:val="00101E0F"/>
    <w:rsid w:val="00101EDC"/>
    <w:rsid w:val="00101F07"/>
    <w:rsid w:val="001021F9"/>
    <w:rsid w:val="00102329"/>
    <w:rsid w:val="0010294C"/>
    <w:rsid w:val="0010331C"/>
    <w:rsid w:val="001033FD"/>
    <w:rsid w:val="00103632"/>
    <w:rsid w:val="001036B5"/>
    <w:rsid w:val="00103730"/>
    <w:rsid w:val="0010398D"/>
    <w:rsid w:val="00103CEA"/>
    <w:rsid w:val="00104179"/>
    <w:rsid w:val="00104295"/>
    <w:rsid w:val="00104341"/>
    <w:rsid w:val="00104437"/>
    <w:rsid w:val="00104476"/>
    <w:rsid w:val="00104674"/>
    <w:rsid w:val="001046D1"/>
    <w:rsid w:val="0010473B"/>
    <w:rsid w:val="00104783"/>
    <w:rsid w:val="00104913"/>
    <w:rsid w:val="00104EAA"/>
    <w:rsid w:val="0010504A"/>
    <w:rsid w:val="00105059"/>
    <w:rsid w:val="00105475"/>
    <w:rsid w:val="00105478"/>
    <w:rsid w:val="001054DB"/>
    <w:rsid w:val="00105A5C"/>
    <w:rsid w:val="00105B53"/>
    <w:rsid w:val="00105B83"/>
    <w:rsid w:val="00105B98"/>
    <w:rsid w:val="00105E11"/>
    <w:rsid w:val="00106023"/>
    <w:rsid w:val="00106560"/>
    <w:rsid w:val="001065FF"/>
    <w:rsid w:val="00106658"/>
    <w:rsid w:val="00106BC1"/>
    <w:rsid w:val="00106C1A"/>
    <w:rsid w:val="00107306"/>
    <w:rsid w:val="00107477"/>
    <w:rsid w:val="001076E9"/>
    <w:rsid w:val="001078C3"/>
    <w:rsid w:val="00107921"/>
    <w:rsid w:val="001079ED"/>
    <w:rsid w:val="00107EDD"/>
    <w:rsid w:val="001100F7"/>
    <w:rsid w:val="001101CE"/>
    <w:rsid w:val="00110616"/>
    <w:rsid w:val="00110849"/>
    <w:rsid w:val="00110B23"/>
    <w:rsid w:val="00110EE7"/>
    <w:rsid w:val="001110E5"/>
    <w:rsid w:val="00111346"/>
    <w:rsid w:val="001114AA"/>
    <w:rsid w:val="00111544"/>
    <w:rsid w:val="001115B7"/>
    <w:rsid w:val="00111988"/>
    <w:rsid w:val="00111BF2"/>
    <w:rsid w:val="00111E61"/>
    <w:rsid w:val="00111F32"/>
    <w:rsid w:val="00112099"/>
    <w:rsid w:val="001120E7"/>
    <w:rsid w:val="00112233"/>
    <w:rsid w:val="0011226B"/>
    <w:rsid w:val="0011247F"/>
    <w:rsid w:val="001125D1"/>
    <w:rsid w:val="0011291D"/>
    <w:rsid w:val="00112962"/>
    <w:rsid w:val="00112BD5"/>
    <w:rsid w:val="00112CA4"/>
    <w:rsid w:val="00112EB7"/>
    <w:rsid w:val="0011321F"/>
    <w:rsid w:val="001134AD"/>
    <w:rsid w:val="001134F3"/>
    <w:rsid w:val="0011354C"/>
    <w:rsid w:val="0011355D"/>
    <w:rsid w:val="0011357C"/>
    <w:rsid w:val="0011360C"/>
    <w:rsid w:val="00113A5E"/>
    <w:rsid w:val="00113AEB"/>
    <w:rsid w:val="00113B5C"/>
    <w:rsid w:val="00113B8E"/>
    <w:rsid w:val="00113D82"/>
    <w:rsid w:val="0011409E"/>
    <w:rsid w:val="001142B3"/>
    <w:rsid w:val="001145EC"/>
    <w:rsid w:val="00114697"/>
    <w:rsid w:val="001147F7"/>
    <w:rsid w:val="00114889"/>
    <w:rsid w:val="001148D2"/>
    <w:rsid w:val="00114B5D"/>
    <w:rsid w:val="00114C9A"/>
    <w:rsid w:val="00114CDE"/>
    <w:rsid w:val="00114E42"/>
    <w:rsid w:val="00114F8D"/>
    <w:rsid w:val="00115052"/>
    <w:rsid w:val="001152B9"/>
    <w:rsid w:val="00115611"/>
    <w:rsid w:val="00115918"/>
    <w:rsid w:val="00115C3C"/>
    <w:rsid w:val="00115CC6"/>
    <w:rsid w:val="00115FCD"/>
    <w:rsid w:val="001160EB"/>
    <w:rsid w:val="00116563"/>
    <w:rsid w:val="0011667B"/>
    <w:rsid w:val="00116682"/>
    <w:rsid w:val="001166F7"/>
    <w:rsid w:val="00116818"/>
    <w:rsid w:val="00116863"/>
    <w:rsid w:val="00116877"/>
    <w:rsid w:val="00116D1D"/>
    <w:rsid w:val="00116D73"/>
    <w:rsid w:val="00117069"/>
    <w:rsid w:val="0011727A"/>
    <w:rsid w:val="001178A7"/>
    <w:rsid w:val="001178ED"/>
    <w:rsid w:val="0011793A"/>
    <w:rsid w:val="0011797D"/>
    <w:rsid w:val="00117A19"/>
    <w:rsid w:val="00117C26"/>
    <w:rsid w:val="00117CDA"/>
    <w:rsid w:val="0012010C"/>
    <w:rsid w:val="00120472"/>
    <w:rsid w:val="001205F2"/>
    <w:rsid w:val="00120866"/>
    <w:rsid w:val="0012086F"/>
    <w:rsid w:val="00120951"/>
    <w:rsid w:val="00120987"/>
    <w:rsid w:val="00120B56"/>
    <w:rsid w:val="00120D2D"/>
    <w:rsid w:val="00120D56"/>
    <w:rsid w:val="00120F8D"/>
    <w:rsid w:val="00120FF5"/>
    <w:rsid w:val="00121028"/>
    <w:rsid w:val="0012152B"/>
    <w:rsid w:val="0012157E"/>
    <w:rsid w:val="001217E6"/>
    <w:rsid w:val="00121C62"/>
    <w:rsid w:val="00121EC0"/>
    <w:rsid w:val="00121FA8"/>
    <w:rsid w:val="001220B5"/>
    <w:rsid w:val="001221FC"/>
    <w:rsid w:val="00122243"/>
    <w:rsid w:val="00122290"/>
    <w:rsid w:val="00122365"/>
    <w:rsid w:val="001226C2"/>
    <w:rsid w:val="00122843"/>
    <w:rsid w:val="00122B1F"/>
    <w:rsid w:val="00122E80"/>
    <w:rsid w:val="0012301E"/>
    <w:rsid w:val="00123069"/>
    <w:rsid w:val="001230B9"/>
    <w:rsid w:val="00123337"/>
    <w:rsid w:val="0012335B"/>
    <w:rsid w:val="001234EA"/>
    <w:rsid w:val="00123536"/>
    <w:rsid w:val="0012354B"/>
    <w:rsid w:val="0012376E"/>
    <w:rsid w:val="0012391E"/>
    <w:rsid w:val="00123948"/>
    <w:rsid w:val="00123A04"/>
    <w:rsid w:val="00123A62"/>
    <w:rsid w:val="00123A99"/>
    <w:rsid w:val="00123AF2"/>
    <w:rsid w:val="00123B42"/>
    <w:rsid w:val="00123B73"/>
    <w:rsid w:val="00123E17"/>
    <w:rsid w:val="00123F10"/>
    <w:rsid w:val="001240D1"/>
    <w:rsid w:val="00124258"/>
    <w:rsid w:val="00124479"/>
    <w:rsid w:val="00124511"/>
    <w:rsid w:val="001248DF"/>
    <w:rsid w:val="0012495C"/>
    <w:rsid w:val="00124ADE"/>
    <w:rsid w:val="00124DE0"/>
    <w:rsid w:val="00124E79"/>
    <w:rsid w:val="00124FA6"/>
    <w:rsid w:val="0012501E"/>
    <w:rsid w:val="00125057"/>
    <w:rsid w:val="0012507C"/>
    <w:rsid w:val="001253D1"/>
    <w:rsid w:val="0012548F"/>
    <w:rsid w:val="00125494"/>
    <w:rsid w:val="0012553B"/>
    <w:rsid w:val="001258EB"/>
    <w:rsid w:val="001259FE"/>
    <w:rsid w:val="00125C42"/>
    <w:rsid w:val="00125C64"/>
    <w:rsid w:val="00125DE7"/>
    <w:rsid w:val="00125DFF"/>
    <w:rsid w:val="00125E26"/>
    <w:rsid w:val="00126108"/>
    <w:rsid w:val="0012659C"/>
    <w:rsid w:val="001266BB"/>
    <w:rsid w:val="0012675B"/>
    <w:rsid w:val="00126936"/>
    <w:rsid w:val="00126A8F"/>
    <w:rsid w:val="00126AAF"/>
    <w:rsid w:val="00126E7D"/>
    <w:rsid w:val="00126F0B"/>
    <w:rsid w:val="001271D2"/>
    <w:rsid w:val="00127226"/>
    <w:rsid w:val="001272E2"/>
    <w:rsid w:val="001273DC"/>
    <w:rsid w:val="0012744D"/>
    <w:rsid w:val="001274EB"/>
    <w:rsid w:val="0012750F"/>
    <w:rsid w:val="00127B5C"/>
    <w:rsid w:val="00127B74"/>
    <w:rsid w:val="00127C76"/>
    <w:rsid w:val="00127D02"/>
    <w:rsid w:val="00127DF9"/>
    <w:rsid w:val="00127EE4"/>
    <w:rsid w:val="00130349"/>
    <w:rsid w:val="001308A1"/>
    <w:rsid w:val="001309F9"/>
    <w:rsid w:val="00130B35"/>
    <w:rsid w:val="00130C22"/>
    <w:rsid w:val="00130C77"/>
    <w:rsid w:val="00130D91"/>
    <w:rsid w:val="00131016"/>
    <w:rsid w:val="001311E9"/>
    <w:rsid w:val="00131410"/>
    <w:rsid w:val="0013142B"/>
    <w:rsid w:val="0013160F"/>
    <w:rsid w:val="00131633"/>
    <w:rsid w:val="0013163E"/>
    <w:rsid w:val="001317EB"/>
    <w:rsid w:val="001318ED"/>
    <w:rsid w:val="00131DD1"/>
    <w:rsid w:val="0013296B"/>
    <w:rsid w:val="00132A1A"/>
    <w:rsid w:val="00132A29"/>
    <w:rsid w:val="00132A83"/>
    <w:rsid w:val="00132CF3"/>
    <w:rsid w:val="00133058"/>
    <w:rsid w:val="00133522"/>
    <w:rsid w:val="00133580"/>
    <w:rsid w:val="001337CA"/>
    <w:rsid w:val="001339A9"/>
    <w:rsid w:val="00133A48"/>
    <w:rsid w:val="00133B05"/>
    <w:rsid w:val="00133B3B"/>
    <w:rsid w:val="00133DCF"/>
    <w:rsid w:val="00133FA0"/>
    <w:rsid w:val="00134123"/>
    <w:rsid w:val="00134617"/>
    <w:rsid w:val="00134660"/>
    <w:rsid w:val="00134DA2"/>
    <w:rsid w:val="0013554F"/>
    <w:rsid w:val="001357A9"/>
    <w:rsid w:val="00135847"/>
    <w:rsid w:val="00135CDC"/>
    <w:rsid w:val="00135D01"/>
    <w:rsid w:val="001360D2"/>
    <w:rsid w:val="0013620B"/>
    <w:rsid w:val="001364CE"/>
    <w:rsid w:val="001368EE"/>
    <w:rsid w:val="00136A87"/>
    <w:rsid w:val="00136E59"/>
    <w:rsid w:val="00136E5B"/>
    <w:rsid w:val="00136E88"/>
    <w:rsid w:val="00137521"/>
    <w:rsid w:val="00137906"/>
    <w:rsid w:val="00137A87"/>
    <w:rsid w:val="00137E1C"/>
    <w:rsid w:val="00137EF4"/>
    <w:rsid w:val="0014017C"/>
    <w:rsid w:val="001401AD"/>
    <w:rsid w:val="001401C1"/>
    <w:rsid w:val="001401CD"/>
    <w:rsid w:val="001402AF"/>
    <w:rsid w:val="00140B0A"/>
    <w:rsid w:val="00140E0F"/>
    <w:rsid w:val="00140ED7"/>
    <w:rsid w:val="00141055"/>
    <w:rsid w:val="001411EF"/>
    <w:rsid w:val="001413B6"/>
    <w:rsid w:val="001413C8"/>
    <w:rsid w:val="00141512"/>
    <w:rsid w:val="0014171C"/>
    <w:rsid w:val="0014178D"/>
    <w:rsid w:val="00141936"/>
    <w:rsid w:val="0014194A"/>
    <w:rsid w:val="001419C4"/>
    <w:rsid w:val="00141A87"/>
    <w:rsid w:val="00141D37"/>
    <w:rsid w:val="00142034"/>
    <w:rsid w:val="00142233"/>
    <w:rsid w:val="001422EE"/>
    <w:rsid w:val="00142483"/>
    <w:rsid w:val="0014257F"/>
    <w:rsid w:val="00142968"/>
    <w:rsid w:val="00142971"/>
    <w:rsid w:val="001429E2"/>
    <w:rsid w:val="00142D54"/>
    <w:rsid w:val="00142EDF"/>
    <w:rsid w:val="00142F6F"/>
    <w:rsid w:val="001430CA"/>
    <w:rsid w:val="001432B9"/>
    <w:rsid w:val="00143553"/>
    <w:rsid w:val="001436C8"/>
    <w:rsid w:val="001436F8"/>
    <w:rsid w:val="0014372A"/>
    <w:rsid w:val="001438A3"/>
    <w:rsid w:val="00143918"/>
    <w:rsid w:val="00143945"/>
    <w:rsid w:val="00143949"/>
    <w:rsid w:val="001439DB"/>
    <w:rsid w:val="00143B4F"/>
    <w:rsid w:val="00143B62"/>
    <w:rsid w:val="00143F12"/>
    <w:rsid w:val="00144301"/>
    <w:rsid w:val="00144557"/>
    <w:rsid w:val="00144599"/>
    <w:rsid w:val="0014465C"/>
    <w:rsid w:val="00144939"/>
    <w:rsid w:val="00144A19"/>
    <w:rsid w:val="00144D1E"/>
    <w:rsid w:val="00144E2B"/>
    <w:rsid w:val="00144EE0"/>
    <w:rsid w:val="00145247"/>
    <w:rsid w:val="001452F5"/>
    <w:rsid w:val="001454A9"/>
    <w:rsid w:val="001455D2"/>
    <w:rsid w:val="00145910"/>
    <w:rsid w:val="00145CA2"/>
    <w:rsid w:val="00145CD2"/>
    <w:rsid w:val="00145E0E"/>
    <w:rsid w:val="00145F80"/>
    <w:rsid w:val="001460F9"/>
    <w:rsid w:val="00146233"/>
    <w:rsid w:val="00146236"/>
    <w:rsid w:val="0014624E"/>
    <w:rsid w:val="0014651F"/>
    <w:rsid w:val="0014687C"/>
    <w:rsid w:val="001469DC"/>
    <w:rsid w:val="00146BEF"/>
    <w:rsid w:val="00146E63"/>
    <w:rsid w:val="00147059"/>
    <w:rsid w:val="001470DB"/>
    <w:rsid w:val="00147208"/>
    <w:rsid w:val="00147209"/>
    <w:rsid w:val="00147285"/>
    <w:rsid w:val="0014756C"/>
    <w:rsid w:val="0014761B"/>
    <w:rsid w:val="00147BCF"/>
    <w:rsid w:val="00147CC5"/>
    <w:rsid w:val="00147FAF"/>
    <w:rsid w:val="0015000E"/>
    <w:rsid w:val="00150852"/>
    <w:rsid w:val="00150B6C"/>
    <w:rsid w:val="00150BA3"/>
    <w:rsid w:val="00150C1A"/>
    <w:rsid w:val="00150C4A"/>
    <w:rsid w:val="00150CDB"/>
    <w:rsid w:val="00150E3E"/>
    <w:rsid w:val="00150E8A"/>
    <w:rsid w:val="00151596"/>
    <w:rsid w:val="00151668"/>
    <w:rsid w:val="00151757"/>
    <w:rsid w:val="00151816"/>
    <w:rsid w:val="0015199B"/>
    <w:rsid w:val="00151B76"/>
    <w:rsid w:val="00151BE6"/>
    <w:rsid w:val="00151E36"/>
    <w:rsid w:val="00151F87"/>
    <w:rsid w:val="0015211F"/>
    <w:rsid w:val="00152154"/>
    <w:rsid w:val="00152331"/>
    <w:rsid w:val="00152590"/>
    <w:rsid w:val="00152597"/>
    <w:rsid w:val="0015275C"/>
    <w:rsid w:val="0015290B"/>
    <w:rsid w:val="0015291C"/>
    <w:rsid w:val="00152AD0"/>
    <w:rsid w:val="00152E6C"/>
    <w:rsid w:val="001530A3"/>
    <w:rsid w:val="001530CE"/>
    <w:rsid w:val="00153217"/>
    <w:rsid w:val="00153224"/>
    <w:rsid w:val="00153407"/>
    <w:rsid w:val="0015343A"/>
    <w:rsid w:val="0015369B"/>
    <w:rsid w:val="0015375F"/>
    <w:rsid w:val="0015395B"/>
    <w:rsid w:val="00153CE7"/>
    <w:rsid w:val="00153DA1"/>
    <w:rsid w:val="00154010"/>
    <w:rsid w:val="001540B9"/>
    <w:rsid w:val="001540F8"/>
    <w:rsid w:val="00154115"/>
    <w:rsid w:val="0015422E"/>
    <w:rsid w:val="00154574"/>
    <w:rsid w:val="00154812"/>
    <w:rsid w:val="00154990"/>
    <w:rsid w:val="001549A7"/>
    <w:rsid w:val="00154B79"/>
    <w:rsid w:val="00154EB5"/>
    <w:rsid w:val="00154FA6"/>
    <w:rsid w:val="00155076"/>
    <w:rsid w:val="001552AA"/>
    <w:rsid w:val="0015537A"/>
    <w:rsid w:val="00155460"/>
    <w:rsid w:val="00155608"/>
    <w:rsid w:val="00155610"/>
    <w:rsid w:val="001557C9"/>
    <w:rsid w:val="00155AA0"/>
    <w:rsid w:val="00155AAE"/>
    <w:rsid w:val="00155BE2"/>
    <w:rsid w:val="00155C4C"/>
    <w:rsid w:val="00155CD3"/>
    <w:rsid w:val="00155F84"/>
    <w:rsid w:val="00156156"/>
    <w:rsid w:val="00156258"/>
    <w:rsid w:val="00156275"/>
    <w:rsid w:val="0015628A"/>
    <w:rsid w:val="0015646A"/>
    <w:rsid w:val="001565F4"/>
    <w:rsid w:val="001566D6"/>
    <w:rsid w:val="00156EA8"/>
    <w:rsid w:val="00156FFF"/>
    <w:rsid w:val="001571EC"/>
    <w:rsid w:val="0015726B"/>
    <w:rsid w:val="001573CD"/>
    <w:rsid w:val="00157477"/>
    <w:rsid w:val="001574A3"/>
    <w:rsid w:val="001574B2"/>
    <w:rsid w:val="0015777E"/>
    <w:rsid w:val="001577CA"/>
    <w:rsid w:val="00157A60"/>
    <w:rsid w:val="00157A61"/>
    <w:rsid w:val="00157BF2"/>
    <w:rsid w:val="00157D7B"/>
    <w:rsid w:val="00157DF9"/>
    <w:rsid w:val="00157F19"/>
    <w:rsid w:val="0016039F"/>
    <w:rsid w:val="001605FA"/>
    <w:rsid w:val="00160823"/>
    <w:rsid w:val="00160931"/>
    <w:rsid w:val="00160958"/>
    <w:rsid w:val="00160C45"/>
    <w:rsid w:val="00160D83"/>
    <w:rsid w:val="00160EAB"/>
    <w:rsid w:val="00161307"/>
    <w:rsid w:val="00161349"/>
    <w:rsid w:val="00161547"/>
    <w:rsid w:val="0016183B"/>
    <w:rsid w:val="001618B0"/>
    <w:rsid w:val="00161DC8"/>
    <w:rsid w:val="00161E81"/>
    <w:rsid w:val="0016200D"/>
    <w:rsid w:val="0016201E"/>
    <w:rsid w:val="0016206D"/>
    <w:rsid w:val="001624B8"/>
    <w:rsid w:val="001625AD"/>
    <w:rsid w:val="00162711"/>
    <w:rsid w:val="00162759"/>
    <w:rsid w:val="0016290F"/>
    <w:rsid w:val="0016299E"/>
    <w:rsid w:val="00162B51"/>
    <w:rsid w:val="00162CB7"/>
    <w:rsid w:val="00162D38"/>
    <w:rsid w:val="00162F62"/>
    <w:rsid w:val="00162FF5"/>
    <w:rsid w:val="001635AA"/>
    <w:rsid w:val="0016366C"/>
    <w:rsid w:val="001637AB"/>
    <w:rsid w:val="001638A7"/>
    <w:rsid w:val="001639EE"/>
    <w:rsid w:val="00163A1B"/>
    <w:rsid w:val="00163C34"/>
    <w:rsid w:val="00163D1C"/>
    <w:rsid w:val="00163D9D"/>
    <w:rsid w:val="00163DF4"/>
    <w:rsid w:val="00163EEC"/>
    <w:rsid w:val="00164167"/>
    <w:rsid w:val="001642D4"/>
    <w:rsid w:val="001644C2"/>
    <w:rsid w:val="00164585"/>
    <w:rsid w:val="001645A6"/>
    <w:rsid w:val="00164926"/>
    <w:rsid w:val="00164955"/>
    <w:rsid w:val="00164C54"/>
    <w:rsid w:val="00164C97"/>
    <w:rsid w:val="00164DEF"/>
    <w:rsid w:val="00164F56"/>
    <w:rsid w:val="00164F62"/>
    <w:rsid w:val="00165117"/>
    <w:rsid w:val="0016523E"/>
    <w:rsid w:val="001652F4"/>
    <w:rsid w:val="0016546A"/>
    <w:rsid w:val="001655F1"/>
    <w:rsid w:val="001657EE"/>
    <w:rsid w:val="001658D7"/>
    <w:rsid w:val="00165A1B"/>
    <w:rsid w:val="00165A48"/>
    <w:rsid w:val="00165A9F"/>
    <w:rsid w:val="00165B4A"/>
    <w:rsid w:val="00165DFF"/>
    <w:rsid w:val="00165F9B"/>
    <w:rsid w:val="00166086"/>
    <w:rsid w:val="0016614E"/>
    <w:rsid w:val="0016640E"/>
    <w:rsid w:val="00166451"/>
    <w:rsid w:val="0016654D"/>
    <w:rsid w:val="00166704"/>
    <w:rsid w:val="001667B4"/>
    <w:rsid w:val="001668EE"/>
    <w:rsid w:val="00166B8A"/>
    <w:rsid w:val="00166EA8"/>
    <w:rsid w:val="00167068"/>
    <w:rsid w:val="001672F3"/>
    <w:rsid w:val="0016737F"/>
    <w:rsid w:val="0016740E"/>
    <w:rsid w:val="001676A1"/>
    <w:rsid w:val="00167719"/>
    <w:rsid w:val="0016776A"/>
    <w:rsid w:val="001679A2"/>
    <w:rsid w:val="001679AD"/>
    <w:rsid w:val="00167A7C"/>
    <w:rsid w:val="00167EE6"/>
    <w:rsid w:val="00167EEF"/>
    <w:rsid w:val="001700EA"/>
    <w:rsid w:val="001701F0"/>
    <w:rsid w:val="00170227"/>
    <w:rsid w:val="001704C8"/>
    <w:rsid w:val="001705A3"/>
    <w:rsid w:val="001705AC"/>
    <w:rsid w:val="00170629"/>
    <w:rsid w:val="00170663"/>
    <w:rsid w:val="00170795"/>
    <w:rsid w:val="00170797"/>
    <w:rsid w:val="001707A9"/>
    <w:rsid w:val="001707D5"/>
    <w:rsid w:val="00170C52"/>
    <w:rsid w:val="00170C8D"/>
    <w:rsid w:val="00170D4A"/>
    <w:rsid w:val="001710F0"/>
    <w:rsid w:val="0017118D"/>
    <w:rsid w:val="0017133E"/>
    <w:rsid w:val="001713AA"/>
    <w:rsid w:val="0017142A"/>
    <w:rsid w:val="00171511"/>
    <w:rsid w:val="00171534"/>
    <w:rsid w:val="0017158C"/>
    <w:rsid w:val="00171B2E"/>
    <w:rsid w:val="00171CC3"/>
    <w:rsid w:val="00171F06"/>
    <w:rsid w:val="00171F0D"/>
    <w:rsid w:val="001720D2"/>
    <w:rsid w:val="001724AB"/>
    <w:rsid w:val="00172513"/>
    <w:rsid w:val="0017262D"/>
    <w:rsid w:val="0017271B"/>
    <w:rsid w:val="00172773"/>
    <w:rsid w:val="001727AE"/>
    <w:rsid w:val="00172D17"/>
    <w:rsid w:val="00172D29"/>
    <w:rsid w:val="00172E6F"/>
    <w:rsid w:val="0017304B"/>
    <w:rsid w:val="001730C9"/>
    <w:rsid w:val="00173215"/>
    <w:rsid w:val="0017328F"/>
    <w:rsid w:val="001735E1"/>
    <w:rsid w:val="00173754"/>
    <w:rsid w:val="001738E3"/>
    <w:rsid w:val="00173A63"/>
    <w:rsid w:val="00173B16"/>
    <w:rsid w:val="00173C36"/>
    <w:rsid w:val="00173EC1"/>
    <w:rsid w:val="0017417D"/>
    <w:rsid w:val="001741A7"/>
    <w:rsid w:val="00174201"/>
    <w:rsid w:val="001742EF"/>
    <w:rsid w:val="001748F8"/>
    <w:rsid w:val="00174963"/>
    <w:rsid w:val="00174A84"/>
    <w:rsid w:val="00174B3C"/>
    <w:rsid w:val="00174E22"/>
    <w:rsid w:val="00174EFA"/>
    <w:rsid w:val="00175025"/>
    <w:rsid w:val="00175422"/>
    <w:rsid w:val="00175806"/>
    <w:rsid w:val="001758F7"/>
    <w:rsid w:val="0017590F"/>
    <w:rsid w:val="00175CD6"/>
    <w:rsid w:val="00175D7E"/>
    <w:rsid w:val="00175FB9"/>
    <w:rsid w:val="00176219"/>
    <w:rsid w:val="001762A3"/>
    <w:rsid w:val="00176331"/>
    <w:rsid w:val="001763A2"/>
    <w:rsid w:val="00176EFE"/>
    <w:rsid w:val="00176F81"/>
    <w:rsid w:val="001770F7"/>
    <w:rsid w:val="0017710F"/>
    <w:rsid w:val="00177346"/>
    <w:rsid w:val="001774A0"/>
    <w:rsid w:val="001774C5"/>
    <w:rsid w:val="0017757D"/>
    <w:rsid w:val="001777AC"/>
    <w:rsid w:val="00177A37"/>
    <w:rsid w:val="00177A3C"/>
    <w:rsid w:val="00177D58"/>
    <w:rsid w:val="00177D78"/>
    <w:rsid w:val="00177DC6"/>
    <w:rsid w:val="00177E0F"/>
    <w:rsid w:val="00177E74"/>
    <w:rsid w:val="00177EA9"/>
    <w:rsid w:val="00177F10"/>
    <w:rsid w:val="0018034C"/>
    <w:rsid w:val="00180912"/>
    <w:rsid w:val="00180C63"/>
    <w:rsid w:val="00180F3C"/>
    <w:rsid w:val="0018122C"/>
    <w:rsid w:val="00181315"/>
    <w:rsid w:val="00181F4D"/>
    <w:rsid w:val="00182719"/>
    <w:rsid w:val="001828DC"/>
    <w:rsid w:val="00182C77"/>
    <w:rsid w:val="00183312"/>
    <w:rsid w:val="001833BF"/>
    <w:rsid w:val="001835C4"/>
    <w:rsid w:val="001836CC"/>
    <w:rsid w:val="001836FC"/>
    <w:rsid w:val="0018382B"/>
    <w:rsid w:val="00183AFD"/>
    <w:rsid w:val="00183B98"/>
    <w:rsid w:val="00183EB2"/>
    <w:rsid w:val="00183FDE"/>
    <w:rsid w:val="00184019"/>
    <w:rsid w:val="00184165"/>
    <w:rsid w:val="001841BC"/>
    <w:rsid w:val="001845C9"/>
    <w:rsid w:val="001849D3"/>
    <w:rsid w:val="00184DC0"/>
    <w:rsid w:val="00184FA1"/>
    <w:rsid w:val="00185207"/>
    <w:rsid w:val="0018544C"/>
    <w:rsid w:val="001855BD"/>
    <w:rsid w:val="00185789"/>
    <w:rsid w:val="00185A7D"/>
    <w:rsid w:val="00185A98"/>
    <w:rsid w:val="00185BAD"/>
    <w:rsid w:val="00185D21"/>
    <w:rsid w:val="00185D2D"/>
    <w:rsid w:val="00185DFF"/>
    <w:rsid w:val="00185FDE"/>
    <w:rsid w:val="00186041"/>
    <w:rsid w:val="00186248"/>
    <w:rsid w:val="001862A4"/>
    <w:rsid w:val="001865D3"/>
    <w:rsid w:val="0018665C"/>
    <w:rsid w:val="0018679A"/>
    <w:rsid w:val="001867C9"/>
    <w:rsid w:val="001868D0"/>
    <w:rsid w:val="001869EF"/>
    <w:rsid w:val="00186AE1"/>
    <w:rsid w:val="00186C4B"/>
    <w:rsid w:val="00186C90"/>
    <w:rsid w:val="00186FC6"/>
    <w:rsid w:val="00187081"/>
    <w:rsid w:val="001870CB"/>
    <w:rsid w:val="001871E0"/>
    <w:rsid w:val="001873DA"/>
    <w:rsid w:val="001874A7"/>
    <w:rsid w:val="00187744"/>
    <w:rsid w:val="00187912"/>
    <w:rsid w:val="00187B9A"/>
    <w:rsid w:val="00187CE7"/>
    <w:rsid w:val="00187D6B"/>
    <w:rsid w:val="00187F38"/>
    <w:rsid w:val="0019001D"/>
    <w:rsid w:val="00190405"/>
    <w:rsid w:val="001905AD"/>
    <w:rsid w:val="0019074E"/>
    <w:rsid w:val="0019084F"/>
    <w:rsid w:val="00190AC0"/>
    <w:rsid w:val="00190C69"/>
    <w:rsid w:val="001911D9"/>
    <w:rsid w:val="001912D6"/>
    <w:rsid w:val="00191567"/>
    <w:rsid w:val="00191672"/>
    <w:rsid w:val="0019191F"/>
    <w:rsid w:val="0019194C"/>
    <w:rsid w:val="001919BA"/>
    <w:rsid w:val="00191ADA"/>
    <w:rsid w:val="00192039"/>
    <w:rsid w:val="00192348"/>
    <w:rsid w:val="0019240D"/>
    <w:rsid w:val="00192596"/>
    <w:rsid w:val="00192668"/>
    <w:rsid w:val="00192741"/>
    <w:rsid w:val="0019276F"/>
    <w:rsid w:val="0019280B"/>
    <w:rsid w:val="00192A48"/>
    <w:rsid w:val="00192AA6"/>
    <w:rsid w:val="00192CFE"/>
    <w:rsid w:val="00192F97"/>
    <w:rsid w:val="00193036"/>
    <w:rsid w:val="001930D6"/>
    <w:rsid w:val="00193185"/>
    <w:rsid w:val="001931A8"/>
    <w:rsid w:val="00193230"/>
    <w:rsid w:val="001932C8"/>
    <w:rsid w:val="00193333"/>
    <w:rsid w:val="00193393"/>
    <w:rsid w:val="001936FE"/>
    <w:rsid w:val="00193782"/>
    <w:rsid w:val="00193947"/>
    <w:rsid w:val="00193993"/>
    <w:rsid w:val="00193C35"/>
    <w:rsid w:val="00193E1D"/>
    <w:rsid w:val="00193E60"/>
    <w:rsid w:val="00193ED2"/>
    <w:rsid w:val="00193F45"/>
    <w:rsid w:val="00194044"/>
    <w:rsid w:val="00194322"/>
    <w:rsid w:val="001946FB"/>
    <w:rsid w:val="00194994"/>
    <w:rsid w:val="00194BDD"/>
    <w:rsid w:val="00194CAA"/>
    <w:rsid w:val="00194DC4"/>
    <w:rsid w:val="00194F36"/>
    <w:rsid w:val="0019520F"/>
    <w:rsid w:val="0019555A"/>
    <w:rsid w:val="001956A0"/>
    <w:rsid w:val="001957EE"/>
    <w:rsid w:val="00195823"/>
    <w:rsid w:val="001959F1"/>
    <w:rsid w:val="00195EBF"/>
    <w:rsid w:val="0019626C"/>
    <w:rsid w:val="001962DD"/>
    <w:rsid w:val="001962F8"/>
    <w:rsid w:val="00196321"/>
    <w:rsid w:val="00196347"/>
    <w:rsid w:val="00196551"/>
    <w:rsid w:val="001966E9"/>
    <w:rsid w:val="00196836"/>
    <w:rsid w:val="00196B51"/>
    <w:rsid w:val="00196B55"/>
    <w:rsid w:val="00196E5B"/>
    <w:rsid w:val="00196F45"/>
    <w:rsid w:val="00197042"/>
    <w:rsid w:val="00197117"/>
    <w:rsid w:val="001971B9"/>
    <w:rsid w:val="001972F1"/>
    <w:rsid w:val="001974E9"/>
    <w:rsid w:val="001977E6"/>
    <w:rsid w:val="00197A1B"/>
    <w:rsid w:val="00197BD0"/>
    <w:rsid w:val="00197C09"/>
    <w:rsid w:val="00197E1E"/>
    <w:rsid w:val="00197F77"/>
    <w:rsid w:val="001A035F"/>
    <w:rsid w:val="001A038D"/>
    <w:rsid w:val="001A058F"/>
    <w:rsid w:val="001A09BB"/>
    <w:rsid w:val="001A0C29"/>
    <w:rsid w:val="001A0DFD"/>
    <w:rsid w:val="001A0E58"/>
    <w:rsid w:val="001A0E5C"/>
    <w:rsid w:val="001A0E7F"/>
    <w:rsid w:val="001A0F18"/>
    <w:rsid w:val="001A1012"/>
    <w:rsid w:val="001A1127"/>
    <w:rsid w:val="001A16C8"/>
    <w:rsid w:val="001A17B3"/>
    <w:rsid w:val="001A1B19"/>
    <w:rsid w:val="001A1D29"/>
    <w:rsid w:val="001A1EA4"/>
    <w:rsid w:val="001A2109"/>
    <w:rsid w:val="001A22A5"/>
    <w:rsid w:val="001A23F9"/>
    <w:rsid w:val="001A2482"/>
    <w:rsid w:val="001A268C"/>
    <w:rsid w:val="001A2908"/>
    <w:rsid w:val="001A29E2"/>
    <w:rsid w:val="001A2D13"/>
    <w:rsid w:val="001A305C"/>
    <w:rsid w:val="001A30B6"/>
    <w:rsid w:val="001A30E6"/>
    <w:rsid w:val="001A3562"/>
    <w:rsid w:val="001A377B"/>
    <w:rsid w:val="001A3828"/>
    <w:rsid w:val="001A3A5D"/>
    <w:rsid w:val="001A3B0F"/>
    <w:rsid w:val="001A3B93"/>
    <w:rsid w:val="001A3CCD"/>
    <w:rsid w:val="001A3DF0"/>
    <w:rsid w:val="001A4060"/>
    <w:rsid w:val="001A4696"/>
    <w:rsid w:val="001A4A45"/>
    <w:rsid w:val="001A4B86"/>
    <w:rsid w:val="001A4BD7"/>
    <w:rsid w:val="001A503F"/>
    <w:rsid w:val="001A521A"/>
    <w:rsid w:val="001A5317"/>
    <w:rsid w:val="001A5991"/>
    <w:rsid w:val="001A59DC"/>
    <w:rsid w:val="001A5BA1"/>
    <w:rsid w:val="001A5CFB"/>
    <w:rsid w:val="001A5E2F"/>
    <w:rsid w:val="001A6627"/>
    <w:rsid w:val="001A667B"/>
    <w:rsid w:val="001A6813"/>
    <w:rsid w:val="001A687A"/>
    <w:rsid w:val="001A68E7"/>
    <w:rsid w:val="001A699E"/>
    <w:rsid w:val="001A6A07"/>
    <w:rsid w:val="001A6AD8"/>
    <w:rsid w:val="001A6EE0"/>
    <w:rsid w:val="001A73C4"/>
    <w:rsid w:val="001A7975"/>
    <w:rsid w:val="001A7AFF"/>
    <w:rsid w:val="001A7B0A"/>
    <w:rsid w:val="001A7E5A"/>
    <w:rsid w:val="001A7EBE"/>
    <w:rsid w:val="001B0159"/>
    <w:rsid w:val="001B0754"/>
    <w:rsid w:val="001B0D56"/>
    <w:rsid w:val="001B119F"/>
    <w:rsid w:val="001B13DC"/>
    <w:rsid w:val="001B1476"/>
    <w:rsid w:val="001B1489"/>
    <w:rsid w:val="001B155F"/>
    <w:rsid w:val="001B158E"/>
    <w:rsid w:val="001B1601"/>
    <w:rsid w:val="001B1627"/>
    <w:rsid w:val="001B1656"/>
    <w:rsid w:val="001B17AF"/>
    <w:rsid w:val="001B18BC"/>
    <w:rsid w:val="001B1B5E"/>
    <w:rsid w:val="001B1BD5"/>
    <w:rsid w:val="001B1E88"/>
    <w:rsid w:val="001B1F3D"/>
    <w:rsid w:val="001B1F9F"/>
    <w:rsid w:val="001B2162"/>
    <w:rsid w:val="001B2817"/>
    <w:rsid w:val="001B2819"/>
    <w:rsid w:val="001B29A6"/>
    <w:rsid w:val="001B3136"/>
    <w:rsid w:val="001B3293"/>
    <w:rsid w:val="001B33C6"/>
    <w:rsid w:val="001B393C"/>
    <w:rsid w:val="001B3A59"/>
    <w:rsid w:val="001B3C82"/>
    <w:rsid w:val="001B3CCC"/>
    <w:rsid w:val="001B3DB6"/>
    <w:rsid w:val="001B3E37"/>
    <w:rsid w:val="001B4581"/>
    <w:rsid w:val="001B460E"/>
    <w:rsid w:val="001B4B79"/>
    <w:rsid w:val="001B4B7E"/>
    <w:rsid w:val="001B4C5B"/>
    <w:rsid w:val="001B5076"/>
    <w:rsid w:val="001B53DE"/>
    <w:rsid w:val="001B56B3"/>
    <w:rsid w:val="001B56D4"/>
    <w:rsid w:val="001B5819"/>
    <w:rsid w:val="001B5878"/>
    <w:rsid w:val="001B58DA"/>
    <w:rsid w:val="001B5D00"/>
    <w:rsid w:val="001B5D14"/>
    <w:rsid w:val="001B6005"/>
    <w:rsid w:val="001B6084"/>
    <w:rsid w:val="001B636B"/>
    <w:rsid w:val="001B63B8"/>
    <w:rsid w:val="001B642D"/>
    <w:rsid w:val="001B64AD"/>
    <w:rsid w:val="001B657F"/>
    <w:rsid w:val="001B6783"/>
    <w:rsid w:val="001B67CE"/>
    <w:rsid w:val="001B6C65"/>
    <w:rsid w:val="001B6F5B"/>
    <w:rsid w:val="001B7257"/>
    <w:rsid w:val="001B746F"/>
    <w:rsid w:val="001B7673"/>
    <w:rsid w:val="001B767F"/>
    <w:rsid w:val="001B76B9"/>
    <w:rsid w:val="001B7847"/>
    <w:rsid w:val="001B7917"/>
    <w:rsid w:val="001C0193"/>
    <w:rsid w:val="001C062D"/>
    <w:rsid w:val="001C0675"/>
    <w:rsid w:val="001C09B4"/>
    <w:rsid w:val="001C0C0A"/>
    <w:rsid w:val="001C0D89"/>
    <w:rsid w:val="001C0FFD"/>
    <w:rsid w:val="001C1005"/>
    <w:rsid w:val="001C11A0"/>
    <w:rsid w:val="001C11EF"/>
    <w:rsid w:val="001C132E"/>
    <w:rsid w:val="001C141D"/>
    <w:rsid w:val="001C16D8"/>
    <w:rsid w:val="001C1794"/>
    <w:rsid w:val="001C1A7B"/>
    <w:rsid w:val="001C2BE8"/>
    <w:rsid w:val="001C2FF9"/>
    <w:rsid w:val="001C30B5"/>
    <w:rsid w:val="001C3162"/>
    <w:rsid w:val="001C3281"/>
    <w:rsid w:val="001C3520"/>
    <w:rsid w:val="001C3A4B"/>
    <w:rsid w:val="001C3AC2"/>
    <w:rsid w:val="001C4094"/>
    <w:rsid w:val="001C40AC"/>
    <w:rsid w:val="001C42BB"/>
    <w:rsid w:val="001C46D0"/>
    <w:rsid w:val="001C4772"/>
    <w:rsid w:val="001C48BC"/>
    <w:rsid w:val="001C495E"/>
    <w:rsid w:val="001C49D0"/>
    <w:rsid w:val="001C4A4C"/>
    <w:rsid w:val="001C4BAB"/>
    <w:rsid w:val="001C4BBF"/>
    <w:rsid w:val="001C4CE2"/>
    <w:rsid w:val="001C4ED0"/>
    <w:rsid w:val="001C503A"/>
    <w:rsid w:val="001C50CD"/>
    <w:rsid w:val="001C5163"/>
    <w:rsid w:val="001C5238"/>
    <w:rsid w:val="001C523D"/>
    <w:rsid w:val="001C52B6"/>
    <w:rsid w:val="001C532F"/>
    <w:rsid w:val="001C5434"/>
    <w:rsid w:val="001C5707"/>
    <w:rsid w:val="001C5B41"/>
    <w:rsid w:val="001C5CC1"/>
    <w:rsid w:val="001C5D9E"/>
    <w:rsid w:val="001C61F1"/>
    <w:rsid w:val="001C65E0"/>
    <w:rsid w:val="001C66E4"/>
    <w:rsid w:val="001C691D"/>
    <w:rsid w:val="001C6940"/>
    <w:rsid w:val="001C6A7D"/>
    <w:rsid w:val="001C6C5B"/>
    <w:rsid w:val="001C6CA0"/>
    <w:rsid w:val="001C6DAA"/>
    <w:rsid w:val="001C6DD4"/>
    <w:rsid w:val="001C6EF0"/>
    <w:rsid w:val="001C6F07"/>
    <w:rsid w:val="001C7079"/>
    <w:rsid w:val="001C70A2"/>
    <w:rsid w:val="001C70ED"/>
    <w:rsid w:val="001C7341"/>
    <w:rsid w:val="001C7576"/>
    <w:rsid w:val="001C7666"/>
    <w:rsid w:val="001C773B"/>
    <w:rsid w:val="001C774E"/>
    <w:rsid w:val="001C7951"/>
    <w:rsid w:val="001C79F7"/>
    <w:rsid w:val="001C7ABB"/>
    <w:rsid w:val="001D024C"/>
    <w:rsid w:val="001D0395"/>
    <w:rsid w:val="001D0990"/>
    <w:rsid w:val="001D0DA1"/>
    <w:rsid w:val="001D0DB4"/>
    <w:rsid w:val="001D109B"/>
    <w:rsid w:val="001D10E5"/>
    <w:rsid w:val="001D1392"/>
    <w:rsid w:val="001D1647"/>
    <w:rsid w:val="001D169E"/>
    <w:rsid w:val="001D1738"/>
    <w:rsid w:val="001D17F3"/>
    <w:rsid w:val="001D1899"/>
    <w:rsid w:val="001D18C5"/>
    <w:rsid w:val="001D194C"/>
    <w:rsid w:val="001D1A08"/>
    <w:rsid w:val="001D1B67"/>
    <w:rsid w:val="001D1CBE"/>
    <w:rsid w:val="001D1D02"/>
    <w:rsid w:val="001D1DF1"/>
    <w:rsid w:val="001D1F03"/>
    <w:rsid w:val="001D1F1A"/>
    <w:rsid w:val="001D2026"/>
    <w:rsid w:val="001D20E2"/>
    <w:rsid w:val="001D266B"/>
    <w:rsid w:val="001D27A1"/>
    <w:rsid w:val="001D2E7F"/>
    <w:rsid w:val="001D32C5"/>
    <w:rsid w:val="001D3440"/>
    <w:rsid w:val="001D3949"/>
    <w:rsid w:val="001D3B77"/>
    <w:rsid w:val="001D3CDF"/>
    <w:rsid w:val="001D3E18"/>
    <w:rsid w:val="001D3EA8"/>
    <w:rsid w:val="001D3F03"/>
    <w:rsid w:val="001D3F91"/>
    <w:rsid w:val="001D42FD"/>
    <w:rsid w:val="001D43AE"/>
    <w:rsid w:val="001D4530"/>
    <w:rsid w:val="001D4556"/>
    <w:rsid w:val="001D4573"/>
    <w:rsid w:val="001D46C8"/>
    <w:rsid w:val="001D473D"/>
    <w:rsid w:val="001D480C"/>
    <w:rsid w:val="001D48AC"/>
    <w:rsid w:val="001D497B"/>
    <w:rsid w:val="001D4A8C"/>
    <w:rsid w:val="001D4B1D"/>
    <w:rsid w:val="001D4D9F"/>
    <w:rsid w:val="001D4EDC"/>
    <w:rsid w:val="001D500F"/>
    <w:rsid w:val="001D5119"/>
    <w:rsid w:val="001D53BB"/>
    <w:rsid w:val="001D55A5"/>
    <w:rsid w:val="001D55E2"/>
    <w:rsid w:val="001D579C"/>
    <w:rsid w:val="001D5839"/>
    <w:rsid w:val="001D5887"/>
    <w:rsid w:val="001D5E88"/>
    <w:rsid w:val="001D5F33"/>
    <w:rsid w:val="001D6135"/>
    <w:rsid w:val="001D620D"/>
    <w:rsid w:val="001D6285"/>
    <w:rsid w:val="001D629A"/>
    <w:rsid w:val="001D6399"/>
    <w:rsid w:val="001D6540"/>
    <w:rsid w:val="001D6D75"/>
    <w:rsid w:val="001D71F5"/>
    <w:rsid w:val="001D7237"/>
    <w:rsid w:val="001D7468"/>
    <w:rsid w:val="001D74FE"/>
    <w:rsid w:val="001D7540"/>
    <w:rsid w:val="001D78B1"/>
    <w:rsid w:val="001D799A"/>
    <w:rsid w:val="001D7B73"/>
    <w:rsid w:val="001E006E"/>
    <w:rsid w:val="001E0415"/>
    <w:rsid w:val="001E068A"/>
    <w:rsid w:val="001E06B8"/>
    <w:rsid w:val="001E07CE"/>
    <w:rsid w:val="001E0A0A"/>
    <w:rsid w:val="001E0E94"/>
    <w:rsid w:val="001E0F98"/>
    <w:rsid w:val="001E114D"/>
    <w:rsid w:val="001E1917"/>
    <w:rsid w:val="001E1C6E"/>
    <w:rsid w:val="001E1D07"/>
    <w:rsid w:val="001E1FF5"/>
    <w:rsid w:val="001E2308"/>
    <w:rsid w:val="001E2398"/>
    <w:rsid w:val="001E259E"/>
    <w:rsid w:val="001E26D2"/>
    <w:rsid w:val="001E28A7"/>
    <w:rsid w:val="001E2BC6"/>
    <w:rsid w:val="001E2C49"/>
    <w:rsid w:val="001E2C94"/>
    <w:rsid w:val="001E2CEE"/>
    <w:rsid w:val="001E2D01"/>
    <w:rsid w:val="001E2D0D"/>
    <w:rsid w:val="001E2F75"/>
    <w:rsid w:val="001E2FDF"/>
    <w:rsid w:val="001E349A"/>
    <w:rsid w:val="001E34BF"/>
    <w:rsid w:val="001E353E"/>
    <w:rsid w:val="001E3604"/>
    <w:rsid w:val="001E3893"/>
    <w:rsid w:val="001E3CDA"/>
    <w:rsid w:val="001E3FC7"/>
    <w:rsid w:val="001E4012"/>
    <w:rsid w:val="001E403B"/>
    <w:rsid w:val="001E40D1"/>
    <w:rsid w:val="001E4146"/>
    <w:rsid w:val="001E4944"/>
    <w:rsid w:val="001E4D0F"/>
    <w:rsid w:val="001E4D7A"/>
    <w:rsid w:val="001E4F24"/>
    <w:rsid w:val="001E5213"/>
    <w:rsid w:val="001E55B9"/>
    <w:rsid w:val="001E5949"/>
    <w:rsid w:val="001E5D65"/>
    <w:rsid w:val="001E636C"/>
    <w:rsid w:val="001E655E"/>
    <w:rsid w:val="001E65EA"/>
    <w:rsid w:val="001E65FD"/>
    <w:rsid w:val="001E6970"/>
    <w:rsid w:val="001E6EDF"/>
    <w:rsid w:val="001E6FB6"/>
    <w:rsid w:val="001E72E2"/>
    <w:rsid w:val="001E750A"/>
    <w:rsid w:val="001E7713"/>
    <w:rsid w:val="001E788B"/>
    <w:rsid w:val="001E7B8E"/>
    <w:rsid w:val="001E7E33"/>
    <w:rsid w:val="001E7E7F"/>
    <w:rsid w:val="001E7FD5"/>
    <w:rsid w:val="001F030F"/>
    <w:rsid w:val="001F0D9C"/>
    <w:rsid w:val="001F0EA3"/>
    <w:rsid w:val="001F0F4A"/>
    <w:rsid w:val="001F1247"/>
    <w:rsid w:val="001F12E4"/>
    <w:rsid w:val="001F13B3"/>
    <w:rsid w:val="001F1631"/>
    <w:rsid w:val="001F17A8"/>
    <w:rsid w:val="001F1BDC"/>
    <w:rsid w:val="001F1CCE"/>
    <w:rsid w:val="001F224F"/>
    <w:rsid w:val="001F279B"/>
    <w:rsid w:val="001F2819"/>
    <w:rsid w:val="001F2840"/>
    <w:rsid w:val="001F2AC8"/>
    <w:rsid w:val="001F2B72"/>
    <w:rsid w:val="001F2CE3"/>
    <w:rsid w:val="001F341B"/>
    <w:rsid w:val="001F3890"/>
    <w:rsid w:val="001F394F"/>
    <w:rsid w:val="001F3A3A"/>
    <w:rsid w:val="001F3A42"/>
    <w:rsid w:val="001F3A81"/>
    <w:rsid w:val="001F3D88"/>
    <w:rsid w:val="001F3FA8"/>
    <w:rsid w:val="001F40BE"/>
    <w:rsid w:val="001F412E"/>
    <w:rsid w:val="001F41A1"/>
    <w:rsid w:val="001F41B9"/>
    <w:rsid w:val="001F4675"/>
    <w:rsid w:val="001F4B1A"/>
    <w:rsid w:val="001F4BE5"/>
    <w:rsid w:val="001F4C3D"/>
    <w:rsid w:val="001F4C55"/>
    <w:rsid w:val="001F4F53"/>
    <w:rsid w:val="001F5560"/>
    <w:rsid w:val="001F594C"/>
    <w:rsid w:val="001F59F2"/>
    <w:rsid w:val="001F5E65"/>
    <w:rsid w:val="001F5FD6"/>
    <w:rsid w:val="001F65F9"/>
    <w:rsid w:val="001F6F31"/>
    <w:rsid w:val="001F71C2"/>
    <w:rsid w:val="001F71F9"/>
    <w:rsid w:val="001F720F"/>
    <w:rsid w:val="001F761D"/>
    <w:rsid w:val="001F772F"/>
    <w:rsid w:val="001F7762"/>
    <w:rsid w:val="001F7928"/>
    <w:rsid w:val="001F7A95"/>
    <w:rsid w:val="001F7CAD"/>
    <w:rsid w:val="001F7D1F"/>
    <w:rsid w:val="001F7E4B"/>
    <w:rsid w:val="001F7F19"/>
    <w:rsid w:val="001F7FAB"/>
    <w:rsid w:val="00200104"/>
    <w:rsid w:val="0020037F"/>
    <w:rsid w:val="00200A2B"/>
    <w:rsid w:val="00200A47"/>
    <w:rsid w:val="00200AAF"/>
    <w:rsid w:val="00200ABD"/>
    <w:rsid w:val="00200DEC"/>
    <w:rsid w:val="00200E98"/>
    <w:rsid w:val="00200FA0"/>
    <w:rsid w:val="00201206"/>
    <w:rsid w:val="002014A6"/>
    <w:rsid w:val="002015A4"/>
    <w:rsid w:val="0020164D"/>
    <w:rsid w:val="002016AE"/>
    <w:rsid w:val="0020171B"/>
    <w:rsid w:val="00201969"/>
    <w:rsid w:val="002019EB"/>
    <w:rsid w:val="002020CE"/>
    <w:rsid w:val="002020DE"/>
    <w:rsid w:val="002022B2"/>
    <w:rsid w:val="0020259A"/>
    <w:rsid w:val="002025E4"/>
    <w:rsid w:val="00202621"/>
    <w:rsid w:val="00202659"/>
    <w:rsid w:val="00202B05"/>
    <w:rsid w:val="00202BB5"/>
    <w:rsid w:val="00202BFF"/>
    <w:rsid w:val="00202F8C"/>
    <w:rsid w:val="002030FF"/>
    <w:rsid w:val="002033FC"/>
    <w:rsid w:val="00203502"/>
    <w:rsid w:val="00203578"/>
    <w:rsid w:val="00203705"/>
    <w:rsid w:val="00203833"/>
    <w:rsid w:val="002038AD"/>
    <w:rsid w:val="00203AD2"/>
    <w:rsid w:val="00203E5D"/>
    <w:rsid w:val="00203F99"/>
    <w:rsid w:val="00203FC9"/>
    <w:rsid w:val="00204307"/>
    <w:rsid w:val="00204333"/>
    <w:rsid w:val="00204B2C"/>
    <w:rsid w:val="00204FDF"/>
    <w:rsid w:val="0020505D"/>
    <w:rsid w:val="00205140"/>
    <w:rsid w:val="002053E3"/>
    <w:rsid w:val="0020549F"/>
    <w:rsid w:val="002054A5"/>
    <w:rsid w:val="002055F4"/>
    <w:rsid w:val="0020573F"/>
    <w:rsid w:val="002059B9"/>
    <w:rsid w:val="00205AD2"/>
    <w:rsid w:val="00205BA1"/>
    <w:rsid w:val="0020609A"/>
    <w:rsid w:val="002060B9"/>
    <w:rsid w:val="002066E3"/>
    <w:rsid w:val="00206712"/>
    <w:rsid w:val="002069FA"/>
    <w:rsid w:val="00206DEB"/>
    <w:rsid w:val="002070B2"/>
    <w:rsid w:val="002070BB"/>
    <w:rsid w:val="002071F3"/>
    <w:rsid w:val="00207285"/>
    <w:rsid w:val="002072AA"/>
    <w:rsid w:val="00207323"/>
    <w:rsid w:val="00207434"/>
    <w:rsid w:val="002075AF"/>
    <w:rsid w:val="0020774B"/>
    <w:rsid w:val="00207CC2"/>
    <w:rsid w:val="00207D56"/>
    <w:rsid w:val="00207F95"/>
    <w:rsid w:val="002105D2"/>
    <w:rsid w:val="00210652"/>
    <w:rsid w:val="002106E4"/>
    <w:rsid w:val="00210929"/>
    <w:rsid w:val="00210C45"/>
    <w:rsid w:val="00210D7B"/>
    <w:rsid w:val="00210EBF"/>
    <w:rsid w:val="00211158"/>
    <w:rsid w:val="0021123D"/>
    <w:rsid w:val="00211251"/>
    <w:rsid w:val="0021128E"/>
    <w:rsid w:val="00211940"/>
    <w:rsid w:val="00211B95"/>
    <w:rsid w:val="00211F6F"/>
    <w:rsid w:val="002127FA"/>
    <w:rsid w:val="00212804"/>
    <w:rsid w:val="00212876"/>
    <w:rsid w:val="00212EE8"/>
    <w:rsid w:val="00213014"/>
    <w:rsid w:val="0021301E"/>
    <w:rsid w:val="002131F7"/>
    <w:rsid w:val="0021339B"/>
    <w:rsid w:val="002134F2"/>
    <w:rsid w:val="0021376C"/>
    <w:rsid w:val="00213A33"/>
    <w:rsid w:val="00213B14"/>
    <w:rsid w:val="00213DCD"/>
    <w:rsid w:val="00213E05"/>
    <w:rsid w:val="00213EB6"/>
    <w:rsid w:val="00214048"/>
    <w:rsid w:val="00214224"/>
    <w:rsid w:val="00214482"/>
    <w:rsid w:val="002144C3"/>
    <w:rsid w:val="002149DD"/>
    <w:rsid w:val="002149EF"/>
    <w:rsid w:val="00214B12"/>
    <w:rsid w:val="0021540F"/>
    <w:rsid w:val="002156C3"/>
    <w:rsid w:val="0021599D"/>
    <w:rsid w:val="00215CC2"/>
    <w:rsid w:val="00215D45"/>
    <w:rsid w:val="00215D86"/>
    <w:rsid w:val="0021643F"/>
    <w:rsid w:val="002164F4"/>
    <w:rsid w:val="0021651D"/>
    <w:rsid w:val="00216685"/>
    <w:rsid w:val="002166C9"/>
    <w:rsid w:val="0021676D"/>
    <w:rsid w:val="00216775"/>
    <w:rsid w:val="00216A4E"/>
    <w:rsid w:val="00217077"/>
    <w:rsid w:val="002170F9"/>
    <w:rsid w:val="002176D4"/>
    <w:rsid w:val="0021781A"/>
    <w:rsid w:val="00217BC4"/>
    <w:rsid w:val="00217ED6"/>
    <w:rsid w:val="00220020"/>
    <w:rsid w:val="002201B2"/>
    <w:rsid w:val="00220365"/>
    <w:rsid w:val="002205F5"/>
    <w:rsid w:val="002206B4"/>
    <w:rsid w:val="002207E7"/>
    <w:rsid w:val="00220A84"/>
    <w:rsid w:val="00220B84"/>
    <w:rsid w:val="00220DA8"/>
    <w:rsid w:val="00220E68"/>
    <w:rsid w:val="00221531"/>
    <w:rsid w:val="0022169C"/>
    <w:rsid w:val="002216FB"/>
    <w:rsid w:val="00221739"/>
    <w:rsid w:val="00222251"/>
    <w:rsid w:val="002224FF"/>
    <w:rsid w:val="002225AA"/>
    <w:rsid w:val="00222659"/>
    <w:rsid w:val="00222805"/>
    <w:rsid w:val="0022289F"/>
    <w:rsid w:val="002228A3"/>
    <w:rsid w:val="002229C5"/>
    <w:rsid w:val="002229D3"/>
    <w:rsid w:val="00222B3F"/>
    <w:rsid w:val="0022319D"/>
    <w:rsid w:val="002233AD"/>
    <w:rsid w:val="00223548"/>
    <w:rsid w:val="002235F4"/>
    <w:rsid w:val="00223659"/>
    <w:rsid w:val="00223662"/>
    <w:rsid w:val="00223933"/>
    <w:rsid w:val="00223C11"/>
    <w:rsid w:val="00223E6C"/>
    <w:rsid w:val="00223F7F"/>
    <w:rsid w:val="0022426C"/>
    <w:rsid w:val="002242B7"/>
    <w:rsid w:val="0022431A"/>
    <w:rsid w:val="00224451"/>
    <w:rsid w:val="002246B2"/>
    <w:rsid w:val="0022483C"/>
    <w:rsid w:val="00224899"/>
    <w:rsid w:val="00224B48"/>
    <w:rsid w:val="00224B64"/>
    <w:rsid w:val="00224C5A"/>
    <w:rsid w:val="00224C6A"/>
    <w:rsid w:val="00224D47"/>
    <w:rsid w:val="00224E33"/>
    <w:rsid w:val="00224E7B"/>
    <w:rsid w:val="00224F20"/>
    <w:rsid w:val="00225172"/>
    <w:rsid w:val="002251E9"/>
    <w:rsid w:val="002252A0"/>
    <w:rsid w:val="002253F8"/>
    <w:rsid w:val="00225529"/>
    <w:rsid w:val="00225562"/>
    <w:rsid w:val="002256EE"/>
    <w:rsid w:val="002257AA"/>
    <w:rsid w:val="002258EC"/>
    <w:rsid w:val="00225983"/>
    <w:rsid w:val="00225B28"/>
    <w:rsid w:val="00225CCD"/>
    <w:rsid w:val="00226519"/>
    <w:rsid w:val="0022655B"/>
    <w:rsid w:val="002265BC"/>
    <w:rsid w:val="002266B8"/>
    <w:rsid w:val="002267CA"/>
    <w:rsid w:val="002269AB"/>
    <w:rsid w:val="00226A7B"/>
    <w:rsid w:val="00226B05"/>
    <w:rsid w:val="00226B26"/>
    <w:rsid w:val="00226D4C"/>
    <w:rsid w:val="00227753"/>
    <w:rsid w:val="0022799C"/>
    <w:rsid w:val="002303C3"/>
    <w:rsid w:val="00230459"/>
    <w:rsid w:val="002306E0"/>
    <w:rsid w:val="0023075A"/>
    <w:rsid w:val="002307E4"/>
    <w:rsid w:val="00230871"/>
    <w:rsid w:val="00230BE1"/>
    <w:rsid w:val="00231142"/>
    <w:rsid w:val="0023136C"/>
    <w:rsid w:val="002317AC"/>
    <w:rsid w:val="0023186F"/>
    <w:rsid w:val="0023188F"/>
    <w:rsid w:val="00231A7F"/>
    <w:rsid w:val="00231C00"/>
    <w:rsid w:val="00231CC2"/>
    <w:rsid w:val="00231CEB"/>
    <w:rsid w:val="00231E2F"/>
    <w:rsid w:val="00231E3B"/>
    <w:rsid w:val="00231EB8"/>
    <w:rsid w:val="002322C4"/>
    <w:rsid w:val="002323E6"/>
    <w:rsid w:val="002325F8"/>
    <w:rsid w:val="00232638"/>
    <w:rsid w:val="0023265D"/>
    <w:rsid w:val="00232B47"/>
    <w:rsid w:val="00232B4C"/>
    <w:rsid w:val="0023309D"/>
    <w:rsid w:val="00233271"/>
    <w:rsid w:val="00233651"/>
    <w:rsid w:val="0023365A"/>
    <w:rsid w:val="002336B0"/>
    <w:rsid w:val="002337D6"/>
    <w:rsid w:val="00233B46"/>
    <w:rsid w:val="00233B55"/>
    <w:rsid w:val="00233F8A"/>
    <w:rsid w:val="002343AD"/>
    <w:rsid w:val="00234457"/>
    <w:rsid w:val="00234493"/>
    <w:rsid w:val="0023457F"/>
    <w:rsid w:val="002346A7"/>
    <w:rsid w:val="00234781"/>
    <w:rsid w:val="002348F2"/>
    <w:rsid w:val="00234A28"/>
    <w:rsid w:val="00234F39"/>
    <w:rsid w:val="00234FC3"/>
    <w:rsid w:val="0023500A"/>
    <w:rsid w:val="002350EE"/>
    <w:rsid w:val="00235150"/>
    <w:rsid w:val="002353D1"/>
    <w:rsid w:val="002354B9"/>
    <w:rsid w:val="002357D7"/>
    <w:rsid w:val="002358EF"/>
    <w:rsid w:val="0023592B"/>
    <w:rsid w:val="00235BF1"/>
    <w:rsid w:val="00235EB3"/>
    <w:rsid w:val="00236222"/>
    <w:rsid w:val="00236984"/>
    <w:rsid w:val="002369FE"/>
    <w:rsid w:val="00236C9F"/>
    <w:rsid w:val="00236CB4"/>
    <w:rsid w:val="00237194"/>
    <w:rsid w:val="00237669"/>
    <w:rsid w:val="002376BE"/>
    <w:rsid w:val="002377AA"/>
    <w:rsid w:val="002377EF"/>
    <w:rsid w:val="00237897"/>
    <w:rsid w:val="00237C70"/>
    <w:rsid w:val="00237E3B"/>
    <w:rsid w:val="00240564"/>
    <w:rsid w:val="002406B5"/>
    <w:rsid w:val="002406D7"/>
    <w:rsid w:val="00240947"/>
    <w:rsid w:val="002409E8"/>
    <w:rsid w:val="00240BBC"/>
    <w:rsid w:val="002410B2"/>
    <w:rsid w:val="002412A9"/>
    <w:rsid w:val="0024154B"/>
    <w:rsid w:val="00241691"/>
    <w:rsid w:val="002416E8"/>
    <w:rsid w:val="00241726"/>
    <w:rsid w:val="00241B46"/>
    <w:rsid w:val="00241D46"/>
    <w:rsid w:val="00241E02"/>
    <w:rsid w:val="00241ECA"/>
    <w:rsid w:val="00241FA9"/>
    <w:rsid w:val="00241FBD"/>
    <w:rsid w:val="00242148"/>
    <w:rsid w:val="00242264"/>
    <w:rsid w:val="00242403"/>
    <w:rsid w:val="00242512"/>
    <w:rsid w:val="002426B8"/>
    <w:rsid w:val="00242A7D"/>
    <w:rsid w:val="00242C00"/>
    <w:rsid w:val="00242C7A"/>
    <w:rsid w:val="00242F2E"/>
    <w:rsid w:val="00242F53"/>
    <w:rsid w:val="00242FD4"/>
    <w:rsid w:val="00243288"/>
    <w:rsid w:val="00243591"/>
    <w:rsid w:val="00243636"/>
    <w:rsid w:val="002437C7"/>
    <w:rsid w:val="00243B4C"/>
    <w:rsid w:val="00243B72"/>
    <w:rsid w:val="00243CA3"/>
    <w:rsid w:val="00243EB8"/>
    <w:rsid w:val="00243F8E"/>
    <w:rsid w:val="00244099"/>
    <w:rsid w:val="00244164"/>
    <w:rsid w:val="002441E5"/>
    <w:rsid w:val="0024478D"/>
    <w:rsid w:val="00244804"/>
    <w:rsid w:val="00244C45"/>
    <w:rsid w:val="00245009"/>
    <w:rsid w:val="0024504B"/>
    <w:rsid w:val="002450A4"/>
    <w:rsid w:val="00245161"/>
    <w:rsid w:val="00245174"/>
    <w:rsid w:val="0024523A"/>
    <w:rsid w:val="0024553F"/>
    <w:rsid w:val="00245546"/>
    <w:rsid w:val="00245619"/>
    <w:rsid w:val="002459CF"/>
    <w:rsid w:val="00245C83"/>
    <w:rsid w:val="00245EA4"/>
    <w:rsid w:val="00245EC6"/>
    <w:rsid w:val="00245F2C"/>
    <w:rsid w:val="00245F58"/>
    <w:rsid w:val="00245FBF"/>
    <w:rsid w:val="002460F9"/>
    <w:rsid w:val="002464BC"/>
    <w:rsid w:val="002464FE"/>
    <w:rsid w:val="00246B43"/>
    <w:rsid w:val="00246CC7"/>
    <w:rsid w:val="0024708D"/>
    <w:rsid w:val="00247108"/>
    <w:rsid w:val="00247242"/>
    <w:rsid w:val="00247319"/>
    <w:rsid w:val="00247436"/>
    <w:rsid w:val="0024743E"/>
    <w:rsid w:val="0024760F"/>
    <w:rsid w:val="002476C4"/>
    <w:rsid w:val="00247A06"/>
    <w:rsid w:val="00247FAD"/>
    <w:rsid w:val="00247FE4"/>
    <w:rsid w:val="0025021A"/>
    <w:rsid w:val="0025036A"/>
    <w:rsid w:val="00250672"/>
    <w:rsid w:val="00250C2A"/>
    <w:rsid w:val="00250EEE"/>
    <w:rsid w:val="002510BC"/>
    <w:rsid w:val="0025130E"/>
    <w:rsid w:val="002517F9"/>
    <w:rsid w:val="00251935"/>
    <w:rsid w:val="0025197D"/>
    <w:rsid w:val="00251CED"/>
    <w:rsid w:val="00251ED7"/>
    <w:rsid w:val="00252000"/>
    <w:rsid w:val="002520DC"/>
    <w:rsid w:val="002522A3"/>
    <w:rsid w:val="002527DF"/>
    <w:rsid w:val="0025281F"/>
    <w:rsid w:val="002529CC"/>
    <w:rsid w:val="00252BDD"/>
    <w:rsid w:val="00252D20"/>
    <w:rsid w:val="00253481"/>
    <w:rsid w:val="00253537"/>
    <w:rsid w:val="00253B15"/>
    <w:rsid w:val="00253B93"/>
    <w:rsid w:val="00253DF6"/>
    <w:rsid w:val="00253E54"/>
    <w:rsid w:val="00253ECF"/>
    <w:rsid w:val="00253F04"/>
    <w:rsid w:val="002541B4"/>
    <w:rsid w:val="00254213"/>
    <w:rsid w:val="002543D3"/>
    <w:rsid w:val="002543D9"/>
    <w:rsid w:val="00254711"/>
    <w:rsid w:val="00254774"/>
    <w:rsid w:val="00254899"/>
    <w:rsid w:val="002549BC"/>
    <w:rsid w:val="00254C10"/>
    <w:rsid w:val="00254E61"/>
    <w:rsid w:val="0025502E"/>
    <w:rsid w:val="002550BC"/>
    <w:rsid w:val="002554EC"/>
    <w:rsid w:val="0025562E"/>
    <w:rsid w:val="0025594D"/>
    <w:rsid w:val="00255B26"/>
    <w:rsid w:val="00255B43"/>
    <w:rsid w:val="00255FD9"/>
    <w:rsid w:val="00256077"/>
    <w:rsid w:val="002564B1"/>
    <w:rsid w:val="00256701"/>
    <w:rsid w:val="00256B06"/>
    <w:rsid w:val="00256EDC"/>
    <w:rsid w:val="002572AB"/>
    <w:rsid w:val="002572B4"/>
    <w:rsid w:val="002573A7"/>
    <w:rsid w:val="002573AC"/>
    <w:rsid w:val="0025756B"/>
    <w:rsid w:val="00257593"/>
    <w:rsid w:val="002575AA"/>
    <w:rsid w:val="0025786C"/>
    <w:rsid w:val="00257E65"/>
    <w:rsid w:val="0026019C"/>
    <w:rsid w:val="0026022B"/>
    <w:rsid w:val="0026029A"/>
    <w:rsid w:val="00260484"/>
    <w:rsid w:val="002606FE"/>
    <w:rsid w:val="002607E7"/>
    <w:rsid w:val="0026096D"/>
    <w:rsid w:val="002609A7"/>
    <w:rsid w:val="00260C7E"/>
    <w:rsid w:val="00260D49"/>
    <w:rsid w:val="00261069"/>
    <w:rsid w:val="00261194"/>
    <w:rsid w:val="00261322"/>
    <w:rsid w:val="002613B6"/>
    <w:rsid w:val="0026144F"/>
    <w:rsid w:val="002614E9"/>
    <w:rsid w:val="00261777"/>
    <w:rsid w:val="00261B48"/>
    <w:rsid w:val="00261C36"/>
    <w:rsid w:val="00261CA7"/>
    <w:rsid w:val="00262160"/>
    <w:rsid w:val="00262173"/>
    <w:rsid w:val="002622BA"/>
    <w:rsid w:val="002624F9"/>
    <w:rsid w:val="00262719"/>
    <w:rsid w:val="00262B6C"/>
    <w:rsid w:val="00262E9B"/>
    <w:rsid w:val="00263002"/>
    <w:rsid w:val="002630EB"/>
    <w:rsid w:val="002633BE"/>
    <w:rsid w:val="0026343B"/>
    <w:rsid w:val="002635F5"/>
    <w:rsid w:val="00263716"/>
    <w:rsid w:val="002638BF"/>
    <w:rsid w:val="00263A1B"/>
    <w:rsid w:val="00263AEA"/>
    <w:rsid w:val="00263C8B"/>
    <w:rsid w:val="00263CEC"/>
    <w:rsid w:val="00264558"/>
    <w:rsid w:val="002645D6"/>
    <w:rsid w:val="00264650"/>
    <w:rsid w:val="0026496A"/>
    <w:rsid w:val="00264983"/>
    <w:rsid w:val="00264A2A"/>
    <w:rsid w:val="00264D3F"/>
    <w:rsid w:val="00264E7D"/>
    <w:rsid w:val="0026528B"/>
    <w:rsid w:val="00265421"/>
    <w:rsid w:val="00265ACE"/>
    <w:rsid w:val="00265E74"/>
    <w:rsid w:val="00265F5E"/>
    <w:rsid w:val="002664E8"/>
    <w:rsid w:val="002664FA"/>
    <w:rsid w:val="002666AE"/>
    <w:rsid w:val="002666B2"/>
    <w:rsid w:val="0026695D"/>
    <w:rsid w:val="00266C79"/>
    <w:rsid w:val="00266DE6"/>
    <w:rsid w:val="0026709C"/>
    <w:rsid w:val="00267187"/>
    <w:rsid w:val="00267348"/>
    <w:rsid w:val="0026749F"/>
    <w:rsid w:val="002675AE"/>
    <w:rsid w:val="0026761A"/>
    <w:rsid w:val="00267738"/>
    <w:rsid w:val="0026785C"/>
    <w:rsid w:val="00267AF8"/>
    <w:rsid w:val="00267D82"/>
    <w:rsid w:val="00270148"/>
    <w:rsid w:val="0027030F"/>
    <w:rsid w:val="00270475"/>
    <w:rsid w:val="002705B0"/>
    <w:rsid w:val="002705FB"/>
    <w:rsid w:val="0027096A"/>
    <w:rsid w:val="00270B53"/>
    <w:rsid w:val="00270CF5"/>
    <w:rsid w:val="00270E7B"/>
    <w:rsid w:val="00270FA7"/>
    <w:rsid w:val="00271215"/>
    <w:rsid w:val="00271270"/>
    <w:rsid w:val="00271310"/>
    <w:rsid w:val="0027144C"/>
    <w:rsid w:val="002716C3"/>
    <w:rsid w:val="0027175F"/>
    <w:rsid w:val="00271B14"/>
    <w:rsid w:val="00271D7D"/>
    <w:rsid w:val="00271F33"/>
    <w:rsid w:val="00271F6D"/>
    <w:rsid w:val="002720A2"/>
    <w:rsid w:val="0027215C"/>
    <w:rsid w:val="0027222D"/>
    <w:rsid w:val="002722F5"/>
    <w:rsid w:val="00272398"/>
    <w:rsid w:val="002723BB"/>
    <w:rsid w:val="00272609"/>
    <w:rsid w:val="00272A47"/>
    <w:rsid w:val="00272B1F"/>
    <w:rsid w:val="00272C52"/>
    <w:rsid w:val="00272EDB"/>
    <w:rsid w:val="00273256"/>
    <w:rsid w:val="0027340B"/>
    <w:rsid w:val="0027349F"/>
    <w:rsid w:val="002735D4"/>
    <w:rsid w:val="00273632"/>
    <w:rsid w:val="00273937"/>
    <w:rsid w:val="00273A08"/>
    <w:rsid w:val="00273CED"/>
    <w:rsid w:val="00273F5D"/>
    <w:rsid w:val="00273FEA"/>
    <w:rsid w:val="002741E7"/>
    <w:rsid w:val="002742F2"/>
    <w:rsid w:val="002747F5"/>
    <w:rsid w:val="00274801"/>
    <w:rsid w:val="00274866"/>
    <w:rsid w:val="00274BBE"/>
    <w:rsid w:val="00274CCB"/>
    <w:rsid w:val="00274D56"/>
    <w:rsid w:val="00274DFE"/>
    <w:rsid w:val="002750B2"/>
    <w:rsid w:val="002750DC"/>
    <w:rsid w:val="002751BD"/>
    <w:rsid w:val="00275205"/>
    <w:rsid w:val="0027523A"/>
    <w:rsid w:val="00275250"/>
    <w:rsid w:val="00275657"/>
    <w:rsid w:val="002756FC"/>
    <w:rsid w:val="00275764"/>
    <w:rsid w:val="002758D2"/>
    <w:rsid w:val="0027593F"/>
    <w:rsid w:val="002759B8"/>
    <w:rsid w:val="00275A4F"/>
    <w:rsid w:val="00275BBD"/>
    <w:rsid w:val="00275FE1"/>
    <w:rsid w:val="00276382"/>
    <w:rsid w:val="002763F2"/>
    <w:rsid w:val="0027696E"/>
    <w:rsid w:val="002769E7"/>
    <w:rsid w:val="00276B09"/>
    <w:rsid w:val="00277332"/>
    <w:rsid w:val="0027755D"/>
    <w:rsid w:val="0027775C"/>
    <w:rsid w:val="0027792F"/>
    <w:rsid w:val="00277A4C"/>
    <w:rsid w:val="00277B3B"/>
    <w:rsid w:val="00277DCA"/>
    <w:rsid w:val="00277FB6"/>
    <w:rsid w:val="00280214"/>
    <w:rsid w:val="00280301"/>
    <w:rsid w:val="002804BF"/>
    <w:rsid w:val="00280B88"/>
    <w:rsid w:val="002811FC"/>
    <w:rsid w:val="00281431"/>
    <w:rsid w:val="00281543"/>
    <w:rsid w:val="00281575"/>
    <w:rsid w:val="00281CBC"/>
    <w:rsid w:val="00281D89"/>
    <w:rsid w:val="00281FDB"/>
    <w:rsid w:val="0028206A"/>
    <w:rsid w:val="002820D5"/>
    <w:rsid w:val="00282193"/>
    <w:rsid w:val="002821FF"/>
    <w:rsid w:val="00282A60"/>
    <w:rsid w:val="00282CCA"/>
    <w:rsid w:val="00282CFA"/>
    <w:rsid w:val="00282D4C"/>
    <w:rsid w:val="00282D67"/>
    <w:rsid w:val="00282DE4"/>
    <w:rsid w:val="0028347D"/>
    <w:rsid w:val="002834A1"/>
    <w:rsid w:val="0028392C"/>
    <w:rsid w:val="002839A3"/>
    <w:rsid w:val="00283AF1"/>
    <w:rsid w:val="002840A4"/>
    <w:rsid w:val="002840B3"/>
    <w:rsid w:val="002840B5"/>
    <w:rsid w:val="00284218"/>
    <w:rsid w:val="00284340"/>
    <w:rsid w:val="00284421"/>
    <w:rsid w:val="00284A64"/>
    <w:rsid w:val="00284B95"/>
    <w:rsid w:val="00284CDF"/>
    <w:rsid w:val="00285403"/>
    <w:rsid w:val="0028560E"/>
    <w:rsid w:val="00285736"/>
    <w:rsid w:val="0028584C"/>
    <w:rsid w:val="00285DD6"/>
    <w:rsid w:val="00285E95"/>
    <w:rsid w:val="00285F43"/>
    <w:rsid w:val="00285F86"/>
    <w:rsid w:val="002863F3"/>
    <w:rsid w:val="00286534"/>
    <w:rsid w:val="00286559"/>
    <w:rsid w:val="002868FB"/>
    <w:rsid w:val="002869CE"/>
    <w:rsid w:val="00286B18"/>
    <w:rsid w:val="00286E41"/>
    <w:rsid w:val="0028736E"/>
    <w:rsid w:val="0028782D"/>
    <w:rsid w:val="00287841"/>
    <w:rsid w:val="00287848"/>
    <w:rsid w:val="0028785C"/>
    <w:rsid w:val="00287D45"/>
    <w:rsid w:val="00287EE6"/>
    <w:rsid w:val="00287FCF"/>
    <w:rsid w:val="002901E8"/>
    <w:rsid w:val="00290439"/>
    <w:rsid w:val="002907BD"/>
    <w:rsid w:val="0029092C"/>
    <w:rsid w:val="00290B33"/>
    <w:rsid w:val="00290BA1"/>
    <w:rsid w:val="00290D0A"/>
    <w:rsid w:val="00290D2F"/>
    <w:rsid w:val="00291289"/>
    <w:rsid w:val="002912E4"/>
    <w:rsid w:val="00291550"/>
    <w:rsid w:val="002915F1"/>
    <w:rsid w:val="00291BD5"/>
    <w:rsid w:val="00291C9C"/>
    <w:rsid w:val="00291EDE"/>
    <w:rsid w:val="00291F95"/>
    <w:rsid w:val="00292153"/>
    <w:rsid w:val="002924E7"/>
    <w:rsid w:val="00292B9E"/>
    <w:rsid w:val="00292BFE"/>
    <w:rsid w:val="00292CC1"/>
    <w:rsid w:val="00292F92"/>
    <w:rsid w:val="002931AC"/>
    <w:rsid w:val="002931AD"/>
    <w:rsid w:val="002931F7"/>
    <w:rsid w:val="002934BC"/>
    <w:rsid w:val="002934E0"/>
    <w:rsid w:val="0029356C"/>
    <w:rsid w:val="002935D4"/>
    <w:rsid w:val="0029374D"/>
    <w:rsid w:val="002937F1"/>
    <w:rsid w:val="00293A58"/>
    <w:rsid w:val="00293D21"/>
    <w:rsid w:val="00294287"/>
    <w:rsid w:val="002944F0"/>
    <w:rsid w:val="00294802"/>
    <w:rsid w:val="00294C4E"/>
    <w:rsid w:val="00294DB1"/>
    <w:rsid w:val="00294E0D"/>
    <w:rsid w:val="00294EC1"/>
    <w:rsid w:val="00294F6A"/>
    <w:rsid w:val="0029517D"/>
    <w:rsid w:val="00295B7B"/>
    <w:rsid w:val="00296166"/>
    <w:rsid w:val="002962AB"/>
    <w:rsid w:val="002963FB"/>
    <w:rsid w:val="00296497"/>
    <w:rsid w:val="002965F0"/>
    <w:rsid w:val="002966C9"/>
    <w:rsid w:val="00296878"/>
    <w:rsid w:val="00296900"/>
    <w:rsid w:val="00296B7B"/>
    <w:rsid w:val="00296F6B"/>
    <w:rsid w:val="002971EB"/>
    <w:rsid w:val="00297224"/>
    <w:rsid w:val="002974E5"/>
    <w:rsid w:val="00297516"/>
    <w:rsid w:val="002975CB"/>
    <w:rsid w:val="00297776"/>
    <w:rsid w:val="00297814"/>
    <w:rsid w:val="00297863"/>
    <w:rsid w:val="002978FB"/>
    <w:rsid w:val="00297CA5"/>
    <w:rsid w:val="00297D3D"/>
    <w:rsid w:val="00297DD3"/>
    <w:rsid w:val="00297DF5"/>
    <w:rsid w:val="002A0013"/>
    <w:rsid w:val="002A0116"/>
    <w:rsid w:val="002A0199"/>
    <w:rsid w:val="002A01D2"/>
    <w:rsid w:val="002A033C"/>
    <w:rsid w:val="002A03B6"/>
    <w:rsid w:val="002A04FA"/>
    <w:rsid w:val="002A07F7"/>
    <w:rsid w:val="002A08D3"/>
    <w:rsid w:val="002A0D0B"/>
    <w:rsid w:val="002A0EEF"/>
    <w:rsid w:val="002A1213"/>
    <w:rsid w:val="002A165D"/>
    <w:rsid w:val="002A1A98"/>
    <w:rsid w:val="002A1B2C"/>
    <w:rsid w:val="002A1C03"/>
    <w:rsid w:val="002A1DF8"/>
    <w:rsid w:val="002A233C"/>
    <w:rsid w:val="002A243C"/>
    <w:rsid w:val="002A2495"/>
    <w:rsid w:val="002A2498"/>
    <w:rsid w:val="002A25D1"/>
    <w:rsid w:val="002A25EB"/>
    <w:rsid w:val="002A2BED"/>
    <w:rsid w:val="002A2DDA"/>
    <w:rsid w:val="002A2F4A"/>
    <w:rsid w:val="002A2FD4"/>
    <w:rsid w:val="002A3051"/>
    <w:rsid w:val="002A329B"/>
    <w:rsid w:val="002A339B"/>
    <w:rsid w:val="002A361F"/>
    <w:rsid w:val="002A37EB"/>
    <w:rsid w:val="002A3848"/>
    <w:rsid w:val="002A3A48"/>
    <w:rsid w:val="002A3B26"/>
    <w:rsid w:val="002A3D1A"/>
    <w:rsid w:val="002A418A"/>
    <w:rsid w:val="002A4464"/>
    <w:rsid w:val="002A4503"/>
    <w:rsid w:val="002A46F7"/>
    <w:rsid w:val="002A4AA4"/>
    <w:rsid w:val="002A4BFB"/>
    <w:rsid w:val="002A4C61"/>
    <w:rsid w:val="002A4EE3"/>
    <w:rsid w:val="002A5093"/>
    <w:rsid w:val="002A52F6"/>
    <w:rsid w:val="002A547A"/>
    <w:rsid w:val="002A547F"/>
    <w:rsid w:val="002A548C"/>
    <w:rsid w:val="002A583F"/>
    <w:rsid w:val="002A5A10"/>
    <w:rsid w:val="002A5C53"/>
    <w:rsid w:val="002A5D00"/>
    <w:rsid w:val="002A5F1D"/>
    <w:rsid w:val="002A6029"/>
    <w:rsid w:val="002A60AE"/>
    <w:rsid w:val="002A627B"/>
    <w:rsid w:val="002A6A23"/>
    <w:rsid w:val="002A6BD8"/>
    <w:rsid w:val="002A6D49"/>
    <w:rsid w:val="002A6DE0"/>
    <w:rsid w:val="002A70C2"/>
    <w:rsid w:val="002A742D"/>
    <w:rsid w:val="002A74B9"/>
    <w:rsid w:val="002A7577"/>
    <w:rsid w:val="002A79F2"/>
    <w:rsid w:val="002A7EFD"/>
    <w:rsid w:val="002B01B4"/>
    <w:rsid w:val="002B02E1"/>
    <w:rsid w:val="002B0557"/>
    <w:rsid w:val="002B069C"/>
    <w:rsid w:val="002B0706"/>
    <w:rsid w:val="002B0785"/>
    <w:rsid w:val="002B08EC"/>
    <w:rsid w:val="002B0A73"/>
    <w:rsid w:val="002B1004"/>
    <w:rsid w:val="002B1380"/>
    <w:rsid w:val="002B13B0"/>
    <w:rsid w:val="002B14FA"/>
    <w:rsid w:val="002B187B"/>
    <w:rsid w:val="002B187C"/>
    <w:rsid w:val="002B1B69"/>
    <w:rsid w:val="002B1C25"/>
    <w:rsid w:val="002B2622"/>
    <w:rsid w:val="002B28E5"/>
    <w:rsid w:val="002B2B70"/>
    <w:rsid w:val="002B2C3F"/>
    <w:rsid w:val="002B2FF4"/>
    <w:rsid w:val="002B3091"/>
    <w:rsid w:val="002B320F"/>
    <w:rsid w:val="002B3331"/>
    <w:rsid w:val="002B35E7"/>
    <w:rsid w:val="002B3B2B"/>
    <w:rsid w:val="002B40BB"/>
    <w:rsid w:val="002B4360"/>
    <w:rsid w:val="002B439D"/>
    <w:rsid w:val="002B43C9"/>
    <w:rsid w:val="002B43F1"/>
    <w:rsid w:val="002B4664"/>
    <w:rsid w:val="002B4708"/>
    <w:rsid w:val="002B4806"/>
    <w:rsid w:val="002B48FA"/>
    <w:rsid w:val="002B4B11"/>
    <w:rsid w:val="002B4B30"/>
    <w:rsid w:val="002B4BAC"/>
    <w:rsid w:val="002B4BD4"/>
    <w:rsid w:val="002B4EDF"/>
    <w:rsid w:val="002B52C0"/>
    <w:rsid w:val="002B52F6"/>
    <w:rsid w:val="002B54CA"/>
    <w:rsid w:val="002B55AF"/>
    <w:rsid w:val="002B56D4"/>
    <w:rsid w:val="002B5CC7"/>
    <w:rsid w:val="002B5CF2"/>
    <w:rsid w:val="002B5CFB"/>
    <w:rsid w:val="002B5D69"/>
    <w:rsid w:val="002B5DFB"/>
    <w:rsid w:val="002B5ED2"/>
    <w:rsid w:val="002B5F8A"/>
    <w:rsid w:val="002B6055"/>
    <w:rsid w:val="002B6085"/>
    <w:rsid w:val="002B6093"/>
    <w:rsid w:val="002B60CD"/>
    <w:rsid w:val="002B6292"/>
    <w:rsid w:val="002B6637"/>
    <w:rsid w:val="002B6990"/>
    <w:rsid w:val="002B6CD8"/>
    <w:rsid w:val="002B6E66"/>
    <w:rsid w:val="002B7707"/>
    <w:rsid w:val="002B7735"/>
    <w:rsid w:val="002B7780"/>
    <w:rsid w:val="002B786A"/>
    <w:rsid w:val="002B7B38"/>
    <w:rsid w:val="002B7BC0"/>
    <w:rsid w:val="002B7F7C"/>
    <w:rsid w:val="002C0023"/>
    <w:rsid w:val="002C01D9"/>
    <w:rsid w:val="002C03D4"/>
    <w:rsid w:val="002C0551"/>
    <w:rsid w:val="002C0A99"/>
    <w:rsid w:val="002C0AEA"/>
    <w:rsid w:val="002C0B33"/>
    <w:rsid w:val="002C0C77"/>
    <w:rsid w:val="002C0CB8"/>
    <w:rsid w:val="002C0E92"/>
    <w:rsid w:val="002C0FDA"/>
    <w:rsid w:val="002C11A9"/>
    <w:rsid w:val="002C1212"/>
    <w:rsid w:val="002C12C4"/>
    <w:rsid w:val="002C1603"/>
    <w:rsid w:val="002C1623"/>
    <w:rsid w:val="002C174B"/>
    <w:rsid w:val="002C17EB"/>
    <w:rsid w:val="002C1F16"/>
    <w:rsid w:val="002C1FD5"/>
    <w:rsid w:val="002C21F0"/>
    <w:rsid w:val="002C2378"/>
    <w:rsid w:val="002C23FD"/>
    <w:rsid w:val="002C2C15"/>
    <w:rsid w:val="002C3065"/>
    <w:rsid w:val="002C31CA"/>
    <w:rsid w:val="002C32D6"/>
    <w:rsid w:val="002C3386"/>
    <w:rsid w:val="002C33F2"/>
    <w:rsid w:val="002C365B"/>
    <w:rsid w:val="002C3680"/>
    <w:rsid w:val="002C3718"/>
    <w:rsid w:val="002C387E"/>
    <w:rsid w:val="002C39FC"/>
    <w:rsid w:val="002C3B83"/>
    <w:rsid w:val="002C3DAA"/>
    <w:rsid w:val="002C3E59"/>
    <w:rsid w:val="002C41FD"/>
    <w:rsid w:val="002C432D"/>
    <w:rsid w:val="002C44C8"/>
    <w:rsid w:val="002C44E7"/>
    <w:rsid w:val="002C4662"/>
    <w:rsid w:val="002C476C"/>
    <w:rsid w:val="002C4A3E"/>
    <w:rsid w:val="002C4E17"/>
    <w:rsid w:val="002C5001"/>
    <w:rsid w:val="002C5104"/>
    <w:rsid w:val="002C514D"/>
    <w:rsid w:val="002C521C"/>
    <w:rsid w:val="002C5600"/>
    <w:rsid w:val="002C5772"/>
    <w:rsid w:val="002C5782"/>
    <w:rsid w:val="002C5981"/>
    <w:rsid w:val="002C5CA0"/>
    <w:rsid w:val="002C5D14"/>
    <w:rsid w:val="002C5E80"/>
    <w:rsid w:val="002C5F7F"/>
    <w:rsid w:val="002C6083"/>
    <w:rsid w:val="002C614F"/>
    <w:rsid w:val="002C62D0"/>
    <w:rsid w:val="002C679D"/>
    <w:rsid w:val="002C6C12"/>
    <w:rsid w:val="002C6C67"/>
    <w:rsid w:val="002C6D08"/>
    <w:rsid w:val="002C6FD1"/>
    <w:rsid w:val="002C70D8"/>
    <w:rsid w:val="002C712D"/>
    <w:rsid w:val="002C72E6"/>
    <w:rsid w:val="002C733D"/>
    <w:rsid w:val="002C73CE"/>
    <w:rsid w:val="002C7AFA"/>
    <w:rsid w:val="002C7B9D"/>
    <w:rsid w:val="002C7C12"/>
    <w:rsid w:val="002C7E68"/>
    <w:rsid w:val="002C7EE2"/>
    <w:rsid w:val="002D0259"/>
    <w:rsid w:val="002D039C"/>
    <w:rsid w:val="002D03E2"/>
    <w:rsid w:val="002D0464"/>
    <w:rsid w:val="002D053C"/>
    <w:rsid w:val="002D06C0"/>
    <w:rsid w:val="002D07A7"/>
    <w:rsid w:val="002D0851"/>
    <w:rsid w:val="002D0C30"/>
    <w:rsid w:val="002D0DB0"/>
    <w:rsid w:val="002D0E48"/>
    <w:rsid w:val="002D0E98"/>
    <w:rsid w:val="002D0F07"/>
    <w:rsid w:val="002D1311"/>
    <w:rsid w:val="002D13A5"/>
    <w:rsid w:val="002D150A"/>
    <w:rsid w:val="002D15F5"/>
    <w:rsid w:val="002D16C2"/>
    <w:rsid w:val="002D1C84"/>
    <w:rsid w:val="002D1D56"/>
    <w:rsid w:val="002D1D67"/>
    <w:rsid w:val="002D1E4F"/>
    <w:rsid w:val="002D2199"/>
    <w:rsid w:val="002D22B1"/>
    <w:rsid w:val="002D2700"/>
    <w:rsid w:val="002D276A"/>
    <w:rsid w:val="002D276D"/>
    <w:rsid w:val="002D2DAF"/>
    <w:rsid w:val="002D2EC3"/>
    <w:rsid w:val="002D300B"/>
    <w:rsid w:val="002D31F2"/>
    <w:rsid w:val="002D3584"/>
    <w:rsid w:val="002D371C"/>
    <w:rsid w:val="002D3A11"/>
    <w:rsid w:val="002D3B13"/>
    <w:rsid w:val="002D3B15"/>
    <w:rsid w:val="002D3B8E"/>
    <w:rsid w:val="002D3BD1"/>
    <w:rsid w:val="002D43F7"/>
    <w:rsid w:val="002D469B"/>
    <w:rsid w:val="002D46DA"/>
    <w:rsid w:val="002D47AE"/>
    <w:rsid w:val="002D49B5"/>
    <w:rsid w:val="002D4B31"/>
    <w:rsid w:val="002D4B3E"/>
    <w:rsid w:val="002D4EE0"/>
    <w:rsid w:val="002D5213"/>
    <w:rsid w:val="002D5265"/>
    <w:rsid w:val="002D5365"/>
    <w:rsid w:val="002D546C"/>
    <w:rsid w:val="002D567E"/>
    <w:rsid w:val="002D56FD"/>
    <w:rsid w:val="002D5900"/>
    <w:rsid w:val="002D5AE5"/>
    <w:rsid w:val="002D5C8A"/>
    <w:rsid w:val="002D5CE4"/>
    <w:rsid w:val="002D5FD8"/>
    <w:rsid w:val="002D64F3"/>
    <w:rsid w:val="002D6535"/>
    <w:rsid w:val="002D6B1C"/>
    <w:rsid w:val="002D6D3A"/>
    <w:rsid w:val="002D7477"/>
    <w:rsid w:val="002D7714"/>
    <w:rsid w:val="002D7741"/>
    <w:rsid w:val="002D77EE"/>
    <w:rsid w:val="002D7845"/>
    <w:rsid w:val="002D7BF7"/>
    <w:rsid w:val="002D7C20"/>
    <w:rsid w:val="002D7D2C"/>
    <w:rsid w:val="002D7E76"/>
    <w:rsid w:val="002D7EE1"/>
    <w:rsid w:val="002D7F88"/>
    <w:rsid w:val="002E073A"/>
    <w:rsid w:val="002E0781"/>
    <w:rsid w:val="002E0E68"/>
    <w:rsid w:val="002E0E9F"/>
    <w:rsid w:val="002E1056"/>
    <w:rsid w:val="002E105A"/>
    <w:rsid w:val="002E132C"/>
    <w:rsid w:val="002E1665"/>
    <w:rsid w:val="002E1845"/>
    <w:rsid w:val="002E1975"/>
    <w:rsid w:val="002E1D94"/>
    <w:rsid w:val="002E2213"/>
    <w:rsid w:val="002E2330"/>
    <w:rsid w:val="002E2383"/>
    <w:rsid w:val="002E25FF"/>
    <w:rsid w:val="002E29DC"/>
    <w:rsid w:val="002E2A5D"/>
    <w:rsid w:val="002E2ADA"/>
    <w:rsid w:val="002E2B9D"/>
    <w:rsid w:val="002E2C4C"/>
    <w:rsid w:val="002E2E01"/>
    <w:rsid w:val="002E2F8F"/>
    <w:rsid w:val="002E2FAA"/>
    <w:rsid w:val="002E300F"/>
    <w:rsid w:val="002E3021"/>
    <w:rsid w:val="002E324D"/>
    <w:rsid w:val="002E346D"/>
    <w:rsid w:val="002E3535"/>
    <w:rsid w:val="002E35AD"/>
    <w:rsid w:val="002E377E"/>
    <w:rsid w:val="002E3922"/>
    <w:rsid w:val="002E3996"/>
    <w:rsid w:val="002E3B5E"/>
    <w:rsid w:val="002E3BA8"/>
    <w:rsid w:val="002E3C3E"/>
    <w:rsid w:val="002E3D0B"/>
    <w:rsid w:val="002E3E78"/>
    <w:rsid w:val="002E3F08"/>
    <w:rsid w:val="002E407A"/>
    <w:rsid w:val="002E4107"/>
    <w:rsid w:val="002E41D3"/>
    <w:rsid w:val="002E41DB"/>
    <w:rsid w:val="002E48FA"/>
    <w:rsid w:val="002E4B11"/>
    <w:rsid w:val="002E50AF"/>
    <w:rsid w:val="002E512C"/>
    <w:rsid w:val="002E5341"/>
    <w:rsid w:val="002E536E"/>
    <w:rsid w:val="002E53F7"/>
    <w:rsid w:val="002E552D"/>
    <w:rsid w:val="002E56CF"/>
    <w:rsid w:val="002E57C8"/>
    <w:rsid w:val="002E5888"/>
    <w:rsid w:val="002E5A1D"/>
    <w:rsid w:val="002E5B3A"/>
    <w:rsid w:val="002E5EAA"/>
    <w:rsid w:val="002E5F5A"/>
    <w:rsid w:val="002E6311"/>
    <w:rsid w:val="002E63F8"/>
    <w:rsid w:val="002E6483"/>
    <w:rsid w:val="002E64AC"/>
    <w:rsid w:val="002E658D"/>
    <w:rsid w:val="002E671C"/>
    <w:rsid w:val="002E6A1A"/>
    <w:rsid w:val="002E6A80"/>
    <w:rsid w:val="002E6CE9"/>
    <w:rsid w:val="002E6D78"/>
    <w:rsid w:val="002E72F2"/>
    <w:rsid w:val="002E73EA"/>
    <w:rsid w:val="002E75FD"/>
    <w:rsid w:val="002E76E8"/>
    <w:rsid w:val="002F0067"/>
    <w:rsid w:val="002F00A2"/>
    <w:rsid w:val="002F00E0"/>
    <w:rsid w:val="002F0336"/>
    <w:rsid w:val="002F0717"/>
    <w:rsid w:val="002F0852"/>
    <w:rsid w:val="002F08F3"/>
    <w:rsid w:val="002F0BC5"/>
    <w:rsid w:val="002F0BE4"/>
    <w:rsid w:val="002F10FA"/>
    <w:rsid w:val="002F167D"/>
    <w:rsid w:val="002F194F"/>
    <w:rsid w:val="002F1CBC"/>
    <w:rsid w:val="002F1E3E"/>
    <w:rsid w:val="002F2705"/>
    <w:rsid w:val="002F2951"/>
    <w:rsid w:val="002F2A93"/>
    <w:rsid w:val="002F307B"/>
    <w:rsid w:val="002F3081"/>
    <w:rsid w:val="002F30CF"/>
    <w:rsid w:val="002F34F0"/>
    <w:rsid w:val="002F37ED"/>
    <w:rsid w:val="002F389B"/>
    <w:rsid w:val="002F3926"/>
    <w:rsid w:val="002F3C71"/>
    <w:rsid w:val="002F3F5E"/>
    <w:rsid w:val="002F3FCD"/>
    <w:rsid w:val="002F421D"/>
    <w:rsid w:val="002F473A"/>
    <w:rsid w:val="002F478F"/>
    <w:rsid w:val="002F482C"/>
    <w:rsid w:val="002F4B00"/>
    <w:rsid w:val="002F4C55"/>
    <w:rsid w:val="002F4D65"/>
    <w:rsid w:val="002F4FB5"/>
    <w:rsid w:val="002F5144"/>
    <w:rsid w:val="002F5BD6"/>
    <w:rsid w:val="002F6041"/>
    <w:rsid w:val="002F6101"/>
    <w:rsid w:val="002F61C8"/>
    <w:rsid w:val="002F6320"/>
    <w:rsid w:val="002F66CA"/>
    <w:rsid w:val="002F68E3"/>
    <w:rsid w:val="002F6A58"/>
    <w:rsid w:val="002F6C87"/>
    <w:rsid w:val="002F6C8B"/>
    <w:rsid w:val="002F6DAB"/>
    <w:rsid w:val="002F70D5"/>
    <w:rsid w:val="002F73E0"/>
    <w:rsid w:val="002F76C3"/>
    <w:rsid w:val="002F788B"/>
    <w:rsid w:val="002F78D5"/>
    <w:rsid w:val="002F7D16"/>
    <w:rsid w:val="002F7E24"/>
    <w:rsid w:val="002F7F44"/>
    <w:rsid w:val="003000C8"/>
    <w:rsid w:val="00300119"/>
    <w:rsid w:val="003003E4"/>
    <w:rsid w:val="003007BD"/>
    <w:rsid w:val="003009C2"/>
    <w:rsid w:val="00300C98"/>
    <w:rsid w:val="00300D93"/>
    <w:rsid w:val="00301161"/>
    <w:rsid w:val="00301467"/>
    <w:rsid w:val="0030169A"/>
    <w:rsid w:val="00301BC5"/>
    <w:rsid w:val="00301C54"/>
    <w:rsid w:val="00301D13"/>
    <w:rsid w:val="00301E3A"/>
    <w:rsid w:val="00301FFD"/>
    <w:rsid w:val="0030204D"/>
    <w:rsid w:val="00302093"/>
    <w:rsid w:val="0030224A"/>
    <w:rsid w:val="00302451"/>
    <w:rsid w:val="003025AA"/>
    <w:rsid w:val="0030270E"/>
    <w:rsid w:val="00302990"/>
    <w:rsid w:val="00303040"/>
    <w:rsid w:val="003030B7"/>
    <w:rsid w:val="0030313C"/>
    <w:rsid w:val="0030317E"/>
    <w:rsid w:val="003032C9"/>
    <w:rsid w:val="00303305"/>
    <w:rsid w:val="003036E8"/>
    <w:rsid w:val="003037DB"/>
    <w:rsid w:val="00303A4E"/>
    <w:rsid w:val="00303B93"/>
    <w:rsid w:val="00303CD6"/>
    <w:rsid w:val="00304059"/>
    <w:rsid w:val="003042B0"/>
    <w:rsid w:val="00304F3A"/>
    <w:rsid w:val="003053A5"/>
    <w:rsid w:val="003053AF"/>
    <w:rsid w:val="003054F2"/>
    <w:rsid w:val="00305873"/>
    <w:rsid w:val="00305874"/>
    <w:rsid w:val="003058D5"/>
    <w:rsid w:val="00305F4A"/>
    <w:rsid w:val="00305FF0"/>
    <w:rsid w:val="003060DB"/>
    <w:rsid w:val="00306248"/>
    <w:rsid w:val="0030636D"/>
    <w:rsid w:val="00306435"/>
    <w:rsid w:val="003065A2"/>
    <w:rsid w:val="0030689A"/>
    <w:rsid w:val="00306B25"/>
    <w:rsid w:val="00306C35"/>
    <w:rsid w:val="00306E2A"/>
    <w:rsid w:val="003074E2"/>
    <w:rsid w:val="00307541"/>
    <w:rsid w:val="0030776B"/>
    <w:rsid w:val="0030783E"/>
    <w:rsid w:val="00307962"/>
    <w:rsid w:val="00307C8E"/>
    <w:rsid w:val="00307CFB"/>
    <w:rsid w:val="00307E5E"/>
    <w:rsid w:val="003104BD"/>
    <w:rsid w:val="00310724"/>
    <w:rsid w:val="003109F0"/>
    <w:rsid w:val="00310B6F"/>
    <w:rsid w:val="00310BA5"/>
    <w:rsid w:val="0031114E"/>
    <w:rsid w:val="0031158D"/>
    <w:rsid w:val="00311652"/>
    <w:rsid w:val="003116A5"/>
    <w:rsid w:val="00311B04"/>
    <w:rsid w:val="00311CA2"/>
    <w:rsid w:val="00311DE5"/>
    <w:rsid w:val="00311F56"/>
    <w:rsid w:val="0031208B"/>
    <w:rsid w:val="003122A1"/>
    <w:rsid w:val="0031237F"/>
    <w:rsid w:val="0031243F"/>
    <w:rsid w:val="00312730"/>
    <w:rsid w:val="003127D2"/>
    <w:rsid w:val="00312CF0"/>
    <w:rsid w:val="00312D82"/>
    <w:rsid w:val="00312DF1"/>
    <w:rsid w:val="00312F7E"/>
    <w:rsid w:val="00313101"/>
    <w:rsid w:val="003135AF"/>
    <w:rsid w:val="00313831"/>
    <w:rsid w:val="003138C5"/>
    <w:rsid w:val="0031393B"/>
    <w:rsid w:val="00313F3F"/>
    <w:rsid w:val="003141E5"/>
    <w:rsid w:val="0031422B"/>
    <w:rsid w:val="0031435D"/>
    <w:rsid w:val="003144C5"/>
    <w:rsid w:val="0031463A"/>
    <w:rsid w:val="00314B35"/>
    <w:rsid w:val="00315056"/>
    <w:rsid w:val="0031520D"/>
    <w:rsid w:val="00315287"/>
    <w:rsid w:val="00315302"/>
    <w:rsid w:val="00315586"/>
    <w:rsid w:val="00315707"/>
    <w:rsid w:val="00315A90"/>
    <w:rsid w:val="00315BD1"/>
    <w:rsid w:val="0031602F"/>
    <w:rsid w:val="0031635C"/>
    <w:rsid w:val="00316492"/>
    <w:rsid w:val="00316886"/>
    <w:rsid w:val="00316AE2"/>
    <w:rsid w:val="00316CDC"/>
    <w:rsid w:val="00316EFD"/>
    <w:rsid w:val="00316F7D"/>
    <w:rsid w:val="003173CB"/>
    <w:rsid w:val="003173EA"/>
    <w:rsid w:val="00317418"/>
    <w:rsid w:val="003176F5"/>
    <w:rsid w:val="003178BB"/>
    <w:rsid w:val="003179E7"/>
    <w:rsid w:val="00317BE4"/>
    <w:rsid w:val="00317EF0"/>
    <w:rsid w:val="00317F6B"/>
    <w:rsid w:val="00320086"/>
    <w:rsid w:val="003202D2"/>
    <w:rsid w:val="003202E9"/>
    <w:rsid w:val="003203F0"/>
    <w:rsid w:val="0032040E"/>
    <w:rsid w:val="003209BB"/>
    <w:rsid w:val="00320A66"/>
    <w:rsid w:val="00320BFB"/>
    <w:rsid w:val="00320DF2"/>
    <w:rsid w:val="00320FDB"/>
    <w:rsid w:val="0032110B"/>
    <w:rsid w:val="003212B3"/>
    <w:rsid w:val="00321439"/>
    <w:rsid w:val="00321580"/>
    <w:rsid w:val="003217A9"/>
    <w:rsid w:val="00321985"/>
    <w:rsid w:val="003219F6"/>
    <w:rsid w:val="00321A33"/>
    <w:rsid w:val="00321BAE"/>
    <w:rsid w:val="00321C36"/>
    <w:rsid w:val="00321F6F"/>
    <w:rsid w:val="003220ED"/>
    <w:rsid w:val="003223A6"/>
    <w:rsid w:val="003227C6"/>
    <w:rsid w:val="00322819"/>
    <w:rsid w:val="00322A89"/>
    <w:rsid w:val="00322ADD"/>
    <w:rsid w:val="00322E2C"/>
    <w:rsid w:val="00323395"/>
    <w:rsid w:val="003235C9"/>
    <w:rsid w:val="00323606"/>
    <w:rsid w:val="00323612"/>
    <w:rsid w:val="003236A0"/>
    <w:rsid w:val="00323958"/>
    <w:rsid w:val="00323BF5"/>
    <w:rsid w:val="00323D92"/>
    <w:rsid w:val="003240B3"/>
    <w:rsid w:val="003240F9"/>
    <w:rsid w:val="00324235"/>
    <w:rsid w:val="0032455E"/>
    <w:rsid w:val="003245D5"/>
    <w:rsid w:val="003245E6"/>
    <w:rsid w:val="003248F7"/>
    <w:rsid w:val="00324F23"/>
    <w:rsid w:val="003253DA"/>
    <w:rsid w:val="0032544F"/>
    <w:rsid w:val="00325820"/>
    <w:rsid w:val="0032590A"/>
    <w:rsid w:val="00325C4C"/>
    <w:rsid w:val="00325D6C"/>
    <w:rsid w:val="00326051"/>
    <w:rsid w:val="00326197"/>
    <w:rsid w:val="00326367"/>
    <w:rsid w:val="003263EE"/>
    <w:rsid w:val="00326719"/>
    <w:rsid w:val="00326863"/>
    <w:rsid w:val="003268BB"/>
    <w:rsid w:val="003268F0"/>
    <w:rsid w:val="00326E29"/>
    <w:rsid w:val="00326E7B"/>
    <w:rsid w:val="00326EFE"/>
    <w:rsid w:val="00327100"/>
    <w:rsid w:val="0032730A"/>
    <w:rsid w:val="00327466"/>
    <w:rsid w:val="0032783B"/>
    <w:rsid w:val="00327893"/>
    <w:rsid w:val="00327992"/>
    <w:rsid w:val="00327B96"/>
    <w:rsid w:val="003303B5"/>
    <w:rsid w:val="003307A5"/>
    <w:rsid w:val="003308BB"/>
    <w:rsid w:val="00330CAE"/>
    <w:rsid w:val="00330E0A"/>
    <w:rsid w:val="003310B5"/>
    <w:rsid w:val="003316D3"/>
    <w:rsid w:val="00331937"/>
    <w:rsid w:val="00332013"/>
    <w:rsid w:val="00332144"/>
    <w:rsid w:val="00332188"/>
    <w:rsid w:val="0033228B"/>
    <w:rsid w:val="00332373"/>
    <w:rsid w:val="003325F9"/>
    <w:rsid w:val="0033261C"/>
    <w:rsid w:val="00332630"/>
    <w:rsid w:val="003327D0"/>
    <w:rsid w:val="003328CC"/>
    <w:rsid w:val="00332B78"/>
    <w:rsid w:val="00332D5D"/>
    <w:rsid w:val="00332DCF"/>
    <w:rsid w:val="00332FFC"/>
    <w:rsid w:val="00333390"/>
    <w:rsid w:val="003334A9"/>
    <w:rsid w:val="003334AF"/>
    <w:rsid w:val="0033374D"/>
    <w:rsid w:val="00333A2E"/>
    <w:rsid w:val="00333D48"/>
    <w:rsid w:val="003340FF"/>
    <w:rsid w:val="00334445"/>
    <w:rsid w:val="003349CC"/>
    <w:rsid w:val="003349D6"/>
    <w:rsid w:val="00334FB2"/>
    <w:rsid w:val="00335110"/>
    <w:rsid w:val="0033530A"/>
    <w:rsid w:val="00335319"/>
    <w:rsid w:val="00335437"/>
    <w:rsid w:val="00335BC5"/>
    <w:rsid w:val="00335BDC"/>
    <w:rsid w:val="00335C40"/>
    <w:rsid w:val="00335E93"/>
    <w:rsid w:val="003361EE"/>
    <w:rsid w:val="00336264"/>
    <w:rsid w:val="003363A6"/>
    <w:rsid w:val="00336781"/>
    <w:rsid w:val="00336A62"/>
    <w:rsid w:val="00336A97"/>
    <w:rsid w:val="00336B5C"/>
    <w:rsid w:val="00336B86"/>
    <w:rsid w:val="00337024"/>
    <w:rsid w:val="00337167"/>
    <w:rsid w:val="003373D8"/>
    <w:rsid w:val="0033745D"/>
    <w:rsid w:val="00337556"/>
    <w:rsid w:val="00337685"/>
    <w:rsid w:val="00337970"/>
    <w:rsid w:val="00337C6C"/>
    <w:rsid w:val="00337D0A"/>
    <w:rsid w:val="00337EA2"/>
    <w:rsid w:val="00340267"/>
    <w:rsid w:val="00340743"/>
    <w:rsid w:val="00340A07"/>
    <w:rsid w:val="00340A82"/>
    <w:rsid w:val="00340B2F"/>
    <w:rsid w:val="00340CA5"/>
    <w:rsid w:val="00340FC7"/>
    <w:rsid w:val="00341159"/>
    <w:rsid w:val="003412A2"/>
    <w:rsid w:val="003413D7"/>
    <w:rsid w:val="00341568"/>
    <w:rsid w:val="00341594"/>
    <w:rsid w:val="00341650"/>
    <w:rsid w:val="00341A74"/>
    <w:rsid w:val="00341AAA"/>
    <w:rsid w:val="00341C40"/>
    <w:rsid w:val="00341D00"/>
    <w:rsid w:val="00341EE5"/>
    <w:rsid w:val="00341FDB"/>
    <w:rsid w:val="00342712"/>
    <w:rsid w:val="0034291B"/>
    <w:rsid w:val="00342CED"/>
    <w:rsid w:val="00342E09"/>
    <w:rsid w:val="00342E89"/>
    <w:rsid w:val="00342E93"/>
    <w:rsid w:val="00342E9A"/>
    <w:rsid w:val="003431FB"/>
    <w:rsid w:val="0034320F"/>
    <w:rsid w:val="00343249"/>
    <w:rsid w:val="003434B4"/>
    <w:rsid w:val="0034367F"/>
    <w:rsid w:val="003437C7"/>
    <w:rsid w:val="00343873"/>
    <w:rsid w:val="00343CF0"/>
    <w:rsid w:val="00343E4B"/>
    <w:rsid w:val="00343F2D"/>
    <w:rsid w:val="00343F5D"/>
    <w:rsid w:val="00344005"/>
    <w:rsid w:val="00344211"/>
    <w:rsid w:val="0034423C"/>
    <w:rsid w:val="0034452D"/>
    <w:rsid w:val="003448E8"/>
    <w:rsid w:val="00344AA6"/>
    <w:rsid w:val="00344CE8"/>
    <w:rsid w:val="00344DC1"/>
    <w:rsid w:val="00344EAD"/>
    <w:rsid w:val="003451DA"/>
    <w:rsid w:val="00345445"/>
    <w:rsid w:val="003457C9"/>
    <w:rsid w:val="003457CC"/>
    <w:rsid w:val="00345807"/>
    <w:rsid w:val="00345AA0"/>
    <w:rsid w:val="00345ACF"/>
    <w:rsid w:val="00345F5C"/>
    <w:rsid w:val="00346376"/>
    <w:rsid w:val="0034665C"/>
    <w:rsid w:val="003466F5"/>
    <w:rsid w:val="003468F7"/>
    <w:rsid w:val="00346A56"/>
    <w:rsid w:val="00346D34"/>
    <w:rsid w:val="00346E7C"/>
    <w:rsid w:val="00347002"/>
    <w:rsid w:val="0034715E"/>
    <w:rsid w:val="003471DD"/>
    <w:rsid w:val="003472C9"/>
    <w:rsid w:val="00347392"/>
    <w:rsid w:val="0034752C"/>
    <w:rsid w:val="00347CCB"/>
    <w:rsid w:val="00347CDC"/>
    <w:rsid w:val="003500BF"/>
    <w:rsid w:val="003500F2"/>
    <w:rsid w:val="0035055A"/>
    <w:rsid w:val="003505B4"/>
    <w:rsid w:val="00350696"/>
    <w:rsid w:val="003506BB"/>
    <w:rsid w:val="0035078E"/>
    <w:rsid w:val="003507F0"/>
    <w:rsid w:val="00350CC7"/>
    <w:rsid w:val="003510D0"/>
    <w:rsid w:val="0035119B"/>
    <w:rsid w:val="003514B7"/>
    <w:rsid w:val="00351503"/>
    <w:rsid w:val="0035159B"/>
    <w:rsid w:val="00351688"/>
    <w:rsid w:val="00351825"/>
    <w:rsid w:val="00351A7F"/>
    <w:rsid w:val="00351BB9"/>
    <w:rsid w:val="00352057"/>
    <w:rsid w:val="003521E5"/>
    <w:rsid w:val="0035228B"/>
    <w:rsid w:val="003525BC"/>
    <w:rsid w:val="0035260D"/>
    <w:rsid w:val="00352BD6"/>
    <w:rsid w:val="00352CFF"/>
    <w:rsid w:val="003530BF"/>
    <w:rsid w:val="003534ED"/>
    <w:rsid w:val="0035381B"/>
    <w:rsid w:val="003538B1"/>
    <w:rsid w:val="00353C2F"/>
    <w:rsid w:val="00353C56"/>
    <w:rsid w:val="00353DE9"/>
    <w:rsid w:val="00353E5E"/>
    <w:rsid w:val="00353FE6"/>
    <w:rsid w:val="00354001"/>
    <w:rsid w:val="00354112"/>
    <w:rsid w:val="003541AD"/>
    <w:rsid w:val="003541E2"/>
    <w:rsid w:val="00354204"/>
    <w:rsid w:val="00354207"/>
    <w:rsid w:val="0035441A"/>
    <w:rsid w:val="003545BE"/>
    <w:rsid w:val="00354634"/>
    <w:rsid w:val="003548FA"/>
    <w:rsid w:val="00354F5C"/>
    <w:rsid w:val="00354FAA"/>
    <w:rsid w:val="003553F7"/>
    <w:rsid w:val="00355492"/>
    <w:rsid w:val="003556CF"/>
    <w:rsid w:val="00355907"/>
    <w:rsid w:val="00355BEA"/>
    <w:rsid w:val="00355CAA"/>
    <w:rsid w:val="00355E30"/>
    <w:rsid w:val="00355FE9"/>
    <w:rsid w:val="0035621F"/>
    <w:rsid w:val="00356422"/>
    <w:rsid w:val="00356819"/>
    <w:rsid w:val="00356D4B"/>
    <w:rsid w:val="00356E02"/>
    <w:rsid w:val="00356F43"/>
    <w:rsid w:val="00356F70"/>
    <w:rsid w:val="003570B6"/>
    <w:rsid w:val="0035718F"/>
    <w:rsid w:val="00357233"/>
    <w:rsid w:val="0035750A"/>
    <w:rsid w:val="003578B0"/>
    <w:rsid w:val="00357A53"/>
    <w:rsid w:val="00357A67"/>
    <w:rsid w:val="00357A71"/>
    <w:rsid w:val="00357B02"/>
    <w:rsid w:val="00357C18"/>
    <w:rsid w:val="00357C34"/>
    <w:rsid w:val="00357D92"/>
    <w:rsid w:val="00357E68"/>
    <w:rsid w:val="00357EC2"/>
    <w:rsid w:val="00357FCD"/>
    <w:rsid w:val="0036000D"/>
    <w:rsid w:val="00360053"/>
    <w:rsid w:val="00360191"/>
    <w:rsid w:val="00360258"/>
    <w:rsid w:val="003602FF"/>
    <w:rsid w:val="00360875"/>
    <w:rsid w:val="00360E1C"/>
    <w:rsid w:val="003610F1"/>
    <w:rsid w:val="00361278"/>
    <w:rsid w:val="003614F5"/>
    <w:rsid w:val="003617CB"/>
    <w:rsid w:val="0036188C"/>
    <w:rsid w:val="00361E10"/>
    <w:rsid w:val="00361EE8"/>
    <w:rsid w:val="00361FD4"/>
    <w:rsid w:val="0036201D"/>
    <w:rsid w:val="0036203A"/>
    <w:rsid w:val="0036218C"/>
    <w:rsid w:val="00362268"/>
    <w:rsid w:val="003624A8"/>
    <w:rsid w:val="0036280B"/>
    <w:rsid w:val="00362924"/>
    <w:rsid w:val="00362991"/>
    <w:rsid w:val="00362BA1"/>
    <w:rsid w:val="00362C5C"/>
    <w:rsid w:val="003630BE"/>
    <w:rsid w:val="003630EE"/>
    <w:rsid w:val="003631CE"/>
    <w:rsid w:val="003634EB"/>
    <w:rsid w:val="003635D6"/>
    <w:rsid w:val="003636F2"/>
    <w:rsid w:val="00363B09"/>
    <w:rsid w:val="00364004"/>
    <w:rsid w:val="003640AE"/>
    <w:rsid w:val="0036411C"/>
    <w:rsid w:val="00364184"/>
    <w:rsid w:val="0036424C"/>
    <w:rsid w:val="003642AF"/>
    <w:rsid w:val="00364343"/>
    <w:rsid w:val="00364360"/>
    <w:rsid w:val="003646CA"/>
    <w:rsid w:val="00364D05"/>
    <w:rsid w:val="00365075"/>
    <w:rsid w:val="0036557A"/>
    <w:rsid w:val="003656E9"/>
    <w:rsid w:val="0036594E"/>
    <w:rsid w:val="00365A23"/>
    <w:rsid w:val="00365E63"/>
    <w:rsid w:val="00366333"/>
    <w:rsid w:val="0036637B"/>
    <w:rsid w:val="003663AA"/>
    <w:rsid w:val="0036649F"/>
    <w:rsid w:val="00366691"/>
    <w:rsid w:val="0036695D"/>
    <w:rsid w:val="00366BB4"/>
    <w:rsid w:val="00366C18"/>
    <w:rsid w:val="00366E6E"/>
    <w:rsid w:val="00366EDF"/>
    <w:rsid w:val="00366F76"/>
    <w:rsid w:val="00366F81"/>
    <w:rsid w:val="0036706F"/>
    <w:rsid w:val="003671D5"/>
    <w:rsid w:val="003672B8"/>
    <w:rsid w:val="0036779E"/>
    <w:rsid w:val="003677D3"/>
    <w:rsid w:val="00367AAD"/>
    <w:rsid w:val="00367B06"/>
    <w:rsid w:val="00367DAD"/>
    <w:rsid w:val="00367E4F"/>
    <w:rsid w:val="00367F43"/>
    <w:rsid w:val="003702EB"/>
    <w:rsid w:val="003709EB"/>
    <w:rsid w:val="00370A95"/>
    <w:rsid w:val="00370BC5"/>
    <w:rsid w:val="00370C12"/>
    <w:rsid w:val="00370C24"/>
    <w:rsid w:val="00370D9B"/>
    <w:rsid w:val="0037126F"/>
    <w:rsid w:val="003715C3"/>
    <w:rsid w:val="003717C8"/>
    <w:rsid w:val="00371833"/>
    <w:rsid w:val="00371952"/>
    <w:rsid w:val="0037196C"/>
    <w:rsid w:val="00371C86"/>
    <w:rsid w:val="00371D5F"/>
    <w:rsid w:val="00371E6B"/>
    <w:rsid w:val="00372240"/>
    <w:rsid w:val="00372578"/>
    <w:rsid w:val="003726E3"/>
    <w:rsid w:val="00372750"/>
    <w:rsid w:val="00372879"/>
    <w:rsid w:val="00372BB5"/>
    <w:rsid w:val="00372C9E"/>
    <w:rsid w:val="00372E3D"/>
    <w:rsid w:val="00372F03"/>
    <w:rsid w:val="0037326E"/>
    <w:rsid w:val="00373557"/>
    <w:rsid w:val="003735D8"/>
    <w:rsid w:val="00373652"/>
    <w:rsid w:val="00373898"/>
    <w:rsid w:val="0037396B"/>
    <w:rsid w:val="00373A7C"/>
    <w:rsid w:val="00373B6D"/>
    <w:rsid w:val="00373BD9"/>
    <w:rsid w:val="00373CE0"/>
    <w:rsid w:val="00373E36"/>
    <w:rsid w:val="0037402F"/>
    <w:rsid w:val="003741D5"/>
    <w:rsid w:val="003741F9"/>
    <w:rsid w:val="003743B8"/>
    <w:rsid w:val="003748D0"/>
    <w:rsid w:val="003748D4"/>
    <w:rsid w:val="00374948"/>
    <w:rsid w:val="00374D37"/>
    <w:rsid w:val="00374D3B"/>
    <w:rsid w:val="00374DB5"/>
    <w:rsid w:val="00374DD6"/>
    <w:rsid w:val="00374FF4"/>
    <w:rsid w:val="00375572"/>
    <w:rsid w:val="00375B63"/>
    <w:rsid w:val="00375D91"/>
    <w:rsid w:val="00375FE6"/>
    <w:rsid w:val="00376052"/>
    <w:rsid w:val="0037630A"/>
    <w:rsid w:val="00376334"/>
    <w:rsid w:val="00376542"/>
    <w:rsid w:val="00376563"/>
    <w:rsid w:val="00376882"/>
    <w:rsid w:val="00376920"/>
    <w:rsid w:val="00376B81"/>
    <w:rsid w:val="00376CFE"/>
    <w:rsid w:val="00376D15"/>
    <w:rsid w:val="00376FA3"/>
    <w:rsid w:val="003772A3"/>
    <w:rsid w:val="00377AB7"/>
    <w:rsid w:val="00377C6F"/>
    <w:rsid w:val="00377CDD"/>
    <w:rsid w:val="00377D63"/>
    <w:rsid w:val="00377E42"/>
    <w:rsid w:val="00377FA8"/>
    <w:rsid w:val="00377FCD"/>
    <w:rsid w:val="003803C4"/>
    <w:rsid w:val="0038052E"/>
    <w:rsid w:val="00380965"/>
    <w:rsid w:val="00380982"/>
    <w:rsid w:val="00380B09"/>
    <w:rsid w:val="00380C4C"/>
    <w:rsid w:val="00380CC7"/>
    <w:rsid w:val="00380D72"/>
    <w:rsid w:val="00380E36"/>
    <w:rsid w:val="00380F2B"/>
    <w:rsid w:val="00380FBD"/>
    <w:rsid w:val="0038119C"/>
    <w:rsid w:val="0038124B"/>
    <w:rsid w:val="00381262"/>
    <w:rsid w:val="00381587"/>
    <w:rsid w:val="003817D0"/>
    <w:rsid w:val="003817EE"/>
    <w:rsid w:val="0038182F"/>
    <w:rsid w:val="0038194C"/>
    <w:rsid w:val="00381B27"/>
    <w:rsid w:val="00381D30"/>
    <w:rsid w:val="00381D92"/>
    <w:rsid w:val="00381F09"/>
    <w:rsid w:val="003822EA"/>
    <w:rsid w:val="003822F2"/>
    <w:rsid w:val="003823AC"/>
    <w:rsid w:val="00382694"/>
    <w:rsid w:val="0038290B"/>
    <w:rsid w:val="00382A17"/>
    <w:rsid w:val="00382CA1"/>
    <w:rsid w:val="00382CCA"/>
    <w:rsid w:val="00382FF3"/>
    <w:rsid w:val="003831A8"/>
    <w:rsid w:val="003833FE"/>
    <w:rsid w:val="00383645"/>
    <w:rsid w:val="003837B0"/>
    <w:rsid w:val="0038385A"/>
    <w:rsid w:val="00383FFE"/>
    <w:rsid w:val="003845A2"/>
    <w:rsid w:val="003845EB"/>
    <w:rsid w:val="0038468D"/>
    <w:rsid w:val="00384E58"/>
    <w:rsid w:val="00384F17"/>
    <w:rsid w:val="00385026"/>
    <w:rsid w:val="003850BC"/>
    <w:rsid w:val="003856A5"/>
    <w:rsid w:val="00385888"/>
    <w:rsid w:val="00385A6D"/>
    <w:rsid w:val="00385A77"/>
    <w:rsid w:val="00385CE9"/>
    <w:rsid w:val="00385DDA"/>
    <w:rsid w:val="00386266"/>
    <w:rsid w:val="003866C9"/>
    <w:rsid w:val="003869A2"/>
    <w:rsid w:val="00386CE1"/>
    <w:rsid w:val="00386E8E"/>
    <w:rsid w:val="00386F70"/>
    <w:rsid w:val="0038705D"/>
    <w:rsid w:val="003871BF"/>
    <w:rsid w:val="00387222"/>
    <w:rsid w:val="003873EA"/>
    <w:rsid w:val="0038772B"/>
    <w:rsid w:val="0038773E"/>
    <w:rsid w:val="00387748"/>
    <w:rsid w:val="00387A52"/>
    <w:rsid w:val="00387AF2"/>
    <w:rsid w:val="00387D36"/>
    <w:rsid w:val="00390014"/>
    <w:rsid w:val="003900E8"/>
    <w:rsid w:val="00390330"/>
    <w:rsid w:val="003903F4"/>
    <w:rsid w:val="00390461"/>
    <w:rsid w:val="00390553"/>
    <w:rsid w:val="00390DA6"/>
    <w:rsid w:val="00391208"/>
    <w:rsid w:val="0039137C"/>
    <w:rsid w:val="00391648"/>
    <w:rsid w:val="0039180C"/>
    <w:rsid w:val="003918D9"/>
    <w:rsid w:val="00391AF9"/>
    <w:rsid w:val="00391D1C"/>
    <w:rsid w:val="00391E00"/>
    <w:rsid w:val="00391E39"/>
    <w:rsid w:val="00392065"/>
    <w:rsid w:val="00392460"/>
    <w:rsid w:val="00392491"/>
    <w:rsid w:val="00392585"/>
    <w:rsid w:val="003925AA"/>
    <w:rsid w:val="00392BE5"/>
    <w:rsid w:val="00392CA0"/>
    <w:rsid w:val="0039305B"/>
    <w:rsid w:val="003930C4"/>
    <w:rsid w:val="00393178"/>
    <w:rsid w:val="00393213"/>
    <w:rsid w:val="00393488"/>
    <w:rsid w:val="003934D0"/>
    <w:rsid w:val="00393521"/>
    <w:rsid w:val="00393981"/>
    <w:rsid w:val="00393DAA"/>
    <w:rsid w:val="003943F9"/>
    <w:rsid w:val="00394793"/>
    <w:rsid w:val="0039484E"/>
    <w:rsid w:val="00394926"/>
    <w:rsid w:val="00394BE6"/>
    <w:rsid w:val="00394BF2"/>
    <w:rsid w:val="00394C2F"/>
    <w:rsid w:val="00394DCA"/>
    <w:rsid w:val="003953A3"/>
    <w:rsid w:val="003954FB"/>
    <w:rsid w:val="00395529"/>
    <w:rsid w:val="00395568"/>
    <w:rsid w:val="0039556F"/>
    <w:rsid w:val="0039562F"/>
    <w:rsid w:val="00395C63"/>
    <w:rsid w:val="00395DE5"/>
    <w:rsid w:val="003960C1"/>
    <w:rsid w:val="0039617D"/>
    <w:rsid w:val="00396322"/>
    <w:rsid w:val="00396430"/>
    <w:rsid w:val="0039652D"/>
    <w:rsid w:val="0039674C"/>
    <w:rsid w:val="0039686E"/>
    <w:rsid w:val="003969F3"/>
    <w:rsid w:val="00396A6A"/>
    <w:rsid w:val="00396AA3"/>
    <w:rsid w:val="00396D7D"/>
    <w:rsid w:val="00396E79"/>
    <w:rsid w:val="00396FDB"/>
    <w:rsid w:val="0039721C"/>
    <w:rsid w:val="0039726F"/>
    <w:rsid w:val="00397458"/>
    <w:rsid w:val="003975D8"/>
    <w:rsid w:val="003975EB"/>
    <w:rsid w:val="00397A1E"/>
    <w:rsid w:val="00397A35"/>
    <w:rsid w:val="00397ED9"/>
    <w:rsid w:val="00397F01"/>
    <w:rsid w:val="00397F9B"/>
    <w:rsid w:val="003A0986"/>
    <w:rsid w:val="003A0A6F"/>
    <w:rsid w:val="003A0C8D"/>
    <w:rsid w:val="003A0EA9"/>
    <w:rsid w:val="003A0FFD"/>
    <w:rsid w:val="003A1570"/>
    <w:rsid w:val="003A1623"/>
    <w:rsid w:val="003A162F"/>
    <w:rsid w:val="003A17C7"/>
    <w:rsid w:val="003A1979"/>
    <w:rsid w:val="003A1A9E"/>
    <w:rsid w:val="003A1AE0"/>
    <w:rsid w:val="003A1D0E"/>
    <w:rsid w:val="003A1D64"/>
    <w:rsid w:val="003A227C"/>
    <w:rsid w:val="003A23B6"/>
    <w:rsid w:val="003A2598"/>
    <w:rsid w:val="003A2601"/>
    <w:rsid w:val="003A27EB"/>
    <w:rsid w:val="003A2AA9"/>
    <w:rsid w:val="003A2AAB"/>
    <w:rsid w:val="003A2B4A"/>
    <w:rsid w:val="003A2B53"/>
    <w:rsid w:val="003A30FB"/>
    <w:rsid w:val="003A3348"/>
    <w:rsid w:val="003A3440"/>
    <w:rsid w:val="003A3636"/>
    <w:rsid w:val="003A3954"/>
    <w:rsid w:val="003A395A"/>
    <w:rsid w:val="003A3AD3"/>
    <w:rsid w:val="003A3AD8"/>
    <w:rsid w:val="003A3BB7"/>
    <w:rsid w:val="003A3C3F"/>
    <w:rsid w:val="003A3C49"/>
    <w:rsid w:val="003A3CFA"/>
    <w:rsid w:val="003A3E80"/>
    <w:rsid w:val="003A42B0"/>
    <w:rsid w:val="003A44C2"/>
    <w:rsid w:val="003A494E"/>
    <w:rsid w:val="003A49D7"/>
    <w:rsid w:val="003A4E75"/>
    <w:rsid w:val="003A501F"/>
    <w:rsid w:val="003A531D"/>
    <w:rsid w:val="003A57E0"/>
    <w:rsid w:val="003A584D"/>
    <w:rsid w:val="003A58CB"/>
    <w:rsid w:val="003A5A06"/>
    <w:rsid w:val="003A5E8E"/>
    <w:rsid w:val="003A63DB"/>
    <w:rsid w:val="003A644D"/>
    <w:rsid w:val="003A657E"/>
    <w:rsid w:val="003A6720"/>
    <w:rsid w:val="003A67BA"/>
    <w:rsid w:val="003A67F2"/>
    <w:rsid w:val="003A687A"/>
    <w:rsid w:val="003A6882"/>
    <w:rsid w:val="003A6956"/>
    <w:rsid w:val="003A6BC5"/>
    <w:rsid w:val="003A6C62"/>
    <w:rsid w:val="003A6CFB"/>
    <w:rsid w:val="003A6F23"/>
    <w:rsid w:val="003A701D"/>
    <w:rsid w:val="003A71C1"/>
    <w:rsid w:val="003A7231"/>
    <w:rsid w:val="003A72CA"/>
    <w:rsid w:val="003A7318"/>
    <w:rsid w:val="003A7358"/>
    <w:rsid w:val="003A74DF"/>
    <w:rsid w:val="003A7629"/>
    <w:rsid w:val="003A7D86"/>
    <w:rsid w:val="003A7DAA"/>
    <w:rsid w:val="003B0219"/>
    <w:rsid w:val="003B03E7"/>
    <w:rsid w:val="003B0A79"/>
    <w:rsid w:val="003B0BBF"/>
    <w:rsid w:val="003B0C0F"/>
    <w:rsid w:val="003B0D33"/>
    <w:rsid w:val="003B0FB2"/>
    <w:rsid w:val="003B0FC9"/>
    <w:rsid w:val="003B1007"/>
    <w:rsid w:val="003B1185"/>
    <w:rsid w:val="003B11D4"/>
    <w:rsid w:val="003B141E"/>
    <w:rsid w:val="003B151C"/>
    <w:rsid w:val="003B192F"/>
    <w:rsid w:val="003B1CFB"/>
    <w:rsid w:val="003B203D"/>
    <w:rsid w:val="003B20E7"/>
    <w:rsid w:val="003B22F8"/>
    <w:rsid w:val="003B238B"/>
    <w:rsid w:val="003B2570"/>
    <w:rsid w:val="003B25D8"/>
    <w:rsid w:val="003B2A67"/>
    <w:rsid w:val="003B2AC5"/>
    <w:rsid w:val="003B2D01"/>
    <w:rsid w:val="003B2D91"/>
    <w:rsid w:val="003B2E16"/>
    <w:rsid w:val="003B30C2"/>
    <w:rsid w:val="003B30DE"/>
    <w:rsid w:val="003B3198"/>
    <w:rsid w:val="003B31BD"/>
    <w:rsid w:val="003B323E"/>
    <w:rsid w:val="003B32CD"/>
    <w:rsid w:val="003B3527"/>
    <w:rsid w:val="003B39F6"/>
    <w:rsid w:val="003B3B46"/>
    <w:rsid w:val="003B3D7D"/>
    <w:rsid w:val="003B3DAE"/>
    <w:rsid w:val="003B429D"/>
    <w:rsid w:val="003B45C9"/>
    <w:rsid w:val="003B46A8"/>
    <w:rsid w:val="003B4C81"/>
    <w:rsid w:val="003B4CB7"/>
    <w:rsid w:val="003B4D46"/>
    <w:rsid w:val="003B4D69"/>
    <w:rsid w:val="003B4D78"/>
    <w:rsid w:val="003B5027"/>
    <w:rsid w:val="003B5084"/>
    <w:rsid w:val="003B52B5"/>
    <w:rsid w:val="003B5430"/>
    <w:rsid w:val="003B5441"/>
    <w:rsid w:val="003B5908"/>
    <w:rsid w:val="003B59E0"/>
    <w:rsid w:val="003B5B9C"/>
    <w:rsid w:val="003B5D43"/>
    <w:rsid w:val="003B615F"/>
    <w:rsid w:val="003B6334"/>
    <w:rsid w:val="003B6489"/>
    <w:rsid w:val="003B6E5B"/>
    <w:rsid w:val="003B6EAB"/>
    <w:rsid w:val="003B6EDD"/>
    <w:rsid w:val="003B719B"/>
    <w:rsid w:val="003B72CF"/>
    <w:rsid w:val="003B74E3"/>
    <w:rsid w:val="003B77CC"/>
    <w:rsid w:val="003B7828"/>
    <w:rsid w:val="003B7832"/>
    <w:rsid w:val="003B7A58"/>
    <w:rsid w:val="003B7C29"/>
    <w:rsid w:val="003B7E4B"/>
    <w:rsid w:val="003C005F"/>
    <w:rsid w:val="003C00A8"/>
    <w:rsid w:val="003C0129"/>
    <w:rsid w:val="003C0157"/>
    <w:rsid w:val="003C04A3"/>
    <w:rsid w:val="003C0DA3"/>
    <w:rsid w:val="003C0E88"/>
    <w:rsid w:val="003C0F8E"/>
    <w:rsid w:val="003C1181"/>
    <w:rsid w:val="003C13D2"/>
    <w:rsid w:val="003C15F1"/>
    <w:rsid w:val="003C1644"/>
    <w:rsid w:val="003C1689"/>
    <w:rsid w:val="003C16AF"/>
    <w:rsid w:val="003C1727"/>
    <w:rsid w:val="003C1E1A"/>
    <w:rsid w:val="003C200D"/>
    <w:rsid w:val="003C205D"/>
    <w:rsid w:val="003C2505"/>
    <w:rsid w:val="003C2524"/>
    <w:rsid w:val="003C2561"/>
    <w:rsid w:val="003C2587"/>
    <w:rsid w:val="003C25D6"/>
    <w:rsid w:val="003C28DB"/>
    <w:rsid w:val="003C2B8F"/>
    <w:rsid w:val="003C2D40"/>
    <w:rsid w:val="003C2DD8"/>
    <w:rsid w:val="003C2E33"/>
    <w:rsid w:val="003C2FD1"/>
    <w:rsid w:val="003C3070"/>
    <w:rsid w:val="003C30B2"/>
    <w:rsid w:val="003C30B4"/>
    <w:rsid w:val="003C3115"/>
    <w:rsid w:val="003C3369"/>
    <w:rsid w:val="003C348E"/>
    <w:rsid w:val="003C357B"/>
    <w:rsid w:val="003C35A3"/>
    <w:rsid w:val="003C369D"/>
    <w:rsid w:val="003C36C1"/>
    <w:rsid w:val="003C3781"/>
    <w:rsid w:val="003C3BEB"/>
    <w:rsid w:val="003C3CA2"/>
    <w:rsid w:val="003C3CAB"/>
    <w:rsid w:val="003C4016"/>
    <w:rsid w:val="003C4623"/>
    <w:rsid w:val="003C47D9"/>
    <w:rsid w:val="003C48EE"/>
    <w:rsid w:val="003C4A87"/>
    <w:rsid w:val="003C4BEC"/>
    <w:rsid w:val="003C4C44"/>
    <w:rsid w:val="003C4FF0"/>
    <w:rsid w:val="003C5014"/>
    <w:rsid w:val="003C50EB"/>
    <w:rsid w:val="003C50F3"/>
    <w:rsid w:val="003C52B4"/>
    <w:rsid w:val="003C530C"/>
    <w:rsid w:val="003C54E1"/>
    <w:rsid w:val="003C55C2"/>
    <w:rsid w:val="003C5643"/>
    <w:rsid w:val="003C573A"/>
    <w:rsid w:val="003C5803"/>
    <w:rsid w:val="003C5B65"/>
    <w:rsid w:val="003C5D43"/>
    <w:rsid w:val="003C5DCC"/>
    <w:rsid w:val="003C605C"/>
    <w:rsid w:val="003C606D"/>
    <w:rsid w:val="003C614E"/>
    <w:rsid w:val="003C6451"/>
    <w:rsid w:val="003C6462"/>
    <w:rsid w:val="003C6858"/>
    <w:rsid w:val="003C69B6"/>
    <w:rsid w:val="003C6B1B"/>
    <w:rsid w:val="003C6C47"/>
    <w:rsid w:val="003C6DF3"/>
    <w:rsid w:val="003C705B"/>
    <w:rsid w:val="003C730B"/>
    <w:rsid w:val="003C742A"/>
    <w:rsid w:val="003C7522"/>
    <w:rsid w:val="003C774C"/>
    <w:rsid w:val="003C77C2"/>
    <w:rsid w:val="003C79C1"/>
    <w:rsid w:val="003C7C03"/>
    <w:rsid w:val="003C7E07"/>
    <w:rsid w:val="003C7F62"/>
    <w:rsid w:val="003D0215"/>
    <w:rsid w:val="003D0243"/>
    <w:rsid w:val="003D043B"/>
    <w:rsid w:val="003D0471"/>
    <w:rsid w:val="003D0532"/>
    <w:rsid w:val="003D0683"/>
    <w:rsid w:val="003D0898"/>
    <w:rsid w:val="003D0931"/>
    <w:rsid w:val="003D0939"/>
    <w:rsid w:val="003D0CA4"/>
    <w:rsid w:val="003D11F1"/>
    <w:rsid w:val="003D13DA"/>
    <w:rsid w:val="003D151E"/>
    <w:rsid w:val="003D19D9"/>
    <w:rsid w:val="003D1A30"/>
    <w:rsid w:val="003D1BD5"/>
    <w:rsid w:val="003D1CC2"/>
    <w:rsid w:val="003D1CCB"/>
    <w:rsid w:val="003D1E2D"/>
    <w:rsid w:val="003D2360"/>
    <w:rsid w:val="003D2361"/>
    <w:rsid w:val="003D271D"/>
    <w:rsid w:val="003D278A"/>
    <w:rsid w:val="003D27BF"/>
    <w:rsid w:val="003D2866"/>
    <w:rsid w:val="003D309F"/>
    <w:rsid w:val="003D32F3"/>
    <w:rsid w:val="003D33FF"/>
    <w:rsid w:val="003D34C3"/>
    <w:rsid w:val="003D350C"/>
    <w:rsid w:val="003D3C5A"/>
    <w:rsid w:val="003D3E22"/>
    <w:rsid w:val="003D3E73"/>
    <w:rsid w:val="003D4221"/>
    <w:rsid w:val="003D4351"/>
    <w:rsid w:val="003D438B"/>
    <w:rsid w:val="003D447C"/>
    <w:rsid w:val="003D4585"/>
    <w:rsid w:val="003D4647"/>
    <w:rsid w:val="003D4B39"/>
    <w:rsid w:val="003D4B93"/>
    <w:rsid w:val="003D5032"/>
    <w:rsid w:val="003D51E9"/>
    <w:rsid w:val="003D525B"/>
    <w:rsid w:val="003D57EA"/>
    <w:rsid w:val="003D591B"/>
    <w:rsid w:val="003D611D"/>
    <w:rsid w:val="003D618B"/>
    <w:rsid w:val="003D6486"/>
    <w:rsid w:val="003D6557"/>
    <w:rsid w:val="003D6956"/>
    <w:rsid w:val="003D6BF4"/>
    <w:rsid w:val="003D6CD3"/>
    <w:rsid w:val="003D6CF8"/>
    <w:rsid w:val="003D6DED"/>
    <w:rsid w:val="003D6E00"/>
    <w:rsid w:val="003D6EF6"/>
    <w:rsid w:val="003D6FDA"/>
    <w:rsid w:val="003D71B7"/>
    <w:rsid w:val="003D72D4"/>
    <w:rsid w:val="003D7D3A"/>
    <w:rsid w:val="003D7ED1"/>
    <w:rsid w:val="003E0080"/>
    <w:rsid w:val="003E00BD"/>
    <w:rsid w:val="003E00CA"/>
    <w:rsid w:val="003E019B"/>
    <w:rsid w:val="003E02E9"/>
    <w:rsid w:val="003E04BE"/>
    <w:rsid w:val="003E078D"/>
    <w:rsid w:val="003E0884"/>
    <w:rsid w:val="003E0D71"/>
    <w:rsid w:val="003E0DCD"/>
    <w:rsid w:val="003E0FF4"/>
    <w:rsid w:val="003E128A"/>
    <w:rsid w:val="003E15E7"/>
    <w:rsid w:val="003E1731"/>
    <w:rsid w:val="003E1A32"/>
    <w:rsid w:val="003E1ABF"/>
    <w:rsid w:val="003E1AE1"/>
    <w:rsid w:val="003E20C6"/>
    <w:rsid w:val="003E2290"/>
    <w:rsid w:val="003E2460"/>
    <w:rsid w:val="003E24CD"/>
    <w:rsid w:val="003E24E2"/>
    <w:rsid w:val="003E257F"/>
    <w:rsid w:val="003E28E8"/>
    <w:rsid w:val="003E290B"/>
    <w:rsid w:val="003E2935"/>
    <w:rsid w:val="003E2AAC"/>
    <w:rsid w:val="003E2C32"/>
    <w:rsid w:val="003E2E49"/>
    <w:rsid w:val="003E3196"/>
    <w:rsid w:val="003E3314"/>
    <w:rsid w:val="003E33EA"/>
    <w:rsid w:val="003E343A"/>
    <w:rsid w:val="003E375E"/>
    <w:rsid w:val="003E3A4A"/>
    <w:rsid w:val="003E3C32"/>
    <w:rsid w:val="003E3FC6"/>
    <w:rsid w:val="003E4398"/>
    <w:rsid w:val="003E43B9"/>
    <w:rsid w:val="003E487F"/>
    <w:rsid w:val="003E498B"/>
    <w:rsid w:val="003E4A1C"/>
    <w:rsid w:val="003E4A5D"/>
    <w:rsid w:val="003E4B70"/>
    <w:rsid w:val="003E4CDA"/>
    <w:rsid w:val="003E4CED"/>
    <w:rsid w:val="003E4DAD"/>
    <w:rsid w:val="003E51C4"/>
    <w:rsid w:val="003E532F"/>
    <w:rsid w:val="003E537D"/>
    <w:rsid w:val="003E544E"/>
    <w:rsid w:val="003E5767"/>
    <w:rsid w:val="003E59C6"/>
    <w:rsid w:val="003E5B72"/>
    <w:rsid w:val="003E5DB1"/>
    <w:rsid w:val="003E5FFE"/>
    <w:rsid w:val="003E603E"/>
    <w:rsid w:val="003E629B"/>
    <w:rsid w:val="003E652A"/>
    <w:rsid w:val="003E691F"/>
    <w:rsid w:val="003E69F3"/>
    <w:rsid w:val="003E6DBF"/>
    <w:rsid w:val="003E7085"/>
    <w:rsid w:val="003E7381"/>
    <w:rsid w:val="003E7729"/>
    <w:rsid w:val="003E779D"/>
    <w:rsid w:val="003E7E25"/>
    <w:rsid w:val="003F02D7"/>
    <w:rsid w:val="003F04F6"/>
    <w:rsid w:val="003F056D"/>
    <w:rsid w:val="003F05A3"/>
    <w:rsid w:val="003F05C6"/>
    <w:rsid w:val="003F0926"/>
    <w:rsid w:val="003F092E"/>
    <w:rsid w:val="003F0BFB"/>
    <w:rsid w:val="003F0EB4"/>
    <w:rsid w:val="003F1491"/>
    <w:rsid w:val="003F170B"/>
    <w:rsid w:val="003F17BA"/>
    <w:rsid w:val="003F1A90"/>
    <w:rsid w:val="003F1B38"/>
    <w:rsid w:val="003F1D04"/>
    <w:rsid w:val="003F1E51"/>
    <w:rsid w:val="003F1ED7"/>
    <w:rsid w:val="003F1F07"/>
    <w:rsid w:val="003F2457"/>
    <w:rsid w:val="003F25F9"/>
    <w:rsid w:val="003F2602"/>
    <w:rsid w:val="003F2FC9"/>
    <w:rsid w:val="003F30EA"/>
    <w:rsid w:val="003F32A2"/>
    <w:rsid w:val="003F382A"/>
    <w:rsid w:val="003F3A3A"/>
    <w:rsid w:val="003F3E99"/>
    <w:rsid w:val="003F420E"/>
    <w:rsid w:val="003F44FB"/>
    <w:rsid w:val="003F4534"/>
    <w:rsid w:val="003F454D"/>
    <w:rsid w:val="003F4765"/>
    <w:rsid w:val="003F499F"/>
    <w:rsid w:val="003F49BF"/>
    <w:rsid w:val="003F4ADE"/>
    <w:rsid w:val="003F4D34"/>
    <w:rsid w:val="003F4ED2"/>
    <w:rsid w:val="003F4F73"/>
    <w:rsid w:val="003F4FA5"/>
    <w:rsid w:val="003F5740"/>
    <w:rsid w:val="003F5827"/>
    <w:rsid w:val="003F5A1C"/>
    <w:rsid w:val="003F5C41"/>
    <w:rsid w:val="003F5CBB"/>
    <w:rsid w:val="003F5D3D"/>
    <w:rsid w:val="003F5E8E"/>
    <w:rsid w:val="003F5F47"/>
    <w:rsid w:val="003F5F80"/>
    <w:rsid w:val="003F5F95"/>
    <w:rsid w:val="003F60FE"/>
    <w:rsid w:val="003F6232"/>
    <w:rsid w:val="003F6241"/>
    <w:rsid w:val="003F6613"/>
    <w:rsid w:val="003F66BD"/>
    <w:rsid w:val="003F687D"/>
    <w:rsid w:val="003F68DA"/>
    <w:rsid w:val="003F6AA4"/>
    <w:rsid w:val="003F6D7C"/>
    <w:rsid w:val="003F72D9"/>
    <w:rsid w:val="003F7349"/>
    <w:rsid w:val="003F7495"/>
    <w:rsid w:val="003F74BB"/>
    <w:rsid w:val="003F75E2"/>
    <w:rsid w:val="003F7812"/>
    <w:rsid w:val="003F78FE"/>
    <w:rsid w:val="003F7A05"/>
    <w:rsid w:val="003F7CAE"/>
    <w:rsid w:val="003F7E79"/>
    <w:rsid w:val="003F7E7A"/>
    <w:rsid w:val="003F7F96"/>
    <w:rsid w:val="0040001C"/>
    <w:rsid w:val="00400043"/>
    <w:rsid w:val="0040033D"/>
    <w:rsid w:val="0040034F"/>
    <w:rsid w:val="00400403"/>
    <w:rsid w:val="00400704"/>
    <w:rsid w:val="00400774"/>
    <w:rsid w:val="004007EF"/>
    <w:rsid w:val="00400A64"/>
    <w:rsid w:val="00400AEA"/>
    <w:rsid w:val="00400C5E"/>
    <w:rsid w:val="00400DE9"/>
    <w:rsid w:val="00400E6D"/>
    <w:rsid w:val="00400F2D"/>
    <w:rsid w:val="0040105F"/>
    <w:rsid w:val="00401A8B"/>
    <w:rsid w:val="00401C1B"/>
    <w:rsid w:val="00401ED9"/>
    <w:rsid w:val="004021BA"/>
    <w:rsid w:val="00402288"/>
    <w:rsid w:val="004024A8"/>
    <w:rsid w:val="004025D9"/>
    <w:rsid w:val="004028CF"/>
    <w:rsid w:val="00402BA3"/>
    <w:rsid w:val="00402C55"/>
    <w:rsid w:val="00402C88"/>
    <w:rsid w:val="00402CB4"/>
    <w:rsid w:val="00402CE6"/>
    <w:rsid w:val="00402DAE"/>
    <w:rsid w:val="00403263"/>
    <w:rsid w:val="00403489"/>
    <w:rsid w:val="00403557"/>
    <w:rsid w:val="004035E8"/>
    <w:rsid w:val="0040398F"/>
    <w:rsid w:val="00403D4E"/>
    <w:rsid w:val="00404176"/>
    <w:rsid w:val="004042AF"/>
    <w:rsid w:val="00404332"/>
    <w:rsid w:val="004046E8"/>
    <w:rsid w:val="00404AD8"/>
    <w:rsid w:val="00404D85"/>
    <w:rsid w:val="00404DD1"/>
    <w:rsid w:val="00404EB2"/>
    <w:rsid w:val="0040502E"/>
    <w:rsid w:val="00405401"/>
    <w:rsid w:val="00405454"/>
    <w:rsid w:val="004055D5"/>
    <w:rsid w:val="0040562F"/>
    <w:rsid w:val="004056E8"/>
    <w:rsid w:val="0040571D"/>
    <w:rsid w:val="00405739"/>
    <w:rsid w:val="00405C61"/>
    <w:rsid w:val="00405DBE"/>
    <w:rsid w:val="00406017"/>
    <w:rsid w:val="0040604E"/>
    <w:rsid w:val="00406359"/>
    <w:rsid w:val="00406414"/>
    <w:rsid w:val="0040673D"/>
    <w:rsid w:val="00406962"/>
    <w:rsid w:val="00406A9C"/>
    <w:rsid w:val="00406BCD"/>
    <w:rsid w:val="00406C3D"/>
    <w:rsid w:val="00407002"/>
    <w:rsid w:val="00407084"/>
    <w:rsid w:val="0040733F"/>
    <w:rsid w:val="004076EF"/>
    <w:rsid w:val="00407784"/>
    <w:rsid w:val="004077EA"/>
    <w:rsid w:val="00407CC9"/>
    <w:rsid w:val="00407D56"/>
    <w:rsid w:val="00407F2F"/>
    <w:rsid w:val="0041000E"/>
    <w:rsid w:val="004101AF"/>
    <w:rsid w:val="004101C9"/>
    <w:rsid w:val="0041033C"/>
    <w:rsid w:val="00410372"/>
    <w:rsid w:val="004105E3"/>
    <w:rsid w:val="004108FE"/>
    <w:rsid w:val="00410A0F"/>
    <w:rsid w:val="00410C43"/>
    <w:rsid w:val="00410C88"/>
    <w:rsid w:val="00410EC6"/>
    <w:rsid w:val="00411115"/>
    <w:rsid w:val="00411479"/>
    <w:rsid w:val="0041181C"/>
    <w:rsid w:val="004119CB"/>
    <w:rsid w:val="00411DD0"/>
    <w:rsid w:val="0041203E"/>
    <w:rsid w:val="00412339"/>
    <w:rsid w:val="00412456"/>
    <w:rsid w:val="004125CE"/>
    <w:rsid w:val="004127D2"/>
    <w:rsid w:val="0041281D"/>
    <w:rsid w:val="00412898"/>
    <w:rsid w:val="004128FE"/>
    <w:rsid w:val="00412925"/>
    <w:rsid w:val="00412F3C"/>
    <w:rsid w:val="00413170"/>
    <w:rsid w:val="0041325E"/>
    <w:rsid w:val="004133E6"/>
    <w:rsid w:val="00413461"/>
    <w:rsid w:val="004136E9"/>
    <w:rsid w:val="00413B42"/>
    <w:rsid w:val="00413D79"/>
    <w:rsid w:val="00413D7E"/>
    <w:rsid w:val="00413FE6"/>
    <w:rsid w:val="004140A5"/>
    <w:rsid w:val="004145B9"/>
    <w:rsid w:val="00414836"/>
    <w:rsid w:val="004149FB"/>
    <w:rsid w:val="00414A43"/>
    <w:rsid w:val="00414A83"/>
    <w:rsid w:val="00414A9F"/>
    <w:rsid w:val="00414ACC"/>
    <w:rsid w:val="00414ED1"/>
    <w:rsid w:val="004150AE"/>
    <w:rsid w:val="00415420"/>
    <w:rsid w:val="004155BD"/>
    <w:rsid w:val="00415629"/>
    <w:rsid w:val="004158CC"/>
    <w:rsid w:val="00415969"/>
    <w:rsid w:val="004159DC"/>
    <w:rsid w:val="00415A45"/>
    <w:rsid w:val="00415B91"/>
    <w:rsid w:val="00415CF8"/>
    <w:rsid w:val="00415F49"/>
    <w:rsid w:val="00415F7C"/>
    <w:rsid w:val="004161B5"/>
    <w:rsid w:val="00416263"/>
    <w:rsid w:val="0041669A"/>
    <w:rsid w:val="004167D1"/>
    <w:rsid w:val="00416811"/>
    <w:rsid w:val="00416A5B"/>
    <w:rsid w:val="00416CFE"/>
    <w:rsid w:val="00417168"/>
    <w:rsid w:val="0041717A"/>
    <w:rsid w:val="004171BF"/>
    <w:rsid w:val="00417493"/>
    <w:rsid w:val="00417678"/>
    <w:rsid w:val="00417829"/>
    <w:rsid w:val="004179CB"/>
    <w:rsid w:val="004179ED"/>
    <w:rsid w:val="00417B8A"/>
    <w:rsid w:val="00417BC1"/>
    <w:rsid w:val="004202C8"/>
    <w:rsid w:val="00420420"/>
    <w:rsid w:val="00420988"/>
    <w:rsid w:val="00420AFB"/>
    <w:rsid w:val="00420C9B"/>
    <w:rsid w:val="00420CF8"/>
    <w:rsid w:val="00420DB7"/>
    <w:rsid w:val="00420EB9"/>
    <w:rsid w:val="00420F46"/>
    <w:rsid w:val="00420FA7"/>
    <w:rsid w:val="00420FC1"/>
    <w:rsid w:val="00421173"/>
    <w:rsid w:val="004213CA"/>
    <w:rsid w:val="0042143C"/>
    <w:rsid w:val="0042158C"/>
    <w:rsid w:val="00421A96"/>
    <w:rsid w:val="00421D47"/>
    <w:rsid w:val="00421E2B"/>
    <w:rsid w:val="00421ED7"/>
    <w:rsid w:val="00421EF8"/>
    <w:rsid w:val="00422166"/>
    <w:rsid w:val="004223AF"/>
    <w:rsid w:val="0042244E"/>
    <w:rsid w:val="00422457"/>
    <w:rsid w:val="00422576"/>
    <w:rsid w:val="00422881"/>
    <w:rsid w:val="00422BB1"/>
    <w:rsid w:val="00422C17"/>
    <w:rsid w:val="00422DDD"/>
    <w:rsid w:val="00422E98"/>
    <w:rsid w:val="00423284"/>
    <w:rsid w:val="004233F9"/>
    <w:rsid w:val="00423432"/>
    <w:rsid w:val="0042354F"/>
    <w:rsid w:val="00423ED9"/>
    <w:rsid w:val="00424348"/>
    <w:rsid w:val="00424389"/>
    <w:rsid w:val="0042443D"/>
    <w:rsid w:val="004245D5"/>
    <w:rsid w:val="0042466F"/>
    <w:rsid w:val="00424780"/>
    <w:rsid w:val="004248EF"/>
    <w:rsid w:val="0042495C"/>
    <w:rsid w:val="004249E9"/>
    <w:rsid w:val="00424F9A"/>
    <w:rsid w:val="00425048"/>
    <w:rsid w:val="004251C8"/>
    <w:rsid w:val="00425670"/>
    <w:rsid w:val="00425AE5"/>
    <w:rsid w:val="00425BC3"/>
    <w:rsid w:val="00425D05"/>
    <w:rsid w:val="00425D65"/>
    <w:rsid w:val="00425DE4"/>
    <w:rsid w:val="00426071"/>
    <w:rsid w:val="00426091"/>
    <w:rsid w:val="00426713"/>
    <w:rsid w:val="00426794"/>
    <w:rsid w:val="00426913"/>
    <w:rsid w:val="004269A4"/>
    <w:rsid w:val="004269C1"/>
    <w:rsid w:val="00426D38"/>
    <w:rsid w:val="00426E3D"/>
    <w:rsid w:val="00426E6B"/>
    <w:rsid w:val="00426F8F"/>
    <w:rsid w:val="00426FE9"/>
    <w:rsid w:val="00427032"/>
    <w:rsid w:val="0042724E"/>
    <w:rsid w:val="004273BD"/>
    <w:rsid w:val="00427B20"/>
    <w:rsid w:val="004301A7"/>
    <w:rsid w:val="004303B5"/>
    <w:rsid w:val="004304CA"/>
    <w:rsid w:val="004308BD"/>
    <w:rsid w:val="00430A29"/>
    <w:rsid w:val="00430E43"/>
    <w:rsid w:val="004312C9"/>
    <w:rsid w:val="00431587"/>
    <w:rsid w:val="00431594"/>
    <w:rsid w:val="004317E0"/>
    <w:rsid w:val="00431844"/>
    <w:rsid w:val="004318D5"/>
    <w:rsid w:val="00431B89"/>
    <w:rsid w:val="00431C4D"/>
    <w:rsid w:val="00431F8F"/>
    <w:rsid w:val="0043230B"/>
    <w:rsid w:val="004323FC"/>
    <w:rsid w:val="004325B2"/>
    <w:rsid w:val="00432900"/>
    <w:rsid w:val="0043294A"/>
    <w:rsid w:val="004329B6"/>
    <w:rsid w:val="004329D3"/>
    <w:rsid w:val="00432B4E"/>
    <w:rsid w:val="00432B62"/>
    <w:rsid w:val="00432C01"/>
    <w:rsid w:val="00432FA2"/>
    <w:rsid w:val="00433481"/>
    <w:rsid w:val="004334B7"/>
    <w:rsid w:val="004334FD"/>
    <w:rsid w:val="00433694"/>
    <w:rsid w:val="0043386D"/>
    <w:rsid w:val="004338B7"/>
    <w:rsid w:val="00433DAF"/>
    <w:rsid w:val="00433E94"/>
    <w:rsid w:val="00433ECE"/>
    <w:rsid w:val="00434478"/>
    <w:rsid w:val="00434578"/>
    <w:rsid w:val="004345A1"/>
    <w:rsid w:val="00434693"/>
    <w:rsid w:val="0043469D"/>
    <w:rsid w:val="004348E3"/>
    <w:rsid w:val="00434DC3"/>
    <w:rsid w:val="00434EA9"/>
    <w:rsid w:val="00434F66"/>
    <w:rsid w:val="0043509E"/>
    <w:rsid w:val="00435255"/>
    <w:rsid w:val="0043533A"/>
    <w:rsid w:val="00435679"/>
    <w:rsid w:val="004356FF"/>
    <w:rsid w:val="004359AA"/>
    <w:rsid w:val="00435A6E"/>
    <w:rsid w:val="00435CA3"/>
    <w:rsid w:val="00435CC0"/>
    <w:rsid w:val="00435E5C"/>
    <w:rsid w:val="004361A0"/>
    <w:rsid w:val="00436378"/>
    <w:rsid w:val="004367B7"/>
    <w:rsid w:val="00436865"/>
    <w:rsid w:val="00436AC6"/>
    <w:rsid w:val="00436D0B"/>
    <w:rsid w:val="00437159"/>
    <w:rsid w:val="00437164"/>
    <w:rsid w:val="00437478"/>
    <w:rsid w:val="00437647"/>
    <w:rsid w:val="004377B8"/>
    <w:rsid w:val="00437A37"/>
    <w:rsid w:val="00440305"/>
    <w:rsid w:val="00440345"/>
    <w:rsid w:val="004405AD"/>
    <w:rsid w:val="00440769"/>
    <w:rsid w:val="0044078F"/>
    <w:rsid w:val="004407F5"/>
    <w:rsid w:val="00440C03"/>
    <w:rsid w:val="00440C21"/>
    <w:rsid w:val="00440C53"/>
    <w:rsid w:val="00440D0F"/>
    <w:rsid w:val="00440EE2"/>
    <w:rsid w:val="00441293"/>
    <w:rsid w:val="004412FF"/>
    <w:rsid w:val="00441562"/>
    <w:rsid w:val="0044162A"/>
    <w:rsid w:val="00441712"/>
    <w:rsid w:val="00441825"/>
    <w:rsid w:val="00441BAE"/>
    <w:rsid w:val="00442243"/>
    <w:rsid w:val="004423BB"/>
    <w:rsid w:val="00442529"/>
    <w:rsid w:val="00442594"/>
    <w:rsid w:val="0044269A"/>
    <w:rsid w:val="00442728"/>
    <w:rsid w:val="00442861"/>
    <w:rsid w:val="00442BCC"/>
    <w:rsid w:val="00443158"/>
    <w:rsid w:val="00443394"/>
    <w:rsid w:val="00443446"/>
    <w:rsid w:val="0044350F"/>
    <w:rsid w:val="004435D6"/>
    <w:rsid w:val="00443670"/>
    <w:rsid w:val="00443966"/>
    <w:rsid w:val="00443D1B"/>
    <w:rsid w:val="00443F29"/>
    <w:rsid w:val="00444015"/>
    <w:rsid w:val="0044401C"/>
    <w:rsid w:val="0044412A"/>
    <w:rsid w:val="0044449E"/>
    <w:rsid w:val="00444884"/>
    <w:rsid w:val="00444C63"/>
    <w:rsid w:val="00444D71"/>
    <w:rsid w:val="004450E2"/>
    <w:rsid w:val="004452D4"/>
    <w:rsid w:val="00445678"/>
    <w:rsid w:val="00445745"/>
    <w:rsid w:val="004458CB"/>
    <w:rsid w:val="00445A83"/>
    <w:rsid w:val="00445AFD"/>
    <w:rsid w:val="00445B48"/>
    <w:rsid w:val="00445D47"/>
    <w:rsid w:val="00445D92"/>
    <w:rsid w:val="0044612A"/>
    <w:rsid w:val="0044654B"/>
    <w:rsid w:val="0044682D"/>
    <w:rsid w:val="0044692D"/>
    <w:rsid w:val="00446FB1"/>
    <w:rsid w:val="004473B3"/>
    <w:rsid w:val="00447874"/>
    <w:rsid w:val="004478CC"/>
    <w:rsid w:val="0044792A"/>
    <w:rsid w:val="00447E5F"/>
    <w:rsid w:val="00447E7E"/>
    <w:rsid w:val="00447F13"/>
    <w:rsid w:val="00447F5E"/>
    <w:rsid w:val="00447FB3"/>
    <w:rsid w:val="00450032"/>
    <w:rsid w:val="0045008F"/>
    <w:rsid w:val="0045017E"/>
    <w:rsid w:val="004502A1"/>
    <w:rsid w:val="00450372"/>
    <w:rsid w:val="004505AE"/>
    <w:rsid w:val="0045064F"/>
    <w:rsid w:val="004507B9"/>
    <w:rsid w:val="004507C4"/>
    <w:rsid w:val="0045098D"/>
    <w:rsid w:val="00450ABC"/>
    <w:rsid w:val="00450ACB"/>
    <w:rsid w:val="00450B52"/>
    <w:rsid w:val="00450F73"/>
    <w:rsid w:val="00451273"/>
    <w:rsid w:val="00451373"/>
    <w:rsid w:val="00451617"/>
    <w:rsid w:val="004519B1"/>
    <w:rsid w:val="00451B4B"/>
    <w:rsid w:val="00451D46"/>
    <w:rsid w:val="00451E57"/>
    <w:rsid w:val="004521AB"/>
    <w:rsid w:val="00452201"/>
    <w:rsid w:val="0045231A"/>
    <w:rsid w:val="00452634"/>
    <w:rsid w:val="00452657"/>
    <w:rsid w:val="00452779"/>
    <w:rsid w:val="00452FE1"/>
    <w:rsid w:val="004532B7"/>
    <w:rsid w:val="0045342B"/>
    <w:rsid w:val="004534EC"/>
    <w:rsid w:val="00453567"/>
    <w:rsid w:val="004535A9"/>
    <w:rsid w:val="00453674"/>
    <w:rsid w:val="00453A94"/>
    <w:rsid w:val="00453EF2"/>
    <w:rsid w:val="00454029"/>
    <w:rsid w:val="004540F4"/>
    <w:rsid w:val="00454330"/>
    <w:rsid w:val="004545FC"/>
    <w:rsid w:val="00454780"/>
    <w:rsid w:val="00454DF7"/>
    <w:rsid w:val="00454E96"/>
    <w:rsid w:val="00454EC7"/>
    <w:rsid w:val="00454FA1"/>
    <w:rsid w:val="0045532C"/>
    <w:rsid w:val="00455595"/>
    <w:rsid w:val="004559EE"/>
    <w:rsid w:val="00455AD1"/>
    <w:rsid w:val="00455C60"/>
    <w:rsid w:val="00456245"/>
    <w:rsid w:val="004563D4"/>
    <w:rsid w:val="00456AEC"/>
    <w:rsid w:val="00456BB0"/>
    <w:rsid w:val="00456E58"/>
    <w:rsid w:val="00456F4C"/>
    <w:rsid w:val="00457349"/>
    <w:rsid w:val="004575A2"/>
    <w:rsid w:val="004575F5"/>
    <w:rsid w:val="00457661"/>
    <w:rsid w:val="00457758"/>
    <w:rsid w:val="00457F2A"/>
    <w:rsid w:val="00460099"/>
    <w:rsid w:val="004600EB"/>
    <w:rsid w:val="004601CE"/>
    <w:rsid w:val="004604F7"/>
    <w:rsid w:val="0046054D"/>
    <w:rsid w:val="004606D4"/>
    <w:rsid w:val="00460A2F"/>
    <w:rsid w:val="00460C3F"/>
    <w:rsid w:val="00460D6C"/>
    <w:rsid w:val="00460E9A"/>
    <w:rsid w:val="00460E9E"/>
    <w:rsid w:val="00460FDC"/>
    <w:rsid w:val="0046108F"/>
    <w:rsid w:val="004616A1"/>
    <w:rsid w:val="004617DB"/>
    <w:rsid w:val="00461839"/>
    <w:rsid w:val="00461AAF"/>
    <w:rsid w:val="00461AD8"/>
    <w:rsid w:val="00461C00"/>
    <w:rsid w:val="00461FF5"/>
    <w:rsid w:val="0046201C"/>
    <w:rsid w:val="00462065"/>
    <w:rsid w:val="004620B9"/>
    <w:rsid w:val="004623BB"/>
    <w:rsid w:val="004623C7"/>
    <w:rsid w:val="00462668"/>
    <w:rsid w:val="004628F7"/>
    <w:rsid w:val="00462D84"/>
    <w:rsid w:val="00462F13"/>
    <w:rsid w:val="00463528"/>
    <w:rsid w:val="004635C4"/>
    <w:rsid w:val="00463947"/>
    <w:rsid w:val="00463BB2"/>
    <w:rsid w:val="00463D49"/>
    <w:rsid w:val="00464011"/>
    <w:rsid w:val="004641A6"/>
    <w:rsid w:val="004641B8"/>
    <w:rsid w:val="00464230"/>
    <w:rsid w:val="004642E6"/>
    <w:rsid w:val="00464538"/>
    <w:rsid w:val="0046462C"/>
    <w:rsid w:val="0046467F"/>
    <w:rsid w:val="00464798"/>
    <w:rsid w:val="00464D0F"/>
    <w:rsid w:val="00464F84"/>
    <w:rsid w:val="00465123"/>
    <w:rsid w:val="0046531C"/>
    <w:rsid w:val="00465B8B"/>
    <w:rsid w:val="00465C49"/>
    <w:rsid w:val="00465CC5"/>
    <w:rsid w:val="00465D4C"/>
    <w:rsid w:val="00465DA8"/>
    <w:rsid w:val="00465E43"/>
    <w:rsid w:val="00465F56"/>
    <w:rsid w:val="004661B3"/>
    <w:rsid w:val="00466633"/>
    <w:rsid w:val="00466777"/>
    <w:rsid w:val="00466D70"/>
    <w:rsid w:val="004670BE"/>
    <w:rsid w:val="004670CB"/>
    <w:rsid w:val="004672FC"/>
    <w:rsid w:val="00467301"/>
    <w:rsid w:val="0046794D"/>
    <w:rsid w:val="00467C7B"/>
    <w:rsid w:val="00467C83"/>
    <w:rsid w:val="004702CF"/>
    <w:rsid w:val="00470308"/>
    <w:rsid w:val="004703CB"/>
    <w:rsid w:val="00470577"/>
    <w:rsid w:val="004705EB"/>
    <w:rsid w:val="004709B4"/>
    <w:rsid w:val="00470DE9"/>
    <w:rsid w:val="00470F14"/>
    <w:rsid w:val="00470F64"/>
    <w:rsid w:val="00471065"/>
    <w:rsid w:val="004710DE"/>
    <w:rsid w:val="00471229"/>
    <w:rsid w:val="0047130A"/>
    <w:rsid w:val="00471684"/>
    <w:rsid w:val="0047188E"/>
    <w:rsid w:val="004718EA"/>
    <w:rsid w:val="00471AE6"/>
    <w:rsid w:val="00471BB4"/>
    <w:rsid w:val="00471DA1"/>
    <w:rsid w:val="00471F44"/>
    <w:rsid w:val="0047215F"/>
    <w:rsid w:val="00472236"/>
    <w:rsid w:val="004725E9"/>
    <w:rsid w:val="004725FF"/>
    <w:rsid w:val="00472949"/>
    <w:rsid w:val="00472A13"/>
    <w:rsid w:val="00472A16"/>
    <w:rsid w:val="00472B46"/>
    <w:rsid w:val="0047318D"/>
    <w:rsid w:val="004731BF"/>
    <w:rsid w:val="0047339A"/>
    <w:rsid w:val="004736BC"/>
    <w:rsid w:val="004737AB"/>
    <w:rsid w:val="00473893"/>
    <w:rsid w:val="004738CF"/>
    <w:rsid w:val="00473A32"/>
    <w:rsid w:val="00473B10"/>
    <w:rsid w:val="00473D3B"/>
    <w:rsid w:val="00473D8D"/>
    <w:rsid w:val="00473EFC"/>
    <w:rsid w:val="00474214"/>
    <w:rsid w:val="004742A7"/>
    <w:rsid w:val="00474387"/>
    <w:rsid w:val="0047443A"/>
    <w:rsid w:val="00474475"/>
    <w:rsid w:val="004744A0"/>
    <w:rsid w:val="00474561"/>
    <w:rsid w:val="0047459A"/>
    <w:rsid w:val="00474B83"/>
    <w:rsid w:val="00474BE2"/>
    <w:rsid w:val="00474D89"/>
    <w:rsid w:val="00474E87"/>
    <w:rsid w:val="00474FE9"/>
    <w:rsid w:val="004751A2"/>
    <w:rsid w:val="0047524B"/>
    <w:rsid w:val="00475332"/>
    <w:rsid w:val="004753BF"/>
    <w:rsid w:val="00475836"/>
    <w:rsid w:val="004758F3"/>
    <w:rsid w:val="00475965"/>
    <w:rsid w:val="00475B1D"/>
    <w:rsid w:val="00475D8D"/>
    <w:rsid w:val="00476053"/>
    <w:rsid w:val="004760CD"/>
    <w:rsid w:val="004760EB"/>
    <w:rsid w:val="00476196"/>
    <w:rsid w:val="0047721F"/>
    <w:rsid w:val="00477602"/>
    <w:rsid w:val="004776A8"/>
    <w:rsid w:val="004778C4"/>
    <w:rsid w:val="00477914"/>
    <w:rsid w:val="00477AE9"/>
    <w:rsid w:val="00477B78"/>
    <w:rsid w:val="00477CE4"/>
    <w:rsid w:val="00477E24"/>
    <w:rsid w:val="00477F8A"/>
    <w:rsid w:val="00477FE3"/>
    <w:rsid w:val="00480264"/>
    <w:rsid w:val="004803E1"/>
    <w:rsid w:val="00480709"/>
    <w:rsid w:val="00480BAE"/>
    <w:rsid w:val="00480C9E"/>
    <w:rsid w:val="00480CE4"/>
    <w:rsid w:val="00480E56"/>
    <w:rsid w:val="00480E91"/>
    <w:rsid w:val="00480EF7"/>
    <w:rsid w:val="00481046"/>
    <w:rsid w:val="00481066"/>
    <w:rsid w:val="004812B6"/>
    <w:rsid w:val="00481563"/>
    <w:rsid w:val="004816D4"/>
    <w:rsid w:val="004817A1"/>
    <w:rsid w:val="0048182C"/>
    <w:rsid w:val="00482054"/>
    <w:rsid w:val="00482079"/>
    <w:rsid w:val="004820C8"/>
    <w:rsid w:val="0048258E"/>
    <w:rsid w:val="00482637"/>
    <w:rsid w:val="0048276E"/>
    <w:rsid w:val="004827C5"/>
    <w:rsid w:val="0048287B"/>
    <w:rsid w:val="00482917"/>
    <w:rsid w:val="00482C1D"/>
    <w:rsid w:val="00482CBB"/>
    <w:rsid w:val="00482E47"/>
    <w:rsid w:val="004834CD"/>
    <w:rsid w:val="004834EE"/>
    <w:rsid w:val="0048368E"/>
    <w:rsid w:val="0048388F"/>
    <w:rsid w:val="00483954"/>
    <w:rsid w:val="00483ABE"/>
    <w:rsid w:val="00483EDD"/>
    <w:rsid w:val="00483FD2"/>
    <w:rsid w:val="0048417A"/>
    <w:rsid w:val="00484309"/>
    <w:rsid w:val="00484455"/>
    <w:rsid w:val="00484777"/>
    <w:rsid w:val="004847A9"/>
    <w:rsid w:val="004847AB"/>
    <w:rsid w:val="00484DB5"/>
    <w:rsid w:val="00484E09"/>
    <w:rsid w:val="00484EA7"/>
    <w:rsid w:val="00484EE7"/>
    <w:rsid w:val="0048518B"/>
    <w:rsid w:val="0048571E"/>
    <w:rsid w:val="00485981"/>
    <w:rsid w:val="004859F1"/>
    <w:rsid w:val="00485A70"/>
    <w:rsid w:val="00485D8A"/>
    <w:rsid w:val="004860A6"/>
    <w:rsid w:val="00486378"/>
    <w:rsid w:val="004864F4"/>
    <w:rsid w:val="0048651B"/>
    <w:rsid w:val="00486620"/>
    <w:rsid w:val="00486668"/>
    <w:rsid w:val="0048668B"/>
    <w:rsid w:val="004866ED"/>
    <w:rsid w:val="0048670F"/>
    <w:rsid w:val="00486BB0"/>
    <w:rsid w:val="00486C2C"/>
    <w:rsid w:val="00486CD9"/>
    <w:rsid w:val="00486D09"/>
    <w:rsid w:val="00486D53"/>
    <w:rsid w:val="004871FD"/>
    <w:rsid w:val="00487232"/>
    <w:rsid w:val="004872B0"/>
    <w:rsid w:val="004872C9"/>
    <w:rsid w:val="004873E1"/>
    <w:rsid w:val="00487614"/>
    <w:rsid w:val="0048793F"/>
    <w:rsid w:val="00487BB0"/>
    <w:rsid w:val="00487BF4"/>
    <w:rsid w:val="00487C0C"/>
    <w:rsid w:val="00487C54"/>
    <w:rsid w:val="00487EF4"/>
    <w:rsid w:val="00490343"/>
    <w:rsid w:val="00490498"/>
    <w:rsid w:val="004904C1"/>
    <w:rsid w:val="004907A6"/>
    <w:rsid w:val="00490856"/>
    <w:rsid w:val="00490902"/>
    <w:rsid w:val="00490E43"/>
    <w:rsid w:val="00490E7C"/>
    <w:rsid w:val="00491044"/>
    <w:rsid w:val="00491256"/>
    <w:rsid w:val="004914C6"/>
    <w:rsid w:val="004917D7"/>
    <w:rsid w:val="00491A92"/>
    <w:rsid w:val="00491CB6"/>
    <w:rsid w:val="00491D62"/>
    <w:rsid w:val="00491EAA"/>
    <w:rsid w:val="00491F0B"/>
    <w:rsid w:val="00491FFC"/>
    <w:rsid w:val="0049201B"/>
    <w:rsid w:val="00492172"/>
    <w:rsid w:val="004925DB"/>
    <w:rsid w:val="004926F8"/>
    <w:rsid w:val="004926FC"/>
    <w:rsid w:val="00492D03"/>
    <w:rsid w:val="00492F81"/>
    <w:rsid w:val="00493562"/>
    <w:rsid w:val="004935EC"/>
    <w:rsid w:val="00493794"/>
    <w:rsid w:val="00493C50"/>
    <w:rsid w:val="00493CE8"/>
    <w:rsid w:val="00493D6F"/>
    <w:rsid w:val="00493EA5"/>
    <w:rsid w:val="00493EC4"/>
    <w:rsid w:val="00494020"/>
    <w:rsid w:val="004942C7"/>
    <w:rsid w:val="00494352"/>
    <w:rsid w:val="004945A9"/>
    <w:rsid w:val="00494693"/>
    <w:rsid w:val="00494973"/>
    <w:rsid w:val="00494B93"/>
    <w:rsid w:val="00494BFC"/>
    <w:rsid w:val="00494D67"/>
    <w:rsid w:val="004950B5"/>
    <w:rsid w:val="0049527F"/>
    <w:rsid w:val="00495352"/>
    <w:rsid w:val="00495414"/>
    <w:rsid w:val="00495600"/>
    <w:rsid w:val="00495678"/>
    <w:rsid w:val="00495ACB"/>
    <w:rsid w:val="00495BED"/>
    <w:rsid w:val="00496077"/>
    <w:rsid w:val="00496152"/>
    <w:rsid w:val="0049622B"/>
    <w:rsid w:val="0049672C"/>
    <w:rsid w:val="004967AB"/>
    <w:rsid w:val="004967B2"/>
    <w:rsid w:val="004967F5"/>
    <w:rsid w:val="00496A1E"/>
    <w:rsid w:val="00496B83"/>
    <w:rsid w:val="00496D20"/>
    <w:rsid w:val="00496EC8"/>
    <w:rsid w:val="00496FF6"/>
    <w:rsid w:val="00497374"/>
    <w:rsid w:val="00497494"/>
    <w:rsid w:val="0049778E"/>
    <w:rsid w:val="004978CB"/>
    <w:rsid w:val="004979BA"/>
    <w:rsid w:val="00497A36"/>
    <w:rsid w:val="00497C11"/>
    <w:rsid w:val="00497CC9"/>
    <w:rsid w:val="00497ED8"/>
    <w:rsid w:val="00497EE3"/>
    <w:rsid w:val="004A069E"/>
    <w:rsid w:val="004A0773"/>
    <w:rsid w:val="004A08E1"/>
    <w:rsid w:val="004A0BE4"/>
    <w:rsid w:val="004A0CD2"/>
    <w:rsid w:val="004A0F76"/>
    <w:rsid w:val="004A0F9D"/>
    <w:rsid w:val="004A156B"/>
    <w:rsid w:val="004A174A"/>
    <w:rsid w:val="004A190F"/>
    <w:rsid w:val="004A1B36"/>
    <w:rsid w:val="004A1B41"/>
    <w:rsid w:val="004A1B52"/>
    <w:rsid w:val="004A1BE4"/>
    <w:rsid w:val="004A1F69"/>
    <w:rsid w:val="004A203B"/>
    <w:rsid w:val="004A21C1"/>
    <w:rsid w:val="004A2386"/>
    <w:rsid w:val="004A2B19"/>
    <w:rsid w:val="004A2BF4"/>
    <w:rsid w:val="004A2CCD"/>
    <w:rsid w:val="004A2D53"/>
    <w:rsid w:val="004A3111"/>
    <w:rsid w:val="004A31DF"/>
    <w:rsid w:val="004A3284"/>
    <w:rsid w:val="004A33AE"/>
    <w:rsid w:val="004A33C1"/>
    <w:rsid w:val="004A36B9"/>
    <w:rsid w:val="004A3A07"/>
    <w:rsid w:val="004A3C24"/>
    <w:rsid w:val="004A44FE"/>
    <w:rsid w:val="004A4B8E"/>
    <w:rsid w:val="004A4BD4"/>
    <w:rsid w:val="004A55DB"/>
    <w:rsid w:val="004A5690"/>
    <w:rsid w:val="004A578F"/>
    <w:rsid w:val="004A5838"/>
    <w:rsid w:val="004A5C06"/>
    <w:rsid w:val="004A5E67"/>
    <w:rsid w:val="004A60C5"/>
    <w:rsid w:val="004A6194"/>
    <w:rsid w:val="004A62B6"/>
    <w:rsid w:val="004A6518"/>
    <w:rsid w:val="004A6811"/>
    <w:rsid w:val="004A6941"/>
    <w:rsid w:val="004A6ADA"/>
    <w:rsid w:val="004A6C0F"/>
    <w:rsid w:val="004A6C19"/>
    <w:rsid w:val="004A6C69"/>
    <w:rsid w:val="004A6D5B"/>
    <w:rsid w:val="004A716B"/>
    <w:rsid w:val="004A734C"/>
    <w:rsid w:val="004A753A"/>
    <w:rsid w:val="004A76AE"/>
    <w:rsid w:val="004A77AF"/>
    <w:rsid w:val="004A77CD"/>
    <w:rsid w:val="004A7800"/>
    <w:rsid w:val="004A7BF3"/>
    <w:rsid w:val="004A7DC8"/>
    <w:rsid w:val="004A7E56"/>
    <w:rsid w:val="004A7EF9"/>
    <w:rsid w:val="004B00F2"/>
    <w:rsid w:val="004B00FC"/>
    <w:rsid w:val="004B0222"/>
    <w:rsid w:val="004B052C"/>
    <w:rsid w:val="004B055D"/>
    <w:rsid w:val="004B0591"/>
    <w:rsid w:val="004B07DA"/>
    <w:rsid w:val="004B085F"/>
    <w:rsid w:val="004B086A"/>
    <w:rsid w:val="004B08FB"/>
    <w:rsid w:val="004B0AAD"/>
    <w:rsid w:val="004B0B0B"/>
    <w:rsid w:val="004B0C2F"/>
    <w:rsid w:val="004B0E1F"/>
    <w:rsid w:val="004B11B5"/>
    <w:rsid w:val="004B12E3"/>
    <w:rsid w:val="004B12E4"/>
    <w:rsid w:val="004B13F7"/>
    <w:rsid w:val="004B1546"/>
    <w:rsid w:val="004B17FC"/>
    <w:rsid w:val="004B19D4"/>
    <w:rsid w:val="004B1AA4"/>
    <w:rsid w:val="004B1DD1"/>
    <w:rsid w:val="004B2146"/>
    <w:rsid w:val="004B23F6"/>
    <w:rsid w:val="004B298F"/>
    <w:rsid w:val="004B2AAA"/>
    <w:rsid w:val="004B3308"/>
    <w:rsid w:val="004B33FA"/>
    <w:rsid w:val="004B34B5"/>
    <w:rsid w:val="004B3647"/>
    <w:rsid w:val="004B379A"/>
    <w:rsid w:val="004B3966"/>
    <w:rsid w:val="004B3D1E"/>
    <w:rsid w:val="004B3EA5"/>
    <w:rsid w:val="004B4456"/>
    <w:rsid w:val="004B4623"/>
    <w:rsid w:val="004B4A69"/>
    <w:rsid w:val="004B4FBB"/>
    <w:rsid w:val="004B5207"/>
    <w:rsid w:val="004B52EE"/>
    <w:rsid w:val="004B5483"/>
    <w:rsid w:val="004B551E"/>
    <w:rsid w:val="004B5BF8"/>
    <w:rsid w:val="004B6340"/>
    <w:rsid w:val="004B6403"/>
    <w:rsid w:val="004B641F"/>
    <w:rsid w:val="004B6485"/>
    <w:rsid w:val="004B682E"/>
    <w:rsid w:val="004B6921"/>
    <w:rsid w:val="004B6AC2"/>
    <w:rsid w:val="004B6E3C"/>
    <w:rsid w:val="004B6FE4"/>
    <w:rsid w:val="004B6FF4"/>
    <w:rsid w:val="004B70BC"/>
    <w:rsid w:val="004B7234"/>
    <w:rsid w:val="004B73F2"/>
    <w:rsid w:val="004B74AF"/>
    <w:rsid w:val="004B77E7"/>
    <w:rsid w:val="004B78C7"/>
    <w:rsid w:val="004B7A57"/>
    <w:rsid w:val="004B7FC2"/>
    <w:rsid w:val="004C0057"/>
    <w:rsid w:val="004C00BA"/>
    <w:rsid w:val="004C073A"/>
    <w:rsid w:val="004C0B38"/>
    <w:rsid w:val="004C0EE1"/>
    <w:rsid w:val="004C0EEB"/>
    <w:rsid w:val="004C0FFD"/>
    <w:rsid w:val="004C1001"/>
    <w:rsid w:val="004C10C4"/>
    <w:rsid w:val="004C10F8"/>
    <w:rsid w:val="004C1587"/>
    <w:rsid w:val="004C1935"/>
    <w:rsid w:val="004C1A3A"/>
    <w:rsid w:val="004C1B7F"/>
    <w:rsid w:val="004C1BE1"/>
    <w:rsid w:val="004C1E43"/>
    <w:rsid w:val="004C1F3F"/>
    <w:rsid w:val="004C1F8A"/>
    <w:rsid w:val="004C2041"/>
    <w:rsid w:val="004C22CA"/>
    <w:rsid w:val="004C2539"/>
    <w:rsid w:val="004C262D"/>
    <w:rsid w:val="004C272D"/>
    <w:rsid w:val="004C292E"/>
    <w:rsid w:val="004C2936"/>
    <w:rsid w:val="004C2C4E"/>
    <w:rsid w:val="004C2C9C"/>
    <w:rsid w:val="004C2CCC"/>
    <w:rsid w:val="004C2CE7"/>
    <w:rsid w:val="004C30E6"/>
    <w:rsid w:val="004C31C7"/>
    <w:rsid w:val="004C3340"/>
    <w:rsid w:val="004C3418"/>
    <w:rsid w:val="004C3590"/>
    <w:rsid w:val="004C3617"/>
    <w:rsid w:val="004C3628"/>
    <w:rsid w:val="004C37FC"/>
    <w:rsid w:val="004C3CDC"/>
    <w:rsid w:val="004C3FBC"/>
    <w:rsid w:val="004C405E"/>
    <w:rsid w:val="004C4192"/>
    <w:rsid w:val="004C43C0"/>
    <w:rsid w:val="004C451A"/>
    <w:rsid w:val="004C4B9B"/>
    <w:rsid w:val="004C4C4F"/>
    <w:rsid w:val="004C4CC7"/>
    <w:rsid w:val="004C4E1C"/>
    <w:rsid w:val="004C5199"/>
    <w:rsid w:val="004C52A8"/>
    <w:rsid w:val="004C53F4"/>
    <w:rsid w:val="004C565A"/>
    <w:rsid w:val="004C5872"/>
    <w:rsid w:val="004C5900"/>
    <w:rsid w:val="004C5B3D"/>
    <w:rsid w:val="004C6189"/>
    <w:rsid w:val="004C619B"/>
    <w:rsid w:val="004C6B92"/>
    <w:rsid w:val="004C6C23"/>
    <w:rsid w:val="004C6E41"/>
    <w:rsid w:val="004C6F70"/>
    <w:rsid w:val="004C710C"/>
    <w:rsid w:val="004C7590"/>
    <w:rsid w:val="004C7647"/>
    <w:rsid w:val="004C7C7B"/>
    <w:rsid w:val="004C7DA5"/>
    <w:rsid w:val="004C7F2E"/>
    <w:rsid w:val="004C7F76"/>
    <w:rsid w:val="004D000C"/>
    <w:rsid w:val="004D0386"/>
    <w:rsid w:val="004D0521"/>
    <w:rsid w:val="004D056E"/>
    <w:rsid w:val="004D060D"/>
    <w:rsid w:val="004D0631"/>
    <w:rsid w:val="004D0736"/>
    <w:rsid w:val="004D08DA"/>
    <w:rsid w:val="004D0AA9"/>
    <w:rsid w:val="004D0F7A"/>
    <w:rsid w:val="004D0F90"/>
    <w:rsid w:val="004D0FAB"/>
    <w:rsid w:val="004D1031"/>
    <w:rsid w:val="004D1151"/>
    <w:rsid w:val="004D1214"/>
    <w:rsid w:val="004D13EF"/>
    <w:rsid w:val="004D15FD"/>
    <w:rsid w:val="004D187B"/>
    <w:rsid w:val="004D187E"/>
    <w:rsid w:val="004D19B1"/>
    <w:rsid w:val="004D1CC1"/>
    <w:rsid w:val="004D1CCA"/>
    <w:rsid w:val="004D1E11"/>
    <w:rsid w:val="004D21F4"/>
    <w:rsid w:val="004D24B0"/>
    <w:rsid w:val="004D28A7"/>
    <w:rsid w:val="004D2A84"/>
    <w:rsid w:val="004D2C00"/>
    <w:rsid w:val="004D353B"/>
    <w:rsid w:val="004D3AEE"/>
    <w:rsid w:val="004D3B80"/>
    <w:rsid w:val="004D42A1"/>
    <w:rsid w:val="004D44BE"/>
    <w:rsid w:val="004D4571"/>
    <w:rsid w:val="004D460E"/>
    <w:rsid w:val="004D48E3"/>
    <w:rsid w:val="004D4E80"/>
    <w:rsid w:val="004D4F2E"/>
    <w:rsid w:val="004D4FDF"/>
    <w:rsid w:val="004D5069"/>
    <w:rsid w:val="004D53C8"/>
    <w:rsid w:val="004D5429"/>
    <w:rsid w:val="004D54E9"/>
    <w:rsid w:val="004D5532"/>
    <w:rsid w:val="004D554F"/>
    <w:rsid w:val="004D566E"/>
    <w:rsid w:val="004D5711"/>
    <w:rsid w:val="004D575F"/>
    <w:rsid w:val="004D591A"/>
    <w:rsid w:val="004D5D10"/>
    <w:rsid w:val="004D5E8C"/>
    <w:rsid w:val="004D641E"/>
    <w:rsid w:val="004D66D7"/>
    <w:rsid w:val="004D6838"/>
    <w:rsid w:val="004D6B2F"/>
    <w:rsid w:val="004D6CC5"/>
    <w:rsid w:val="004D7121"/>
    <w:rsid w:val="004D7258"/>
    <w:rsid w:val="004D738E"/>
    <w:rsid w:val="004D76C0"/>
    <w:rsid w:val="004D79C2"/>
    <w:rsid w:val="004D79D8"/>
    <w:rsid w:val="004D7A61"/>
    <w:rsid w:val="004D7D0E"/>
    <w:rsid w:val="004D7D4C"/>
    <w:rsid w:val="004E02B9"/>
    <w:rsid w:val="004E0465"/>
    <w:rsid w:val="004E0864"/>
    <w:rsid w:val="004E0B7D"/>
    <w:rsid w:val="004E0CF8"/>
    <w:rsid w:val="004E0D65"/>
    <w:rsid w:val="004E0E16"/>
    <w:rsid w:val="004E0EB5"/>
    <w:rsid w:val="004E0F3A"/>
    <w:rsid w:val="004E1296"/>
    <w:rsid w:val="004E13D1"/>
    <w:rsid w:val="004E148C"/>
    <w:rsid w:val="004E15B7"/>
    <w:rsid w:val="004E15BD"/>
    <w:rsid w:val="004E1668"/>
    <w:rsid w:val="004E1761"/>
    <w:rsid w:val="004E1848"/>
    <w:rsid w:val="004E1854"/>
    <w:rsid w:val="004E195B"/>
    <w:rsid w:val="004E19A7"/>
    <w:rsid w:val="004E19F5"/>
    <w:rsid w:val="004E27AF"/>
    <w:rsid w:val="004E2CC8"/>
    <w:rsid w:val="004E2D6A"/>
    <w:rsid w:val="004E2ECF"/>
    <w:rsid w:val="004E2ED9"/>
    <w:rsid w:val="004E2EF0"/>
    <w:rsid w:val="004E30C7"/>
    <w:rsid w:val="004E31DB"/>
    <w:rsid w:val="004E3302"/>
    <w:rsid w:val="004E3360"/>
    <w:rsid w:val="004E33D5"/>
    <w:rsid w:val="004E378C"/>
    <w:rsid w:val="004E3832"/>
    <w:rsid w:val="004E3888"/>
    <w:rsid w:val="004E389F"/>
    <w:rsid w:val="004E38B3"/>
    <w:rsid w:val="004E3A17"/>
    <w:rsid w:val="004E3AC8"/>
    <w:rsid w:val="004E3AED"/>
    <w:rsid w:val="004E3AFB"/>
    <w:rsid w:val="004E3D35"/>
    <w:rsid w:val="004E3E2A"/>
    <w:rsid w:val="004E412E"/>
    <w:rsid w:val="004E4414"/>
    <w:rsid w:val="004E4871"/>
    <w:rsid w:val="004E49AA"/>
    <w:rsid w:val="004E4BAA"/>
    <w:rsid w:val="004E5128"/>
    <w:rsid w:val="004E52B1"/>
    <w:rsid w:val="004E5322"/>
    <w:rsid w:val="004E5A98"/>
    <w:rsid w:val="004E5B57"/>
    <w:rsid w:val="004E5C78"/>
    <w:rsid w:val="004E5D35"/>
    <w:rsid w:val="004E5DCC"/>
    <w:rsid w:val="004E5EA0"/>
    <w:rsid w:val="004E5F90"/>
    <w:rsid w:val="004E6463"/>
    <w:rsid w:val="004E6512"/>
    <w:rsid w:val="004E6826"/>
    <w:rsid w:val="004E690A"/>
    <w:rsid w:val="004E6E0B"/>
    <w:rsid w:val="004E7934"/>
    <w:rsid w:val="004E79F4"/>
    <w:rsid w:val="004E7E29"/>
    <w:rsid w:val="004E7EAE"/>
    <w:rsid w:val="004F04C8"/>
    <w:rsid w:val="004F087F"/>
    <w:rsid w:val="004F0977"/>
    <w:rsid w:val="004F0AEE"/>
    <w:rsid w:val="004F0C7C"/>
    <w:rsid w:val="004F1061"/>
    <w:rsid w:val="004F106F"/>
    <w:rsid w:val="004F143F"/>
    <w:rsid w:val="004F16CC"/>
    <w:rsid w:val="004F176E"/>
    <w:rsid w:val="004F178A"/>
    <w:rsid w:val="004F18AE"/>
    <w:rsid w:val="004F19E9"/>
    <w:rsid w:val="004F1A98"/>
    <w:rsid w:val="004F1AB8"/>
    <w:rsid w:val="004F1E30"/>
    <w:rsid w:val="004F1F06"/>
    <w:rsid w:val="004F2156"/>
    <w:rsid w:val="004F2358"/>
    <w:rsid w:val="004F260C"/>
    <w:rsid w:val="004F2851"/>
    <w:rsid w:val="004F2B43"/>
    <w:rsid w:val="004F2C38"/>
    <w:rsid w:val="004F2D4D"/>
    <w:rsid w:val="004F2D7D"/>
    <w:rsid w:val="004F3472"/>
    <w:rsid w:val="004F36A0"/>
    <w:rsid w:val="004F3C1D"/>
    <w:rsid w:val="004F4373"/>
    <w:rsid w:val="004F43DD"/>
    <w:rsid w:val="004F482F"/>
    <w:rsid w:val="004F4CE6"/>
    <w:rsid w:val="004F4E14"/>
    <w:rsid w:val="004F4FB0"/>
    <w:rsid w:val="004F5086"/>
    <w:rsid w:val="004F510B"/>
    <w:rsid w:val="004F5184"/>
    <w:rsid w:val="004F51C9"/>
    <w:rsid w:val="004F532A"/>
    <w:rsid w:val="004F549C"/>
    <w:rsid w:val="004F549F"/>
    <w:rsid w:val="004F584D"/>
    <w:rsid w:val="004F5884"/>
    <w:rsid w:val="004F58E0"/>
    <w:rsid w:val="004F59B7"/>
    <w:rsid w:val="004F5A18"/>
    <w:rsid w:val="004F5B2B"/>
    <w:rsid w:val="004F5D4A"/>
    <w:rsid w:val="004F5ECD"/>
    <w:rsid w:val="004F5FAE"/>
    <w:rsid w:val="004F606C"/>
    <w:rsid w:val="004F613D"/>
    <w:rsid w:val="004F6273"/>
    <w:rsid w:val="004F62D2"/>
    <w:rsid w:val="004F64AE"/>
    <w:rsid w:val="004F6507"/>
    <w:rsid w:val="004F66B0"/>
    <w:rsid w:val="004F67EF"/>
    <w:rsid w:val="004F6821"/>
    <w:rsid w:val="004F6869"/>
    <w:rsid w:val="004F6992"/>
    <w:rsid w:val="004F69AC"/>
    <w:rsid w:val="004F6AA8"/>
    <w:rsid w:val="004F6B57"/>
    <w:rsid w:val="004F6D83"/>
    <w:rsid w:val="004F6DC3"/>
    <w:rsid w:val="004F7359"/>
    <w:rsid w:val="004F736F"/>
    <w:rsid w:val="004F7438"/>
    <w:rsid w:val="004F75F1"/>
    <w:rsid w:val="004F7A53"/>
    <w:rsid w:val="004F7BC0"/>
    <w:rsid w:val="004F7C0D"/>
    <w:rsid w:val="004F7C19"/>
    <w:rsid w:val="005001AA"/>
    <w:rsid w:val="00500335"/>
    <w:rsid w:val="00500458"/>
    <w:rsid w:val="00500966"/>
    <w:rsid w:val="00500BB1"/>
    <w:rsid w:val="00500FE7"/>
    <w:rsid w:val="0050103D"/>
    <w:rsid w:val="005010B9"/>
    <w:rsid w:val="00501550"/>
    <w:rsid w:val="00501841"/>
    <w:rsid w:val="005018E9"/>
    <w:rsid w:val="00501C29"/>
    <w:rsid w:val="00501CDF"/>
    <w:rsid w:val="00501F6D"/>
    <w:rsid w:val="00502193"/>
    <w:rsid w:val="00502607"/>
    <w:rsid w:val="005027B7"/>
    <w:rsid w:val="00502853"/>
    <w:rsid w:val="00502E3C"/>
    <w:rsid w:val="00503053"/>
    <w:rsid w:val="00503367"/>
    <w:rsid w:val="00503722"/>
    <w:rsid w:val="0050396A"/>
    <w:rsid w:val="00503B2A"/>
    <w:rsid w:val="00503D1E"/>
    <w:rsid w:val="0050407D"/>
    <w:rsid w:val="00504212"/>
    <w:rsid w:val="0050427B"/>
    <w:rsid w:val="0050434D"/>
    <w:rsid w:val="005043A1"/>
    <w:rsid w:val="0050444D"/>
    <w:rsid w:val="00504A4C"/>
    <w:rsid w:val="00504B3B"/>
    <w:rsid w:val="00504FC2"/>
    <w:rsid w:val="00504FDB"/>
    <w:rsid w:val="005051D9"/>
    <w:rsid w:val="0050529E"/>
    <w:rsid w:val="005052BB"/>
    <w:rsid w:val="005053AB"/>
    <w:rsid w:val="005055FB"/>
    <w:rsid w:val="00505683"/>
    <w:rsid w:val="00505688"/>
    <w:rsid w:val="0050569A"/>
    <w:rsid w:val="0050575B"/>
    <w:rsid w:val="005057C4"/>
    <w:rsid w:val="00505820"/>
    <w:rsid w:val="00505B2D"/>
    <w:rsid w:val="00505B89"/>
    <w:rsid w:val="00505E1A"/>
    <w:rsid w:val="00506420"/>
    <w:rsid w:val="00506431"/>
    <w:rsid w:val="005064CA"/>
    <w:rsid w:val="00506986"/>
    <w:rsid w:val="00506B80"/>
    <w:rsid w:val="00506BD0"/>
    <w:rsid w:val="00506C4F"/>
    <w:rsid w:val="00506C93"/>
    <w:rsid w:val="00506D0A"/>
    <w:rsid w:val="00506D7A"/>
    <w:rsid w:val="005071C7"/>
    <w:rsid w:val="00507268"/>
    <w:rsid w:val="00507363"/>
    <w:rsid w:val="00507525"/>
    <w:rsid w:val="005075FA"/>
    <w:rsid w:val="00507759"/>
    <w:rsid w:val="00507776"/>
    <w:rsid w:val="0050777B"/>
    <w:rsid w:val="00507841"/>
    <w:rsid w:val="00507E4C"/>
    <w:rsid w:val="00510085"/>
    <w:rsid w:val="005100C7"/>
    <w:rsid w:val="005102C4"/>
    <w:rsid w:val="005106DC"/>
    <w:rsid w:val="00510DEF"/>
    <w:rsid w:val="00510E01"/>
    <w:rsid w:val="00510F30"/>
    <w:rsid w:val="0051116B"/>
    <w:rsid w:val="00511457"/>
    <w:rsid w:val="005115A5"/>
    <w:rsid w:val="00511648"/>
    <w:rsid w:val="005116E5"/>
    <w:rsid w:val="00511AF0"/>
    <w:rsid w:val="00511C3A"/>
    <w:rsid w:val="00512180"/>
    <w:rsid w:val="0051231F"/>
    <w:rsid w:val="005127FF"/>
    <w:rsid w:val="00512C1E"/>
    <w:rsid w:val="00512E3F"/>
    <w:rsid w:val="00512F2E"/>
    <w:rsid w:val="005130BE"/>
    <w:rsid w:val="0051327E"/>
    <w:rsid w:val="0051350B"/>
    <w:rsid w:val="00513575"/>
    <w:rsid w:val="00513BAF"/>
    <w:rsid w:val="00513C9B"/>
    <w:rsid w:val="00513D3A"/>
    <w:rsid w:val="00513DE5"/>
    <w:rsid w:val="00513E3D"/>
    <w:rsid w:val="00513E61"/>
    <w:rsid w:val="00513E8E"/>
    <w:rsid w:val="00513EB8"/>
    <w:rsid w:val="00514028"/>
    <w:rsid w:val="005140F7"/>
    <w:rsid w:val="005141EB"/>
    <w:rsid w:val="00514823"/>
    <w:rsid w:val="00514876"/>
    <w:rsid w:val="00514B67"/>
    <w:rsid w:val="0051544B"/>
    <w:rsid w:val="00515471"/>
    <w:rsid w:val="005154F8"/>
    <w:rsid w:val="0051550F"/>
    <w:rsid w:val="0051567F"/>
    <w:rsid w:val="005157BE"/>
    <w:rsid w:val="00515924"/>
    <w:rsid w:val="00515930"/>
    <w:rsid w:val="00515A77"/>
    <w:rsid w:val="00515E7B"/>
    <w:rsid w:val="00515F83"/>
    <w:rsid w:val="00515F92"/>
    <w:rsid w:val="0051604D"/>
    <w:rsid w:val="00516113"/>
    <w:rsid w:val="00516A35"/>
    <w:rsid w:val="00517025"/>
    <w:rsid w:val="00517096"/>
    <w:rsid w:val="00517387"/>
    <w:rsid w:val="00517572"/>
    <w:rsid w:val="00517C0D"/>
    <w:rsid w:val="00517D68"/>
    <w:rsid w:val="00517E06"/>
    <w:rsid w:val="00517E2C"/>
    <w:rsid w:val="0052006E"/>
    <w:rsid w:val="005201CC"/>
    <w:rsid w:val="005202BD"/>
    <w:rsid w:val="00520441"/>
    <w:rsid w:val="005204DA"/>
    <w:rsid w:val="005206FA"/>
    <w:rsid w:val="00520AD9"/>
    <w:rsid w:val="00520BD7"/>
    <w:rsid w:val="00520C90"/>
    <w:rsid w:val="00521082"/>
    <w:rsid w:val="0052117B"/>
    <w:rsid w:val="005211F7"/>
    <w:rsid w:val="0052152F"/>
    <w:rsid w:val="005215A7"/>
    <w:rsid w:val="00521603"/>
    <w:rsid w:val="00521639"/>
    <w:rsid w:val="005216A9"/>
    <w:rsid w:val="00521833"/>
    <w:rsid w:val="00521904"/>
    <w:rsid w:val="005219B3"/>
    <w:rsid w:val="00521A1D"/>
    <w:rsid w:val="00521CAB"/>
    <w:rsid w:val="00521FCB"/>
    <w:rsid w:val="005222BE"/>
    <w:rsid w:val="005222E3"/>
    <w:rsid w:val="00522617"/>
    <w:rsid w:val="00522AAC"/>
    <w:rsid w:val="00522DC8"/>
    <w:rsid w:val="00522DE1"/>
    <w:rsid w:val="00522F26"/>
    <w:rsid w:val="005230BD"/>
    <w:rsid w:val="005234EC"/>
    <w:rsid w:val="005235A0"/>
    <w:rsid w:val="005235DA"/>
    <w:rsid w:val="00523831"/>
    <w:rsid w:val="0052383A"/>
    <w:rsid w:val="0052384F"/>
    <w:rsid w:val="00523891"/>
    <w:rsid w:val="00523B99"/>
    <w:rsid w:val="00523F55"/>
    <w:rsid w:val="00524225"/>
    <w:rsid w:val="00524739"/>
    <w:rsid w:val="005248C7"/>
    <w:rsid w:val="00524BA9"/>
    <w:rsid w:val="00525070"/>
    <w:rsid w:val="00525207"/>
    <w:rsid w:val="00525216"/>
    <w:rsid w:val="0052563E"/>
    <w:rsid w:val="00525725"/>
    <w:rsid w:val="00525784"/>
    <w:rsid w:val="005258F7"/>
    <w:rsid w:val="0052598D"/>
    <w:rsid w:val="00525B8C"/>
    <w:rsid w:val="00525BEB"/>
    <w:rsid w:val="00525E4E"/>
    <w:rsid w:val="00525EED"/>
    <w:rsid w:val="00525FA5"/>
    <w:rsid w:val="00525FE9"/>
    <w:rsid w:val="00526096"/>
    <w:rsid w:val="005260FA"/>
    <w:rsid w:val="005261CD"/>
    <w:rsid w:val="005262B5"/>
    <w:rsid w:val="005262DC"/>
    <w:rsid w:val="00526581"/>
    <w:rsid w:val="00526991"/>
    <w:rsid w:val="00526BF1"/>
    <w:rsid w:val="00526F0E"/>
    <w:rsid w:val="005272B5"/>
    <w:rsid w:val="00527369"/>
    <w:rsid w:val="00527493"/>
    <w:rsid w:val="00527756"/>
    <w:rsid w:val="0052782E"/>
    <w:rsid w:val="00527A5C"/>
    <w:rsid w:val="00527AEE"/>
    <w:rsid w:val="00527C23"/>
    <w:rsid w:val="00527E58"/>
    <w:rsid w:val="00530152"/>
    <w:rsid w:val="0053026B"/>
    <w:rsid w:val="0053069C"/>
    <w:rsid w:val="0053074E"/>
    <w:rsid w:val="00530790"/>
    <w:rsid w:val="0053091D"/>
    <w:rsid w:val="005309DC"/>
    <w:rsid w:val="0053113D"/>
    <w:rsid w:val="00531423"/>
    <w:rsid w:val="00531915"/>
    <w:rsid w:val="005319C8"/>
    <w:rsid w:val="00531A05"/>
    <w:rsid w:val="00531A09"/>
    <w:rsid w:val="00531DBF"/>
    <w:rsid w:val="00532006"/>
    <w:rsid w:val="00532130"/>
    <w:rsid w:val="00532306"/>
    <w:rsid w:val="005327BD"/>
    <w:rsid w:val="00532A64"/>
    <w:rsid w:val="00532E3E"/>
    <w:rsid w:val="005330D6"/>
    <w:rsid w:val="00533381"/>
    <w:rsid w:val="005333A9"/>
    <w:rsid w:val="00533BBE"/>
    <w:rsid w:val="00533BBF"/>
    <w:rsid w:val="00533C4B"/>
    <w:rsid w:val="00533FC0"/>
    <w:rsid w:val="005344C5"/>
    <w:rsid w:val="005344F6"/>
    <w:rsid w:val="005349CD"/>
    <w:rsid w:val="00534B84"/>
    <w:rsid w:val="00534BC4"/>
    <w:rsid w:val="00534D71"/>
    <w:rsid w:val="00534FB3"/>
    <w:rsid w:val="00534FF6"/>
    <w:rsid w:val="0053506F"/>
    <w:rsid w:val="00535146"/>
    <w:rsid w:val="0053514C"/>
    <w:rsid w:val="00535162"/>
    <w:rsid w:val="005351CA"/>
    <w:rsid w:val="005351F2"/>
    <w:rsid w:val="0053598E"/>
    <w:rsid w:val="00535B89"/>
    <w:rsid w:val="00535E1F"/>
    <w:rsid w:val="00535F0A"/>
    <w:rsid w:val="00536572"/>
    <w:rsid w:val="005365D0"/>
    <w:rsid w:val="005366FF"/>
    <w:rsid w:val="00536A13"/>
    <w:rsid w:val="00536A44"/>
    <w:rsid w:val="00536CBA"/>
    <w:rsid w:val="00536FE6"/>
    <w:rsid w:val="00537023"/>
    <w:rsid w:val="0053729E"/>
    <w:rsid w:val="00537863"/>
    <w:rsid w:val="00537AF0"/>
    <w:rsid w:val="00537B39"/>
    <w:rsid w:val="00537C03"/>
    <w:rsid w:val="00537C56"/>
    <w:rsid w:val="00537CB0"/>
    <w:rsid w:val="005402BE"/>
    <w:rsid w:val="005403CA"/>
    <w:rsid w:val="00540474"/>
    <w:rsid w:val="005404AA"/>
    <w:rsid w:val="0054080C"/>
    <w:rsid w:val="00540A91"/>
    <w:rsid w:val="00540E2E"/>
    <w:rsid w:val="00541021"/>
    <w:rsid w:val="00541361"/>
    <w:rsid w:val="005413F5"/>
    <w:rsid w:val="00541738"/>
    <w:rsid w:val="00541817"/>
    <w:rsid w:val="005418C0"/>
    <w:rsid w:val="00541B2C"/>
    <w:rsid w:val="00541C0E"/>
    <w:rsid w:val="00541D5B"/>
    <w:rsid w:val="00541ED0"/>
    <w:rsid w:val="00542485"/>
    <w:rsid w:val="005424AF"/>
    <w:rsid w:val="00542778"/>
    <w:rsid w:val="005427D1"/>
    <w:rsid w:val="00542BDE"/>
    <w:rsid w:val="00542C36"/>
    <w:rsid w:val="005431C5"/>
    <w:rsid w:val="0054320A"/>
    <w:rsid w:val="005433DC"/>
    <w:rsid w:val="00543426"/>
    <w:rsid w:val="005434F0"/>
    <w:rsid w:val="00543A2A"/>
    <w:rsid w:val="00543E4E"/>
    <w:rsid w:val="0054409D"/>
    <w:rsid w:val="005442DF"/>
    <w:rsid w:val="005444E8"/>
    <w:rsid w:val="005446B4"/>
    <w:rsid w:val="0054471A"/>
    <w:rsid w:val="0054475B"/>
    <w:rsid w:val="005448D6"/>
    <w:rsid w:val="005449E5"/>
    <w:rsid w:val="00544B62"/>
    <w:rsid w:val="00544C6B"/>
    <w:rsid w:val="00545064"/>
    <w:rsid w:val="00545196"/>
    <w:rsid w:val="005453F7"/>
    <w:rsid w:val="00545489"/>
    <w:rsid w:val="00545830"/>
    <w:rsid w:val="0054594D"/>
    <w:rsid w:val="00545A68"/>
    <w:rsid w:val="00545AE3"/>
    <w:rsid w:val="00545CE8"/>
    <w:rsid w:val="005461D9"/>
    <w:rsid w:val="0054653D"/>
    <w:rsid w:val="00546649"/>
    <w:rsid w:val="0054676B"/>
    <w:rsid w:val="00547801"/>
    <w:rsid w:val="0054783E"/>
    <w:rsid w:val="0054786A"/>
    <w:rsid w:val="00547D05"/>
    <w:rsid w:val="00547F02"/>
    <w:rsid w:val="0055005E"/>
    <w:rsid w:val="00550547"/>
    <w:rsid w:val="0055103C"/>
    <w:rsid w:val="00551567"/>
    <w:rsid w:val="00551725"/>
    <w:rsid w:val="00551781"/>
    <w:rsid w:val="00551EA9"/>
    <w:rsid w:val="00552032"/>
    <w:rsid w:val="0055204C"/>
    <w:rsid w:val="00552323"/>
    <w:rsid w:val="005524F8"/>
    <w:rsid w:val="005525C5"/>
    <w:rsid w:val="0055299A"/>
    <w:rsid w:val="00552A84"/>
    <w:rsid w:val="00552A99"/>
    <w:rsid w:val="00552FFF"/>
    <w:rsid w:val="0055307C"/>
    <w:rsid w:val="00553236"/>
    <w:rsid w:val="005532C1"/>
    <w:rsid w:val="00553594"/>
    <w:rsid w:val="00553605"/>
    <w:rsid w:val="00553ABB"/>
    <w:rsid w:val="00553C56"/>
    <w:rsid w:val="00553C9E"/>
    <w:rsid w:val="00553EE0"/>
    <w:rsid w:val="00554013"/>
    <w:rsid w:val="005541D0"/>
    <w:rsid w:val="00554436"/>
    <w:rsid w:val="00554A2C"/>
    <w:rsid w:val="00554F93"/>
    <w:rsid w:val="00555055"/>
    <w:rsid w:val="00555297"/>
    <w:rsid w:val="005557FB"/>
    <w:rsid w:val="005558D9"/>
    <w:rsid w:val="005559C2"/>
    <w:rsid w:val="00555B63"/>
    <w:rsid w:val="00555C01"/>
    <w:rsid w:val="00555C56"/>
    <w:rsid w:val="005560BD"/>
    <w:rsid w:val="005560FD"/>
    <w:rsid w:val="005563E6"/>
    <w:rsid w:val="005563E9"/>
    <w:rsid w:val="00556428"/>
    <w:rsid w:val="005564B4"/>
    <w:rsid w:val="0055684A"/>
    <w:rsid w:val="005568FC"/>
    <w:rsid w:val="005569CA"/>
    <w:rsid w:val="00556DE2"/>
    <w:rsid w:val="00556E17"/>
    <w:rsid w:val="005575F2"/>
    <w:rsid w:val="00557671"/>
    <w:rsid w:val="00557674"/>
    <w:rsid w:val="0055784F"/>
    <w:rsid w:val="00557C06"/>
    <w:rsid w:val="00557D9A"/>
    <w:rsid w:val="00557F00"/>
    <w:rsid w:val="00560243"/>
    <w:rsid w:val="0056065E"/>
    <w:rsid w:val="005609F5"/>
    <w:rsid w:val="00560A16"/>
    <w:rsid w:val="00560D8B"/>
    <w:rsid w:val="00560F06"/>
    <w:rsid w:val="0056106E"/>
    <w:rsid w:val="0056109B"/>
    <w:rsid w:val="005613AD"/>
    <w:rsid w:val="00561771"/>
    <w:rsid w:val="005619A1"/>
    <w:rsid w:val="00561F81"/>
    <w:rsid w:val="005621F2"/>
    <w:rsid w:val="005625E1"/>
    <w:rsid w:val="005626FF"/>
    <w:rsid w:val="005627FB"/>
    <w:rsid w:val="00562822"/>
    <w:rsid w:val="00562CC1"/>
    <w:rsid w:val="00562DEF"/>
    <w:rsid w:val="00562E18"/>
    <w:rsid w:val="0056313B"/>
    <w:rsid w:val="00563226"/>
    <w:rsid w:val="0056323F"/>
    <w:rsid w:val="005633A1"/>
    <w:rsid w:val="0056357B"/>
    <w:rsid w:val="005637C7"/>
    <w:rsid w:val="005637D4"/>
    <w:rsid w:val="00563828"/>
    <w:rsid w:val="005638C6"/>
    <w:rsid w:val="00563A11"/>
    <w:rsid w:val="00563C2C"/>
    <w:rsid w:val="00563C37"/>
    <w:rsid w:val="00563D71"/>
    <w:rsid w:val="00563EDF"/>
    <w:rsid w:val="00564170"/>
    <w:rsid w:val="005642AE"/>
    <w:rsid w:val="00564584"/>
    <w:rsid w:val="00564778"/>
    <w:rsid w:val="00564795"/>
    <w:rsid w:val="00564865"/>
    <w:rsid w:val="005648E5"/>
    <w:rsid w:val="00564A98"/>
    <w:rsid w:val="00564B3B"/>
    <w:rsid w:val="00564F57"/>
    <w:rsid w:val="005651C6"/>
    <w:rsid w:val="00565287"/>
    <w:rsid w:val="0056533B"/>
    <w:rsid w:val="005654DA"/>
    <w:rsid w:val="00565589"/>
    <w:rsid w:val="00565659"/>
    <w:rsid w:val="00565730"/>
    <w:rsid w:val="0056586B"/>
    <w:rsid w:val="00565C1A"/>
    <w:rsid w:val="00565C2D"/>
    <w:rsid w:val="00565C6B"/>
    <w:rsid w:val="00566280"/>
    <w:rsid w:val="00567074"/>
    <w:rsid w:val="005672A7"/>
    <w:rsid w:val="005672CA"/>
    <w:rsid w:val="00567392"/>
    <w:rsid w:val="00567451"/>
    <w:rsid w:val="00567454"/>
    <w:rsid w:val="00567ACA"/>
    <w:rsid w:val="00567B15"/>
    <w:rsid w:val="00567CFB"/>
    <w:rsid w:val="00567EBF"/>
    <w:rsid w:val="005700DD"/>
    <w:rsid w:val="0057031C"/>
    <w:rsid w:val="00570732"/>
    <w:rsid w:val="00570A29"/>
    <w:rsid w:val="00570CC1"/>
    <w:rsid w:val="00570D1D"/>
    <w:rsid w:val="00570F15"/>
    <w:rsid w:val="00570F6F"/>
    <w:rsid w:val="00571091"/>
    <w:rsid w:val="00571133"/>
    <w:rsid w:val="00571280"/>
    <w:rsid w:val="0057134C"/>
    <w:rsid w:val="00571370"/>
    <w:rsid w:val="005715F2"/>
    <w:rsid w:val="00571659"/>
    <w:rsid w:val="005718C7"/>
    <w:rsid w:val="00571BD2"/>
    <w:rsid w:val="00571E8D"/>
    <w:rsid w:val="005721BA"/>
    <w:rsid w:val="00572463"/>
    <w:rsid w:val="00572477"/>
    <w:rsid w:val="00572740"/>
    <w:rsid w:val="005727BB"/>
    <w:rsid w:val="0057296F"/>
    <w:rsid w:val="00572CBA"/>
    <w:rsid w:val="0057309D"/>
    <w:rsid w:val="00573497"/>
    <w:rsid w:val="00573579"/>
    <w:rsid w:val="00573612"/>
    <w:rsid w:val="005737AC"/>
    <w:rsid w:val="00573CAB"/>
    <w:rsid w:val="00573DB9"/>
    <w:rsid w:val="00573E6E"/>
    <w:rsid w:val="0057409C"/>
    <w:rsid w:val="00574166"/>
    <w:rsid w:val="0057444F"/>
    <w:rsid w:val="0057458A"/>
    <w:rsid w:val="00574775"/>
    <w:rsid w:val="005748FA"/>
    <w:rsid w:val="00574970"/>
    <w:rsid w:val="00574A62"/>
    <w:rsid w:val="00574BBB"/>
    <w:rsid w:val="00574FE2"/>
    <w:rsid w:val="00575050"/>
    <w:rsid w:val="005750AD"/>
    <w:rsid w:val="0057557E"/>
    <w:rsid w:val="00575C83"/>
    <w:rsid w:val="00575E7A"/>
    <w:rsid w:val="00575F4E"/>
    <w:rsid w:val="00576157"/>
    <w:rsid w:val="005762C0"/>
    <w:rsid w:val="005762F0"/>
    <w:rsid w:val="0057650F"/>
    <w:rsid w:val="00577111"/>
    <w:rsid w:val="00577184"/>
    <w:rsid w:val="00577521"/>
    <w:rsid w:val="005775CE"/>
    <w:rsid w:val="005775E4"/>
    <w:rsid w:val="0057774B"/>
    <w:rsid w:val="00577762"/>
    <w:rsid w:val="00577907"/>
    <w:rsid w:val="00577AA0"/>
    <w:rsid w:val="00577B9C"/>
    <w:rsid w:val="00577CAF"/>
    <w:rsid w:val="0058029F"/>
    <w:rsid w:val="00580392"/>
    <w:rsid w:val="005803D3"/>
    <w:rsid w:val="005803D5"/>
    <w:rsid w:val="0058072B"/>
    <w:rsid w:val="0058090D"/>
    <w:rsid w:val="00580C9B"/>
    <w:rsid w:val="00580E5C"/>
    <w:rsid w:val="00581315"/>
    <w:rsid w:val="005813ED"/>
    <w:rsid w:val="005813F8"/>
    <w:rsid w:val="00581B60"/>
    <w:rsid w:val="00581CCB"/>
    <w:rsid w:val="00581D88"/>
    <w:rsid w:val="00581EC4"/>
    <w:rsid w:val="00581FAA"/>
    <w:rsid w:val="00582372"/>
    <w:rsid w:val="005826FF"/>
    <w:rsid w:val="0058278A"/>
    <w:rsid w:val="00582976"/>
    <w:rsid w:val="00582C39"/>
    <w:rsid w:val="00582E20"/>
    <w:rsid w:val="00582F7D"/>
    <w:rsid w:val="00583A4A"/>
    <w:rsid w:val="00583A63"/>
    <w:rsid w:val="00583ED4"/>
    <w:rsid w:val="00584049"/>
    <w:rsid w:val="00584060"/>
    <w:rsid w:val="00584A88"/>
    <w:rsid w:val="00584B42"/>
    <w:rsid w:val="00584BBA"/>
    <w:rsid w:val="00584CF5"/>
    <w:rsid w:val="00584D8C"/>
    <w:rsid w:val="00584E0A"/>
    <w:rsid w:val="00584E0E"/>
    <w:rsid w:val="00584E13"/>
    <w:rsid w:val="00584FEA"/>
    <w:rsid w:val="00585202"/>
    <w:rsid w:val="00585295"/>
    <w:rsid w:val="00585757"/>
    <w:rsid w:val="00585986"/>
    <w:rsid w:val="00585AFF"/>
    <w:rsid w:val="00585D0F"/>
    <w:rsid w:val="00585E3A"/>
    <w:rsid w:val="00585E44"/>
    <w:rsid w:val="00585F55"/>
    <w:rsid w:val="00585F71"/>
    <w:rsid w:val="005860F5"/>
    <w:rsid w:val="0058612F"/>
    <w:rsid w:val="005862A8"/>
    <w:rsid w:val="005862CD"/>
    <w:rsid w:val="005863AA"/>
    <w:rsid w:val="005867E8"/>
    <w:rsid w:val="0058686D"/>
    <w:rsid w:val="00586996"/>
    <w:rsid w:val="00586B93"/>
    <w:rsid w:val="00587019"/>
    <w:rsid w:val="00587539"/>
    <w:rsid w:val="0058773D"/>
    <w:rsid w:val="00587A9F"/>
    <w:rsid w:val="00587BE7"/>
    <w:rsid w:val="00587C31"/>
    <w:rsid w:val="00587CE8"/>
    <w:rsid w:val="00587E21"/>
    <w:rsid w:val="00590031"/>
    <w:rsid w:val="005903ED"/>
    <w:rsid w:val="00590513"/>
    <w:rsid w:val="00590610"/>
    <w:rsid w:val="0059064A"/>
    <w:rsid w:val="00590650"/>
    <w:rsid w:val="00590734"/>
    <w:rsid w:val="00590809"/>
    <w:rsid w:val="005908C9"/>
    <w:rsid w:val="005908D2"/>
    <w:rsid w:val="005909E2"/>
    <w:rsid w:val="00590B9F"/>
    <w:rsid w:val="00590D89"/>
    <w:rsid w:val="00590EAD"/>
    <w:rsid w:val="00590EDE"/>
    <w:rsid w:val="005912B9"/>
    <w:rsid w:val="005913DA"/>
    <w:rsid w:val="005916FD"/>
    <w:rsid w:val="005918FC"/>
    <w:rsid w:val="00591A99"/>
    <w:rsid w:val="00591C7B"/>
    <w:rsid w:val="00591D7B"/>
    <w:rsid w:val="00591FCA"/>
    <w:rsid w:val="00592068"/>
    <w:rsid w:val="00592191"/>
    <w:rsid w:val="005923F1"/>
    <w:rsid w:val="005925BF"/>
    <w:rsid w:val="005927F2"/>
    <w:rsid w:val="0059298E"/>
    <w:rsid w:val="005929B7"/>
    <w:rsid w:val="00592C80"/>
    <w:rsid w:val="00592CE3"/>
    <w:rsid w:val="005930F8"/>
    <w:rsid w:val="005933CB"/>
    <w:rsid w:val="005933ED"/>
    <w:rsid w:val="005934EB"/>
    <w:rsid w:val="005935BC"/>
    <w:rsid w:val="0059367E"/>
    <w:rsid w:val="00593863"/>
    <w:rsid w:val="005938A6"/>
    <w:rsid w:val="00593939"/>
    <w:rsid w:val="00593A16"/>
    <w:rsid w:val="00593AE3"/>
    <w:rsid w:val="00593FD7"/>
    <w:rsid w:val="00594090"/>
    <w:rsid w:val="00594177"/>
    <w:rsid w:val="005943DA"/>
    <w:rsid w:val="0059456D"/>
    <w:rsid w:val="005946AC"/>
    <w:rsid w:val="005946F9"/>
    <w:rsid w:val="00594784"/>
    <w:rsid w:val="00594A7F"/>
    <w:rsid w:val="00594C71"/>
    <w:rsid w:val="00595272"/>
    <w:rsid w:val="0059534D"/>
    <w:rsid w:val="00595416"/>
    <w:rsid w:val="005954F4"/>
    <w:rsid w:val="005957F6"/>
    <w:rsid w:val="005958E4"/>
    <w:rsid w:val="00595BF0"/>
    <w:rsid w:val="00595C46"/>
    <w:rsid w:val="00595E6A"/>
    <w:rsid w:val="00595F15"/>
    <w:rsid w:val="00596131"/>
    <w:rsid w:val="0059616C"/>
    <w:rsid w:val="00596415"/>
    <w:rsid w:val="005965B1"/>
    <w:rsid w:val="0059662B"/>
    <w:rsid w:val="00596844"/>
    <w:rsid w:val="00596853"/>
    <w:rsid w:val="005968B8"/>
    <w:rsid w:val="00596A6C"/>
    <w:rsid w:val="00596B17"/>
    <w:rsid w:val="00596B3B"/>
    <w:rsid w:val="00596E0E"/>
    <w:rsid w:val="0059704E"/>
    <w:rsid w:val="00597131"/>
    <w:rsid w:val="00597181"/>
    <w:rsid w:val="0059749E"/>
    <w:rsid w:val="00597549"/>
    <w:rsid w:val="0059767A"/>
    <w:rsid w:val="005978F8"/>
    <w:rsid w:val="0059795D"/>
    <w:rsid w:val="005979F8"/>
    <w:rsid w:val="00597B5E"/>
    <w:rsid w:val="00597ECB"/>
    <w:rsid w:val="00597F7B"/>
    <w:rsid w:val="005A0171"/>
    <w:rsid w:val="005A0350"/>
    <w:rsid w:val="005A040E"/>
    <w:rsid w:val="005A05A4"/>
    <w:rsid w:val="005A0828"/>
    <w:rsid w:val="005A0ACA"/>
    <w:rsid w:val="005A0B62"/>
    <w:rsid w:val="005A117F"/>
    <w:rsid w:val="005A13E1"/>
    <w:rsid w:val="005A141F"/>
    <w:rsid w:val="005A1430"/>
    <w:rsid w:val="005A1451"/>
    <w:rsid w:val="005A1585"/>
    <w:rsid w:val="005A17AD"/>
    <w:rsid w:val="005A1B41"/>
    <w:rsid w:val="005A1BBE"/>
    <w:rsid w:val="005A1BC0"/>
    <w:rsid w:val="005A1F5C"/>
    <w:rsid w:val="005A21FB"/>
    <w:rsid w:val="005A22A6"/>
    <w:rsid w:val="005A2380"/>
    <w:rsid w:val="005A24BC"/>
    <w:rsid w:val="005A28CF"/>
    <w:rsid w:val="005A2A11"/>
    <w:rsid w:val="005A2A1C"/>
    <w:rsid w:val="005A2B78"/>
    <w:rsid w:val="005A30A3"/>
    <w:rsid w:val="005A3A50"/>
    <w:rsid w:val="005A3E65"/>
    <w:rsid w:val="005A445B"/>
    <w:rsid w:val="005A4513"/>
    <w:rsid w:val="005A45A7"/>
    <w:rsid w:val="005A4869"/>
    <w:rsid w:val="005A4AB8"/>
    <w:rsid w:val="005A4C66"/>
    <w:rsid w:val="005A533B"/>
    <w:rsid w:val="005A543A"/>
    <w:rsid w:val="005A54D5"/>
    <w:rsid w:val="005A5653"/>
    <w:rsid w:val="005A56AC"/>
    <w:rsid w:val="005A5769"/>
    <w:rsid w:val="005A58A0"/>
    <w:rsid w:val="005A591D"/>
    <w:rsid w:val="005A5A47"/>
    <w:rsid w:val="005A5E0E"/>
    <w:rsid w:val="005A606E"/>
    <w:rsid w:val="005A62A0"/>
    <w:rsid w:val="005A6611"/>
    <w:rsid w:val="005A6C2D"/>
    <w:rsid w:val="005A709E"/>
    <w:rsid w:val="005A7175"/>
    <w:rsid w:val="005A728B"/>
    <w:rsid w:val="005A7426"/>
    <w:rsid w:val="005A770C"/>
    <w:rsid w:val="005A7A8C"/>
    <w:rsid w:val="005A7B34"/>
    <w:rsid w:val="005A7D66"/>
    <w:rsid w:val="005A7F79"/>
    <w:rsid w:val="005B0141"/>
    <w:rsid w:val="005B03C0"/>
    <w:rsid w:val="005B06D9"/>
    <w:rsid w:val="005B06DA"/>
    <w:rsid w:val="005B1187"/>
    <w:rsid w:val="005B11CF"/>
    <w:rsid w:val="005B1451"/>
    <w:rsid w:val="005B162E"/>
    <w:rsid w:val="005B167C"/>
    <w:rsid w:val="005B1879"/>
    <w:rsid w:val="005B1DFB"/>
    <w:rsid w:val="005B1EE6"/>
    <w:rsid w:val="005B1F16"/>
    <w:rsid w:val="005B222B"/>
    <w:rsid w:val="005B2365"/>
    <w:rsid w:val="005B237D"/>
    <w:rsid w:val="005B26D9"/>
    <w:rsid w:val="005B2865"/>
    <w:rsid w:val="005B2A4B"/>
    <w:rsid w:val="005B2AA5"/>
    <w:rsid w:val="005B2E90"/>
    <w:rsid w:val="005B2FBB"/>
    <w:rsid w:val="005B2FD5"/>
    <w:rsid w:val="005B2FF5"/>
    <w:rsid w:val="005B310A"/>
    <w:rsid w:val="005B3608"/>
    <w:rsid w:val="005B3696"/>
    <w:rsid w:val="005B370C"/>
    <w:rsid w:val="005B38EE"/>
    <w:rsid w:val="005B392E"/>
    <w:rsid w:val="005B3A6C"/>
    <w:rsid w:val="005B3C2C"/>
    <w:rsid w:val="005B407F"/>
    <w:rsid w:val="005B4172"/>
    <w:rsid w:val="005B41D3"/>
    <w:rsid w:val="005B443F"/>
    <w:rsid w:val="005B4C44"/>
    <w:rsid w:val="005B4E24"/>
    <w:rsid w:val="005B4ED6"/>
    <w:rsid w:val="005B4F61"/>
    <w:rsid w:val="005B4F6A"/>
    <w:rsid w:val="005B50ED"/>
    <w:rsid w:val="005B5336"/>
    <w:rsid w:val="005B5376"/>
    <w:rsid w:val="005B5415"/>
    <w:rsid w:val="005B5418"/>
    <w:rsid w:val="005B54E9"/>
    <w:rsid w:val="005B55D7"/>
    <w:rsid w:val="005B5772"/>
    <w:rsid w:val="005B57A9"/>
    <w:rsid w:val="005B5C9F"/>
    <w:rsid w:val="005B5F68"/>
    <w:rsid w:val="005B65B9"/>
    <w:rsid w:val="005B65FC"/>
    <w:rsid w:val="005B6652"/>
    <w:rsid w:val="005B6660"/>
    <w:rsid w:val="005B6662"/>
    <w:rsid w:val="005B678B"/>
    <w:rsid w:val="005B6801"/>
    <w:rsid w:val="005B689A"/>
    <w:rsid w:val="005B68F9"/>
    <w:rsid w:val="005B697D"/>
    <w:rsid w:val="005B6A05"/>
    <w:rsid w:val="005B6B58"/>
    <w:rsid w:val="005B6BA2"/>
    <w:rsid w:val="005B6D0D"/>
    <w:rsid w:val="005B6EB1"/>
    <w:rsid w:val="005B71CA"/>
    <w:rsid w:val="005B723B"/>
    <w:rsid w:val="005B7352"/>
    <w:rsid w:val="005B73ED"/>
    <w:rsid w:val="005B7482"/>
    <w:rsid w:val="005B776E"/>
    <w:rsid w:val="005B7AC5"/>
    <w:rsid w:val="005B7B9A"/>
    <w:rsid w:val="005B7C07"/>
    <w:rsid w:val="005B7E63"/>
    <w:rsid w:val="005C00AE"/>
    <w:rsid w:val="005C0169"/>
    <w:rsid w:val="005C0292"/>
    <w:rsid w:val="005C0753"/>
    <w:rsid w:val="005C077A"/>
    <w:rsid w:val="005C08A1"/>
    <w:rsid w:val="005C097F"/>
    <w:rsid w:val="005C09BC"/>
    <w:rsid w:val="005C0A5A"/>
    <w:rsid w:val="005C0BE9"/>
    <w:rsid w:val="005C0C83"/>
    <w:rsid w:val="005C0CC8"/>
    <w:rsid w:val="005C0E41"/>
    <w:rsid w:val="005C0E43"/>
    <w:rsid w:val="005C1074"/>
    <w:rsid w:val="005C1191"/>
    <w:rsid w:val="005C12F8"/>
    <w:rsid w:val="005C1580"/>
    <w:rsid w:val="005C1849"/>
    <w:rsid w:val="005C185C"/>
    <w:rsid w:val="005C1A8D"/>
    <w:rsid w:val="005C1B62"/>
    <w:rsid w:val="005C1CB9"/>
    <w:rsid w:val="005C1EB6"/>
    <w:rsid w:val="005C2007"/>
    <w:rsid w:val="005C212A"/>
    <w:rsid w:val="005C2210"/>
    <w:rsid w:val="005C22B5"/>
    <w:rsid w:val="005C22D0"/>
    <w:rsid w:val="005C23DA"/>
    <w:rsid w:val="005C255B"/>
    <w:rsid w:val="005C28B0"/>
    <w:rsid w:val="005C298B"/>
    <w:rsid w:val="005C2B56"/>
    <w:rsid w:val="005C2CB5"/>
    <w:rsid w:val="005C2CC6"/>
    <w:rsid w:val="005C2D27"/>
    <w:rsid w:val="005C30CA"/>
    <w:rsid w:val="005C313E"/>
    <w:rsid w:val="005C31CA"/>
    <w:rsid w:val="005C327C"/>
    <w:rsid w:val="005C32A0"/>
    <w:rsid w:val="005C33E8"/>
    <w:rsid w:val="005C3514"/>
    <w:rsid w:val="005C3843"/>
    <w:rsid w:val="005C3894"/>
    <w:rsid w:val="005C410C"/>
    <w:rsid w:val="005C4228"/>
    <w:rsid w:val="005C436D"/>
    <w:rsid w:val="005C44E1"/>
    <w:rsid w:val="005C472E"/>
    <w:rsid w:val="005C4768"/>
    <w:rsid w:val="005C4782"/>
    <w:rsid w:val="005C480D"/>
    <w:rsid w:val="005C4A94"/>
    <w:rsid w:val="005C4EE4"/>
    <w:rsid w:val="005C4FD3"/>
    <w:rsid w:val="005C527D"/>
    <w:rsid w:val="005C5597"/>
    <w:rsid w:val="005C562A"/>
    <w:rsid w:val="005C576C"/>
    <w:rsid w:val="005C58EA"/>
    <w:rsid w:val="005C5904"/>
    <w:rsid w:val="005C5D02"/>
    <w:rsid w:val="005C62B0"/>
    <w:rsid w:val="005C6526"/>
    <w:rsid w:val="005C681A"/>
    <w:rsid w:val="005C681E"/>
    <w:rsid w:val="005C6B68"/>
    <w:rsid w:val="005C6D76"/>
    <w:rsid w:val="005C6E1D"/>
    <w:rsid w:val="005C6EA3"/>
    <w:rsid w:val="005C6EE8"/>
    <w:rsid w:val="005C77AF"/>
    <w:rsid w:val="005C78BB"/>
    <w:rsid w:val="005C7C86"/>
    <w:rsid w:val="005C7E14"/>
    <w:rsid w:val="005C7EAC"/>
    <w:rsid w:val="005C7F79"/>
    <w:rsid w:val="005C7FA3"/>
    <w:rsid w:val="005D0076"/>
    <w:rsid w:val="005D04E4"/>
    <w:rsid w:val="005D0582"/>
    <w:rsid w:val="005D095C"/>
    <w:rsid w:val="005D0B97"/>
    <w:rsid w:val="005D0CEB"/>
    <w:rsid w:val="005D0E2B"/>
    <w:rsid w:val="005D0FCA"/>
    <w:rsid w:val="005D13AD"/>
    <w:rsid w:val="005D155A"/>
    <w:rsid w:val="005D19BB"/>
    <w:rsid w:val="005D1C2E"/>
    <w:rsid w:val="005D1F60"/>
    <w:rsid w:val="005D20C5"/>
    <w:rsid w:val="005D2183"/>
    <w:rsid w:val="005D21C5"/>
    <w:rsid w:val="005D2722"/>
    <w:rsid w:val="005D27D7"/>
    <w:rsid w:val="005D2B9D"/>
    <w:rsid w:val="005D2E63"/>
    <w:rsid w:val="005D2F0D"/>
    <w:rsid w:val="005D303A"/>
    <w:rsid w:val="005D3497"/>
    <w:rsid w:val="005D362E"/>
    <w:rsid w:val="005D3646"/>
    <w:rsid w:val="005D3A6F"/>
    <w:rsid w:val="005D3CDB"/>
    <w:rsid w:val="005D3DC5"/>
    <w:rsid w:val="005D3E59"/>
    <w:rsid w:val="005D4108"/>
    <w:rsid w:val="005D4180"/>
    <w:rsid w:val="005D4277"/>
    <w:rsid w:val="005D4542"/>
    <w:rsid w:val="005D4569"/>
    <w:rsid w:val="005D497D"/>
    <w:rsid w:val="005D4D51"/>
    <w:rsid w:val="005D4E96"/>
    <w:rsid w:val="005D500D"/>
    <w:rsid w:val="005D504E"/>
    <w:rsid w:val="005D520B"/>
    <w:rsid w:val="005D52F7"/>
    <w:rsid w:val="005D5385"/>
    <w:rsid w:val="005D5448"/>
    <w:rsid w:val="005D54B6"/>
    <w:rsid w:val="005D5710"/>
    <w:rsid w:val="005D5953"/>
    <w:rsid w:val="005D5957"/>
    <w:rsid w:val="005D5AC6"/>
    <w:rsid w:val="005D5FDB"/>
    <w:rsid w:val="005D6157"/>
    <w:rsid w:val="005D63DA"/>
    <w:rsid w:val="005D66D1"/>
    <w:rsid w:val="005D6824"/>
    <w:rsid w:val="005D6878"/>
    <w:rsid w:val="005D6B0B"/>
    <w:rsid w:val="005D6CBE"/>
    <w:rsid w:val="005D6D95"/>
    <w:rsid w:val="005D6E99"/>
    <w:rsid w:val="005D70AC"/>
    <w:rsid w:val="005D728A"/>
    <w:rsid w:val="005D72E3"/>
    <w:rsid w:val="005D755C"/>
    <w:rsid w:val="005D75DB"/>
    <w:rsid w:val="005D792C"/>
    <w:rsid w:val="005D7A22"/>
    <w:rsid w:val="005D7A5B"/>
    <w:rsid w:val="005D7A5C"/>
    <w:rsid w:val="005D7B4D"/>
    <w:rsid w:val="005D7B94"/>
    <w:rsid w:val="005D7C21"/>
    <w:rsid w:val="005D7D5F"/>
    <w:rsid w:val="005D7DBA"/>
    <w:rsid w:val="005D7DBC"/>
    <w:rsid w:val="005E01CD"/>
    <w:rsid w:val="005E0269"/>
    <w:rsid w:val="005E0612"/>
    <w:rsid w:val="005E0BBA"/>
    <w:rsid w:val="005E0E62"/>
    <w:rsid w:val="005E0E84"/>
    <w:rsid w:val="005E0FC3"/>
    <w:rsid w:val="005E13E7"/>
    <w:rsid w:val="005E1409"/>
    <w:rsid w:val="005E1BB2"/>
    <w:rsid w:val="005E1CEB"/>
    <w:rsid w:val="005E1D05"/>
    <w:rsid w:val="005E1F82"/>
    <w:rsid w:val="005E201B"/>
    <w:rsid w:val="005E283B"/>
    <w:rsid w:val="005E2AAC"/>
    <w:rsid w:val="005E2E5A"/>
    <w:rsid w:val="005E3840"/>
    <w:rsid w:val="005E3AC2"/>
    <w:rsid w:val="005E3B03"/>
    <w:rsid w:val="005E3D29"/>
    <w:rsid w:val="005E3E7C"/>
    <w:rsid w:val="005E436A"/>
    <w:rsid w:val="005E4542"/>
    <w:rsid w:val="005E4905"/>
    <w:rsid w:val="005E4926"/>
    <w:rsid w:val="005E49E4"/>
    <w:rsid w:val="005E4D4E"/>
    <w:rsid w:val="005E4E90"/>
    <w:rsid w:val="005E5366"/>
    <w:rsid w:val="005E542D"/>
    <w:rsid w:val="005E548F"/>
    <w:rsid w:val="005E58B8"/>
    <w:rsid w:val="005E5C56"/>
    <w:rsid w:val="005E601F"/>
    <w:rsid w:val="005E6149"/>
    <w:rsid w:val="005E616F"/>
    <w:rsid w:val="005E6356"/>
    <w:rsid w:val="005E6424"/>
    <w:rsid w:val="005E6702"/>
    <w:rsid w:val="005E6840"/>
    <w:rsid w:val="005E6AE6"/>
    <w:rsid w:val="005E6BA7"/>
    <w:rsid w:val="005E6DD2"/>
    <w:rsid w:val="005E6E00"/>
    <w:rsid w:val="005E6FAC"/>
    <w:rsid w:val="005E72B9"/>
    <w:rsid w:val="005E7402"/>
    <w:rsid w:val="005E75A9"/>
    <w:rsid w:val="005E768B"/>
    <w:rsid w:val="005E78BB"/>
    <w:rsid w:val="005E799C"/>
    <w:rsid w:val="005E7A8C"/>
    <w:rsid w:val="005E7A95"/>
    <w:rsid w:val="005E7CE6"/>
    <w:rsid w:val="005E7E7C"/>
    <w:rsid w:val="005F006F"/>
    <w:rsid w:val="005F0537"/>
    <w:rsid w:val="005F064E"/>
    <w:rsid w:val="005F090D"/>
    <w:rsid w:val="005F09F0"/>
    <w:rsid w:val="005F0ADF"/>
    <w:rsid w:val="005F1434"/>
    <w:rsid w:val="005F14AA"/>
    <w:rsid w:val="005F14C1"/>
    <w:rsid w:val="005F15E3"/>
    <w:rsid w:val="005F17FD"/>
    <w:rsid w:val="005F1B07"/>
    <w:rsid w:val="005F1B18"/>
    <w:rsid w:val="005F1CDD"/>
    <w:rsid w:val="005F1D15"/>
    <w:rsid w:val="005F1F43"/>
    <w:rsid w:val="005F203A"/>
    <w:rsid w:val="005F248E"/>
    <w:rsid w:val="005F25FA"/>
    <w:rsid w:val="005F26B2"/>
    <w:rsid w:val="005F270E"/>
    <w:rsid w:val="005F2926"/>
    <w:rsid w:val="005F29D6"/>
    <w:rsid w:val="005F2C21"/>
    <w:rsid w:val="005F2E35"/>
    <w:rsid w:val="005F2FA2"/>
    <w:rsid w:val="005F34BF"/>
    <w:rsid w:val="005F34DD"/>
    <w:rsid w:val="005F3668"/>
    <w:rsid w:val="005F3AE5"/>
    <w:rsid w:val="005F3C1F"/>
    <w:rsid w:val="005F3D70"/>
    <w:rsid w:val="005F3E0B"/>
    <w:rsid w:val="005F3FA4"/>
    <w:rsid w:val="005F404A"/>
    <w:rsid w:val="005F408E"/>
    <w:rsid w:val="005F419F"/>
    <w:rsid w:val="005F41BC"/>
    <w:rsid w:val="005F42E9"/>
    <w:rsid w:val="005F4499"/>
    <w:rsid w:val="005F4661"/>
    <w:rsid w:val="005F48A0"/>
    <w:rsid w:val="005F48F8"/>
    <w:rsid w:val="005F4C54"/>
    <w:rsid w:val="005F4CCA"/>
    <w:rsid w:val="005F4DDE"/>
    <w:rsid w:val="005F4EE9"/>
    <w:rsid w:val="005F5146"/>
    <w:rsid w:val="005F51C4"/>
    <w:rsid w:val="005F51F5"/>
    <w:rsid w:val="005F524F"/>
    <w:rsid w:val="005F5627"/>
    <w:rsid w:val="005F5785"/>
    <w:rsid w:val="005F59D3"/>
    <w:rsid w:val="005F5CD4"/>
    <w:rsid w:val="005F5D21"/>
    <w:rsid w:val="005F5E49"/>
    <w:rsid w:val="005F5E92"/>
    <w:rsid w:val="005F6142"/>
    <w:rsid w:val="005F61A6"/>
    <w:rsid w:val="005F6539"/>
    <w:rsid w:val="005F65F4"/>
    <w:rsid w:val="005F6742"/>
    <w:rsid w:val="005F6B40"/>
    <w:rsid w:val="005F6EB5"/>
    <w:rsid w:val="005F70FD"/>
    <w:rsid w:val="005F7138"/>
    <w:rsid w:val="005F75D8"/>
    <w:rsid w:val="005F7709"/>
    <w:rsid w:val="005F7896"/>
    <w:rsid w:val="005F79DE"/>
    <w:rsid w:val="0060033D"/>
    <w:rsid w:val="00600A67"/>
    <w:rsid w:val="00600B54"/>
    <w:rsid w:val="00600DC7"/>
    <w:rsid w:val="006017BA"/>
    <w:rsid w:val="00601AD5"/>
    <w:rsid w:val="00601C4D"/>
    <w:rsid w:val="00601D44"/>
    <w:rsid w:val="00601F4D"/>
    <w:rsid w:val="00601FC1"/>
    <w:rsid w:val="00602463"/>
    <w:rsid w:val="00602561"/>
    <w:rsid w:val="00602BA6"/>
    <w:rsid w:val="00602D7C"/>
    <w:rsid w:val="00603082"/>
    <w:rsid w:val="0060328F"/>
    <w:rsid w:val="0060356B"/>
    <w:rsid w:val="00603607"/>
    <w:rsid w:val="00603895"/>
    <w:rsid w:val="006039D8"/>
    <w:rsid w:val="00603A7B"/>
    <w:rsid w:val="00603ABF"/>
    <w:rsid w:val="00603B1B"/>
    <w:rsid w:val="00603BA5"/>
    <w:rsid w:val="00603D6A"/>
    <w:rsid w:val="00604261"/>
    <w:rsid w:val="00604567"/>
    <w:rsid w:val="006046A9"/>
    <w:rsid w:val="0060487B"/>
    <w:rsid w:val="00604987"/>
    <w:rsid w:val="00604D9A"/>
    <w:rsid w:val="00604E16"/>
    <w:rsid w:val="00604F2A"/>
    <w:rsid w:val="006051FF"/>
    <w:rsid w:val="0060541D"/>
    <w:rsid w:val="0060594E"/>
    <w:rsid w:val="006059A5"/>
    <w:rsid w:val="00605A5F"/>
    <w:rsid w:val="00605CE1"/>
    <w:rsid w:val="00605DF5"/>
    <w:rsid w:val="00605EC8"/>
    <w:rsid w:val="00605EF4"/>
    <w:rsid w:val="0060610B"/>
    <w:rsid w:val="00606237"/>
    <w:rsid w:val="00606AA9"/>
    <w:rsid w:val="0060721E"/>
    <w:rsid w:val="00607231"/>
    <w:rsid w:val="00607247"/>
    <w:rsid w:val="006072DA"/>
    <w:rsid w:val="006072F3"/>
    <w:rsid w:val="0060737C"/>
    <w:rsid w:val="00607663"/>
    <w:rsid w:val="006078CC"/>
    <w:rsid w:val="00607B03"/>
    <w:rsid w:val="00607B86"/>
    <w:rsid w:val="00607C92"/>
    <w:rsid w:val="00607E7E"/>
    <w:rsid w:val="00610050"/>
    <w:rsid w:val="006103C4"/>
    <w:rsid w:val="00610A47"/>
    <w:rsid w:val="00610AF5"/>
    <w:rsid w:val="00610B85"/>
    <w:rsid w:val="00610BF8"/>
    <w:rsid w:val="00610CC2"/>
    <w:rsid w:val="00610D1A"/>
    <w:rsid w:val="00610E9F"/>
    <w:rsid w:val="00611303"/>
    <w:rsid w:val="006116D8"/>
    <w:rsid w:val="006116E1"/>
    <w:rsid w:val="0061171C"/>
    <w:rsid w:val="00611970"/>
    <w:rsid w:val="0061197B"/>
    <w:rsid w:val="006119D9"/>
    <w:rsid w:val="006119DE"/>
    <w:rsid w:val="00611BB6"/>
    <w:rsid w:val="00611D59"/>
    <w:rsid w:val="006124B4"/>
    <w:rsid w:val="00612516"/>
    <w:rsid w:val="006125C8"/>
    <w:rsid w:val="0061261F"/>
    <w:rsid w:val="00612778"/>
    <w:rsid w:val="00612BF7"/>
    <w:rsid w:val="00612C18"/>
    <w:rsid w:val="00612F53"/>
    <w:rsid w:val="00612FA0"/>
    <w:rsid w:val="006130F7"/>
    <w:rsid w:val="006132B7"/>
    <w:rsid w:val="0061355C"/>
    <w:rsid w:val="006136FF"/>
    <w:rsid w:val="0061378F"/>
    <w:rsid w:val="00613850"/>
    <w:rsid w:val="00613EB8"/>
    <w:rsid w:val="00613F10"/>
    <w:rsid w:val="00613F37"/>
    <w:rsid w:val="0061403F"/>
    <w:rsid w:val="0061420D"/>
    <w:rsid w:val="00614251"/>
    <w:rsid w:val="00614837"/>
    <w:rsid w:val="00614984"/>
    <w:rsid w:val="00614B74"/>
    <w:rsid w:val="0061569E"/>
    <w:rsid w:val="00615944"/>
    <w:rsid w:val="006159AA"/>
    <w:rsid w:val="00615CA2"/>
    <w:rsid w:val="00616065"/>
    <w:rsid w:val="006161B3"/>
    <w:rsid w:val="00616228"/>
    <w:rsid w:val="006166F2"/>
    <w:rsid w:val="00616A8F"/>
    <w:rsid w:val="00617310"/>
    <w:rsid w:val="0061742B"/>
    <w:rsid w:val="0061761F"/>
    <w:rsid w:val="006176C2"/>
    <w:rsid w:val="00617F3D"/>
    <w:rsid w:val="00617F3E"/>
    <w:rsid w:val="006200C9"/>
    <w:rsid w:val="0062010F"/>
    <w:rsid w:val="0062020A"/>
    <w:rsid w:val="00620527"/>
    <w:rsid w:val="006205FF"/>
    <w:rsid w:val="00620784"/>
    <w:rsid w:val="0062088F"/>
    <w:rsid w:val="00620930"/>
    <w:rsid w:val="00620C5E"/>
    <w:rsid w:val="00620C62"/>
    <w:rsid w:val="00620F25"/>
    <w:rsid w:val="00621032"/>
    <w:rsid w:val="006210F5"/>
    <w:rsid w:val="0062114C"/>
    <w:rsid w:val="00621520"/>
    <w:rsid w:val="00621626"/>
    <w:rsid w:val="00621811"/>
    <w:rsid w:val="006219B5"/>
    <w:rsid w:val="00621D40"/>
    <w:rsid w:val="00621E2A"/>
    <w:rsid w:val="00621E32"/>
    <w:rsid w:val="006220C6"/>
    <w:rsid w:val="00622366"/>
    <w:rsid w:val="006223C0"/>
    <w:rsid w:val="00622444"/>
    <w:rsid w:val="00622680"/>
    <w:rsid w:val="0062278D"/>
    <w:rsid w:val="006229E1"/>
    <w:rsid w:val="00622AF1"/>
    <w:rsid w:val="00622DAA"/>
    <w:rsid w:val="00622E3F"/>
    <w:rsid w:val="00622E75"/>
    <w:rsid w:val="00623066"/>
    <w:rsid w:val="006231EF"/>
    <w:rsid w:val="006234A9"/>
    <w:rsid w:val="00623660"/>
    <w:rsid w:val="0062367D"/>
    <w:rsid w:val="00623703"/>
    <w:rsid w:val="00623756"/>
    <w:rsid w:val="0062376C"/>
    <w:rsid w:val="00624073"/>
    <w:rsid w:val="00624084"/>
    <w:rsid w:val="00624334"/>
    <w:rsid w:val="006243A9"/>
    <w:rsid w:val="00624549"/>
    <w:rsid w:val="0062461E"/>
    <w:rsid w:val="006247F2"/>
    <w:rsid w:val="0062482F"/>
    <w:rsid w:val="00624BC6"/>
    <w:rsid w:val="00624FB9"/>
    <w:rsid w:val="006250DF"/>
    <w:rsid w:val="00625368"/>
    <w:rsid w:val="0062546B"/>
    <w:rsid w:val="00625867"/>
    <w:rsid w:val="0062602E"/>
    <w:rsid w:val="00626043"/>
    <w:rsid w:val="00626205"/>
    <w:rsid w:val="0062642D"/>
    <w:rsid w:val="0062655C"/>
    <w:rsid w:val="0062690E"/>
    <w:rsid w:val="0062694F"/>
    <w:rsid w:val="00626B51"/>
    <w:rsid w:val="00626B58"/>
    <w:rsid w:val="00626B71"/>
    <w:rsid w:val="00626C70"/>
    <w:rsid w:val="00626D41"/>
    <w:rsid w:val="00626E6D"/>
    <w:rsid w:val="00626F17"/>
    <w:rsid w:val="00626F22"/>
    <w:rsid w:val="00626F2D"/>
    <w:rsid w:val="00626FF1"/>
    <w:rsid w:val="00627083"/>
    <w:rsid w:val="006270E2"/>
    <w:rsid w:val="00627179"/>
    <w:rsid w:val="006271A9"/>
    <w:rsid w:val="006273A5"/>
    <w:rsid w:val="0062768D"/>
    <w:rsid w:val="00627D28"/>
    <w:rsid w:val="00630060"/>
    <w:rsid w:val="0063009A"/>
    <w:rsid w:val="0063012F"/>
    <w:rsid w:val="0063015B"/>
    <w:rsid w:val="006303AC"/>
    <w:rsid w:val="00630989"/>
    <w:rsid w:val="00630CFE"/>
    <w:rsid w:val="00631167"/>
    <w:rsid w:val="00631177"/>
    <w:rsid w:val="006311A4"/>
    <w:rsid w:val="00631596"/>
    <w:rsid w:val="00631ABB"/>
    <w:rsid w:val="00631B0B"/>
    <w:rsid w:val="00631B9D"/>
    <w:rsid w:val="00631DEC"/>
    <w:rsid w:val="00631EA0"/>
    <w:rsid w:val="00632149"/>
    <w:rsid w:val="006321C8"/>
    <w:rsid w:val="0063242A"/>
    <w:rsid w:val="00632436"/>
    <w:rsid w:val="00632837"/>
    <w:rsid w:val="00632A2B"/>
    <w:rsid w:val="00632A4A"/>
    <w:rsid w:val="00632BE3"/>
    <w:rsid w:val="00632FE2"/>
    <w:rsid w:val="00633074"/>
    <w:rsid w:val="0063342F"/>
    <w:rsid w:val="0063361F"/>
    <w:rsid w:val="006337DA"/>
    <w:rsid w:val="00633B79"/>
    <w:rsid w:val="00633CDF"/>
    <w:rsid w:val="00633EFC"/>
    <w:rsid w:val="006340E2"/>
    <w:rsid w:val="00634350"/>
    <w:rsid w:val="006346B3"/>
    <w:rsid w:val="00634975"/>
    <w:rsid w:val="00634CF7"/>
    <w:rsid w:val="00634D32"/>
    <w:rsid w:val="006350F4"/>
    <w:rsid w:val="00635120"/>
    <w:rsid w:val="00635975"/>
    <w:rsid w:val="006359D9"/>
    <w:rsid w:val="00635C3B"/>
    <w:rsid w:val="00635C6B"/>
    <w:rsid w:val="00635CD1"/>
    <w:rsid w:val="00635E13"/>
    <w:rsid w:val="00635E82"/>
    <w:rsid w:val="006360D6"/>
    <w:rsid w:val="006366BA"/>
    <w:rsid w:val="00636823"/>
    <w:rsid w:val="0063686D"/>
    <w:rsid w:val="006368B1"/>
    <w:rsid w:val="00636A3D"/>
    <w:rsid w:val="00636C0B"/>
    <w:rsid w:val="00637034"/>
    <w:rsid w:val="00637109"/>
    <w:rsid w:val="00637245"/>
    <w:rsid w:val="0063729F"/>
    <w:rsid w:val="00637617"/>
    <w:rsid w:val="0063766A"/>
    <w:rsid w:val="006376E1"/>
    <w:rsid w:val="0063784E"/>
    <w:rsid w:val="006378AD"/>
    <w:rsid w:val="00637C71"/>
    <w:rsid w:val="00637DB5"/>
    <w:rsid w:val="006401DB"/>
    <w:rsid w:val="00640499"/>
    <w:rsid w:val="00640B28"/>
    <w:rsid w:val="00640BD0"/>
    <w:rsid w:val="00640BD7"/>
    <w:rsid w:val="0064100D"/>
    <w:rsid w:val="006413A3"/>
    <w:rsid w:val="006417AA"/>
    <w:rsid w:val="00641D2E"/>
    <w:rsid w:val="00642028"/>
    <w:rsid w:val="006420AE"/>
    <w:rsid w:val="00642400"/>
    <w:rsid w:val="006424A6"/>
    <w:rsid w:val="00642A00"/>
    <w:rsid w:val="00642AB9"/>
    <w:rsid w:val="00642BD7"/>
    <w:rsid w:val="00643117"/>
    <w:rsid w:val="00643152"/>
    <w:rsid w:val="00643198"/>
    <w:rsid w:val="006431A0"/>
    <w:rsid w:val="00643800"/>
    <w:rsid w:val="0064399F"/>
    <w:rsid w:val="00643CA9"/>
    <w:rsid w:val="00643E71"/>
    <w:rsid w:val="006440CB"/>
    <w:rsid w:val="0064415B"/>
    <w:rsid w:val="00644463"/>
    <w:rsid w:val="00644571"/>
    <w:rsid w:val="00644608"/>
    <w:rsid w:val="00644761"/>
    <w:rsid w:val="00644A29"/>
    <w:rsid w:val="00644CBC"/>
    <w:rsid w:val="00644DB9"/>
    <w:rsid w:val="00644DE9"/>
    <w:rsid w:val="006451BD"/>
    <w:rsid w:val="00645481"/>
    <w:rsid w:val="006457F6"/>
    <w:rsid w:val="00645A7D"/>
    <w:rsid w:val="00645B88"/>
    <w:rsid w:val="00645DF4"/>
    <w:rsid w:val="00645E3B"/>
    <w:rsid w:val="00645E76"/>
    <w:rsid w:val="00645EE0"/>
    <w:rsid w:val="00646038"/>
    <w:rsid w:val="006462BF"/>
    <w:rsid w:val="006462EC"/>
    <w:rsid w:val="0064630A"/>
    <w:rsid w:val="00646464"/>
    <w:rsid w:val="006465AE"/>
    <w:rsid w:val="0064679C"/>
    <w:rsid w:val="006467AA"/>
    <w:rsid w:val="006467EE"/>
    <w:rsid w:val="00646A9F"/>
    <w:rsid w:val="00646F12"/>
    <w:rsid w:val="00647278"/>
    <w:rsid w:val="006473F5"/>
    <w:rsid w:val="00647404"/>
    <w:rsid w:val="00647471"/>
    <w:rsid w:val="006476D3"/>
    <w:rsid w:val="00647724"/>
    <w:rsid w:val="00647A57"/>
    <w:rsid w:val="00647AD4"/>
    <w:rsid w:val="00647B62"/>
    <w:rsid w:val="00647CDB"/>
    <w:rsid w:val="00647D53"/>
    <w:rsid w:val="00647D6D"/>
    <w:rsid w:val="00647DA2"/>
    <w:rsid w:val="00647DED"/>
    <w:rsid w:val="00650083"/>
    <w:rsid w:val="006500F2"/>
    <w:rsid w:val="0065025E"/>
    <w:rsid w:val="006502F1"/>
    <w:rsid w:val="0065040D"/>
    <w:rsid w:val="00650482"/>
    <w:rsid w:val="006505DC"/>
    <w:rsid w:val="00650980"/>
    <w:rsid w:val="00650A0F"/>
    <w:rsid w:val="00650B80"/>
    <w:rsid w:val="00650D93"/>
    <w:rsid w:val="00650FAC"/>
    <w:rsid w:val="0065107E"/>
    <w:rsid w:val="0065132B"/>
    <w:rsid w:val="006513D1"/>
    <w:rsid w:val="006515B2"/>
    <w:rsid w:val="006516F9"/>
    <w:rsid w:val="00651D8B"/>
    <w:rsid w:val="00651F96"/>
    <w:rsid w:val="00651FD7"/>
    <w:rsid w:val="0065205D"/>
    <w:rsid w:val="006521A6"/>
    <w:rsid w:val="006522AA"/>
    <w:rsid w:val="006522D3"/>
    <w:rsid w:val="00652317"/>
    <w:rsid w:val="00652406"/>
    <w:rsid w:val="006529AC"/>
    <w:rsid w:val="00653106"/>
    <w:rsid w:val="00653207"/>
    <w:rsid w:val="006533B1"/>
    <w:rsid w:val="006538F6"/>
    <w:rsid w:val="006539D7"/>
    <w:rsid w:val="00653A35"/>
    <w:rsid w:val="00653C9E"/>
    <w:rsid w:val="00653CF7"/>
    <w:rsid w:val="00653EC3"/>
    <w:rsid w:val="00654200"/>
    <w:rsid w:val="006542AE"/>
    <w:rsid w:val="00654825"/>
    <w:rsid w:val="00654BCC"/>
    <w:rsid w:val="00654F4D"/>
    <w:rsid w:val="00655039"/>
    <w:rsid w:val="006550F1"/>
    <w:rsid w:val="0065515B"/>
    <w:rsid w:val="00655507"/>
    <w:rsid w:val="00655802"/>
    <w:rsid w:val="006558BE"/>
    <w:rsid w:val="00655930"/>
    <w:rsid w:val="00655EEF"/>
    <w:rsid w:val="00655F52"/>
    <w:rsid w:val="00656039"/>
    <w:rsid w:val="00656090"/>
    <w:rsid w:val="00656357"/>
    <w:rsid w:val="0065659F"/>
    <w:rsid w:val="00656603"/>
    <w:rsid w:val="0065668E"/>
    <w:rsid w:val="006566E4"/>
    <w:rsid w:val="0065672E"/>
    <w:rsid w:val="006567A2"/>
    <w:rsid w:val="00656887"/>
    <w:rsid w:val="0065690D"/>
    <w:rsid w:val="00656CC8"/>
    <w:rsid w:val="00656CCB"/>
    <w:rsid w:val="00657145"/>
    <w:rsid w:val="00657160"/>
    <w:rsid w:val="00657164"/>
    <w:rsid w:val="00657267"/>
    <w:rsid w:val="00657312"/>
    <w:rsid w:val="00657448"/>
    <w:rsid w:val="0065760F"/>
    <w:rsid w:val="0065786B"/>
    <w:rsid w:val="00657A29"/>
    <w:rsid w:val="00657BEF"/>
    <w:rsid w:val="00657F0D"/>
    <w:rsid w:val="00657F36"/>
    <w:rsid w:val="006602F1"/>
    <w:rsid w:val="006604B6"/>
    <w:rsid w:val="00660665"/>
    <w:rsid w:val="0066084D"/>
    <w:rsid w:val="006609BF"/>
    <w:rsid w:val="00660C77"/>
    <w:rsid w:val="00660D96"/>
    <w:rsid w:val="00660DB0"/>
    <w:rsid w:val="00660F00"/>
    <w:rsid w:val="0066153D"/>
    <w:rsid w:val="00661542"/>
    <w:rsid w:val="006617C1"/>
    <w:rsid w:val="00661A75"/>
    <w:rsid w:val="00661B26"/>
    <w:rsid w:val="00661D47"/>
    <w:rsid w:val="00662163"/>
    <w:rsid w:val="006621DA"/>
    <w:rsid w:val="00662253"/>
    <w:rsid w:val="00662514"/>
    <w:rsid w:val="00662610"/>
    <w:rsid w:val="00662706"/>
    <w:rsid w:val="00662790"/>
    <w:rsid w:val="00662DEC"/>
    <w:rsid w:val="00662FA8"/>
    <w:rsid w:val="006632B5"/>
    <w:rsid w:val="0066354E"/>
    <w:rsid w:val="00663886"/>
    <w:rsid w:val="00663927"/>
    <w:rsid w:val="006639E4"/>
    <w:rsid w:val="00663AF3"/>
    <w:rsid w:val="00663B6B"/>
    <w:rsid w:val="00663BC3"/>
    <w:rsid w:val="00663EE2"/>
    <w:rsid w:val="00664420"/>
    <w:rsid w:val="0066490C"/>
    <w:rsid w:val="00664D28"/>
    <w:rsid w:val="00664FD5"/>
    <w:rsid w:val="00665155"/>
    <w:rsid w:val="00665285"/>
    <w:rsid w:val="006653F8"/>
    <w:rsid w:val="00665707"/>
    <w:rsid w:val="00665748"/>
    <w:rsid w:val="00665952"/>
    <w:rsid w:val="00665B04"/>
    <w:rsid w:val="00665F09"/>
    <w:rsid w:val="00666028"/>
    <w:rsid w:val="006662CA"/>
    <w:rsid w:val="006662F4"/>
    <w:rsid w:val="006665D6"/>
    <w:rsid w:val="0066677A"/>
    <w:rsid w:val="0066678E"/>
    <w:rsid w:val="00666888"/>
    <w:rsid w:val="00666949"/>
    <w:rsid w:val="00666970"/>
    <w:rsid w:val="00666C30"/>
    <w:rsid w:val="00666E49"/>
    <w:rsid w:val="0066714D"/>
    <w:rsid w:val="006674DA"/>
    <w:rsid w:val="00667529"/>
    <w:rsid w:val="00667600"/>
    <w:rsid w:val="0066765C"/>
    <w:rsid w:val="006677A4"/>
    <w:rsid w:val="00667992"/>
    <w:rsid w:val="006679F0"/>
    <w:rsid w:val="00667EB3"/>
    <w:rsid w:val="0067000B"/>
    <w:rsid w:val="0067003D"/>
    <w:rsid w:val="00670247"/>
    <w:rsid w:val="0067026D"/>
    <w:rsid w:val="006702C7"/>
    <w:rsid w:val="006702FB"/>
    <w:rsid w:val="0067064E"/>
    <w:rsid w:val="0067094B"/>
    <w:rsid w:val="00670B85"/>
    <w:rsid w:val="00670EF7"/>
    <w:rsid w:val="00670FCE"/>
    <w:rsid w:val="006712C5"/>
    <w:rsid w:val="0067152B"/>
    <w:rsid w:val="0067262F"/>
    <w:rsid w:val="0067268D"/>
    <w:rsid w:val="006729B1"/>
    <w:rsid w:val="00672A7F"/>
    <w:rsid w:val="00672B47"/>
    <w:rsid w:val="00672B62"/>
    <w:rsid w:val="00672D97"/>
    <w:rsid w:val="0067352A"/>
    <w:rsid w:val="006736B5"/>
    <w:rsid w:val="0067388B"/>
    <w:rsid w:val="00673A2F"/>
    <w:rsid w:val="00673A7C"/>
    <w:rsid w:val="00673B69"/>
    <w:rsid w:val="00673D63"/>
    <w:rsid w:val="00673FF9"/>
    <w:rsid w:val="00674170"/>
    <w:rsid w:val="006741FB"/>
    <w:rsid w:val="0067457E"/>
    <w:rsid w:val="006745C5"/>
    <w:rsid w:val="006747E2"/>
    <w:rsid w:val="006747F4"/>
    <w:rsid w:val="00674897"/>
    <w:rsid w:val="0067491E"/>
    <w:rsid w:val="0067494C"/>
    <w:rsid w:val="00674AC1"/>
    <w:rsid w:val="00674C26"/>
    <w:rsid w:val="00674D3D"/>
    <w:rsid w:val="00674D5A"/>
    <w:rsid w:val="00674F61"/>
    <w:rsid w:val="00674FFC"/>
    <w:rsid w:val="006750C2"/>
    <w:rsid w:val="0067511B"/>
    <w:rsid w:val="006753EA"/>
    <w:rsid w:val="00675469"/>
    <w:rsid w:val="006758B6"/>
    <w:rsid w:val="006758FC"/>
    <w:rsid w:val="006759D0"/>
    <w:rsid w:val="00675E39"/>
    <w:rsid w:val="00676325"/>
    <w:rsid w:val="00676703"/>
    <w:rsid w:val="006768A4"/>
    <w:rsid w:val="006769AE"/>
    <w:rsid w:val="00676AD8"/>
    <w:rsid w:val="00676B63"/>
    <w:rsid w:val="00676DB8"/>
    <w:rsid w:val="00676E24"/>
    <w:rsid w:val="0067727F"/>
    <w:rsid w:val="006772E6"/>
    <w:rsid w:val="006774F1"/>
    <w:rsid w:val="0067755B"/>
    <w:rsid w:val="006776B8"/>
    <w:rsid w:val="006779E6"/>
    <w:rsid w:val="00677B29"/>
    <w:rsid w:val="00677C64"/>
    <w:rsid w:val="00677CFF"/>
    <w:rsid w:val="00677D51"/>
    <w:rsid w:val="006800B3"/>
    <w:rsid w:val="0068028A"/>
    <w:rsid w:val="006802A2"/>
    <w:rsid w:val="00680343"/>
    <w:rsid w:val="00680421"/>
    <w:rsid w:val="006807B3"/>
    <w:rsid w:val="006807B8"/>
    <w:rsid w:val="006808DA"/>
    <w:rsid w:val="0068091B"/>
    <w:rsid w:val="00680D7A"/>
    <w:rsid w:val="00680F2B"/>
    <w:rsid w:val="0068106D"/>
    <w:rsid w:val="00681705"/>
    <w:rsid w:val="00681866"/>
    <w:rsid w:val="00681A58"/>
    <w:rsid w:val="00681AEC"/>
    <w:rsid w:val="00681AED"/>
    <w:rsid w:val="00681F7F"/>
    <w:rsid w:val="006820C2"/>
    <w:rsid w:val="00682156"/>
    <w:rsid w:val="006828CE"/>
    <w:rsid w:val="00682D95"/>
    <w:rsid w:val="006830C3"/>
    <w:rsid w:val="00683554"/>
    <w:rsid w:val="00683592"/>
    <w:rsid w:val="00683673"/>
    <w:rsid w:val="00683754"/>
    <w:rsid w:val="006837A8"/>
    <w:rsid w:val="0068385B"/>
    <w:rsid w:val="00683876"/>
    <w:rsid w:val="00683930"/>
    <w:rsid w:val="00683B38"/>
    <w:rsid w:val="00683F6B"/>
    <w:rsid w:val="00684162"/>
    <w:rsid w:val="006841EF"/>
    <w:rsid w:val="0068460E"/>
    <w:rsid w:val="00684860"/>
    <w:rsid w:val="006849C9"/>
    <w:rsid w:val="00684B46"/>
    <w:rsid w:val="00684C62"/>
    <w:rsid w:val="0068514A"/>
    <w:rsid w:val="00685176"/>
    <w:rsid w:val="0068537C"/>
    <w:rsid w:val="00685509"/>
    <w:rsid w:val="006858EF"/>
    <w:rsid w:val="00685B2C"/>
    <w:rsid w:val="00685BE0"/>
    <w:rsid w:val="00685C6B"/>
    <w:rsid w:val="00685EA6"/>
    <w:rsid w:val="0068603E"/>
    <w:rsid w:val="00686120"/>
    <w:rsid w:val="00686379"/>
    <w:rsid w:val="00686457"/>
    <w:rsid w:val="00686B7A"/>
    <w:rsid w:val="00686D84"/>
    <w:rsid w:val="00686D9D"/>
    <w:rsid w:val="006870BF"/>
    <w:rsid w:val="00687238"/>
    <w:rsid w:val="00687565"/>
    <w:rsid w:val="006877FB"/>
    <w:rsid w:val="00687AAD"/>
    <w:rsid w:val="00687B07"/>
    <w:rsid w:val="00687D5F"/>
    <w:rsid w:val="00687F56"/>
    <w:rsid w:val="006900B9"/>
    <w:rsid w:val="00690223"/>
    <w:rsid w:val="00690359"/>
    <w:rsid w:val="0069052E"/>
    <w:rsid w:val="006905AA"/>
    <w:rsid w:val="00690677"/>
    <w:rsid w:val="00690A30"/>
    <w:rsid w:val="00690B6D"/>
    <w:rsid w:val="00690B96"/>
    <w:rsid w:val="00690CB8"/>
    <w:rsid w:val="00690FE9"/>
    <w:rsid w:val="0069109F"/>
    <w:rsid w:val="006912BE"/>
    <w:rsid w:val="006912EC"/>
    <w:rsid w:val="00691375"/>
    <w:rsid w:val="006913B8"/>
    <w:rsid w:val="0069151B"/>
    <w:rsid w:val="006916EA"/>
    <w:rsid w:val="00691724"/>
    <w:rsid w:val="00691B40"/>
    <w:rsid w:val="00691BC7"/>
    <w:rsid w:val="00691DAB"/>
    <w:rsid w:val="00692291"/>
    <w:rsid w:val="00692456"/>
    <w:rsid w:val="006924A4"/>
    <w:rsid w:val="0069268B"/>
    <w:rsid w:val="006926F2"/>
    <w:rsid w:val="00692BE6"/>
    <w:rsid w:val="00692C14"/>
    <w:rsid w:val="00692EF0"/>
    <w:rsid w:val="00692F26"/>
    <w:rsid w:val="00693500"/>
    <w:rsid w:val="0069360D"/>
    <w:rsid w:val="00693A2A"/>
    <w:rsid w:val="00693C5A"/>
    <w:rsid w:val="00693C79"/>
    <w:rsid w:val="00694189"/>
    <w:rsid w:val="00694229"/>
    <w:rsid w:val="00694758"/>
    <w:rsid w:val="006947C2"/>
    <w:rsid w:val="00694876"/>
    <w:rsid w:val="006949E2"/>
    <w:rsid w:val="00694A0A"/>
    <w:rsid w:val="00694B68"/>
    <w:rsid w:val="00694CC7"/>
    <w:rsid w:val="0069508F"/>
    <w:rsid w:val="006950C0"/>
    <w:rsid w:val="00695698"/>
    <w:rsid w:val="00695887"/>
    <w:rsid w:val="00695891"/>
    <w:rsid w:val="00695A93"/>
    <w:rsid w:val="00695E15"/>
    <w:rsid w:val="00695E29"/>
    <w:rsid w:val="00695E8F"/>
    <w:rsid w:val="00696009"/>
    <w:rsid w:val="0069608C"/>
    <w:rsid w:val="006961BD"/>
    <w:rsid w:val="006961D2"/>
    <w:rsid w:val="006963B6"/>
    <w:rsid w:val="0069663A"/>
    <w:rsid w:val="00696A65"/>
    <w:rsid w:val="00696B22"/>
    <w:rsid w:val="00696E9A"/>
    <w:rsid w:val="00696E9E"/>
    <w:rsid w:val="00697062"/>
    <w:rsid w:val="00697074"/>
    <w:rsid w:val="006970F5"/>
    <w:rsid w:val="006972D3"/>
    <w:rsid w:val="00697426"/>
    <w:rsid w:val="00697565"/>
    <w:rsid w:val="00697784"/>
    <w:rsid w:val="00697A8E"/>
    <w:rsid w:val="00697AE2"/>
    <w:rsid w:val="00697B8C"/>
    <w:rsid w:val="00697E2F"/>
    <w:rsid w:val="006A00A2"/>
    <w:rsid w:val="006A02B1"/>
    <w:rsid w:val="006A0493"/>
    <w:rsid w:val="006A04B0"/>
    <w:rsid w:val="006A0765"/>
    <w:rsid w:val="006A09B3"/>
    <w:rsid w:val="006A0AD4"/>
    <w:rsid w:val="006A0C9D"/>
    <w:rsid w:val="006A0D9C"/>
    <w:rsid w:val="006A1263"/>
    <w:rsid w:val="006A138D"/>
    <w:rsid w:val="006A14C8"/>
    <w:rsid w:val="006A188A"/>
    <w:rsid w:val="006A189A"/>
    <w:rsid w:val="006A1B78"/>
    <w:rsid w:val="006A1E9B"/>
    <w:rsid w:val="006A1F1F"/>
    <w:rsid w:val="006A23C7"/>
    <w:rsid w:val="006A2653"/>
    <w:rsid w:val="006A2E9B"/>
    <w:rsid w:val="006A2E9E"/>
    <w:rsid w:val="006A326A"/>
    <w:rsid w:val="006A32DB"/>
    <w:rsid w:val="006A3407"/>
    <w:rsid w:val="006A3565"/>
    <w:rsid w:val="006A36D0"/>
    <w:rsid w:val="006A3B48"/>
    <w:rsid w:val="006A3CB3"/>
    <w:rsid w:val="006A3CCF"/>
    <w:rsid w:val="006A4088"/>
    <w:rsid w:val="006A42B9"/>
    <w:rsid w:val="006A43AD"/>
    <w:rsid w:val="006A43B5"/>
    <w:rsid w:val="006A4539"/>
    <w:rsid w:val="006A4706"/>
    <w:rsid w:val="006A4EA4"/>
    <w:rsid w:val="006A50ED"/>
    <w:rsid w:val="006A51A3"/>
    <w:rsid w:val="006A52CF"/>
    <w:rsid w:val="006A5341"/>
    <w:rsid w:val="006A5523"/>
    <w:rsid w:val="006A55DA"/>
    <w:rsid w:val="006A5663"/>
    <w:rsid w:val="006A575C"/>
    <w:rsid w:val="006A58BF"/>
    <w:rsid w:val="006A5CBA"/>
    <w:rsid w:val="006A5D20"/>
    <w:rsid w:val="006A5F0A"/>
    <w:rsid w:val="006A6130"/>
    <w:rsid w:val="006A6432"/>
    <w:rsid w:val="006A677A"/>
    <w:rsid w:val="006A6B02"/>
    <w:rsid w:val="006A6BCD"/>
    <w:rsid w:val="006A6DE4"/>
    <w:rsid w:val="006A6ECE"/>
    <w:rsid w:val="006A71F9"/>
    <w:rsid w:val="006A762C"/>
    <w:rsid w:val="006A7803"/>
    <w:rsid w:val="006A7B46"/>
    <w:rsid w:val="006B00F8"/>
    <w:rsid w:val="006B01A0"/>
    <w:rsid w:val="006B08FA"/>
    <w:rsid w:val="006B094F"/>
    <w:rsid w:val="006B0ABA"/>
    <w:rsid w:val="006B0C27"/>
    <w:rsid w:val="006B0D21"/>
    <w:rsid w:val="006B10F7"/>
    <w:rsid w:val="006B145A"/>
    <w:rsid w:val="006B17F3"/>
    <w:rsid w:val="006B19B2"/>
    <w:rsid w:val="006B1AC5"/>
    <w:rsid w:val="006B1C10"/>
    <w:rsid w:val="006B1C31"/>
    <w:rsid w:val="006B1E35"/>
    <w:rsid w:val="006B208B"/>
    <w:rsid w:val="006B23BB"/>
    <w:rsid w:val="006B23EE"/>
    <w:rsid w:val="006B2463"/>
    <w:rsid w:val="006B2621"/>
    <w:rsid w:val="006B275D"/>
    <w:rsid w:val="006B2992"/>
    <w:rsid w:val="006B2A81"/>
    <w:rsid w:val="006B2BA4"/>
    <w:rsid w:val="006B2E34"/>
    <w:rsid w:val="006B2FF3"/>
    <w:rsid w:val="006B301F"/>
    <w:rsid w:val="006B31AF"/>
    <w:rsid w:val="006B33F3"/>
    <w:rsid w:val="006B3635"/>
    <w:rsid w:val="006B367D"/>
    <w:rsid w:val="006B3708"/>
    <w:rsid w:val="006B3F4C"/>
    <w:rsid w:val="006B4016"/>
    <w:rsid w:val="006B428C"/>
    <w:rsid w:val="006B42D3"/>
    <w:rsid w:val="006B441C"/>
    <w:rsid w:val="006B45D1"/>
    <w:rsid w:val="006B4C24"/>
    <w:rsid w:val="006B4DD5"/>
    <w:rsid w:val="006B50EF"/>
    <w:rsid w:val="006B5221"/>
    <w:rsid w:val="006B523F"/>
    <w:rsid w:val="006B537F"/>
    <w:rsid w:val="006B54C4"/>
    <w:rsid w:val="006B54FC"/>
    <w:rsid w:val="006B5541"/>
    <w:rsid w:val="006B5569"/>
    <w:rsid w:val="006B571E"/>
    <w:rsid w:val="006B5784"/>
    <w:rsid w:val="006B57E9"/>
    <w:rsid w:val="006B5A74"/>
    <w:rsid w:val="006B5D78"/>
    <w:rsid w:val="006B5DC0"/>
    <w:rsid w:val="006B5FB7"/>
    <w:rsid w:val="006B5FB8"/>
    <w:rsid w:val="006B5FFB"/>
    <w:rsid w:val="006B647E"/>
    <w:rsid w:val="006B6502"/>
    <w:rsid w:val="006B657A"/>
    <w:rsid w:val="006B6A96"/>
    <w:rsid w:val="006B6B75"/>
    <w:rsid w:val="006B6C0E"/>
    <w:rsid w:val="006B6DA4"/>
    <w:rsid w:val="006B6E0E"/>
    <w:rsid w:val="006B70A4"/>
    <w:rsid w:val="006B7163"/>
    <w:rsid w:val="006B78A3"/>
    <w:rsid w:val="006B7919"/>
    <w:rsid w:val="006B79F5"/>
    <w:rsid w:val="006B7A1D"/>
    <w:rsid w:val="006B7C30"/>
    <w:rsid w:val="006B7C68"/>
    <w:rsid w:val="006B7C9E"/>
    <w:rsid w:val="006B7CD1"/>
    <w:rsid w:val="006C0090"/>
    <w:rsid w:val="006C022E"/>
    <w:rsid w:val="006C036B"/>
    <w:rsid w:val="006C0426"/>
    <w:rsid w:val="006C05EF"/>
    <w:rsid w:val="006C06C5"/>
    <w:rsid w:val="006C07F1"/>
    <w:rsid w:val="006C0863"/>
    <w:rsid w:val="006C09D6"/>
    <w:rsid w:val="006C0A43"/>
    <w:rsid w:val="006C0BC5"/>
    <w:rsid w:val="006C0D30"/>
    <w:rsid w:val="006C10EF"/>
    <w:rsid w:val="006C1168"/>
    <w:rsid w:val="006C1197"/>
    <w:rsid w:val="006C1282"/>
    <w:rsid w:val="006C12D7"/>
    <w:rsid w:val="006C1535"/>
    <w:rsid w:val="006C1C07"/>
    <w:rsid w:val="006C1C8E"/>
    <w:rsid w:val="006C2089"/>
    <w:rsid w:val="006C25D3"/>
    <w:rsid w:val="006C29EA"/>
    <w:rsid w:val="006C29F7"/>
    <w:rsid w:val="006C2A04"/>
    <w:rsid w:val="006C2A66"/>
    <w:rsid w:val="006C2BFB"/>
    <w:rsid w:val="006C2D64"/>
    <w:rsid w:val="006C3100"/>
    <w:rsid w:val="006C3149"/>
    <w:rsid w:val="006C3246"/>
    <w:rsid w:val="006C332E"/>
    <w:rsid w:val="006C334C"/>
    <w:rsid w:val="006C363A"/>
    <w:rsid w:val="006C37E3"/>
    <w:rsid w:val="006C3974"/>
    <w:rsid w:val="006C3A93"/>
    <w:rsid w:val="006C3B5E"/>
    <w:rsid w:val="006C3C9F"/>
    <w:rsid w:val="006C3EBF"/>
    <w:rsid w:val="006C3EE1"/>
    <w:rsid w:val="006C41FA"/>
    <w:rsid w:val="006C4285"/>
    <w:rsid w:val="006C4311"/>
    <w:rsid w:val="006C46AE"/>
    <w:rsid w:val="006C46F3"/>
    <w:rsid w:val="006C471D"/>
    <w:rsid w:val="006C49A2"/>
    <w:rsid w:val="006C4C63"/>
    <w:rsid w:val="006C5361"/>
    <w:rsid w:val="006C53C7"/>
    <w:rsid w:val="006C56C6"/>
    <w:rsid w:val="006C5779"/>
    <w:rsid w:val="006C5889"/>
    <w:rsid w:val="006C59B5"/>
    <w:rsid w:val="006C5C80"/>
    <w:rsid w:val="006C5EB0"/>
    <w:rsid w:val="006C5F0A"/>
    <w:rsid w:val="006C6009"/>
    <w:rsid w:val="006C63DF"/>
    <w:rsid w:val="006C640F"/>
    <w:rsid w:val="006C6562"/>
    <w:rsid w:val="006C6681"/>
    <w:rsid w:val="006C6855"/>
    <w:rsid w:val="006C6B7A"/>
    <w:rsid w:val="006C6B85"/>
    <w:rsid w:val="006C6C3E"/>
    <w:rsid w:val="006C6EEC"/>
    <w:rsid w:val="006C7030"/>
    <w:rsid w:val="006C7041"/>
    <w:rsid w:val="006C7130"/>
    <w:rsid w:val="006C7572"/>
    <w:rsid w:val="006C764D"/>
    <w:rsid w:val="006C780B"/>
    <w:rsid w:val="006C78AB"/>
    <w:rsid w:val="006C7F1F"/>
    <w:rsid w:val="006D02EE"/>
    <w:rsid w:val="006D033A"/>
    <w:rsid w:val="006D0436"/>
    <w:rsid w:val="006D043E"/>
    <w:rsid w:val="006D04FF"/>
    <w:rsid w:val="006D059B"/>
    <w:rsid w:val="006D05FA"/>
    <w:rsid w:val="006D061A"/>
    <w:rsid w:val="006D0706"/>
    <w:rsid w:val="006D0744"/>
    <w:rsid w:val="006D0747"/>
    <w:rsid w:val="006D08E5"/>
    <w:rsid w:val="006D0993"/>
    <w:rsid w:val="006D0ADB"/>
    <w:rsid w:val="006D0B8B"/>
    <w:rsid w:val="006D0EEC"/>
    <w:rsid w:val="006D0F30"/>
    <w:rsid w:val="006D1008"/>
    <w:rsid w:val="006D1117"/>
    <w:rsid w:val="006D14B7"/>
    <w:rsid w:val="006D15AE"/>
    <w:rsid w:val="006D17A6"/>
    <w:rsid w:val="006D1BE8"/>
    <w:rsid w:val="006D214D"/>
    <w:rsid w:val="006D21E8"/>
    <w:rsid w:val="006D2382"/>
    <w:rsid w:val="006D24A4"/>
    <w:rsid w:val="006D2534"/>
    <w:rsid w:val="006D2B4C"/>
    <w:rsid w:val="006D2C02"/>
    <w:rsid w:val="006D2D8A"/>
    <w:rsid w:val="006D2F0F"/>
    <w:rsid w:val="006D30ED"/>
    <w:rsid w:val="006D3140"/>
    <w:rsid w:val="006D3151"/>
    <w:rsid w:val="006D34A3"/>
    <w:rsid w:val="006D3691"/>
    <w:rsid w:val="006D3A44"/>
    <w:rsid w:val="006D3C92"/>
    <w:rsid w:val="006D3FC1"/>
    <w:rsid w:val="006D409C"/>
    <w:rsid w:val="006D420E"/>
    <w:rsid w:val="006D477E"/>
    <w:rsid w:val="006D47C6"/>
    <w:rsid w:val="006D4A0B"/>
    <w:rsid w:val="006D4C0A"/>
    <w:rsid w:val="006D4C82"/>
    <w:rsid w:val="006D50D1"/>
    <w:rsid w:val="006D50E1"/>
    <w:rsid w:val="006D50F5"/>
    <w:rsid w:val="006D5295"/>
    <w:rsid w:val="006D52C3"/>
    <w:rsid w:val="006D5337"/>
    <w:rsid w:val="006D56AE"/>
    <w:rsid w:val="006D56B1"/>
    <w:rsid w:val="006D585F"/>
    <w:rsid w:val="006D593B"/>
    <w:rsid w:val="006D5A9F"/>
    <w:rsid w:val="006D5C65"/>
    <w:rsid w:val="006D5CEE"/>
    <w:rsid w:val="006D5F3F"/>
    <w:rsid w:val="006D5F8E"/>
    <w:rsid w:val="006D60E9"/>
    <w:rsid w:val="006D6360"/>
    <w:rsid w:val="006D63AE"/>
    <w:rsid w:val="006D65F1"/>
    <w:rsid w:val="006D6648"/>
    <w:rsid w:val="006D6719"/>
    <w:rsid w:val="006D67C1"/>
    <w:rsid w:val="006D6BA5"/>
    <w:rsid w:val="006D6D9B"/>
    <w:rsid w:val="006D7039"/>
    <w:rsid w:val="006D7299"/>
    <w:rsid w:val="006D7324"/>
    <w:rsid w:val="006D760F"/>
    <w:rsid w:val="006D7693"/>
    <w:rsid w:val="006D7B9D"/>
    <w:rsid w:val="006D7E0D"/>
    <w:rsid w:val="006D7F77"/>
    <w:rsid w:val="006D7F9F"/>
    <w:rsid w:val="006E0185"/>
    <w:rsid w:val="006E01D4"/>
    <w:rsid w:val="006E039B"/>
    <w:rsid w:val="006E05A9"/>
    <w:rsid w:val="006E0C00"/>
    <w:rsid w:val="006E0E32"/>
    <w:rsid w:val="006E0E89"/>
    <w:rsid w:val="006E1478"/>
    <w:rsid w:val="006E14C7"/>
    <w:rsid w:val="006E1620"/>
    <w:rsid w:val="006E1983"/>
    <w:rsid w:val="006E19C5"/>
    <w:rsid w:val="006E1ABF"/>
    <w:rsid w:val="006E1EFA"/>
    <w:rsid w:val="006E2060"/>
    <w:rsid w:val="006E2417"/>
    <w:rsid w:val="006E2638"/>
    <w:rsid w:val="006E27FB"/>
    <w:rsid w:val="006E29B9"/>
    <w:rsid w:val="006E2B38"/>
    <w:rsid w:val="006E2CDB"/>
    <w:rsid w:val="006E2EE1"/>
    <w:rsid w:val="006E2EE9"/>
    <w:rsid w:val="006E2EFB"/>
    <w:rsid w:val="006E2F76"/>
    <w:rsid w:val="006E3102"/>
    <w:rsid w:val="006E3132"/>
    <w:rsid w:val="006E3133"/>
    <w:rsid w:val="006E3258"/>
    <w:rsid w:val="006E33C6"/>
    <w:rsid w:val="006E33ED"/>
    <w:rsid w:val="006E3545"/>
    <w:rsid w:val="006E3551"/>
    <w:rsid w:val="006E3599"/>
    <w:rsid w:val="006E3828"/>
    <w:rsid w:val="006E38A7"/>
    <w:rsid w:val="006E39CA"/>
    <w:rsid w:val="006E39DC"/>
    <w:rsid w:val="006E3CFA"/>
    <w:rsid w:val="006E3E9F"/>
    <w:rsid w:val="006E3F1F"/>
    <w:rsid w:val="006E41BE"/>
    <w:rsid w:val="006E4636"/>
    <w:rsid w:val="006E4712"/>
    <w:rsid w:val="006E477D"/>
    <w:rsid w:val="006E478B"/>
    <w:rsid w:val="006E4955"/>
    <w:rsid w:val="006E49BE"/>
    <w:rsid w:val="006E4CAC"/>
    <w:rsid w:val="006E4E10"/>
    <w:rsid w:val="006E4EBA"/>
    <w:rsid w:val="006E505F"/>
    <w:rsid w:val="006E52C1"/>
    <w:rsid w:val="006E5352"/>
    <w:rsid w:val="006E5492"/>
    <w:rsid w:val="006E5548"/>
    <w:rsid w:val="006E5580"/>
    <w:rsid w:val="006E578F"/>
    <w:rsid w:val="006E5B77"/>
    <w:rsid w:val="006E60F0"/>
    <w:rsid w:val="006E6652"/>
    <w:rsid w:val="006E667D"/>
    <w:rsid w:val="006E683A"/>
    <w:rsid w:val="006E6A3E"/>
    <w:rsid w:val="006E6B53"/>
    <w:rsid w:val="006E6C04"/>
    <w:rsid w:val="006E6D4E"/>
    <w:rsid w:val="006E6DE6"/>
    <w:rsid w:val="006E6ECF"/>
    <w:rsid w:val="006E7323"/>
    <w:rsid w:val="006E7405"/>
    <w:rsid w:val="006E743D"/>
    <w:rsid w:val="006E7701"/>
    <w:rsid w:val="006E7830"/>
    <w:rsid w:val="006E7CA1"/>
    <w:rsid w:val="006E7CF0"/>
    <w:rsid w:val="006F0188"/>
    <w:rsid w:val="006F04CE"/>
    <w:rsid w:val="006F05A5"/>
    <w:rsid w:val="006F0716"/>
    <w:rsid w:val="006F0D8F"/>
    <w:rsid w:val="006F109A"/>
    <w:rsid w:val="006F11FD"/>
    <w:rsid w:val="006F127D"/>
    <w:rsid w:val="006F13D5"/>
    <w:rsid w:val="006F149E"/>
    <w:rsid w:val="006F18A6"/>
    <w:rsid w:val="006F1A31"/>
    <w:rsid w:val="006F1CBD"/>
    <w:rsid w:val="006F1D68"/>
    <w:rsid w:val="006F2005"/>
    <w:rsid w:val="006F207E"/>
    <w:rsid w:val="006F20F0"/>
    <w:rsid w:val="006F219F"/>
    <w:rsid w:val="006F228B"/>
    <w:rsid w:val="006F2345"/>
    <w:rsid w:val="006F25ED"/>
    <w:rsid w:val="006F29F0"/>
    <w:rsid w:val="006F2A65"/>
    <w:rsid w:val="006F2AC3"/>
    <w:rsid w:val="006F2D56"/>
    <w:rsid w:val="006F356A"/>
    <w:rsid w:val="006F35BF"/>
    <w:rsid w:val="006F3633"/>
    <w:rsid w:val="006F37FD"/>
    <w:rsid w:val="006F3F43"/>
    <w:rsid w:val="006F430A"/>
    <w:rsid w:val="006F44E7"/>
    <w:rsid w:val="006F4517"/>
    <w:rsid w:val="006F46ED"/>
    <w:rsid w:val="006F4A43"/>
    <w:rsid w:val="006F4B01"/>
    <w:rsid w:val="006F4B82"/>
    <w:rsid w:val="006F4F8B"/>
    <w:rsid w:val="006F5070"/>
    <w:rsid w:val="006F5297"/>
    <w:rsid w:val="006F52BD"/>
    <w:rsid w:val="006F53B4"/>
    <w:rsid w:val="006F53E7"/>
    <w:rsid w:val="006F5836"/>
    <w:rsid w:val="006F588A"/>
    <w:rsid w:val="006F5910"/>
    <w:rsid w:val="006F5A5B"/>
    <w:rsid w:val="006F5B39"/>
    <w:rsid w:val="006F5DE7"/>
    <w:rsid w:val="006F5E6A"/>
    <w:rsid w:val="006F6072"/>
    <w:rsid w:val="006F6176"/>
    <w:rsid w:val="006F63C5"/>
    <w:rsid w:val="006F69A2"/>
    <w:rsid w:val="006F6A41"/>
    <w:rsid w:val="006F6A80"/>
    <w:rsid w:val="006F6A9E"/>
    <w:rsid w:val="006F6C1E"/>
    <w:rsid w:val="006F6E63"/>
    <w:rsid w:val="006F714C"/>
    <w:rsid w:val="006F721B"/>
    <w:rsid w:val="006F73E1"/>
    <w:rsid w:val="006F7564"/>
    <w:rsid w:val="006F7782"/>
    <w:rsid w:val="006F784A"/>
    <w:rsid w:val="006F7977"/>
    <w:rsid w:val="006F7AB2"/>
    <w:rsid w:val="006F7F7C"/>
    <w:rsid w:val="006F7F95"/>
    <w:rsid w:val="006F7FBC"/>
    <w:rsid w:val="00700152"/>
    <w:rsid w:val="0070019A"/>
    <w:rsid w:val="0070041A"/>
    <w:rsid w:val="00700574"/>
    <w:rsid w:val="00700801"/>
    <w:rsid w:val="00700973"/>
    <w:rsid w:val="00700AD1"/>
    <w:rsid w:val="00700C3C"/>
    <w:rsid w:val="00700DE6"/>
    <w:rsid w:val="00700F97"/>
    <w:rsid w:val="00700F9E"/>
    <w:rsid w:val="0070100B"/>
    <w:rsid w:val="0070102F"/>
    <w:rsid w:val="00701048"/>
    <w:rsid w:val="0070146F"/>
    <w:rsid w:val="00701552"/>
    <w:rsid w:val="00701701"/>
    <w:rsid w:val="00701799"/>
    <w:rsid w:val="00701B77"/>
    <w:rsid w:val="00701CB5"/>
    <w:rsid w:val="00701D19"/>
    <w:rsid w:val="00701D93"/>
    <w:rsid w:val="00701E29"/>
    <w:rsid w:val="00701FD9"/>
    <w:rsid w:val="007021F4"/>
    <w:rsid w:val="00702238"/>
    <w:rsid w:val="00702390"/>
    <w:rsid w:val="00702433"/>
    <w:rsid w:val="0070243E"/>
    <w:rsid w:val="0070283D"/>
    <w:rsid w:val="00702BD0"/>
    <w:rsid w:val="00702C4B"/>
    <w:rsid w:val="00702CC2"/>
    <w:rsid w:val="00702CE9"/>
    <w:rsid w:val="00702E03"/>
    <w:rsid w:val="00702E5D"/>
    <w:rsid w:val="00702F6A"/>
    <w:rsid w:val="007030F6"/>
    <w:rsid w:val="0070323D"/>
    <w:rsid w:val="007035FE"/>
    <w:rsid w:val="0070368F"/>
    <w:rsid w:val="00703692"/>
    <w:rsid w:val="00703D18"/>
    <w:rsid w:val="007045CC"/>
    <w:rsid w:val="007047FA"/>
    <w:rsid w:val="00704989"/>
    <w:rsid w:val="00704A6F"/>
    <w:rsid w:val="00704CAE"/>
    <w:rsid w:val="00704E8B"/>
    <w:rsid w:val="007051FE"/>
    <w:rsid w:val="00705477"/>
    <w:rsid w:val="00705588"/>
    <w:rsid w:val="00705632"/>
    <w:rsid w:val="00705703"/>
    <w:rsid w:val="00705852"/>
    <w:rsid w:val="00705B33"/>
    <w:rsid w:val="0070604E"/>
    <w:rsid w:val="00706264"/>
    <w:rsid w:val="0070639A"/>
    <w:rsid w:val="007064CE"/>
    <w:rsid w:val="007066FB"/>
    <w:rsid w:val="00706799"/>
    <w:rsid w:val="007067B2"/>
    <w:rsid w:val="00706BBD"/>
    <w:rsid w:val="00706EA1"/>
    <w:rsid w:val="00707074"/>
    <w:rsid w:val="0070740C"/>
    <w:rsid w:val="0070757E"/>
    <w:rsid w:val="00707638"/>
    <w:rsid w:val="007076C8"/>
    <w:rsid w:val="007076F9"/>
    <w:rsid w:val="00707DAD"/>
    <w:rsid w:val="00707F36"/>
    <w:rsid w:val="007101F1"/>
    <w:rsid w:val="00710267"/>
    <w:rsid w:val="007105BE"/>
    <w:rsid w:val="007107FE"/>
    <w:rsid w:val="00710902"/>
    <w:rsid w:val="00710D5A"/>
    <w:rsid w:val="00711018"/>
    <w:rsid w:val="00711240"/>
    <w:rsid w:val="007112D6"/>
    <w:rsid w:val="0071130A"/>
    <w:rsid w:val="00711CF5"/>
    <w:rsid w:val="00711D68"/>
    <w:rsid w:val="00711D77"/>
    <w:rsid w:val="00711FB1"/>
    <w:rsid w:val="00711FCA"/>
    <w:rsid w:val="00712065"/>
    <w:rsid w:val="00712125"/>
    <w:rsid w:val="00712142"/>
    <w:rsid w:val="007121EA"/>
    <w:rsid w:val="007125D7"/>
    <w:rsid w:val="007125F0"/>
    <w:rsid w:val="007127BC"/>
    <w:rsid w:val="007128DC"/>
    <w:rsid w:val="00712C9A"/>
    <w:rsid w:val="00712E89"/>
    <w:rsid w:val="00713091"/>
    <w:rsid w:val="0071321F"/>
    <w:rsid w:val="007133E1"/>
    <w:rsid w:val="00713CE8"/>
    <w:rsid w:val="00714032"/>
    <w:rsid w:val="0071411E"/>
    <w:rsid w:val="0071445E"/>
    <w:rsid w:val="00714548"/>
    <w:rsid w:val="007145C8"/>
    <w:rsid w:val="00714728"/>
    <w:rsid w:val="007147EF"/>
    <w:rsid w:val="0071494B"/>
    <w:rsid w:val="00714AB5"/>
    <w:rsid w:val="00714BDF"/>
    <w:rsid w:val="00714CAD"/>
    <w:rsid w:val="007150F5"/>
    <w:rsid w:val="007150F8"/>
    <w:rsid w:val="00715120"/>
    <w:rsid w:val="0071533A"/>
    <w:rsid w:val="00715482"/>
    <w:rsid w:val="0071551B"/>
    <w:rsid w:val="00715528"/>
    <w:rsid w:val="007155A9"/>
    <w:rsid w:val="00715724"/>
    <w:rsid w:val="00715937"/>
    <w:rsid w:val="00715A07"/>
    <w:rsid w:val="00715C25"/>
    <w:rsid w:val="00715DC5"/>
    <w:rsid w:val="00715E2D"/>
    <w:rsid w:val="00715F7F"/>
    <w:rsid w:val="00716153"/>
    <w:rsid w:val="007162CC"/>
    <w:rsid w:val="00716321"/>
    <w:rsid w:val="00716529"/>
    <w:rsid w:val="0071664A"/>
    <w:rsid w:val="0071685E"/>
    <w:rsid w:val="0071695E"/>
    <w:rsid w:val="00716BCB"/>
    <w:rsid w:val="00716C56"/>
    <w:rsid w:val="00716E4F"/>
    <w:rsid w:val="00717117"/>
    <w:rsid w:val="007171EA"/>
    <w:rsid w:val="0071728A"/>
    <w:rsid w:val="0071734F"/>
    <w:rsid w:val="00717408"/>
    <w:rsid w:val="0071744C"/>
    <w:rsid w:val="0071759C"/>
    <w:rsid w:val="007176FE"/>
    <w:rsid w:val="007178A0"/>
    <w:rsid w:val="00717947"/>
    <w:rsid w:val="00717970"/>
    <w:rsid w:val="00717A75"/>
    <w:rsid w:val="00717B71"/>
    <w:rsid w:val="00717C49"/>
    <w:rsid w:val="0072074C"/>
    <w:rsid w:val="007208C2"/>
    <w:rsid w:val="0072096F"/>
    <w:rsid w:val="0072098D"/>
    <w:rsid w:val="00720A47"/>
    <w:rsid w:val="00720B90"/>
    <w:rsid w:val="00720BE5"/>
    <w:rsid w:val="00720C32"/>
    <w:rsid w:val="00720C93"/>
    <w:rsid w:val="00720F12"/>
    <w:rsid w:val="007212D2"/>
    <w:rsid w:val="007212D9"/>
    <w:rsid w:val="00721446"/>
    <w:rsid w:val="0072171E"/>
    <w:rsid w:val="0072182B"/>
    <w:rsid w:val="007219E4"/>
    <w:rsid w:val="00721AAA"/>
    <w:rsid w:val="00721B79"/>
    <w:rsid w:val="00721C94"/>
    <w:rsid w:val="00721FE1"/>
    <w:rsid w:val="00722083"/>
    <w:rsid w:val="00722147"/>
    <w:rsid w:val="00722289"/>
    <w:rsid w:val="00722320"/>
    <w:rsid w:val="00722888"/>
    <w:rsid w:val="00722C1C"/>
    <w:rsid w:val="00722DAD"/>
    <w:rsid w:val="0072323C"/>
    <w:rsid w:val="007232CA"/>
    <w:rsid w:val="00723445"/>
    <w:rsid w:val="007234DB"/>
    <w:rsid w:val="0072356F"/>
    <w:rsid w:val="00723593"/>
    <w:rsid w:val="007235FC"/>
    <w:rsid w:val="00723630"/>
    <w:rsid w:val="00723680"/>
    <w:rsid w:val="00723BAD"/>
    <w:rsid w:val="00723CD2"/>
    <w:rsid w:val="0072409C"/>
    <w:rsid w:val="007243FC"/>
    <w:rsid w:val="0072453C"/>
    <w:rsid w:val="0072461D"/>
    <w:rsid w:val="007246F8"/>
    <w:rsid w:val="00724710"/>
    <w:rsid w:val="00724976"/>
    <w:rsid w:val="00724A33"/>
    <w:rsid w:val="00724A5B"/>
    <w:rsid w:val="00724EBE"/>
    <w:rsid w:val="00725516"/>
    <w:rsid w:val="0072581C"/>
    <w:rsid w:val="007259B1"/>
    <w:rsid w:val="00725A39"/>
    <w:rsid w:val="00725A94"/>
    <w:rsid w:val="00725CD1"/>
    <w:rsid w:val="00726211"/>
    <w:rsid w:val="00726300"/>
    <w:rsid w:val="00726902"/>
    <w:rsid w:val="00726B00"/>
    <w:rsid w:val="00726C69"/>
    <w:rsid w:val="00726CA6"/>
    <w:rsid w:val="007273A5"/>
    <w:rsid w:val="00727456"/>
    <w:rsid w:val="007274A1"/>
    <w:rsid w:val="007277A7"/>
    <w:rsid w:val="00727B3C"/>
    <w:rsid w:val="00727CD3"/>
    <w:rsid w:val="00727D1E"/>
    <w:rsid w:val="00727D74"/>
    <w:rsid w:val="00727D8A"/>
    <w:rsid w:val="007304AD"/>
    <w:rsid w:val="007306EB"/>
    <w:rsid w:val="00730716"/>
    <w:rsid w:val="00730A00"/>
    <w:rsid w:val="00730E1F"/>
    <w:rsid w:val="00730E54"/>
    <w:rsid w:val="00730F87"/>
    <w:rsid w:val="00730FDE"/>
    <w:rsid w:val="007313F1"/>
    <w:rsid w:val="0073195E"/>
    <w:rsid w:val="00731A57"/>
    <w:rsid w:val="00731D24"/>
    <w:rsid w:val="00732203"/>
    <w:rsid w:val="007322CE"/>
    <w:rsid w:val="007324F7"/>
    <w:rsid w:val="00732567"/>
    <w:rsid w:val="007326E0"/>
    <w:rsid w:val="007327F1"/>
    <w:rsid w:val="0073288E"/>
    <w:rsid w:val="00732901"/>
    <w:rsid w:val="007329D9"/>
    <w:rsid w:val="00732B55"/>
    <w:rsid w:val="00732C22"/>
    <w:rsid w:val="00732CF6"/>
    <w:rsid w:val="00732EC4"/>
    <w:rsid w:val="00733003"/>
    <w:rsid w:val="0073315B"/>
    <w:rsid w:val="00733809"/>
    <w:rsid w:val="007339D8"/>
    <w:rsid w:val="00733D6B"/>
    <w:rsid w:val="00733F63"/>
    <w:rsid w:val="00733FB6"/>
    <w:rsid w:val="00734002"/>
    <w:rsid w:val="00734025"/>
    <w:rsid w:val="00734107"/>
    <w:rsid w:val="007341D0"/>
    <w:rsid w:val="00734340"/>
    <w:rsid w:val="0073444E"/>
    <w:rsid w:val="0073447D"/>
    <w:rsid w:val="0073463B"/>
    <w:rsid w:val="00734C61"/>
    <w:rsid w:val="00734CA8"/>
    <w:rsid w:val="00734D7B"/>
    <w:rsid w:val="00734D99"/>
    <w:rsid w:val="00734E5C"/>
    <w:rsid w:val="00734F3C"/>
    <w:rsid w:val="0073517F"/>
    <w:rsid w:val="007351C6"/>
    <w:rsid w:val="007352E0"/>
    <w:rsid w:val="0073534C"/>
    <w:rsid w:val="00735363"/>
    <w:rsid w:val="007353CC"/>
    <w:rsid w:val="007357A8"/>
    <w:rsid w:val="007357ED"/>
    <w:rsid w:val="00735A21"/>
    <w:rsid w:val="00735C6E"/>
    <w:rsid w:val="00735FFF"/>
    <w:rsid w:val="007361C2"/>
    <w:rsid w:val="007363FF"/>
    <w:rsid w:val="007369A8"/>
    <w:rsid w:val="007369F9"/>
    <w:rsid w:val="00736BE1"/>
    <w:rsid w:val="007372A0"/>
    <w:rsid w:val="007374E8"/>
    <w:rsid w:val="0073772F"/>
    <w:rsid w:val="0073795F"/>
    <w:rsid w:val="00737B9E"/>
    <w:rsid w:val="00737BE1"/>
    <w:rsid w:val="00737C82"/>
    <w:rsid w:val="007403D5"/>
    <w:rsid w:val="00740690"/>
    <w:rsid w:val="00740701"/>
    <w:rsid w:val="00740C3E"/>
    <w:rsid w:val="00740FC1"/>
    <w:rsid w:val="00741297"/>
    <w:rsid w:val="00741412"/>
    <w:rsid w:val="00741467"/>
    <w:rsid w:val="00741A4A"/>
    <w:rsid w:val="00741B67"/>
    <w:rsid w:val="00741B89"/>
    <w:rsid w:val="00741C58"/>
    <w:rsid w:val="00741FB7"/>
    <w:rsid w:val="007421D7"/>
    <w:rsid w:val="007422C6"/>
    <w:rsid w:val="007423A2"/>
    <w:rsid w:val="007425DB"/>
    <w:rsid w:val="0074260E"/>
    <w:rsid w:val="0074261F"/>
    <w:rsid w:val="00742A92"/>
    <w:rsid w:val="00742E72"/>
    <w:rsid w:val="00742EBE"/>
    <w:rsid w:val="00742EEE"/>
    <w:rsid w:val="0074304D"/>
    <w:rsid w:val="00743096"/>
    <w:rsid w:val="00743157"/>
    <w:rsid w:val="0074353A"/>
    <w:rsid w:val="00743664"/>
    <w:rsid w:val="0074383C"/>
    <w:rsid w:val="00743F8E"/>
    <w:rsid w:val="00744011"/>
    <w:rsid w:val="007440DC"/>
    <w:rsid w:val="0074414E"/>
    <w:rsid w:val="007445B0"/>
    <w:rsid w:val="0074475C"/>
    <w:rsid w:val="0074479A"/>
    <w:rsid w:val="00744826"/>
    <w:rsid w:val="00744945"/>
    <w:rsid w:val="007449FF"/>
    <w:rsid w:val="00744B1E"/>
    <w:rsid w:val="00745289"/>
    <w:rsid w:val="0074532E"/>
    <w:rsid w:val="0074541D"/>
    <w:rsid w:val="0074549D"/>
    <w:rsid w:val="007456D5"/>
    <w:rsid w:val="00745716"/>
    <w:rsid w:val="007458DF"/>
    <w:rsid w:val="00745D18"/>
    <w:rsid w:val="00745E7B"/>
    <w:rsid w:val="00745EFC"/>
    <w:rsid w:val="0074619A"/>
    <w:rsid w:val="0074625C"/>
    <w:rsid w:val="0074632D"/>
    <w:rsid w:val="007463A0"/>
    <w:rsid w:val="0074671A"/>
    <w:rsid w:val="00746F7E"/>
    <w:rsid w:val="00747060"/>
    <w:rsid w:val="00747104"/>
    <w:rsid w:val="007474B0"/>
    <w:rsid w:val="00747595"/>
    <w:rsid w:val="007475A7"/>
    <w:rsid w:val="00747A34"/>
    <w:rsid w:val="00747B00"/>
    <w:rsid w:val="00747B8D"/>
    <w:rsid w:val="007500B8"/>
    <w:rsid w:val="00750297"/>
    <w:rsid w:val="0075096D"/>
    <w:rsid w:val="00750D2F"/>
    <w:rsid w:val="00750E09"/>
    <w:rsid w:val="00750E29"/>
    <w:rsid w:val="00750F22"/>
    <w:rsid w:val="00750F2C"/>
    <w:rsid w:val="007510D0"/>
    <w:rsid w:val="0075120F"/>
    <w:rsid w:val="007512BF"/>
    <w:rsid w:val="007513A1"/>
    <w:rsid w:val="00751557"/>
    <w:rsid w:val="00751693"/>
    <w:rsid w:val="00751AAD"/>
    <w:rsid w:val="00751B58"/>
    <w:rsid w:val="00751C97"/>
    <w:rsid w:val="00751D97"/>
    <w:rsid w:val="00752052"/>
    <w:rsid w:val="00752083"/>
    <w:rsid w:val="007521BC"/>
    <w:rsid w:val="00752215"/>
    <w:rsid w:val="007524AA"/>
    <w:rsid w:val="00752676"/>
    <w:rsid w:val="00752705"/>
    <w:rsid w:val="00752726"/>
    <w:rsid w:val="007529B5"/>
    <w:rsid w:val="007529C5"/>
    <w:rsid w:val="00752B34"/>
    <w:rsid w:val="00752D5F"/>
    <w:rsid w:val="00752DCB"/>
    <w:rsid w:val="00753488"/>
    <w:rsid w:val="00753882"/>
    <w:rsid w:val="00753915"/>
    <w:rsid w:val="00753C86"/>
    <w:rsid w:val="00754661"/>
    <w:rsid w:val="007548EC"/>
    <w:rsid w:val="0075491C"/>
    <w:rsid w:val="007549C6"/>
    <w:rsid w:val="00754EA7"/>
    <w:rsid w:val="00754FD5"/>
    <w:rsid w:val="00755218"/>
    <w:rsid w:val="00755293"/>
    <w:rsid w:val="007552A6"/>
    <w:rsid w:val="00755410"/>
    <w:rsid w:val="0075544B"/>
    <w:rsid w:val="00755C3F"/>
    <w:rsid w:val="00755D33"/>
    <w:rsid w:val="00755DCF"/>
    <w:rsid w:val="00755DF6"/>
    <w:rsid w:val="00755DFF"/>
    <w:rsid w:val="00756219"/>
    <w:rsid w:val="00756347"/>
    <w:rsid w:val="007568A9"/>
    <w:rsid w:val="00756B93"/>
    <w:rsid w:val="00756D45"/>
    <w:rsid w:val="00756EC3"/>
    <w:rsid w:val="007573D8"/>
    <w:rsid w:val="00757587"/>
    <w:rsid w:val="00757875"/>
    <w:rsid w:val="00757CD1"/>
    <w:rsid w:val="00757D1D"/>
    <w:rsid w:val="00757EDB"/>
    <w:rsid w:val="00760041"/>
    <w:rsid w:val="00760646"/>
    <w:rsid w:val="007606F9"/>
    <w:rsid w:val="00760710"/>
    <w:rsid w:val="00760B68"/>
    <w:rsid w:val="00760EEF"/>
    <w:rsid w:val="00760F49"/>
    <w:rsid w:val="00761031"/>
    <w:rsid w:val="00761143"/>
    <w:rsid w:val="007616C6"/>
    <w:rsid w:val="00761791"/>
    <w:rsid w:val="00761F85"/>
    <w:rsid w:val="0076240D"/>
    <w:rsid w:val="0076259F"/>
    <w:rsid w:val="00762FA3"/>
    <w:rsid w:val="0076305B"/>
    <w:rsid w:val="0076317A"/>
    <w:rsid w:val="00763521"/>
    <w:rsid w:val="007636CA"/>
    <w:rsid w:val="0076372F"/>
    <w:rsid w:val="00763832"/>
    <w:rsid w:val="0076394C"/>
    <w:rsid w:val="00763AAD"/>
    <w:rsid w:val="00763CA1"/>
    <w:rsid w:val="00763E3E"/>
    <w:rsid w:val="00764430"/>
    <w:rsid w:val="0076460D"/>
    <w:rsid w:val="00764667"/>
    <w:rsid w:val="0076471C"/>
    <w:rsid w:val="00764838"/>
    <w:rsid w:val="00764902"/>
    <w:rsid w:val="00764A41"/>
    <w:rsid w:val="00764AEE"/>
    <w:rsid w:val="00764BEE"/>
    <w:rsid w:val="00764C5B"/>
    <w:rsid w:val="00764CC1"/>
    <w:rsid w:val="00764CD9"/>
    <w:rsid w:val="00764CF6"/>
    <w:rsid w:val="00764D80"/>
    <w:rsid w:val="00764DBA"/>
    <w:rsid w:val="00765056"/>
    <w:rsid w:val="00765105"/>
    <w:rsid w:val="0076532A"/>
    <w:rsid w:val="00765528"/>
    <w:rsid w:val="00765532"/>
    <w:rsid w:val="007655C7"/>
    <w:rsid w:val="00765675"/>
    <w:rsid w:val="0076571B"/>
    <w:rsid w:val="0076595D"/>
    <w:rsid w:val="007659BC"/>
    <w:rsid w:val="00765CD4"/>
    <w:rsid w:val="00765FDD"/>
    <w:rsid w:val="007661B0"/>
    <w:rsid w:val="00766323"/>
    <w:rsid w:val="007668E2"/>
    <w:rsid w:val="00766A3D"/>
    <w:rsid w:val="00766C1E"/>
    <w:rsid w:val="00766C55"/>
    <w:rsid w:val="00766D8E"/>
    <w:rsid w:val="00766F45"/>
    <w:rsid w:val="00767181"/>
    <w:rsid w:val="0076722A"/>
    <w:rsid w:val="00767579"/>
    <w:rsid w:val="00767663"/>
    <w:rsid w:val="0076768B"/>
    <w:rsid w:val="00767740"/>
    <w:rsid w:val="007678BE"/>
    <w:rsid w:val="007679A3"/>
    <w:rsid w:val="00767BDF"/>
    <w:rsid w:val="00767C58"/>
    <w:rsid w:val="00767F65"/>
    <w:rsid w:val="00770054"/>
    <w:rsid w:val="00770059"/>
    <w:rsid w:val="0077012D"/>
    <w:rsid w:val="0077025E"/>
    <w:rsid w:val="0077078C"/>
    <w:rsid w:val="007709DE"/>
    <w:rsid w:val="00770AB4"/>
    <w:rsid w:val="00770D20"/>
    <w:rsid w:val="00770ECB"/>
    <w:rsid w:val="00770EE1"/>
    <w:rsid w:val="0077154F"/>
    <w:rsid w:val="007716A6"/>
    <w:rsid w:val="00771A1E"/>
    <w:rsid w:val="00771A5C"/>
    <w:rsid w:val="00771B18"/>
    <w:rsid w:val="00771CC4"/>
    <w:rsid w:val="00771E4B"/>
    <w:rsid w:val="00771F7E"/>
    <w:rsid w:val="007720AB"/>
    <w:rsid w:val="00772209"/>
    <w:rsid w:val="00772221"/>
    <w:rsid w:val="00772325"/>
    <w:rsid w:val="00772327"/>
    <w:rsid w:val="00772698"/>
    <w:rsid w:val="00772750"/>
    <w:rsid w:val="0077284C"/>
    <w:rsid w:val="00772C48"/>
    <w:rsid w:val="00772D52"/>
    <w:rsid w:val="007731C5"/>
    <w:rsid w:val="007733CF"/>
    <w:rsid w:val="0077351C"/>
    <w:rsid w:val="007739FA"/>
    <w:rsid w:val="00773D0C"/>
    <w:rsid w:val="00773ED7"/>
    <w:rsid w:val="00774038"/>
    <w:rsid w:val="007743B6"/>
    <w:rsid w:val="00774673"/>
    <w:rsid w:val="0077490E"/>
    <w:rsid w:val="00774955"/>
    <w:rsid w:val="00774AC2"/>
    <w:rsid w:val="00774ACF"/>
    <w:rsid w:val="00774B80"/>
    <w:rsid w:val="00774CC6"/>
    <w:rsid w:val="00774FB5"/>
    <w:rsid w:val="0077503B"/>
    <w:rsid w:val="007750D2"/>
    <w:rsid w:val="007751E9"/>
    <w:rsid w:val="007752AF"/>
    <w:rsid w:val="00775562"/>
    <w:rsid w:val="00775716"/>
    <w:rsid w:val="00775869"/>
    <w:rsid w:val="00775881"/>
    <w:rsid w:val="00775D28"/>
    <w:rsid w:val="00775E87"/>
    <w:rsid w:val="00775ED4"/>
    <w:rsid w:val="00775EF6"/>
    <w:rsid w:val="00776637"/>
    <w:rsid w:val="00776811"/>
    <w:rsid w:val="007769B4"/>
    <w:rsid w:val="00776B72"/>
    <w:rsid w:val="00776C02"/>
    <w:rsid w:val="00776D8B"/>
    <w:rsid w:val="00776E2D"/>
    <w:rsid w:val="00776EB8"/>
    <w:rsid w:val="007770CD"/>
    <w:rsid w:val="007774EB"/>
    <w:rsid w:val="007775B6"/>
    <w:rsid w:val="00777687"/>
    <w:rsid w:val="007776D5"/>
    <w:rsid w:val="00777838"/>
    <w:rsid w:val="007778C9"/>
    <w:rsid w:val="00777A89"/>
    <w:rsid w:val="00777A8F"/>
    <w:rsid w:val="00777CB7"/>
    <w:rsid w:val="00777DDE"/>
    <w:rsid w:val="00777F0A"/>
    <w:rsid w:val="00780229"/>
    <w:rsid w:val="007802FA"/>
    <w:rsid w:val="0078039D"/>
    <w:rsid w:val="00780602"/>
    <w:rsid w:val="00780718"/>
    <w:rsid w:val="007807A3"/>
    <w:rsid w:val="007809D3"/>
    <w:rsid w:val="00780A3C"/>
    <w:rsid w:val="00780A8E"/>
    <w:rsid w:val="00780BC1"/>
    <w:rsid w:val="0078100F"/>
    <w:rsid w:val="007812E6"/>
    <w:rsid w:val="00781363"/>
    <w:rsid w:val="0078159F"/>
    <w:rsid w:val="0078162F"/>
    <w:rsid w:val="007816A5"/>
    <w:rsid w:val="00781BE8"/>
    <w:rsid w:val="00781C7D"/>
    <w:rsid w:val="00781D29"/>
    <w:rsid w:val="007821CB"/>
    <w:rsid w:val="007823FB"/>
    <w:rsid w:val="00782751"/>
    <w:rsid w:val="007828E5"/>
    <w:rsid w:val="007828FF"/>
    <w:rsid w:val="007829DB"/>
    <w:rsid w:val="00782A4B"/>
    <w:rsid w:val="00782A81"/>
    <w:rsid w:val="00782BF0"/>
    <w:rsid w:val="00782BF3"/>
    <w:rsid w:val="00782CCC"/>
    <w:rsid w:val="00782FB1"/>
    <w:rsid w:val="0078370D"/>
    <w:rsid w:val="0078376C"/>
    <w:rsid w:val="0078378E"/>
    <w:rsid w:val="00783849"/>
    <w:rsid w:val="00783BC8"/>
    <w:rsid w:val="00783C03"/>
    <w:rsid w:val="00783C5A"/>
    <w:rsid w:val="00783C77"/>
    <w:rsid w:val="00783C9C"/>
    <w:rsid w:val="00783D0D"/>
    <w:rsid w:val="00783E51"/>
    <w:rsid w:val="00783F73"/>
    <w:rsid w:val="00783FCA"/>
    <w:rsid w:val="007842BE"/>
    <w:rsid w:val="00784A87"/>
    <w:rsid w:val="00784CF8"/>
    <w:rsid w:val="00784F26"/>
    <w:rsid w:val="00784F28"/>
    <w:rsid w:val="00784F58"/>
    <w:rsid w:val="00784F60"/>
    <w:rsid w:val="00784FB5"/>
    <w:rsid w:val="00784FF0"/>
    <w:rsid w:val="00785074"/>
    <w:rsid w:val="007850EB"/>
    <w:rsid w:val="007857B6"/>
    <w:rsid w:val="0078580F"/>
    <w:rsid w:val="00785E42"/>
    <w:rsid w:val="00785EDF"/>
    <w:rsid w:val="00785EE3"/>
    <w:rsid w:val="00786003"/>
    <w:rsid w:val="007866BE"/>
    <w:rsid w:val="007866FE"/>
    <w:rsid w:val="007867EE"/>
    <w:rsid w:val="00786839"/>
    <w:rsid w:val="00786AB6"/>
    <w:rsid w:val="00786B9F"/>
    <w:rsid w:val="00786CC6"/>
    <w:rsid w:val="00786D20"/>
    <w:rsid w:val="00786F92"/>
    <w:rsid w:val="007870D0"/>
    <w:rsid w:val="00787360"/>
    <w:rsid w:val="007877A8"/>
    <w:rsid w:val="00787929"/>
    <w:rsid w:val="0078799B"/>
    <w:rsid w:val="00787A55"/>
    <w:rsid w:val="00790486"/>
    <w:rsid w:val="007904AF"/>
    <w:rsid w:val="007905F9"/>
    <w:rsid w:val="00790696"/>
    <w:rsid w:val="00790B08"/>
    <w:rsid w:val="00790BCF"/>
    <w:rsid w:val="00790DFD"/>
    <w:rsid w:val="0079102D"/>
    <w:rsid w:val="007912FA"/>
    <w:rsid w:val="007913C7"/>
    <w:rsid w:val="00791756"/>
    <w:rsid w:val="00791988"/>
    <w:rsid w:val="00791A6A"/>
    <w:rsid w:val="00791BEB"/>
    <w:rsid w:val="00791ED7"/>
    <w:rsid w:val="0079248F"/>
    <w:rsid w:val="007924C2"/>
    <w:rsid w:val="007925EB"/>
    <w:rsid w:val="007925FF"/>
    <w:rsid w:val="00792641"/>
    <w:rsid w:val="00792650"/>
    <w:rsid w:val="00792996"/>
    <w:rsid w:val="00792ACE"/>
    <w:rsid w:val="00792B01"/>
    <w:rsid w:val="00792BB2"/>
    <w:rsid w:val="00792CF4"/>
    <w:rsid w:val="00792D14"/>
    <w:rsid w:val="00793303"/>
    <w:rsid w:val="00793328"/>
    <w:rsid w:val="00793578"/>
    <w:rsid w:val="00793736"/>
    <w:rsid w:val="00793A3E"/>
    <w:rsid w:val="00793CAE"/>
    <w:rsid w:val="00794136"/>
    <w:rsid w:val="00794342"/>
    <w:rsid w:val="0079436F"/>
    <w:rsid w:val="00794D0C"/>
    <w:rsid w:val="00794D9D"/>
    <w:rsid w:val="00794E90"/>
    <w:rsid w:val="00794FE0"/>
    <w:rsid w:val="0079514C"/>
    <w:rsid w:val="00795257"/>
    <w:rsid w:val="00795260"/>
    <w:rsid w:val="0079551D"/>
    <w:rsid w:val="00795687"/>
    <w:rsid w:val="00795817"/>
    <w:rsid w:val="00795834"/>
    <w:rsid w:val="00795865"/>
    <w:rsid w:val="00795872"/>
    <w:rsid w:val="00795B0F"/>
    <w:rsid w:val="00795F35"/>
    <w:rsid w:val="00795F74"/>
    <w:rsid w:val="007960C4"/>
    <w:rsid w:val="0079626A"/>
    <w:rsid w:val="0079626E"/>
    <w:rsid w:val="00796320"/>
    <w:rsid w:val="007964D1"/>
    <w:rsid w:val="007964D6"/>
    <w:rsid w:val="007967E3"/>
    <w:rsid w:val="00796A13"/>
    <w:rsid w:val="00796A9F"/>
    <w:rsid w:val="00796BBC"/>
    <w:rsid w:val="00796C67"/>
    <w:rsid w:val="00797084"/>
    <w:rsid w:val="00797093"/>
    <w:rsid w:val="007971C3"/>
    <w:rsid w:val="0079736D"/>
    <w:rsid w:val="0079737D"/>
    <w:rsid w:val="007975CE"/>
    <w:rsid w:val="007976C9"/>
    <w:rsid w:val="00797B8D"/>
    <w:rsid w:val="00797D79"/>
    <w:rsid w:val="00797E25"/>
    <w:rsid w:val="00797EA9"/>
    <w:rsid w:val="00797EC1"/>
    <w:rsid w:val="00797F49"/>
    <w:rsid w:val="00797FA4"/>
    <w:rsid w:val="007A0107"/>
    <w:rsid w:val="007A0254"/>
    <w:rsid w:val="007A025F"/>
    <w:rsid w:val="007A0278"/>
    <w:rsid w:val="007A049E"/>
    <w:rsid w:val="007A0626"/>
    <w:rsid w:val="007A0792"/>
    <w:rsid w:val="007A0AA0"/>
    <w:rsid w:val="007A0E8D"/>
    <w:rsid w:val="007A0EB1"/>
    <w:rsid w:val="007A0FA3"/>
    <w:rsid w:val="007A1089"/>
    <w:rsid w:val="007A109C"/>
    <w:rsid w:val="007A110B"/>
    <w:rsid w:val="007A146B"/>
    <w:rsid w:val="007A1889"/>
    <w:rsid w:val="007A18BD"/>
    <w:rsid w:val="007A1A38"/>
    <w:rsid w:val="007A1AF3"/>
    <w:rsid w:val="007A1D00"/>
    <w:rsid w:val="007A1DD7"/>
    <w:rsid w:val="007A2043"/>
    <w:rsid w:val="007A2089"/>
    <w:rsid w:val="007A20E8"/>
    <w:rsid w:val="007A2432"/>
    <w:rsid w:val="007A2532"/>
    <w:rsid w:val="007A2596"/>
    <w:rsid w:val="007A2792"/>
    <w:rsid w:val="007A2DDA"/>
    <w:rsid w:val="007A2EE4"/>
    <w:rsid w:val="007A2F1A"/>
    <w:rsid w:val="007A3165"/>
    <w:rsid w:val="007A31EE"/>
    <w:rsid w:val="007A3269"/>
    <w:rsid w:val="007A32B1"/>
    <w:rsid w:val="007A347B"/>
    <w:rsid w:val="007A3522"/>
    <w:rsid w:val="007A35C6"/>
    <w:rsid w:val="007A3831"/>
    <w:rsid w:val="007A38AC"/>
    <w:rsid w:val="007A3B33"/>
    <w:rsid w:val="007A3C17"/>
    <w:rsid w:val="007A3D62"/>
    <w:rsid w:val="007A3DC7"/>
    <w:rsid w:val="007A3FA9"/>
    <w:rsid w:val="007A4052"/>
    <w:rsid w:val="007A4366"/>
    <w:rsid w:val="007A441F"/>
    <w:rsid w:val="007A4595"/>
    <w:rsid w:val="007A47C0"/>
    <w:rsid w:val="007A47D1"/>
    <w:rsid w:val="007A498A"/>
    <w:rsid w:val="007A4BB9"/>
    <w:rsid w:val="007A4C94"/>
    <w:rsid w:val="007A4D83"/>
    <w:rsid w:val="007A4ECF"/>
    <w:rsid w:val="007A501E"/>
    <w:rsid w:val="007A517F"/>
    <w:rsid w:val="007A51B6"/>
    <w:rsid w:val="007A51EA"/>
    <w:rsid w:val="007A52CB"/>
    <w:rsid w:val="007A538F"/>
    <w:rsid w:val="007A541D"/>
    <w:rsid w:val="007A5636"/>
    <w:rsid w:val="007A56D5"/>
    <w:rsid w:val="007A5844"/>
    <w:rsid w:val="007A58FC"/>
    <w:rsid w:val="007A59C3"/>
    <w:rsid w:val="007A5D6A"/>
    <w:rsid w:val="007A5D82"/>
    <w:rsid w:val="007A5FC0"/>
    <w:rsid w:val="007A608D"/>
    <w:rsid w:val="007A60D5"/>
    <w:rsid w:val="007A61B8"/>
    <w:rsid w:val="007A6586"/>
    <w:rsid w:val="007A65B1"/>
    <w:rsid w:val="007A6689"/>
    <w:rsid w:val="007A69D9"/>
    <w:rsid w:val="007A6A11"/>
    <w:rsid w:val="007A6B10"/>
    <w:rsid w:val="007A6B87"/>
    <w:rsid w:val="007A6D7F"/>
    <w:rsid w:val="007A6EFE"/>
    <w:rsid w:val="007A7281"/>
    <w:rsid w:val="007A7ABF"/>
    <w:rsid w:val="007A7AE0"/>
    <w:rsid w:val="007A7BE0"/>
    <w:rsid w:val="007A7DA8"/>
    <w:rsid w:val="007A7DF0"/>
    <w:rsid w:val="007A7F29"/>
    <w:rsid w:val="007A7FB3"/>
    <w:rsid w:val="007B01F6"/>
    <w:rsid w:val="007B0343"/>
    <w:rsid w:val="007B058A"/>
    <w:rsid w:val="007B08BC"/>
    <w:rsid w:val="007B0A87"/>
    <w:rsid w:val="007B0B13"/>
    <w:rsid w:val="007B0B6D"/>
    <w:rsid w:val="007B0D3D"/>
    <w:rsid w:val="007B0D8A"/>
    <w:rsid w:val="007B0D91"/>
    <w:rsid w:val="007B1182"/>
    <w:rsid w:val="007B130C"/>
    <w:rsid w:val="007B13BB"/>
    <w:rsid w:val="007B14AB"/>
    <w:rsid w:val="007B16A4"/>
    <w:rsid w:val="007B1A10"/>
    <w:rsid w:val="007B1A7B"/>
    <w:rsid w:val="007B1AA4"/>
    <w:rsid w:val="007B1AD1"/>
    <w:rsid w:val="007B206F"/>
    <w:rsid w:val="007B2498"/>
    <w:rsid w:val="007B25F9"/>
    <w:rsid w:val="007B2E72"/>
    <w:rsid w:val="007B2F13"/>
    <w:rsid w:val="007B3038"/>
    <w:rsid w:val="007B3058"/>
    <w:rsid w:val="007B31F0"/>
    <w:rsid w:val="007B3276"/>
    <w:rsid w:val="007B33CC"/>
    <w:rsid w:val="007B3790"/>
    <w:rsid w:val="007B37DE"/>
    <w:rsid w:val="007B39D7"/>
    <w:rsid w:val="007B3B7D"/>
    <w:rsid w:val="007B3BBE"/>
    <w:rsid w:val="007B3C70"/>
    <w:rsid w:val="007B3D7E"/>
    <w:rsid w:val="007B4208"/>
    <w:rsid w:val="007B460D"/>
    <w:rsid w:val="007B476C"/>
    <w:rsid w:val="007B4937"/>
    <w:rsid w:val="007B4E14"/>
    <w:rsid w:val="007B4E1A"/>
    <w:rsid w:val="007B4E36"/>
    <w:rsid w:val="007B4E92"/>
    <w:rsid w:val="007B507B"/>
    <w:rsid w:val="007B51AE"/>
    <w:rsid w:val="007B5204"/>
    <w:rsid w:val="007B52EB"/>
    <w:rsid w:val="007B577D"/>
    <w:rsid w:val="007B5AB1"/>
    <w:rsid w:val="007B5E4C"/>
    <w:rsid w:val="007B5F8B"/>
    <w:rsid w:val="007B620F"/>
    <w:rsid w:val="007B6A50"/>
    <w:rsid w:val="007B6ACA"/>
    <w:rsid w:val="007B6B6A"/>
    <w:rsid w:val="007B6B74"/>
    <w:rsid w:val="007B6BC4"/>
    <w:rsid w:val="007B6D69"/>
    <w:rsid w:val="007B6DAC"/>
    <w:rsid w:val="007B6DC0"/>
    <w:rsid w:val="007B6DE6"/>
    <w:rsid w:val="007B6EDE"/>
    <w:rsid w:val="007B7179"/>
    <w:rsid w:val="007B7316"/>
    <w:rsid w:val="007B73D8"/>
    <w:rsid w:val="007B75A8"/>
    <w:rsid w:val="007B769C"/>
    <w:rsid w:val="007B7752"/>
    <w:rsid w:val="007B77E0"/>
    <w:rsid w:val="007B78B4"/>
    <w:rsid w:val="007B796B"/>
    <w:rsid w:val="007B7978"/>
    <w:rsid w:val="007B7C58"/>
    <w:rsid w:val="007B7EAF"/>
    <w:rsid w:val="007B7F12"/>
    <w:rsid w:val="007C0383"/>
    <w:rsid w:val="007C065F"/>
    <w:rsid w:val="007C06C3"/>
    <w:rsid w:val="007C07C9"/>
    <w:rsid w:val="007C0F0B"/>
    <w:rsid w:val="007C10B4"/>
    <w:rsid w:val="007C116E"/>
    <w:rsid w:val="007C12F0"/>
    <w:rsid w:val="007C1647"/>
    <w:rsid w:val="007C1713"/>
    <w:rsid w:val="007C176E"/>
    <w:rsid w:val="007C1DBF"/>
    <w:rsid w:val="007C1E47"/>
    <w:rsid w:val="007C218C"/>
    <w:rsid w:val="007C2273"/>
    <w:rsid w:val="007C2510"/>
    <w:rsid w:val="007C2747"/>
    <w:rsid w:val="007C2A4D"/>
    <w:rsid w:val="007C2AFE"/>
    <w:rsid w:val="007C2D0B"/>
    <w:rsid w:val="007C3098"/>
    <w:rsid w:val="007C32AD"/>
    <w:rsid w:val="007C34D5"/>
    <w:rsid w:val="007C3789"/>
    <w:rsid w:val="007C3BC9"/>
    <w:rsid w:val="007C4101"/>
    <w:rsid w:val="007C4162"/>
    <w:rsid w:val="007C4375"/>
    <w:rsid w:val="007C495A"/>
    <w:rsid w:val="007C4D80"/>
    <w:rsid w:val="007C535A"/>
    <w:rsid w:val="007C57FC"/>
    <w:rsid w:val="007C5A19"/>
    <w:rsid w:val="007C5B06"/>
    <w:rsid w:val="007C5F26"/>
    <w:rsid w:val="007C604C"/>
    <w:rsid w:val="007C6101"/>
    <w:rsid w:val="007C6402"/>
    <w:rsid w:val="007C669A"/>
    <w:rsid w:val="007C6802"/>
    <w:rsid w:val="007C6813"/>
    <w:rsid w:val="007C7068"/>
    <w:rsid w:val="007C70DF"/>
    <w:rsid w:val="007C7310"/>
    <w:rsid w:val="007C73C0"/>
    <w:rsid w:val="007C76D7"/>
    <w:rsid w:val="007C7804"/>
    <w:rsid w:val="007C792B"/>
    <w:rsid w:val="007C7976"/>
    <w:rsid w:val="007C7AA9"/>
    <w:rsid w:val="007C7D0A"/>
    <w:rsid w:val="007D0435"/>
    <w:rsid w:val="007D075A"/>
    <w:rsid w:val="007D16A0"/>
    <w:rsid w:val="007D16A5"/>
    <w:rsid w:val="007D1830"/>
    <w:rsid w:val="007D18E8"/>
    <w:rsid w:val="007D1B05"/>
    <w:rsid w:val="007D1C3D"/>
    <w:rsid w:val="007D1DC2"/>
    <w:rsid w:val="007D1EDB"/>
    <w:rsid w:val="007D243D"/>
    <w:rsid w:val="007D2AE3"/>
    <w:rsid w:val="007D2AEB"/>
    <w:rsid w:val="007D2C2A"/>
    <w:rsid w:val="007D2FF3"/>
    <w:rsid w:val="007D3052"/>
    <w:rsid w:val="007D30D5"/>
    <w:rsid w:val="007D31C3"/>
    <w:rsid w:val="007D32E8"/>
    <w:rsid w:val="007D33B9"/>
    <w:rsid w:val="007D3436"/>
    <w:rsid w:val="007D34CC"/>
    <w:rsid w:val="007D3741"/>
    <w:rsid w:val="007D3759"/>
    <w:rsid w:val="007D38B6"/>
    <w:rsid w:val="007D395A"/>
    <w:rsid w:val="007D39E4"/>
    <w:rsid w:val="007D3AF5"/>
    <w:rsid w:val="007D3CEC"/>
    <w:rsid w:val="007D3DDD"/>
    <w:rsid w:val="007D3F38"/>
    <w:rsid w:val="007D4132"/>
    <w:rsid w:val="007D4175"/>
    <w:rsid w:val="007D4382"/>
    <w:rsid w:val="007D4781"/>
    <w:rsid w:val="007D4858"/>
    <w:rsid w:val="007D4959"/>
    <w:rsid w:val="007D4E2C"/>
    <w:rsid w:val="007D4F16"/>
    <w:rsid w:val="007D52FF"/>
    <w:rsid w:val="007D55B4"/>
    <w:rsid w:val="007D5879"/>
    <w:rsid w:val="007D592C"/>
    <w:rsid w:val="007D5A96"/>
    <w:rsid w:val="007D5B95"/>
    <w:rsid w:val="007D5B9F"/>
    <w:rsid w:val="007D5F72"/>
    <w:rsid w:val="007D603C"/>
    <w:rsid w:val="007D607E"/>
    <w:rsid w:val="007D6303"/>
    <w:rsid w:val="007D6589"/>
    <w:rsid w:val="007D66A6"/>
    <w:rsid w:val="007D6819"/>
    <w:rsid w:val="007D68E4"/>
    <w:rsid w:val="007D6ADD"/>
    <w:rsid w:val="007D6AED"/>
    <w:rsid w:val="007D6CDD"/>
    <w:rsid w:val="007D70F1"/>
    <w:rsid w:val="007D71AF"/>
    <w:rsid w:val="007D7206"/>
    <w:rsid w:val="007D72AB"/>
    <w:rsid w:val="007D734B"/>
    <w:rsid w:val="007D7501"/>
    <w:rsid w:val="007D7AA8"/>
    <w:rsid w:val="007D7C2F"/>
    <w:rsid w:val="007E0013"/>
    <w:rsid w:val="007E02E2"/>
    <w:rsid w:val="007E0464"/>
    <w:rsid w:val="007E0614"/>
    <w:rsid w:val="007E0AA2"/>
    <w:rsid w:val="007E0BAF"/>
    <w:rsid w:val="007E0D5E"/>
    <w:rsid w:val="007E0DE4"/>
    <w:rsid w:val="007E0EDF"/>
    <w:rsid w:val="007E1005"/>
    <w:rsid w:val="007E146E"/>
    <w:rsid w:val="007E19C5"/>
    <w:rsid w:val="007E19E7"/>
    <w:rsid w:val="007E1CD0"/>
    <w:rsid w:val="007E1E91"/>
    <w:rsid w:val="007E1EBB"/>
    <w:rsid w:val="007E1FA3"/>
    <w:rsid w:val="007E2168"/>
    <w:rsid w:val="007E256D"/>
    <w:rsid w:val="007E26F5"/>
    <w:rsid w:val="007E2A86"/>
    <w:rsid w:val="007E2BAB"/>
    <w:rsid w:val="007E2E59"/>
    <w:rsid w:val="007E301E"/>
    <w:rsid w:val="007E325E"/>
    <w:rsid w:val="007E32D1"/>
    <w:rsid w:val="007E332A"/>
    <w:rsid w:val="007E3434"/>
    <w:rsid w:val="007E3489"/>
    <w:rsid w:val="007E34A7"/>
    <w:rsid w:val="007E358A"/>
    <w:rsid w:val="007E3594"/>
    <w:rsid w:val="007E3765"/>
    <w:rsid w:val="007E3842"/>
    <w:rsid w:val="007E3927"/>
    <w:rsid w:val="007E3991"/>
    <w:rsid w:val="007E3A97"/>
    <w:rsid w:val="007E3A9B"/>
    <w:rsid w:val="007E3C00"/>
    <w:rsid w:val="007E3D10"/>
    <w:rsid w:val="007E4057"/>
    <w:rsid w:val="007E41B6"/>
    <w:rsid w:val="007E42CD"/>
    <w:rsid w:val="007E43F3"/>
    <w:rsid w:val="007E447F"/>
    <w:rsid w:val="007E44AA"/>
    <w:rsid w:val="007E47A2"/>
    <w:rsid w:val="007E48ED"/>
    <w:rsid w:val="007E4A60"/>
    <w:rsid w:val="007E4B97"/>
    <w:rsid w:val="007E4F3B"/>
    <w:rsid w:val="007E50A1"/>
    <w:rsid w:val="007E5107"/>
    <w:rsid w:val="007E5383"/>
    <w:rsid w:val="007E58A4"/>
    <w:rsid w:val="007E60CB"/>
    <w:rsid w:val="007E62EE"/>
    <w:rsid w:val="007E64C5"/>
    <w:rsid w:val="007E6906"/>
    <w:rsid w:val="007E6AAB"/>
    <w:rsid w:val="007E6C15"/>
    <w:rsid w:val="007E7164"/>
    <w:rsid w:val="007E72BA"/>
    <w:rsid w:val="007E745B"/>
    <w:rsid w:val="007E745F"/>
    <w:rsid w:val="007E757A"/>
    <w:rsid w:val="007E7659"/>
    <w:rsid w:val="007E76E7"/>
    <w:rsid w:val="007E791D"/>
    <w:rsid w:val="007E7960"/>
    <w:rsid w:val="007E7ED6"/>
    <w:rsid w:val="007E7F7A"/>
    <w:rsid w:val="007E7F91"/>
    <w:rsid w:val="007F00FD"/>
    <w:rsid w:val="007F01F7"/>
    <w:rsid w:val="007F022C"/>
    <w:rsid w:val="007F02B9"/>
    <w:rsid w:val="007F0515"/>
    <w:rsid w:val="007F0C6A"/>
    <w:rsid w:val="007F0DAE"/>
    <w:rsid w:val="007F0E54"/>
    <w:rsid w:val="007F0E62"/>
    <w:rsid w:val="007F0EB5"/>
    <w:rsid w:val="007F0ED1"/>
    <w:rsid w:val="007F0FFE"/>
    <w:rsid w:val="007F104B"/>
    <w:rsid w:val="007F10B5"/>
    <w:rsid w:val="007F1177"/>
    <w:rsid w:val="007F1255"/>
    <w:rsid w:val="007F17DF"/>
    <w:rsid w:val="007F19CE"/>
    <w:rsid w:val="007F1B4F"/>
    <w:rsid w:val="007F1CA6"/>
    <w:rsid w:val="007F1CF1"/>
    <w:rsid w:val="007F1E42"/>
    <w:rsid w:val="007F1E67"/>
    <w:rsid w:val="007F1F7C"/>
    <w:rsid w:val="007F1F7F"/>
    <w:rsid w:val="007F21BB"/>
    <w:rsid w:val="007F22B4"/>
    <w:rsid w:val="007F2300"/>
    <w:rsid w:val="007F2350"/>
    <w:rsid w:val="007F256D"/>
    <w:rsid w:val="007F25FC"/>
    <w:rsid w:val="007F2943"/>
    <w:rsid w:val="007F2A7C"/>
    <w:rsid w:val="007F2D09"/>
    <w:rsid w:val="007F2F11"/>
    <w:rsid w:val="007F3146"/>
    <w:rsid w:val="007F323A"/>
    <w:rsid w:val="007F34E0"/>
    <w:rsid w:val="007F3508"/>
    <w:rsid w:val="007F3624"/>
    <w:rsid w:val="007F36D9"/>
    <w:rsid w:val="007F37A7"/>
    <w:rsid w:val="007F3895"/>
    <w:rsid w:val="007F3952"/>
    <w:rsid w:val="007F3A08"/>
    <w:rsid w:val="007F3A1B"/>
    <w:rsid w:val="007F3A34"/>
    <w:rsid w:val="007F3C2A"/>
    <w:rsid w:val="007F3D3B"/>
    <w:rsid w:val="007F3F5B"/>
    <w:rsid w:val="007F4065"/>
    <w:rsid w:val="007F4230"/>
    <w:rsid w:val="007F42C8"/>
    <w:rsid w:val="007F4318"/>
    <w:rsid w:val="007F436F"/>
    <w:rsid w:val="007F43F8"/>
    <w:rsid w:val="007F46E6"/>
    <w:rsid w:val="007F4B0F"/>
    <w:rsid w:val="007F4CC5"/>
    <w:rsid w:val="007F4D9B"/>
    <w:rsid w:val="007F4E3B"/>
    <w:rsid w:val="007F4F2F"/>
    <w:rsid w:val="007F4F54"/>
    <w:rsid w:val="007F4F6F"/>
    <w:rsid w:val="007F4F81"/>
    <w:rsid w:val="007F5012"/>
    <w:rsid w:val="007F5045"/>
    <w:rsid w:val="007F51BE"/>
    <w:rsid w:val="007F523C"/>
    <w:rsid w:val="007F54E3"/>
    <w:rsid w:val="007F5718"/>
    <w:rsid w:val="007F57ED"/>
    <w:rsid w:val="007F5866"/>
    <w:rsid w:val="007F5B77"/>
    <w:rsid w:val="007F5B8E"/>
    <w:rsid w:val="007F5CC5"/>
    <w:rsid w:val="007F5D39"/>
    <w:rsid w:val="007F5E3A"/>
    <w:rsid w:val="007F5F42"/>
    <w:rsid w:val="007F6144"/>
    <w:rsid w:val="007F62C6"/>
    <w:rsid w:val="007F6655"/>
    <w:rsid w:val="007F66B2"/>
    <w:rsid w:val="007F6768"/>
    <w:rsid w:val="007F68D5"/>
    <w:rsid w:val="007F6A93"/>
    <w:rsid w:val="007F6C7D"/>
    <w:rsid w:val="007F6EA3"/>
    <w:rsid w:val="007F7146"/>
    <w:rsid w:val="007F71CB"/>
    <w:rsid w:val="007F7384"/>
    <w:rsid w:val="007F7684"/>
    <w:rsid w:val="007F77F7"/>
    <w:rsid w:val="007F7890"/>
    <w:rsid w:val="007F7BCF"/>
    <w:rsid w:val="007F7DEF"/>
    <w:rsid w:val="008003E2"/>
    <w:rsid w:val="00800548"/>
    <w:rsid w:val="008006AF"/>
    <w:rsid w:val="008007D6"/>
    <w:rsid w:val="008008C6"/>
    <w:rsid w:val="00800AE0"/>
    <w:rsid w:val="00800C58"/>
    <w:rsid w:val="00800D62"/>
    <w:rsid w:val="00800DC1"/>
    <w:rsid w:val="00801039"/>
    <w:rsid w:val="0080108A"/>
    <w:rsid w:val="008013D3"/>
    <w:rsid w:val="00801B95"/>
    <w:rsid w:val="00801B9A"/>
    <w:rsid w:val="00801DC5"/>
    <w:rsid w:val="00801F3C"/>
    <w:rsid w:val="00802026"/>
    <w:rsid w:val="0080216C"/>
    <w:rsid w:val="00802B6C"/>
    <w:rsid w:val="00802C52"/>
    <w:rsid w:val="00802FCD"/>
    <w:rsid w:val="008031D5"/>
    <w:rsid w:val="0080334C"/>
    <w:rsid w:val="0080347F"/>
    <w:rsid w:val="00803593"/>
    <w:rsid w:val="008035E2"/>
    <w:rsid w:val="00803EEB"/>
    <w:rsid w:val="00803F49"/>
    <w:rsid w:val="0080401C"/>
    <w:rsid w:val="008041C9"/>
    <w:rsid w:val="0080428D"/>
    <w:rsid w:val="0080429E"/>
    <w:rsid w:val="00804432"/>
    <w:rsid w:val="00804538"/>
    <w:rsid w:val="00804794"/>
    <w:rsid w:val="0080481C"/>
    <w:rsid w:val="00804913"/>
    <w:rsid w:val="00804A23"/>
    <w:rsid w:val="00804AE8"/>
    <w:rsid w:val="0080510A"/>
    <w:rsid w:val="0080517A"/>
    <w:rsid w:val="00805193"/>
    <w:rsid w:val="0080519A"/>
    <w:rsid w:val="008053F7"/>
    <w:rsid w:val="00805494"/>
    <w:rsid w:val="00805838"/>
    <w:rsid w:val="00805940"/>
    <w:rsid w:val="0080595C"/>
    <w:rsid w:val="00805979"/>
    <w:rsid w:val="00805CA1"/>
    <w:rsid w:val="00805E79"/>
    <w:rsid w:val="00805F22"/>
    <w:rsid w:val="00805F26"/>
    <w:rsid w:val="008060C6"/>
    <w:rsid w:val="00806104"/>
    <w:rsid w:val="008061ED"/>
    <w:rsid w:val="00806377"/>
    <w:rsid w:val="008063B1"/>
    <w:rsid w:val="008064B5"/>
    <w:rsid w:val="00806776"/>
    <w:rsid w:val="008067A7"/>
    <w:rsid w:val="008067F3"/>
    <w:rsid w:val="0080689B"/>
    <w:rsid w:val="00806A39"/>
    <w:rsid w:val="00806EA0"/>
    <w:rsid w:val="00807145"/>
    <w:rsid w:val="00807389"/>
    <w:rsid w:val="008074C5"/>
    <w:rsid w:val="00807A56"/>
    <w:rsid w:val="00807D8C"/>
    <w:rsid w:val="00807DF6"/>
    <w:rsid w:val="00807ED1"/>
    <w:rsid w:val="0081049A"/>
    <w:rsid w:val="008105CF"/>
    <w:rsid w:val="008106EB"/>
    <w:rsid w:val="00810B51"/>
    <w:rsid w:val="00810CA7"/>
    <w:rsid w:val="00811098"/>
    <w:rsid w:val="008115BD"/>
    <w:rsid w:val="00811638"/>
    <w:rsid w:val="00811716"/>
    <w:rsid w:val="008117C6"/>
    <w:rsid w:val="00811948"/>
    <w:rsid w:val="00811A7D"/>
    <w:rsid w:val="00811BCB"/>
    <w:rsid w:val="00811CC9"/>
    <w:rsid w:val="00812287"/>
    <w:rsid w:val="008122AB"/>
    <w:rsid w:val="0081232D"/>
    <w:rsid w:val="008125F5"/>
    <w:rsid w:val="00812621"/>
    <w:rsid w:val="008127E9"/>
    <w:rsid w:val="008127F3"/>
    <w:rsid w:val="0081282A"/>
    <w:rsid w:val="00812EA9"/>
    <w:rsid w:val="00812FEC"/>
    <w:rsid w:val="00813003"/>
    <w:rsid w:val="00813344"/>
    <w:rsid w:val="0081336D"/>
    <w:rsid w:val="008134E2"/>
    <w:rsid w:val="008136FB"/>
    <w:rsid w:val="0081377A"/>
    <w:rsid w:val="008137A1"/>
    <w:rsid w:val="008139A4"/>
    <w:rsid w:val="008139B5"/>
    <w:rsid w:val="00813A81"/>
    <w:rsid w:val="00813ADF"/>
    <w:rsid w:val="00813DE1"/>
    <w:rsid w:val="00813F13"/>
    <w:rsid w:val="008141CE"/>
    <w:rsid w:val="00814422"/>
    <w:rsid w:val="008148C9"/>
    <w:rsid w:val="00814B0B"/>
    <w:rsid w:val="008151EA"/>
    <w:rsid w:val="00815382"/>
    <w:rsid w:val="00815544"/>
    <w:rsid w:val="00815589"/>
    <w:rsid w:val="008158C2"/>
    <w:rsid w:val="008159A9"/>
    <w:rsid w:val="00815C4A"/>
    <w:rsid w:val="00815D11"/>
    <w:rsid w:val="00815EDB"/>
    <w:rsid w:val="00816026"/>
    <w:rsid w:val="008163E7"/>
    <w:rsid w:val="008166C5"/>
    <w:rsid w:val="0081675A"/>
    <w:rsid w:val="00816AAF"/>
    <w:rsid w:val="00816ABC"/>
    <w:rsid w:val="00816B11"/>
    <w:rsid w:val="00816CBC"/>
    <w:rsid w:val="00816D85"/>
    <w:rsid w:val="00816E06"/>
    <w:rsid w:val="008173AE"/>
    <w:rsid w:val="008173DE"/>
    <w:rsid w:val="0081749D"/>
    <w:rsid w:val="00817E0E"/>
    <w:rsid w:val="00817F9E"/>
    <w:rsid w:val="00820011"/>
    <w:rsid w:val="0082001A"/>
    <w:rsid w:val="008200F2"/>
    <w:rsid w:val="008201FA"/>
    <w:rsid w:val="0082022D"/>
    <w:rsid w:val="00820252"/>
    <w:rsid w:val="00820418"/>
    <w:rsid w:val="008207A7"/>
    <w:rsid w:val="008207F6"/>
    <w:rsid w:val="00820ACF"/>
    <w:rsid w:val="00820C57"/>
    <w:rsid w:val="00821048"/>
    <w:rsid w:val="0082106B"/>
    <w:rsid w:val="0082115A"/>
    <w:rsid w:val="00821222"/>
    <w:rsid w:val="00821590"/>
    <w:rsid w:val="008219D2"/>
    <w:rsid w:val="008219F3"/>
    <w:rsid w:val="00821A9D"/>
    <w:rsid w:val="00821AF2"/>
    <w:rsid w:val="00821AFF"/>
    <w:rsid w:val="00821D6C"/>
    <w:rsid w:val="00821DF0"/>
    <w:rsid w:val="00822144"/>
    <w:rsid w:val="008221A0"/>
    <w:rsid w:val="00822433"/>
    <w:rsid w:val="0082268A"/>
    <w:rsid w:val="008226CC"/>
    <w:rsid w:val="008226FE"/>
    <w:rsid w:val="008228AA"/>
    <w:rsid w:val="00822A1E"/>
    <w:rsid w:val="00822AE8"/>
    <w:rsid w:val="00822B6D"/>
    <w:rsid w:val="00822F19"/>
    <w:rsid w:val="00822FD1"/>
    <w:rsid w:val="00823039"/>
    <w:rsid w:val="008233D8"/>
    <w:rsid w:val="0082355E"/>
    <w:rsid w:val="0082428F"/>
    <w:rsid w:val="00824456"/>
    <w:rsid w:val="0082459D"/>
    <w:rsid w:val="00824815"/>
    <w:rsid w:val="008249B8"/>
    <w:rsid w:val="00824A7A"/>
    <w:rsid w:val="00824AF3"/>
    <w:rsid w:val="00824DD6"/>
    <w:rsid w:val="00824E42"/>
    <w:rsid w:val="00824EC0"/>
    <w:rsid w:val="008250C5"/>
    <w:rsid w:val="00825300"/>
    <w:rsid w:val="00825549"/>
    <w:rsid w:val="008257E4"/>
    <w:rsid w:val="00825B4A"/>
    <w:rsid w:val="00825B56"/>
    <w:rsid w:val="00825CD2"/>
    <w:rsid w:val="00825D3C"/>
    <w:rsid w:val="00825EF0"/>
    <w:rsid w:val="008262DE"/>
    <w:rsid w:val="008263B3"/>
    <w:rsid w:val="00826696"/>
    <w:rsid w:val="008267F7"/>
    <w:rsid w:val="00826903"/>
    <w:rsid w:val="0082697A"/>
    <w:rsid w:val="00826AD7"/>
    <w:rsid w:val="00826B8A"/>
    <w:rsid w:val="00826B8F"/>
    <w:rsid w:val="00826CF1"/>
    <w:rsid w:val="00826ECA"/>
    <w:rsid w:val="00826F19"/>
    <w:rsid w:val="00826FC3"/>
    <w:rsid w:val="008272DA"/>
    <w:rsid w:val="008272E4"/>
    <w:rsid w:val="0082730B"/>
    <w:rsid w:val="00827407"/>
    <w:rsid w:val="00827552"/>
    <w:rsid w:val="008275CF"/>
    <w:rsid w:val="00827C95"/>
    <w:rsid w:val="0083007B"/>
    <w:rsid w:val="00830436"/>
    <w:rsid w:val="00830514"/>
    <w:rsid w:val="00830924"/>
    <w:rsid w:val="00830B53"/>
    <w:rsid w:val="00830C49"/>
    <w:rsid w:val="00830DE9"/>
    <w:rsid w:val="00830F90"/>
    <w:rsid w:val="008311B2"/>
    <w:rsid w:val="00831249"/>
    <w:rsid w:val="0083158B"/>
    <w:rsid w:val="0083174A"/>
    <w:rsid w:val="0083176F"/>
    <w:rsid w:val="0083180D"/>
    <w:rsid w:val="00831829"/>
    <w:rsid w:val="0083191B"/>
    <w:rsid w:val="00831ADA"/>
    <w:rsid w:val="00831BEF"/>
    <w:rsid w:val="00832048"/>
    <w:rsid w:val="00832235"/>
    <w:rsid w:val="00832370"/>
    <w:rsid w:val="0083242C"/>
    <w:rsid w:val="00832C28"/>
    <w:rsid w:val="00832C2C"/>
    <w:rsid w:val="00832E5D"/>
    <w:rsid w:val="008331D7"/>
    <w:rsid w:val="00833213"/>
    <w:rsid w:val="0083332B"/>
    <w:rsid w:val="008335B4"/>
    <w:rsid w:val="00833756"/>
    <w:rsid w:val="008338DA"/>
    <w:rsid w:val="008339FC"/>
    <w:rsid w:val="00833B45"/>
    <w:rsid w:val="00833B64"/>
    <w:rsid w:val="00833BBD"/>
    <w:rsid w:val="00833DC9"/>
    <w:rsid w:val="00833F30"/>
    <w:rsid w:val="00833F9F"/>
    <w:rsid w:val="008340FC"/>
    <w:rsid w:val="008340FD"/>
    <w:rsid w:val="0083411F"/>
    <w:rsid w:val="008342C8"/>
    <w:rsid w:val="00834419"/>
    <w:rsid w:val="00834870"/>
    <w:rsid w:val="008348D3"/>
    <w:rsid w:val="00834B7F"/>
    <w:rsid w:val="00834DCE"/>
    <w:rsid w:val="00834FAC"/>
    <w:rsid w:val="008353E3"/>
    <w:rsid w:val="0083546C"/>
    <w:rsid w:val="0083551A"/>
    <w:rsid w:val="008356C4"/>
    <w:rsid w:val="00835A89"/>
    <w:rsid w:val="00835F8A"/>
    <w:rsid w:val="00836370"/>
    <w:rsid w:val="0083646A"/>
    <w:rsid w:val="00836493"/>
    <w:rsid w:val="0083685E"/>
    <w:rsid w:val="00836AE4"/>
    <w:rsid w:val="00836BC2"/>
    <w:rsid w:val="00837043"/>
    <w:rsid w:val="0083704F"/>
    <w:rsid w:val="008373D1"/>
    <w:rsid w:val="008374E1"/>
    <w:rsid w:val="008377E4"/>
    <w:rsid w:val="00837865"/>
    <w:rsid w:val="008379D3"/>
    <w:rsid w:val="00837A41"/>
    <w:rsid w:val="00837EBB"/>
    <w:rsid w:val="00837F70"/>
    <w:rsid w:val="00837FFE"/>
    <w:rsid w:val="00840003"/>
    <w:rsid w:val="00840478"/>
    <w:rsid w:val="0084060B"/>
    <w:rsid w:val="0084087C"/>
    <w:rsid w:val="0084088B"/>
    <w:rsid w:val="0084089B"/>
    <w:rsid w:val="008409A0"/>
    <w:rsid w:val="00840A66"/>
    <w:rsid w:val="00840E18"/>
    <w:rsid w:val="00841056"/>
    <w:rsid w:val="008410E7"/>
    <w:rsid w:val="008414D6"/>
    <w:rsid w:val="008414DF"/>
    <w:rsid w:val="0084152D"/>
    <w:rsid w:val="008416A6"/>
    <w:rsid w:val="00841AD5"/>
    <w:rsid w:val="00841AD9"/>
    <w:rsid w:val="00841D79"/>
    <w:rsid w:val="00842016"/>
    <w:rsid w:val="0084202B"/>
    <w:rsid w:val="0084216A"/>
    <w:rsid w:val="008421A8"/>
    <w:rsid w:val="008421F7"/>
    <w:rsid w:val="0084229A"/>
    <w:rsid w:val="008424BD"/>
    <w:rsid w:val="00842681"/>
    <w:rsid w:val="00842781"/>
    <w:rsid w:val="0084280C"/>
    <w:rsid w:val="00842853"/>
    <w:rsid w:val="008429B2"/>
    <w:rsid w:val="00842A2F"/>
    <w:rsid w:val="00842DE1"/>
    <w:rsid w:val="00842DFF"/>
    <w:rsid w:val="00842E26"/>
    <w:rsid w:val="00842EFD"/>
    <w:rsid w:val="008430C2"/>
    <w:rsid w:val="008431AE"/>
    <w:rsid w:val="00843314"/>
    <w:rsid w:val="00843390"/>
    <w:rsid w:val="008433DE"/>
    <w:rsid w:val="0084340A"/>
    <w:rsid w:val="008434C1"/>
    <w:rsid w:val="0084366F"/>
    <w:rsid w:val="00843977"/>
    <w:rsid w:val="008439DB"/>
    <w:rsid w:val="00843E0D"/>
    <w:rsid w:val="00843E28"/>
    <w:rsid w:val="0084409C"/>
    <w:rsid w:val="0084434E"/>
    <w:rsid w:val="008443EA"/>
    <w:rsid w:val="008443F3"/>
    <w:rsid w:val="008447BA"/>
    <w:rsid w:val="008449F2"/>
    <w:rsid w:val="00844AA2"/>
    <w:rsid w:val="008451AD"/>
    <w:rsid w:val="00845327"/>
    <w:rsid w:val="008453A9"/>
    <w:rsid w:val="008453E3"/>
    <w:rsid w:val="008453F7"/>
    <w:rsid w:val="00845772"/>
    <w:rsid w:val="0084584A"/>
    <w:rsid w:val="00845BEE"/>
    <w:rsid w:val="00845CA1"/>
    <w:rsid w:val="00845CB8"/>
    <w:rsid w:val="00845CFB"/>
    <w:rsid w:val="00845EF1"/>
    <w:rsid w:val="00845EFA"/>
    <w:rsid w:val="0084617F"/>
    <w:rsid w:val="008461F6"/>
    <w:rsid w:val="00846293"/>
    <w:rsid w:val="0084648A"/>
    <w:rsid w:val="0084658A"/>
    <w:rsid w:val="008465AD"/>
    <w:rsid w:val="008465CD"/>
    <w:rsid w:val="0084672E"/>
    <w:rsid w:val="00846BB9"/>
    <w:rsid w:val="00846D63"/>
    <w:rsid w:val="00846E4E"/>
    <w:rsid w:val="00846F1F"/>
    <w:rsid w:val="00846F74"/>
    <w:rsid w:val="00847244"/>
    <w:rsid w:val="0084735A"/>
    <w:rsid w:val="00847489"/>
    <w:rsid w:val="00847BE1"/>
    <w:rsid w:val="00847C70"/>
    <w:rsid w:val="00850045"/>
    <w:rsid w:val="00850091"/>
    <w:rsid w:val="008501EA"/>
    <w:rsid w:val="00850261"/>
    <w:rsid w:val="008504C8"/>
    <w:rsid w:val="008506ED"/>
    <w:rsid w:val="00850771"/>
    <w:rsid w:val="0085077E"/>
    <w:rsid w:val="008508A1"/>
    <w:rsid w:val="00850D53"/>
    <w:rsid w:val="00850F6D"/>
    <w:rsid w:val="008510D0"/>
    <w:rsid w:val="00851316"/>
    <w:rsid w:val="0085138A"/>
    <w:rsid w:val="00851758"/>
    <w:rsid w:val="0085180D"/>
    <w:rsid w:val="00851BF5"/>
    <w:rsid w:val="00851BF7"/>
    <w:rsid w:val="00851DE6"/>
    <w:rsid w:val="00851EC7"/>
    <w:rsid w:val="00851F70"/>
    <w:rsid w:val="0085231E"/>
    <w:rsid w:val="00852358"/>
    <w:rsid w:val="008523C4"/>
    <w:rsid w:val="0085256C"/>
    <w:rsid w:val="00852610"/>
    <w:rsid w:val="00852B38"/>
    <w:rsid w:val="00852BB1"/>
    <w:rsid w:val="00852FBD"/>
    <w:rsid w:val="008530CB"/>
    <w:rsid w:val="008530E7"/>
    <w:rsid w:val="0085314F"/>
    <w:rsid w:val="008531D1"/>
    <w:rsid w:val="00853463"/>
    <w:rsid w:val="00853707"/>
    <w:rsid w:val="008537E4"/>
    <w:rsid w:val="0085384B"/>
    <w:rsid w:val="0085387C"/>
    <w:rsid w:val="008538FA"/>
    <w:rsid w:val="00853A07"/>
    <w:rsid w:val="00854395"/>
    <w:rsid w:val="00854488"/>
    <w:rsid w:val="008547E7"/>
    <w:rsid w:val="00854A1A"/>
    <w:rsid w:val="00854A75"/>
    <w:rsid w:val="00854DD8"/>
    <w:rsid w:val="00854E27"/>
    <w:rsid w:val="00854E47"/>
    <w:rsid w:val="00854EF3"/>
    <w:rsid w:val="00854F38"/>
    <w:rsid w:val="00854FFD"/>
    <w:rsid w:val="0085500D"/>
    <w:rsid w:val="00855025"/>
    <w:rsid w:val="008552D8"/>
    <w:rsid w:val="008553C0"/>
    <w:rsid w:val="0085546F"/>
    <w:rsid w:val="0085588C"/>
    <w:rsid w:val="00855A43"/>
    <w:rsid w:val="00855A68"/>
    <w:rsid w:val="00855C64"/>
    <w:rsid w:val="00855E16"/>
    <w:rsid w:val="00856188"/>
    <w:rsid w:val="008564C1"/>
    <w:rsid w:val="00856592"/>
    <w:rsid w:val="00856684"/>
    <w:rsid w:val="008567DC"/>
    <w:rsid w:val="0085684A"/>
    <w:rsid w:val="0085696C"/>
    <w:rsid w:val="00856976"/>
    <w:rsid w:val="0085709B"/>
    <w:rsid w:val="00857228"/>
    <w:rsid w:val="0085733E"/>
    <w:rsid w:val="008573CA"/>
    <w:rsid w:val="00857508"/>
    <w:rsid w:val="008579AD"/>
    <w:rsid w:val="00857A63"/>
    <w:rsid w:val="00857A65"/>
    <w:rsid w:val="00857B5F"/>
    <w:rsid w:val="00857BD3"/>
    <w:rsid w:val="00857CE4"/>
    <w:rsid w:val="00857DB2"/>
    <w:rsid w:val="00857E32"/>
    <w:rsid w:val="00857EE2"/>
    <w:rsid w:val="0086040A"/>
    <w:rsid w:val="008604FB"/>
    <w:rsid w:val="00860569"/>
    <w:rsid w:val="008608AC"/>
    <w:rsid w:val="00860AAD"/>
    <w:rsid w:val="00860AFF"/>
    <w:rsid w:val="00860E1C"/>
    <w:rsid w:val="00861301"/>
    <w:rsid w:val="008613F8"/>
    <w:rsid w:val="00861838"/>
    <w:rsid w:val="00861899"/>
    <w:rsid w:val="00861D82"/>
    <w:rsid w:val="00861D91"/>
    <w:rsid w:val="00861E97"/>
    <w:rsid w:val="0086241F"/>
    <w:rsid w:val="00862567"/>
    <w:rsid w:val="0086266B"/>
    <w:rsid w:val="008626DC"/>
    <w:rsid w:val="00862786"/>
    <w:rsid w:val="00862DF5"/>
    <w:rsid w:val="0086315D"/>
    <w:rsid w:val="00863AB7"/>
    <w:rsid w:val="00863E48"/>
    <w:rsid w:val="00864119"/>
    <w:rsid w:val="0086424B"/>
    <w:rsid w:val="00864481"/>
    <w:rsid w:val="008646F2"/>
    <w:rsid w:val="0086473D"/>
    <w:rsid w:val="00864780"/>
    <w:rsid w:val="00864901"/>
    <w:rsid w:val="00864B29"/>
    <w:rsid w:val="00864B53"/>
    <w:rsid w:val="00864DE4"/>
    <w:rsid w:val="00864E0C"/>
    <w:rsid w:val="00864E5B"/>
    <w:rsid w:val="008650E3"/>
    <w:rsid w:val="008651EF"/>
    <w:rsid w:val="0086576A"/>
    <w:rsid w:val="00865B3B"/>
    <w:rsid w:val="00865C07"/>
    <w:rsid w:val="00865C55"/>
    <w:rsid w:val="00865DE4"/>
    <w:rsid w:val="00865F38"/>
    <w:rsid w:val="0086600F"/>
    <w:rsid w:val="00866050"/>
    <w:rsid w:val="00866301"/>
    <w:rsid w:val="008664B4"/>
    <w:rsid w:val="00866567"/>
    <w:rsid w:val="00866585"/>
    <w:rsid w:val="008666C1"/>
    <w:rsid w:val="00866D7B"/>
    <w:rsid w:val="00866D93"/>
    <w:rsid w:val="00866E62"/>
    <w:rsid w:val="00866EC9"/>
    <w:rsid w:val="008673B7"/>
    <w:rsid w:val="008673FF"/>
    <w:rsid w:val="00867635"/>
    <w:rsid w:val="008678DF"/>
    <w:rsid w:val="00867A9A"/>
    <w:rsid w:val="00867BD5"/>
    <w:rsid w:val="00867C68"/>
    <w:rsid w:val="00867EE8"/>
    <w:rsid w:val="00867F0B"/>
    <w:rsid w:val="008700EF"/>
    <w:rsid w:val="008702B4"/>
    <w:rsid w:val="008705D2"/>
    <w:rsid w:val="008706A3"/>
    <w:rsid w:val="00870A01"/>
    <w:rsid w:val="00870A91"/>
    <w:rsid w:val="00870DFF"/>
    <w:rsid w:val="00871107"/>
    <w:rsid w:val="00871185"/>
    <w:rsid w:val="008712FB"/>
    <w:rsid w:val="008713B8"/>
    <w:rsid w:val="0087148C"/>
    <w:rsid w:val="00871CA1"/>
    <w:rsid w:val="00871CB9"/>
    <w:rsid w:val="00871DE6"/>
    <w:rsid w:val="00871ECC"/>
    <w:rsid w:val="00872104"/>
    <w:rsid w:val="0087231B"/>
    <w:rsid w:val="008723EB"/>
    <w:rsid w:val="008727F1"/>
    <w:rsid w:val="00872862"/>
    <w:rsid w:val="00872A13"/>
    <w:rsid w:val="00872DA6"/>
    <w:rsid w:val="00872DFD"/>
    <w:rsid w:val="00872E98"/>
    <w:rsid w:val="00872EEC"/>
    <w:rsid w:val="00873098"/>
    <w:rsid w:val="00873308"/>
    <w:rsid w:val="0087333D"/>
    <w:rsid w:val="0087340D"/>
    <w:rsid w:val="0087357D"/>
    <w:rsid w:val="0087366F"/>
    <w:rsid w:val="00873720"/>
    <w:rsid w:val="008738EE"/>
    <w:rsid w:val="00873B3D"/>
    <w:rsid w:val="00873B7E"/>
    <w:rsid w:val="00873D92"/>
    <w:rsid w:val="00873E77"/>
    <w:rsid w:val="00873FA8"/>
    <w:rsid w:val="00874146"/>
    <w:rsid w:val="00874226"/>
    <w:rsid w:val="0087429D"/>
    <w:rsid w:val="00874372"/>
    <w:rsid w:val="00874818"/>
    <w:rsid w:val="00874829"/>
    <w:rsid w:val="00874855"/>
    <w:rsid w:val="008749E9"/>
    <w:rsid w:val="00874A18"/>
    <w:rsid w:val="00874E79"/>
    <w:rsid w:val="00874EBC"/>
    <w:rsid w:val="00874FF4"/>
    <w:rsid w:val="008752B8"/>
    <w:rsid w:val="0087536B"/>
    <w:rsid w:val="0087539F"/>
    <w:rsid w:val="008756A6"/>
    <w:rsid w:val="0087570F"/>
    <w:rsid w:val="00875843"/>
    <w:rsid w:val="00875C90"/>
    <w:rsid w:val="00875D60"/>
    <w:rsid w:val="00875DB9"/>
    <w:rsid w:val="00876052"/>
    <w:rsid w:val="0087622B"/>
    <w:rsid w:val="00876236"/>
    <w:rsid w:val="00876478"/>
    <w:rsid w:val="00876716"/>
    <w:rsid w:val="0087679A"/>
    <w:rsid w:val="008767ED"/>
    <w:rsid w:val="0087685B"/>
    <w:rsid w:val="00876A85"/>
    <w:rsid w:val="00876E98"/>
    <w:rsid w:val="008773D9"/>
    <w:rsid w:val="00877900"/>
    <w:rsid w:val="0087793D"/>
    <w:rsid w:val="008779BF"/>
    <w:rsid w:val="008800B5"/>
    <w:rsid w:val="008801D7"/>
    <w:rsid w:val="008801DB"/>
    <w:rsid w:val="008803D0"/>
    <w:rsid w:val="00880466"/>
    <w:rsid w:val="008804C7"/>
    <w:rsid w:val="008805E6"/>
    <w:rsid w:val="00880714"/>
    <w:rsid w:val="008809B4"/>
    <w:rsid w:val="00880A1D"/>
    <w:rsid w:val="00880BE4"/>
    <w:rsid w:val="00880D14"/>
    <w:rsid w:val="00880E0B"/>
    <w:rsid w:val="00880E7D"/>
    <w:rsid w:val="008812C4"/>
    <w:rsid w:val="0088163D"/>
    <w:rsid w:val="008816C1"/>
    <w:rsid w:val="008817E9"/>
    <w:rsid w:val="00881FA3"/>
    <w:rsid w:val="00882052"/>
    <w:rsid w:val="0088205E"/>
    <w:rsid w:val="00882065"/>
    <w:rsid w:val="0088215E"/>
    <w:rsid w:val="0088255B"/>
    <w:rsid w:val="00882686"/>
    <w:rsid w:val="00882881"/>
    <w:rsid w:val="00882997"/>
    <w:rsid w:val="008829AE"/>
    <w:rsid w:val="00883311"/>
    <w:rsid w:val="0088337A"/>
    <w:rsid w:val="008833D5"/>
    <w:rsid w:val="008835D9"/>
    <w:rsid w:val="008838AB"/>
    <w:rsid w:val="00883A02"/>
    <w:rsid w:val="00883CA4"/>
    <w:rsid w:val="0088404D"/>
    <w:rsid w:val="008840FA"/>
    <w:rsid w:val="008842CA"/>
    <w:rsid w:val="008847B9"/>
    <w:rsid w:val="00884800"/>
    <w:rsid w:val="008848D1"/>
    <w:rsid w:val="00884C51"/>
    <w:rsid w:val="00884DDF"/>
    <w:rsid w:val="00884E85"/>
    <w:rsid w:val="00884F22"/>
    <w:rsid w:val="0088548F"/>
    <w:rsid w:val="0088573F"/>
    <w:rsid w:val="00885889"/>
    <w:rsid w:val="008858C6"/>
    <w:rsid w:val="0088597B"/>
    <w:rsid w:val="00885ADF"/>
    <w:rsid w:val="00885B07"/>
    <w:rsid w:val="00885B2C"/>
    <w:rsid w:val="00885C83"/>
    <w:rsid w:val="00885D05"/>
    <w:rsid w:val="00885E5A"/>
    <w:rsid w:val="00885E69"/>
    <w:rsid w:val="00886110"/>
    <w:rsid w:val="008865C3"/>
    <w:rsid w:val="0088678C"/>
    <w:rsid w:val="0088685A"/>
    <w:rsid w:val="00886988"/>
    <w:rsid w:val="00886A56"/>
    <w:rsid w:val="00886D88"/>
    <w:rsid w:val="00886F9F"/>
    <w:rsid w:val="0088729B"/>
    <w:rsid w:val="008872BE"/>
    <w:rsid w:val="008876D1"/>
    <w:rsid w:val="00887726"/>
    <w:rsid w:val="008879D6"/>
    <w:rsid w:val="00887BC7"/>
    <w:rsid w:val="00887C83"/>
    <w:rsid w:val="008902D7"/>
    <w:rsid w:val="008902DD"/>
    <w:rsid w:val="00890329"/>
    <w:rsid w:val="008903B6"/>
    <w:rsid w:val="0089069C"/>
    <w:rsid w:val="00890817"/>
    <w:rsid w:val="00890AC3"/>
    <w:rsid w:val="00890C34"/>
    <w:rsid w:val="00890D21"/>
    <w:rsid w:val="00890EA0"/>
    <w:rsid w:val="00890EC3"/>
    <w:rsid w:val="00890F4F"/>
    <w:rsid w:val="00890FDD"/>
    <w:rsid w:val="00891055"/>
    <w:rsid w:val="0089157A"/>
    <w:rsid w:val="0089168A"/>
    <w:rsid w:val="00891735"/>
    <w:rsid w:val="00891879"/>
    <w:rsid w:val="008918B0"/>
    <w:rsid w:val="00891BE6"/>
    <w:rsid w:val="00891D72"/>
    <w:rsid w:val="00891F22"/>
    <w:rsid w:val="00891FCD"/>
    <w:rsid w:val="00892016"/>
    <w:rsid w:val="008921AC"/>
    <w:rsid w:val="008922B1"/>
    <w:rsid w:val="00892321"/>
    <w:rsid w:val="00892423"/>
    <w:rsid w:val="00892489"/>
    <w:rsid w:val="0089266A"/>
    <w:rsid w:val="0089273B"/>
    <w:rsid w:val="0089303D"/>
    <w:rsid w:val="0089348C"/>
    <w:rsid w:val="0089349D"/>
    <w:rsid w:val="00893631"/>
    <w:rsid w:val="0089368B"/>
    <w:rsid w:val="008936D0"/>
    <w:rsid w:val="0089379C"/>
    <w:rsid w:val="00893833"/>
    <w:rsid w:val="00893876"/>
    <w:rsid w:val="008938F4"/>
    <w:rsid w:val="00893C16"/>
    <w:rsid w:val="00893DCC"/>
    <w:rsid w:val="00893E93"/>
    <w:rsid w:val="00893FED"/>
    <w:rsid w:val="008940DC"/>
    <w:rsid w:val="0089414A"/>
    <w:rsid w:val="00894250"/>
    <w:rsid w:val="008943C9"/>
    <w:rsid w:val="008943E0"/>
    <w:rsid w:val="008945A6"/>
    <w:rsid w:val="00894686"/>
    <w:rsid w:val="008947BE"/>
    <w:rsid w:val="00894E59"/>
    <w:rsid w:val="00895294"/>
    <w:rsid w:val="0089539D"/>
    <w:rsid w:val="008953B5"/>
    <w:rsid w:val="0089559F"/>
    <w:rsid w:val="00895705"/>
    <w:rsid w:val="00895BDC"/>
    <w:rsid w:val="00895DA1"/>
    <w:rsid w:val="00895F11"/>
    <w:rsid w:val="008961D9"/>
    <w:rsid w:val="00896346"/>
    <w:rsid w:val="0089636C"/>
    <w:rsid w:val="008963E6"/>
    <w:rsid w:val="0089642F"/>
    <w:rsid w:val="00896621"/>
    <w:rsid w:val="00896691"/>
    <w:rsid w:val="00896727"/>
    <w:rsid w:val="0089680B"/>
    <w:rsid w:val="00896E74"/>
    <w:rsid w:val="00896FFA"/>
    <w:rsid w:val="00897094"/>
    <w:rsid w:val="008970F9"/>
    <w:rsid w:val="00897383"/>
    <w:rsid w:val="00897AE7"/>
    <w:rsid w:val="00897E3D"/>
    <w:rsid w:val="00897FDF"/>
    <w:rsid w:val="008A001E"/>
    <w:rsid w:val="008A0458"/>
    <w:rsid w:val="008A0527"/>
    <w:rsid w:val="008A0544"/>
    <w:rsid w:val="008A0667"/>
    <w:rsid w:val="008A08A1"/>
    <w:rsid w:val="008A096B"/>
    <w:rsid w:val="008A0C04"/>
    <w:rsid w:val="008A0F28"/>
    <w:rsid w:val="008A101F"/>
    <w:rsid w:val="008A1027"/>
    <w:rsid w:val="008A1227"/>
    <w:rsid w:val="008A1329"/>
    <w:rsid w:val="008A13F1"/>
    <w:rsid w:val="008A15A4"/>
    <w:rsid w:val="008A1756"/>
    <w:rsid w:val="008A1949"/>
    <w:rsid w:val="008A2311"/>
    <w:rsid w:val="008A248A"/>
    <w:rsid w:val="008A2542"/>
    <w:rsid w:val="008A27CE"/>
    <w:rsid w:val="008A2908"/>
    <w:rsid w:val="008A2FE0"/>
    <w:rsid w:val="008A2FE4"/>
    <w:rsid w:val="008A3195"/>
    <w:rsid w:val="008A321C"/>
    <w:rsid w:val="008A37D0"/>
    <w:rsid w:val="008A398F"/>
    <w:rsid w:val="008A3B28"/>
    <w:rsid w:val="008A3D2F"/>
    <w:rsid w:val="008A3E73"/>
    <w:rsid w:val="008A4155"/>
    <w:rsid w:val="008A431E"/>
    <w:rsid w:val="008A4A31"/>
    <w:rsid w:val="008A4BFF"/>
    <w:rsid w:val="008A4C3E"/>
    <w:rsid w:val="008A4DF6"/>
    <w:rsid w:val="008A52CA"/>
    <w:rsid w:val="008A54ED"/>
    <w:rsid w:val="008A595A"/>
    <w:rsid w:val="008A596E"/>
    <w:rsid w:val="008A5C32"/>
    <w:rsid w:val="008A5D26"/>
    <w:rsid w:val="008A5F85"/>
    <w:rsid w:val="008A682F"/>
    <w:rsid w:val="008A69A6"/>
    <w:rsid w:val="008A6A62"/>
    <w:rsid w:val="008A6DB3"/>
    <w:rsid w:val="008A6E76"/>
    <w:rsid w:val="008A6EAA"/>
    <w:rsid w:val="008A6FAD"/>
    <w:rsid w:val="008A7060"/>
    <w:rsid w:val="008A7898"/>
    <w:rsid w:val="008A7C6A"/>
    <w:rsid w:val="008A7D97"/>
    <w:rsid w:val="008A7E29"/>
    <w:rsid w:val="008A7F6A"/>
    <w:rsid w:val="008A7F96"/>
    <w:rsid w:val="008B023D"/>
    <w:rsid w:val="008B03BB"/>
    <w:rsid w:val="008B0435"/>
    <w:rsid w:val="008B0448"/>
    <w:rsid w:val="008B057D"/>
    <w:rsid w:val="008B0687"/>
    <w:rsid w:val="008B0AF8"/>
    <w:rsid w:val="008B0CB0"/>
    <w:rsid w:val="008B0FD4"/>
    <w:rsid w:val="008B11AF"/>
    <w:rsid w:val="008B11BA"/>
    <w:rsid w:val="008B135F"/>
    <w:rsid w:val="008B13A6"/>
    <w:rsid w:val="008B13C8"/>
    <w:rsid w:val="008B14D9"/>
    <w:rsid w:val="008B1599"/>
    <w:rsid w:val="008B1DF0"/>
    <w:rsid w:val="008B1EB4"/>
    <w:rsid w:val="008B205A"/>
    <w:rsid w:val="008B2425"/>
    <w:rsid w:val="008B2983"/>
    <w:rsid w:val="008B2AC5"/>
    <w:rsid w:val="008B2B05"/>
    <w:rsid w:val="008B2D8F"/>
    <w:rsid w:val="008B2F02"/>
    <w:rsid w:val="008B2FE5"/>
    <w:rsid w:val="008B30CB"/>
    <w:rsid w:val="008B3576"/>
    <w:rsid w:val="008B36B0"/>
    <w:rsid w:val="008B37B8"/>
    <w:rsid w:val="008B42BE"/>
    <w:rsid w:val="008B47CC"/>
    <w:rsid w:val="008B4D72"/>
    <w:rsid w:val="008B5093"/>
    <w:rsid w:val="008B520E"/>
    <w:rsid w:val="008B525E"/>
    <w:rsid w:val="008B5454"/>
    <w:rsid w:val="008B54BF"/>
    <w:rsid w:val="008B5548"/>
    <w:rsid w:val="008B56B6"/>
    <w:rsid w:val="008B5857"/>
    <w:rsid w:val="008B58FE"/>
    <w:rsid w:val="008B5BBC"/>
    <w:rsid w:val="008B5C22"/>
    <w:rsid w:val="008B5D9A"/>
    <w:rsid w:val="008B5FD1"/>
    <w:rsid w:val="008B6064"/>
    <w:rsid w:val="008B62D2"/>
    <w:rsid w:val="008B694A"/>
    <w:rsid w:val="008B6A3F"/>
    <w:rsid w:val="008B6AFB"/>
    <w:rsid w:val="008B6F05"/>
    <w:rsid w:val="008B6F74"/>
    <w:rsid w:val="008B71D2"/>
    <w:rsid w:val="008B73D1"/>
    <w:rsid w:val="008B740A"/>
    <w:rsid w:val="008B77DC"/>
    <w:rsid w:val="008B79A5"/>
    <w:rsid w:val="008B7B0E"/>
    <w:rsid w:val="008C0031"/>
    <w:rsid w:val="008C01CE"/>
    <w:rsid w:val="008C03F9"/>
    <w:rsid w:val="008C064D"/>
    <w:rsid w:val="008C08C2"/>
    <w:rsid w:val="008C0914"/>
    <w:rsid w:val="008C0A03"/>
    <w:rsid w:val="008C0A96"/>
    <w:rsid w:val="008C0A9A"/>
    <w:rsid w:val="008C0B4A"/>
    <w:rsid w:val="008C0BCC"/>
    <w:rsid w:val="008C0D2F"/>
    <w:rsid w:val="008C0D9B"/>
    <w:rsid w:val="008C0F05"/>
    <w:rsid w:val="008C0F94"/>
    <w:rsid w:val="008C1553"/>
    <w:rsid w:val="008C166B"/>
    <w:rsid w:val="008C1AAC"/>
    <w:rsid w:val="008C1C11"/>
    <w:rsid w:val="008C1DD7"/>
    <w:rsid w:val="008C243E"/>
    <w:rsid w:val="008C27F0"/>
    <w:rsid w:val="008C29DA"/>
    <w:rsid w:val="008C2B55"/>
    <w:rsid w:val="008C2B6B"/>
    <w:rsid w:val="008C2D12"/>
    <w:rsid w:val="008C2E31"/>
    <w:rsid w:val="008C2E34"/>
    <w:rsid w:val="008C2ED5"/>
    <w:rsid w:val="008C3256"/>
    <w:rsid w:val="008C381F"/>
    <w:rsid w:val="008C3AF6"/>
    <w:rsid w:val="008C3E28"/>
    <w:rsid w:val="008C4011"/>
    <w:rsid w:val="008C4509"/>
    <w:rsid w:val="008C45A7"/>
    <w:rsid w:val="008C4787"/>
    <w:rsid w:val="008C4BEA"/>
    <w:rsid w:val="008C4CB6"/>
    <w:rsid w:val="008C4D00"/>
    <w:rsid w:val="008C4D93"/>
    <w:rsid w:val="008C50A8"/>
    <w:rsid w:val="008C522E"/>
    <w:rsid w:val="008C532C"/>
    <w:rsid w:val="008C5349"/>
    <w:rsid w:val="008C5769"/>
    <w:rsid w:val="008C5922"/>
    <w:rsid w:val="008C59EA"/>
    <w:rsid w:val="008C5AE2"/>
    <w:rsid w:val="008C5B0E"/>
    <w:rsid w:val="008C5F5B"/>
    <w:rsid w:val="008C6213"/>
    <w:rsid w:val="008C68C9"/>
    <w:rsid w:val="008C6946"/>
    <w:rsid w:val="008C6AFD"/>
    <w:rsid w:val="008C6B17"/>
    <w:rsid w:val="008C6BF0"/>
    <w:rsid w:val="008C6CFD"/>
    <w:rsid w:val="008C6DDC"/>
    <w:rsid w:val="008C6F5E"/>
    <w:rsid w:val="008C6F69"/>
    <w:rsid w:val="008C70CA"/>
    <w:rsid w:val="008C710A"/>
    <w:rsid w:val="008C71E9"/>
    <w:rsid w:val="008C727A"/>
    <w:rsid w:val="008C747C"/>
    <w:rsid w:val="008C7481"/>
    <w:rsid w:val="008C74ED"/>
    <w:rsid w:val="008C74FB"/>
    <w:rsid w:val="008C759B"/>
    <w:rsid w:val="008C7697"/>
    <w:rsid w:val="008C79EF"/>
    <w:rsid w:val="008C7BFD"/>
    <w:rsid w:val="008C7C91"/>
    <w:rsid w:val="008C7E3E"/>
    <w:rsid w:val="008D00C3"/>
    <w:rsid w:val="008D00CD"/>
    <w:rsid w:val="008D02C5"/>
    <w:rsid w:val="008D036A"/>
    <w:rsid w:val="008D03C8"/>
    <w:rsid w:val="008D04B5"/>
    <w:rsid w:val="008D0632"/>
    <w:rsid w:val="008D066D"/>
    <w:rsid w:val="008D0792"/>
    <w:rsid w:val="008D07A9"/>
    <w:rsid w:val="008D07C8"/>
    <w:rsid w:val="008D082C"/>
    <w:rsid w:val="008D096C"/>
    <w:rsid w:val="008D09CE"/>
    <w:rsid w:val="008D0AFB"/>
    <w:rsid w:val="008D0CD3"/>
    <w:rsid w:val="008D0ED7"/>
    <w:rsid w:val="008D0EF1"/>
    <w:rsid w:val="008D0FDE"/>
    <w:rsid w:val="008D11FE"/>
    <w:rsid w:val="008D1298"/>
    <w:rsid w:val="008D1564"/>
    <w:rsid w:val="008D1594"/>
    <w:rsid w:val="008D17D1"/>
    <w:rsid w:val="008D1844"/>
    <w:rsid w:val="008D1952"/>
    <w:rsid w:val="008D19AC"/>
    <w:rsid w:val="008D19DE"/>
    <w:rsid w:val="008D19EB"/>
    <w:rsid w:val="008D1A6D"/>
    <w:rsid w:val="008D1AD3"/>
    <w:rsid w:val="008D1B13"/>
    <w:rsid w:val="008D1BA8"/>
    <w:rsid w:val="008D1EC1"/>
    <w:rsid w:val="008D20FB"/>
    <w:rsid w:val="008D22ED"/>
    <w:rsid w:val="008D2650"/>
    <w:rsid w:val="008D27B1"/>
    <w:rsid w:val="008D2A46"/>
    <w:rsid w:val="008D2B23"/>
    <w:rsid w:val="008D2B85"/>
    <w:rsid w:val="008D2CB5"/>
    <w:rsid w:val="008D2EEC"/>
    <w:rsid w:val="008D2F23"/>
    <w:rsid w:val="008D2F78"/>
    <w:rsid w:val="008D32AF"/>
    <w:rsid w:val="008D362D"/>
    <w:rsid w:val="008D371D"/>
    <w:rsid w:val="008D3A25"/>
    <w:rsid w:val="008D3F07"/>
    <w:rsid w:val="008D40BB"/>
    <w:rsid w:val="008D4118"/>
    <w:rsid w:val="008D44EA"/>
    <w:rsid w:val="008D458F"/>
    <w:rsid w:val="008D4923"/>
    <w:rsid w:val="008D576C"/>
    <w:rsid w:val="008D579B"/>
    <w:rsid w:val="008D57D4"/>
    <w:rsid w:val="008D58F1"/>
    <w:rsid w:val="008D5FD2"/>
    <w:rsid w:val="008D60E4"/>
    <w:rsid w:val="008D63A0"/>
    <w:rsid w:val="008D6735"/>
    <w:rsid w:val="008D67C1"/>
    <w:rsid w:val="008D67C4"/>
    <w:rsid w:val="008D68BC"/>
    <w:rsid w:val="008D6975"/>
    <w:rsid w:val="008D6B70"/>
    <w:rsid w:val="008D6D1C"/>
    <w:rsid w:val="008D6DC6"/>
    <w:rsid w:val="008D6F94"/>
    <w:rsid w:val="008D722E"/>
    <w:rsid w:val="008D7534"/>
    <w:rsid w:val="008D7593"/>
    <w:rsid w:val="008D75ED"/>
    <w:rsid w:val="008D77F2"/>
    <w:rsid w:val="008D7966"/>
    <w:rsid w:val="008D7C17"/>
    <w:rsid w:val="008D7E41"/>
    <w:rsid w:val="008D7F61"/>
    <w:rsid w:val="008D7FAC"/>
    <w:rsid w:val="008E0050"/>
    <w:rsid w:val="008E0097"/>
    <w:rsid w:val="008E0381"/>
    <w:rsid w:val="008E051F"/>
    <w:rsid w:val="008E05EB"/>
    <w:rsid w:val="008E0889"/>
    <w:rsid w:val="008E0B90"/>
    <w:rsid w:val="008E0C5E"/>
    <w:rsid w:val="008E0E53"/>
    <w:rsid w:val="008E1035"/>
    <w:rsid w:val="008E1050"/>
    <w:rsid w:val="008E1BA9"/>
    <w:rsid w:val="008E1C7A"/>
    <w:rsid w:val="008E1DA7"/>
    <w:rsid w:val="008E1EA8"/>
    <w:rsid w:val="008E2443"/>
    <w:rsid w:val="008E2830"/>
    <w:rsid w:val="008E2A2B"/>
    <w:rsid w:val="008E2DE1"/>
    <w:rsid w:val="008E2E1B"/>
    <w:rsid w:val="008E2E8B"/>
    <w:rsid w:val="008E2F61"/>
    <w:rsid w:val="008E3128"/>
    <w:rsid w:val="008E3418"/>
    <w:rsid w:val="008E359D"/>
    <w:rsid w:val="008E3A08"/>
    <w:rsid w:val="008E3E0A"/>
    <w:rsid w:val="008E4374"/>
    <w:rsid w:val="008E4A1B"/>
    <w:rsid w:val="008E4B74"/>
    <w:rsid w:val="008E4BC7"/>
    <w:rsid w:val="008E4FB6"/>
    <w:rsid w:val="008E5144"/>
    <w:rsid w:val="008E53A1"/>
    <w:rsid w:val="008E55E5"/>
    <w:rsid w:val="008E5693"/>
    <w:rsid w:val="008E5DAB"/>
    <w:rsid w:val="008E5E71"/>
    <w:rsid w:val="008E608B"/>
    <w:rsid w:val="008E60D3"/>
    <w:rsid w:val="008E64FE"/>
    <w:rsid w:val="008E6859"/>
    <w:rsid w:val="008E6A8D"/>
    <w:rsid w:val="008E6E52"/>
    <w:rsid w:val="008E70BE"/>
    <w:rsid w:val="008E7141"/>
    <w:rsid w:val="008E71A9"/>
    <w:rsid w:val="008E7C57"/>
    <w:rsid w:val="008E7E60"/>
    <w:rsid w:val="008E7EA6"/>
    <w:rsid w:val="008E7FA9"/>
    <w:rsid w:val="008F009D"/>
    <w:rsid w:val="008F0130"/>
    <w:rsid w:val="008F0389"/>
    <w:rsid w:val="008F0393"/>
    <w:rsid w:val="008F0472"/>
    <w:rsid w:val="008F0600"/>
    <w:rsid w:val="008F09ED"/>
    <w:rsid w:val="008F0CB0"/>
    <w:rsid w:val="008F1097"/>
    <w:rsid w:val="008F1177"/>
    <w:rsid w:val="008F1450"/>
    <w:rsid w:val="008F175A"/>
    <w:rsid w:val="008F1793"/>
    <w:rsid w:val="008F18F9"/>
    <w:rsid w:val="008F1A20"/>
    <w:rsid w:val="008F1A93"/>
    <w:rsid w:val="008F1D6A"/>
    <w:rsid w:val="008F1E1E"/>
    <w:rsid w:val="008F1FF9"/>
    <w:rsid w:val="008F20D0"/>
    <w:rsid w:val="008F221E"/>
    <w:rsid w:val="008F22B6"/>
    <w:rsid w:val="008F245B"/>
    <w:rsid w:val="008F250E"/>
    <w:rsid w:val="008F2824"/>
    <w:rsid w:val="008F2898"/>
    <w:rsid w:val="008F2B18"/>
    <w:rsid w:val="008F2B87"/>
    <w:rsid w:val="008F2C00"/>
    <w:rsid w:val="008F2CA6"/>
    <w:rsid w:val="008F2DA0"/>
    <w:rsid w:val="008F2ED5"/>
    <w:rsid w:val="008F2F46"/>
    <w:rsid w:val="008F2F50"/>
    <w:rsid w:val="008F2FD6"/>
    <w:rsid w:val="008F3471"/>
    <w:rsid w:val="008F3B04"/>
    <w:rsid w:val="008F3DA8"/>
    <w:rsid w:val="008F3E5F"/>
    <w:rsid w:val="008F3F07"/>
    <w:rsid w:val="008F42DE"/>
    <w:rsid w:val="008F4331"/>
    <w:rsid w:val="008F4390"/>
    <w:rsid w:val="008F4394"/>
    <w:rsid w:val="008F4396"/>
    <w:rsid w:val="008F43D0"/>
    <w:rsid w:val="008F462C"/>
    <w:rsid w:val="008F4A07"/>
    <w:rsid w:val="008F4C72"/>
    <w:rsid w:val="008F4E9C"/>
    <w:rsid w:val="008F4FC5"/>
    <w:rsid w:val="008F505B"/>
    <w:rsid w:val="008F5126"/>
    <w:rsid w:val="008F52F0"/>
    <w:rsid w:val="008F54E1"/>
    <w:rsid w:val="008F5D08"/>
    <w:rsid w:val="008F619B"/>
    <w:rsid w:val="008F63F1"/>
    <w:rsid w:val="008F64C7"/>
    <w:rsid w:val="008F6548"/>
    <w:rsid w:val="008F67A0"/>
    <w:rsid w:val="008F68B8"/>
    <w:rsid w:val="008F6A44"/>
    <w:rsid w:val="008F6A7F"/>
    <w:rsid w:val="008F6BC8"/>
    <w:rsid w:val="008F6CD7"/>
    <w:rsid w:val="008F6F0A"/>
    <w:rsid w:val="008F7041"/>
    <w:rsid w:val="008F714E"/>
    <w:rsid w:val="008F736B"/>
    <w:rsid w:val="008F73B8"/>
    <w:rsid w:val="008F76E6"/>
    <w:rsid w:val="008F7801"/>
    <w:rsid w:val="008F787B"/>
    <w:rsid w:val="008F79A5"/>
    <w:rsid w:val="008F79C1"/>
    <w:rsid w:val="008F7AF9"/>
    <w:rsid w:val="008F7D35"/>
    <w:rsid w:val="009000B5"/>
    <w:rsid w:val="00900198"/>
    <w:rsid w:val="009002F6"/>
    <w:rsid w:val="009004AB"/>
    <w:rsid w:val="009004FD"/>
    <w:rsid w:val="0090073D"/>
    <w:rsid w:val="00900923"/>
    <w:rsid w:val="00900A96"/>
    <w:rsid w:val="00900AD4"/>
    <w:rsid w:val="00900B59"/>
    <w:rsid w:val="00900CED"/>
    <w:rsid w:val="00900ECB"/>
    <w:rsid w:val="00900FB9"/>
    <w:rsid w:val="009010C2"/>
    <w:rsid w:val="00901138"/>
    <w:rsid w:val="00901200"/>
    <w:rsid w:val="009012AB"/>
    <w:rsid w:val="009013B1"/>
    <w:rsid w:val="009014D1"/>
    <w:rsid w:val="009015FA"/>
    <w:rsid w:val="00901702"/>
    <w:rsid w:val="00901714"/>
    <w:rsid w:val="00901725"/>
    <w:rsid w:val="00901952"/>
    <w:rsid w:val="009019DD"/>
    <w:rsid w:val="009019DE"/>
    <w:rsid w:val="00901AA5"/>
    <w:rsid w:val="00901CC8"/>
    <w:rsid w:val="00901E80"/>
    <w:rsid w:val="00901FAF"/>
    <w:rsid w:val="009020AC"/>
    <w:rsid w:val="0090218D"/>
    <w:rsid w:val="00902462"/>
    <w:rsid w:val="0090254E"/>
    <w:rsid w:val="009025BF"/>
    <w:rsid w:val="00902614"/>
    <w:rsid w:val="009028E0"/>
    <w:rsid w:val="00902A69"/>
    <w:rsid w:val="00902C35"/>
    <w:rsid w:val="00902D6D"/>
    <w:rsid w:val="00902F79"/>
    <w:rsid w:val="009033B9"/>
    <w:rsid w:val="009035F7"/>
    <w:rsid w:val="009036FE"/>
    <w:rsid w:val="00903DB3"/>
    <w:rsid w:val="00903ED0"/>
    <w:rsid w:val="00903ED6"/>
    <w:rsid w:val="009040A1"/>
    <w:rsid w:val="00904141"/>
    <w:rsid w:val="00904163"/>
    <w:rsid w:val="00904896"/>
    <w:rsid w:val="00904A4C"/>
    <w:rsid w:val="00904A93"/>
    <w:rsid w:val="00904BAA"/>
    <w:rsid w:val="00904C1A"/>
    <w:rsid w:val="00904CB1"/>
    <w:rsid w:val="00904E8C"/>
    <w:rsid w:val="0090523A"/>
    <w:rsid w:val="0090543A"/>
    <w:rsid w:val="00905462"/>
    <w:rsid w:val="009055C4"/>
    <w:rsid w:val="009056DF"/>
    <w:rsid w:val="00905ADC"/>
    <w:rsid w:val="00905B8D"/>
    <w:rsid w:val="0090622A"/>
    <w:rsid w:val="00906335"/>
    <w:rsid w:val="00906A36"/>
    <w:rsid w:val="00906CF6"/>
    <w:rsid w:val="00906E60"/>
    <w:rsid w:val="00906FB5"/>
    <w:rsid w:val="00906FD2"/>
    <w:rsid w:val="0090706D"/>
    <w:rsid w:val="00907168"/>
    <w:rsid w:val="009072BB"/>
    <w:rsid w:val="00907443"/>
    <w:rsid w:val="00907824"/>
    <w:rsid w:val="00907C08"/>
    <w:rsid w:val="00907CA1"/>
    <w:rsid w:val="00907FA4"/>
    <w:rsid w:val="009102FE"/>
    <w:rsid w:val="00910875"/>
    <w:rsid w:val="009109CA"/>
    <w:rsid w:val="00910B2B"/>
    <w:rsid w:val="00910B82"/>
    <w:rsid w:val="00910D1C"/>
    <w:rsid w:val="00911176"/>
    <w:rsid w:val="009111F4"/>
    <w:rsid w:val="009114BB"/>
    <w:rsid w:val="00911524"/>
    <w:rsid w:val="00911687"/>
    <w:rsid w:val="009119A8"/>
    <w:rsid w:val="00911ADC"/>
    <w:rsid w:val="00911D9F"/>
    <w:rsid w:val="009120C6"/>
    <w:rsid w:val="00912851"/>
    <w:rsid w:val="00912A21"/>
    <w:rsid w:val="00912AE4"/>
    <w:rsid w:val="00912C03"/>
    <w:rsid w:val="00912DA6"/>
    <w:rsid w:val="00912E0F"/>
    <w:rsid w:val="00912E6E"/>
    <w:rsid w:val="00912F2D"/>
    <w:rsid w:val="00913085"/>
    <w:rsid w:val="009130DC"/>
    <w:rsid w:val="00913107"/>
    <w:rsid w:val="00913370"/>
    <w:rsid w:val="009135E5"/>
    <w:rsid w:val="00913655"/>
    <w:rsid w:val="00913739"/>
    <w:rsid w:val="00913882"/>
    <w:rsid w:val="009139C8"/>
    <w:rsid w:val="00913B40"/>
    <w:rsid w:val="00913C93"/>
    <w:rsid w:val="00913DA2"/>
    <w:rsid w:val="00913DBA"/>
    <w:rsid w:val="00913E42"/>
    <w:rsid w:val="0091412A"/>
    <w:rsid w:val="0091414D"/>
    <w:rsid w:val="00914748"/>
    <w:rsid w:val="009148EA"/>
    <w:rsid w:val="00914A71"/>
    <w:rsid w:val="00914CFC"/>
    <w:rsid w:val="00914D3B"/>
    <w:rsid w:val="00914F9D"/>
    <w:rsid w:val="00915024"/>
    <w:rsid w:val="00915156"/>
    <w:rsid w:val="009152A3"/>
    <w:rsid w:val="00915332"/>
    <w:rsid w:val="0091559D"/>
    <w:rsid w:val="0091572E"/>
    <w:rsid w:val="009158C1"/>
    <w:rsid w:val="00915AD3"/>
    <w:rsid w:val="00915B41"/>
    <w:rsid w:val="00915D36"/>
    <w:rsid w:val="00915DAC"/>
    <w:rsid w:val="009160C7"/>
    <w:rsid w:val="00916139"/>
    <w:rsid w:val="00916184"/>
    <w:rsid w:val="009161FC"/>
    <w:rsid w:val="00916307"/>
    <w:rsid w:val="00916390"/>
    <w:rsid w:val="00916539"/>
    <w:rsid w:val="00916BE6"/>
    <w:rsid w:val="00916D24"/>
    <w:rsid w:val="00917123"/>
    <w:rsid w:val="009173CA"/>
    <w:rsid w:val="00917652"/>
    <w:rsid w:val="009176B6"/>
    <w:rsid w:val="0091779E"/>
    <w:rsid w:val="00917977"/>
    <w:rsid w:val="00917980"/>
    <w:rsid w:val="00917A39"/>
    <w:rsid w:val="00917AB8"/>
    <w:rsid w:val="00917E9A"/>
    <w:rsid w:val="009200DF"/>
    <w:rsid w:val="009203E6"/>
    <w:rsid w:val="009203FC"/>
    <w:rsid w:val="0092040A"/>
    <w:rsid w:val="00920417"/>
    <w:rsid w:val="009205A9"/>
    <w:rsid w:val="009206FA"/>
    <w:rsid w:val="009208EA"/>
    <w:rsid w:val="009209CF"/>
    <w:rsid w:val="00920BA0"/>
    <w:rsid w:val="00920BE9"/>
    <w:rsid w:val="00920FA0"/>
    <w:rsid w:val="00920FB5"/>
    <w:rsid w:val="0092119F"/>
    <w:rsid w:val="009211F5"/>
    <w:rsid w:val="009212ED"/>
    <w:rsid w:val="0092135F"/>
    <w:rsid w:val="0092154C"/>
    <w:rsid w:val="00921594"/>
    <w:rsid w:val="00921648"/>
    <w:rsid w:val="009216E6"/>
    <w:rsid w:val="0092170C"/>
    <w:rsid w:val="00922066"/>
    <w:rsid w:val="0092207D"/>
    <w:rsid w:val="0092219A"/>
    <w:rsid w:val="0092219D"/>
    <w:rsid w:val="009221E2"/>
    <w:rsid w:val="00922599"/>
    <w:rsid w:val="009226A7"/>
    <w:rsid w:val="009226B7"/>
    <w:rsid w:val="009227AE"/>
    <w:rsid w:val="009228D4"/>
    <w:rsid w:val="00922A74"/>
    <w:rsid w:val="00922BF2"/>
    <w:rsid w:val="00922E0B"/>
    <w:rsid w:val="00922E15"/>
    <w:rsid w:val="00922EE8"/>
    <w:rsid w:val="00922FD5"/>
    <w:rsid w:val="009230F2"/>
    <w:rsid w:val="0092313C"/>
    <w:rsid w:val="00923169"/>
    <w:rsid w:val="009231C6"/>
    <w:rsid w:val="009232E0"/>
    <w:rsid w:val="00923712"/>
    <w:rsid w:val="009239D9"/>
    <w:rsid w:val="00923CC7"/>
    <w:rsid w:val="0092414C"/>
    <w:rsid w:val="00924194"/>
    <w:rsid w:val="00924290"/>
    <w:rsid w:val="009245BD"/>
    <w:rsid w:val="0092462A"/>
    <w:rsid w:val="00924716"/>
    <w:rsid w:val="009247BB"/>
    <w:rsid w:val="00924A65"/>
    <w:rsid w:val="00924AE9"/>
    <w:rsid w:val="00924B26"/>
    <w:rsid w:val="00924C42"/>
    <w:rsid w:val="00924D28"/>
    <w:rsid w:val="00924F26"/>
    <w:rsid w:val="00924F7F"/>
    <w:rsid w:val="0092509F"/>
    <w:rsid w:val="009250B5"/>
    <w:rsid w:val="00925125"/>
    <w:rsid w:val="0092520A"/>
    <w:rsid w:val="009252C2"/>
    <w:rsid w:val="009256C3"/>
    <w:rsid w:val="009257FC"/>
    <w:rsid w:val="00925A9D"/>
    <w:rsid w:val="00925AFC"/>
    <w:rsid w:val="009261EA"/>
    <w:rsid w:val="0092654C"/>
    <w:rsid w:val="00926673"/>
    <w:rsid w:val="00926709"/>
    <w:rsid w:val="00926865"/>
    <w:rsid w:val="0092694D"/>
    <w:rsid w:val="00926B3C"/>
    <w:rsid w:val="00926B52"/>
    <w:rsid w:val="00926C4D"/>
    <w:rsid w:val="00926D0B"/>
    <w:rsid w:val="00926E74"/>
    <w:rsid w:val="00926F94"/>
    <w:rsid w:val="0092728F"/>
    <w:rsid w:val="009272FB"/>
    <w:rsid w:val="009277A0"/>
    <w:rsid w:val="0092791C"/>
    <w:rsid w:val="00927B16"/>
    <w:rsid w:val="00927F30"/>
    <w:rsid w:val="00930008"/>
    <w:rsid w:val="009301D2"/>
    <w:rsid w:val="00930380"/>
    <w:rsid w:val="00930784"/>
    <w:rsid w:val="009307AA"/>
    <w:rsid w:val="009307E0"/>
    <w:rsid w:val="00930D0E"/>
    <w:rsid w:val="00930E5E"/>
    <w:rsid w:val="00930E85"/>
    <w:rsid w:val="00930E90"/>
    <w:rsid w:val="00931039"/>
    <w:rsid w:val="00931082"/>
    <w:rsid w:val="00931843"/>
    <w:rsid w:val="009319AD"/>
    <w:rsid w:val="00931B01"/>
    <w:rsid w:val="00931B20"/>
    <w:rsid w:val="00931B23"/>
    <w:rsid w:val="00931C35"/>
    <w:rsid w:val="00931DAD"/>
    <w:rsid w:val="00932638"/>
    <w:rsid w:val="00932B61"/>
    <w:rsid w:val="00932F46"/>
    <w:rsid w:val="009330B5"/>
    <w:rsid w:val="009330DA"/>
    <w:rsid w:val="00933195"/>
    <w:rsid w:val="00933305"/>
    <w:rsid w:val="009334E2"/>
    <w:rsid w:val="009334FE"/>
    <w:rsid w:val="009335D7"/>
    <w:rsid w:val="009337CE"/>
    <w:rsid w:val="00933991"/>
    <w:rsid w:val="009339B6"/>
    <w:rsid w:val="009339D7"/>
    <w:rsid w:val="00933A9E"/>
    <w:rsid w:val="00933C81"/>
    <w:rsid w:val="00933D0C"/>
    <w:rsid w:val="00933EFA"/>
    <w:rsid w:val="00934007"/>
    <w:rsid w:val="0093460A"/>
    <w:rsid w:val="009348FF"/>
    <w:rsid w:val="00934EE8"/>
    <w:rsid w:val="00934F0A"/>
    <w:rsid w:val="00935A5D"/>
    <w:rsid w:val="00935AC3"/>
    <w:rsid w:val="00935AF8"/>
    <w:rsid w:val="00935CBE"/>
    <w:rsid w:val="00935CC3"/>
    <w:rsid w:val="00935F1C"/>
    <w:rsid w:val="0093615C"/>
    <w:rsid w:val="00936329"/>
    <w:rsid w:val="00936595"/>
    <w:rsid w:val="0093685D"/>
    <w:rsid w:val="009369CE"/>
    <w:rsid w:val="00936ABF"/>
    <w:rsid w:val="00936AD3"/>
    <w:rsid w:val="00936CC3"/>
    <w:rsid w:val="00936D43"/>
    <w:rsid w:val="00936E7A"/>
    <w:rsid w:val="00936F48"/>
    <w:rsid w:val="00936FD1"/>
    <w:rsid w:val="0093708B"/>
    <w:rsid w:val="00937095"/>
    <w:rsid w:val="009372EF"/>
    <w:rsid w:val="009374C9"/>
    <w:rsid w:val="00937567"/>
    <w:rsid w:val="009376AC"/>
    <w:rsid w:val="009376E0"/>
    <w:rsid w:val="009377D7"/>
    <w:rsid w:val="009377FD"/>
    <w:rsid w:val="00937D46"/>
    <w:rsid w:val="00937F9E"/>
    <w:rsid w:val="009400D6"/>
    <w:rsid w:val="009400EB"/>
    <w:rsid w:val="009402DC"/>
    <w:rsid w:val="00940329"/>
    <w:rsid w:val="009403BC"/>
    <w:rsid w:val="0094069D"/>
    <w:rsid w:val="009406AC"/>
    <w:rsid w:val="009409C3"/>
    <w:rsid w:val="00940A13"/>
    <w:rsid w:val="00940AC6"/>
    <w:rsid w:val="00940C75"/>
    <w:rsid w:val="00940E9F"/>
    <w:rsid w:val="00940F8F"/>
    <w:rsid w:val="0094121B"/>
    <w:rsid w:val="009414B0"/>
    <w:rsid w:val="00941743"/>
    <w:rsid w:val="00941774"/>
    <w:rsid w:val="0094178D"/>
    <w:rsid w:val="009417C2"/>
    <w:rsid w:val="00941A00"/>
    <w:rsid w:val="00941A20"/>
    <w:rsid w:val="00941AA8"/>
    <w:rsid w:val="00941CBD"/>
    <w:rsid w:val="00941DB8"/>
    <w:rsid w:val="00941F6D"/>
    <w:rsid w:val="0094200D"/>
    <w:rsid w:val="009420D9"/>
    <w:rsid w:val="00942367"/>
    <w:rsid w:val="009424E7"/>
    <w:rsid w:val="0094253D"/>
    <w:rsid w:val="009425AE"/>
    <w:rsid w:val="0094275F"/>
    <w:rsid w:val="00942832"/>
    <w:rsid w:val="0094284C"/>
    <w:rsid w:val="009428CC"/>
    <w:rsid w:val="00942BA4"/>
    <w:rsid w:val="00942C51"/>
    <w:rsid w:val="00943035"/>
    <w:rsid w:val="0094311B"/>
    <w:rsid w:val="0094316C"/>
    <w:rsid w:val="00943185"/>
    <w:rsid w:val="009432F6"/>
    <w:rsid w:val="0094338B"/>
    <w:rsid w:val="009433F9"/>
    <w:rsid w:val="0094345A"/>
    <w:rsid w:val="009435AD"/>
    <w:rsid w:val="00943A0D"/>
    <w:rsid w:val="00943ACC"/>
    <w:rsid w:val="00943CD4"/>
    <w:rsid w:val="00943DA2"/>
    <w:rsid w:val="00943E4C"/>
    <w:rsid w:val="00943FA5"/>
    <w:rsid w:val="00944129"/>
    <w:rsid w:val="00944221"/>
    <w:rsid w:val="00944654"/>
    <w:rsid w:val="009448D4"/>
    <w:rsid w:val="00944E20"/>
    <w:rsid w:val="00944FA5"/>
    <w:rsid w:val="00944FFD"/>
    <w:rsid w:val="00945440"/>
    <w:rsid w:val="00945490"/>
    <w:rsid w:val="00945582"/>
    <w:rsid w:val="009456EB"/>
    <w:rsid w:val="0094578F"/>
    <w:rsid w:val="009458E1"/>
    <w:rsid w:val="00945B10"/>
    <w:rsid w:val="00945B6B"/>
    <w:rsid w:val="00945D8F"/>
    <w:rsid w:val="00945E5F"/>
    <w:rsid w:val="00945E96"/>
    <w:rsid w:val="00945EEF"/>
    <w:rsid w:val="00945FF2"/>
    <w:rsid w:val="00946031"/>
    <w:rsid w:val="0094621E"/>
    <w:rsid w:val="0094630C"/>
    <w:rsid w:val="009464CF"/>
    <w:rsid w:val="00946578"/>
    <w:rsid w:val="00946C46"/>
    <w:rsid w:val="00946E6B"/>
    <w:rsid w:val="00946FCD"/>
    <w:rsid w:val="009471C2"/>
    <w:rsid w:val="00947506"/>
    <w:rsid w:val="00947538"/>
    <w:rsid w:val="00947670"/>
    <w:rsid w:val="0094768E"/>
    <w:rsid w:val="00947A0A"/>
    <w:rsid w:val="00947A21"/>
    <w:rsid w:val="00947C54"/>
    <w:rsid w:val="00947D17"/>
    <w:rsid w:val="0095044C"/>
    <w:rsid w:val="009505A4"/>
    <w:rsid w:val="00950694"/>
    <w:rsid w:val="009507DD"/>
    <w:rsid w:val="00950EF5"/>
    <w:rsid w:val="009510B1"/>
    <w:rsid w:val="0095149F"/>
    <w:rsid w:val="009516EF"/>
    <w:rsid w:val="0095171F"/>
    <w:rsid w:val="00951919"/>
    <w:rsid w:val="00951B0A"/>
    <w:rsid w:val="00951BF7"/>
    <w:rsid w:val="00951C3D"/>
    <w:rsid w:val="00951CF1"/>
    <w:rsid w:val="00951F21"/>
    <w:rsid w:val="00951F97"/>
    <w:rsid w:val="00952135"/>
    <w:rsid w:val="009521E9"/>
    <w:rsid w:val="00952590"/>
    <w:rsid w:val="00952772"/>
    <w:rsid w:val="0095297E"/>
    <w:rsid w:val="00952ADB"/>
    <w:rsid w:val="00952BD9"/>
    <w:rsid w:val="00952E2F"/>
    <w:rsid w:val="00952EF1"/>
    <w:rsid w:val="00953420"/>
    <w:rsid w:val="0095354D"/>
    <w:rsid w:val="0095369E"/>
    <w:rsid w:val="00953879"/>
    <w:rsid w:val="009538D8"/>
    <w:rsid w:val="009538F3"/>
    <w:rsid w:val="009539F8"/>
    <w:rsid w:val="00953B79"/>
    <w:rsid w:val="0095417C"/>
    <w:rsid w:val="009541F6"/>
    <w:rsid w:val="009543D0"/>
    <w:rsid w:val="00954580"/>
    <w:rsid w:val="009545E5"/>
    <w:rsid w:val="0095497C"/>
    <w:rsid w:val="00954A65"/>
    <w:rsid w:val="00954A66"/>
    <w:rsid w:val="00954A8B"/>
    <w:rsid w:val="00954C15"/>
    <w:rsid w:val="00954C89"/>
    <w:rsid w:val="00954E4A"/>
    <w:rsid w:val="00955023"/>
    <w:rsid w:val="009550BC"/>
    <w:rsid w:val="009550FF"/>
    <w:rsid w:val="00955213"/>
    <w:rsid w:val="00955922"/>
    <w:rsid w:val="00955DBE"/>
    <w:rsid w:val="00955E36"/>
    <w:rsid w:val="00956066"/>
    <w:rsid w:val="00956176"/>
    <w:rsid w:val="00956349"/>
    <w:rsid w:val="0095636B"/>
    <w:rsid w:val="009564F1"/>
    <w:rsid w:val="00956846"/>
    <w:rsid w:val="009569D1"/>
    <w:rsid w:val="00956B5D"/>
    <w:rsid w:val="00956D71"/>
    <w:rsid w:val="009570D5"/>
    <w:rsid w:val="009573AE"/>
    <w:rsid w:val="009573B5"/>
    <w:rsid w:val="00957776"/>
    <w:rsid w:val="00957A71"/>
    <w:rsid w:val="00957B71"/>
    <w:rsid w:val="00957CB4"/>
    <w:rsid w:val="00957DD7"/>
    <w:rsid w:val="00957E5E"/>
    <w:rsid w:val="00957E82"/>
    <w:rsid w:val="0096057F"/>
    <w:rsid w:val="0096069F"/>
    <w:rsid w:val="00960916"/>
    <w:rsid w:val="009609C2"/>
    <w:rsid w:val="00960E5A"/>
    <w:rsid w:val="00960F39"/>
    <w:rsid w:val="00960F69"/>
    <w:rsid w:val="0096137A"/>
    <w:rsid w:val="00961405"/>
    <w:rsid w:val="0096155A"/>
    <w:rsid w:val="00961651"/>
    <w:rsid w:val="00961672"/>
    <w:rsid w:val="00961923"/>
    <w:rsid w:val="00961994"/>
    <w:rsid w:val="009619A1"/>
    <w:rsid w:val="00961B94"/>
    <w:rsid w:val="00961D0B"/>
    <w:rsid w:val="00961DCF"/>
    <w:rsid w:val="00961FBA"/>
    <w:rsid w:val="00961FBD"/>
    <w:rsid w:val="00961FE0"/>
    <w:rsid w:val="009620C5"/>
    <w:rsid w:val="00962132"/>
    <w:rsid w:val="00962148"/>
    <w:rsid w:val="0096216E"/>
    <w:rsid w:val="009621C5"/>
    <w:rsid w:val="009622B7"/>
    <w:rsid w:val="0096230A"/>
    <w:rsid w:val="0096249F"/>
    <w:rsid w:val="0096272B"/>
    <w:rsid w:val="00962839"/>
    <w:rsid w:val="009628B1"/>
    <w:rsid w:val="00962AFE"/>
    <w:rsid w:val="00962BD1"/>
    <w:rsid w:val="00962DB6"/>
    <w:rsid w:val="00962DE0"/>
    <w:rsid w:val="00962DF1"/>
    <w:rsid w:val="00962E3A"/>
    <w:rsid w:val="0096315F"/>
    <w:rsid w:val="009631FD"/>
    <w:rsid w:val="009632A3"/>
    <w:rsid w:val="00963440"/>
    <w:rsid w:val="0096366B"/>
    <w:rsid w:val="00963679"/>
    <w:rsid w:val="00963773"/>
    <w:rsid w:val="0096385A"/>
    <w:rsid w:val="00963A4C"/>
    <w:rsid w:val="00963E1C"/>
    <w:rsid w:val="00963EFF"/>
    <w:rsid w:val="0096424A"/>
    <w:rsid w:val="0096435E"/>
    <w:rsid w:val="009646B4"/>
    <w:rsid w:val="009648B6"/>
    <w:rsid w:val="00964C7D"/>
    <w:rsid w:val="00964C7E"/>
    <w:rsid w:val="00964D7F"/>
    <w:rsid w:val="00964DFC"/>
    <w:rsid w:val="00964F4E"/>
    <w:rsid w:val="00965B60"/>
    <w:rsid w:val="00965E4F"/>
    <w:rsid w:val="00966042"/>
    <w:rsid w:val="00966109"/>
    <w:rsid w:val="00966136"/>
    <w:rsid w:val="00966145"/>
    <w:rsid w:val="009663F1"/>
    <w:rsid w:val="009664A8"/>
    <w:rsid w:val="00966820"/>
    <w:rsid w:val="00966B26"/>
    <w:rsid w:val="00966B78"/>
    <w:rsid w:val="00966D27"/>
    <w:rsid w:val="00966E93"/>
    <w:rsid w:val="00966EFF"/>
    <w:rsid w:val="00966F23"/>
    <w:rsid w:val="00967110"/>
    <w:rsid w:val="00967115"/>
    <w:rsid w:val="00967293"/>
    <w:rsid w:val="0096751F"/>
    <w:rsid w:val="00967724"/>
    <w:rsid w:val="0096773B"/>
    <w:rsid w:val="0096785E"/>
    <w:rsid w:val="0096798F"/>
    <w:rsid w:val="009679AD"/>
    <w:rsid w:val="00967C31"/>
    <w:rsid w:val="00967DA0"/>
    <w:rsid w:val="009701A4"/>
    <w:rsid w:val="009703F4"/>
    <w:rsid w:val="009705AA"/>
    <w:rsid w:val="00970E65"/>
    <w:rsid w:val="00970EA0"/>
    <w:rsid w:val="0097144E"/>
    <w:rsid w:val="0097177A"/>
    <w:rsid w:val="0097185F"/>
    <w:rsid w:val="0097186F"/>
    <w:rsid w:val="00971A4D"/>
    <w:rsid w:val="00971BE4"/>
    <w:rsid w:val="00971DBF"/>
    <w:rsid w:val="00971E38"/>
    <w:rsid w:val="00971FA0"/>
    <w:rsid w:val="0097202A"/>
    <w:rsid w:val="0097207F"/>
    <w:rsid w:val="00972213"/>
    <w:rsid w:val="0097223F"/>
    <w:rsid w:val="0097240E"/>
    <w:rsid w:val="00972540"/>
    <w:rsid w:val="00972617"/>
    <w:rsid w:val="00972739"/>
    <w:rsid w:val="00972883"/>
    <w:rsid w:val="009728F4"/>
    <w:rsid w:val="00972952"/>
    <w:rsid w:val="00972964"/>
    <w:rsid w:val="00972C15"/>
    <w:rsid w:val="00972C47"/>
    <w:rsid w:val="00972D82"/>
    <w:rsid w:val="00972E5B"/>
    <w:rsid w:val="00973429"/>
    <w:rsid w:val="009735E7"/>
    <w:rsid w:val="0097367C"/>
    <w:rsid w:val="009736C8"/>
    <w:rsid w:val="009739C1"/>
    <w:rsid w:val="00973BEC"/>
    <w:rsid w:val="00973CE4"/>
    <w:rsid w:val="00973D5A"/>
    <w:rsid w:val="009741AD"/>
    <w:rsid w:val="00974249"/>
    <w:rsid w:val="00974336"/>
    <w:rsid w:val="009743B9"/>
    <w:rsid w:val="0097442D"/>
    <w:rsid w:val="0097485D"/>
    <w:rsid w:val="009749B9"/>
    <w:rsid w:val="00974CF3"/>
    <w:rsid w:val="00974D2C"/>
    <w:rsid w:val="00974ED4"/>
    <w:rsid w:val="0097517F"/>
    <w:rsid w:val="009753BC"/>
    <w:rsid w:val="009753F2"/>
    <w:rsid w:val="00975A63"/>
    <w:rsid w:val="00975B5C"/>
    <w:rsid w:val="009762A5"/>
    <w:rsid w:val="0097633B"/>
    <w:rsid w:val="009764A6"/>
    <w:rsid w:val="009764D9"/>
    <w:rsid w:val="0097666A"/>
    <w:rsid w:val="009772EE"/>
    <w:rsid w:val="0097731E"/>
    <w:rsid w:val="009773B5"/>
    <w:rsid w:val="00977837"/>
    <w:rsid w:val="00977916"/>
    <w:rsid w:val="00977A24"/>
    <w:rsid w:val="00977D80"/>
    <w:rsid w:val="00977DC8"/>
    <w:rsid w:val="009806A7"/>
    <w:rsid w:val="00980765"/>
    <w:rsid w:val="009808D5"/>
    <w:rsid w:val="00980996"/>
    <w:rsid w:val="00980AF3"/>
    <w:rsid w:val="00980B6E"/>
    <w:rsid w:val="00981619"/>
    <w:rsid w:val="00981739"/>
    <w:rsid w:val="00981811"/>
    <w:rsid w:val="0098191D"/>
    <w:rsid w:val="0098212E"/>
    <w:rsid w:val="00982341"/>
    <w:rsid w:val="009824B1"/>
    <w:rsid w:val="009824C8"/>
    <w:rsid w:val="00982992"/>
    <w:rsid w:val="00982F1F"/>
    <w:rsid w:val="00982FFF"/>
    <w:rsid w:val="009832D7"/>
    <w:rsid w:val="0098336D"/>
    <w:rsid w:val="009833EF"/>
    <w:rsid w:val="009835D5"/>
    <w:rsid w:val="00983C29"/>
    <w:rsid w:val="00983F69"/>
    <w:rsid w:val="0098421B"/>
    <w:rsid w:val="00984767"/>
    <w:rsid w:val="00984925"/>
    <w:rsid w:val="00984978"/>
    <w:rsid w:val="009849AD"/>
    <w:rsid w:val="00984D98"/>
    <w:rsid w:val="00984E42"/>
    <w:rsid w:val="00984E4A"/>
    <w:rsid w:val="009850D4"/>
    <w:rsid w:val="009853D9"/>
    <w:rsid w:val="0098544E"/>
    <w:rsid w:val="0098545D"/>
    <w:rsid w:val="00985C1B"/>
    <w:rsid w:val="00986013"/>
    <w:rsid w:val="00986156"/>
    <w:rsid w:val="00986266"/>
    <w:rsid w:val="0098626B"/>
    <w:rsid w:val="00986387"/>
    <w:rsid w:val="009863E8"/>
    <w:rsid w:val="009865F6"/>
    <w:rsid w:val="00986B47"/>
    <w:rsid w:val="00986C7E"/>
    <w:rsid w:val="00986DF3"/>
    <w:rsid w:val="00986F5D"/>
    <w:rsid w:val="009874D9"/>
    <w:rsid w:val="00987760"/>
    <w:rsid w:val="00987999"/>
    <w:rsid w:val="00987B72"/>
    <w:rsid w:val="00987B93"/>
    <w:rsid w:val="00987F99"/>
    <w:rsid w:val="00987FF2"/>
    <w:rsid w:val="0099000F"/>
    <w:rsid w:val="0099001C"/>
    <w:rsid w:val="00990294"/>
    <w:rsid w:val="00990303"/>
    <w:rsid w:val="009903E0"/>
    <w:rsid w:val="00990461"/>
    <w:rsid w:val="00990716"/>
    <w:rsid w:val="00990B4A"/>
    <w:rsid w:val="00990EDB"/>
    <w:rsid w:val="00990EDE"/>
    <w:rsid w:val="0099101F"/>
    <w:rsid w:val="009910DF"/>
    <w:rsid w:val="00991118"/>
    <w:rsid w:val="0099138D"/>
    <w:rsid w:val="00991403"/>
    <w:rsid w:val="0099160B"/>
    <w:rsid w:val="009916D6"/>
    <w:rsid w:val="009917C7"/>
    <w:rsid w:val="00991910"/>
    <w:rsid w:val="0099197E"/>
    <w:rsid w:val="00991DF8"/>
    <w:rsid w:val="00991FA3"/>
    <w:rsid w:val="0099202D"/>
    <w:rsid w:val="009920DB"/>
    <w:rsid w:val="00992173"/>
    <w:rsid w:val="009922A8"/>
    <w:rsid w:val="00992535"/>
    <w:rsid w:val="009925B9"/>
    <w:rsid w:val="00992600"/>
    <w:rsid w:val="00992661"/>
    <w:rsid w:val="009926F2"/>
    <w:rsid w:val="00992785"/>
    <w:rsid w:val="0099280E"/>
    <w:rsid w:val="009928E6"/>
    <w:rsid w:val="009929EA"/>
    <w:rsid w:val="00992A63"/>
    <w:rsid w:val="00992B70"/>
    <w:rsid w:val="00992CE3"/>
    <w:rsid w:val="009931A1"/>
    <w:rsid w:val="00993445"/>
    <w:rsid w:val="009934C0"/>
    <w:rsid w:val="0099371B"/>
    <w:rsid w:val="00993912"/>
    <w:rsid w:val="009939BD"/>
    <w:rsid w:val="00993B98"/>
    <w:rsid w:val="00993C1A"/>
    <w:rsid w:val="00993D67"/>
    <w:rsid w:val="00993DCD"/>
    <w:rsid w:val="00993E46"/>
    <w:rsid w:val="00993EF8"/>
    <w:rsid w:val="00993F1E"/>
    <w:rsid w:val="00993FE2"/>
    <w:rsid w:val="0099407B"/>
    <w:rsid w:val="009942A5"/>
    <w:rsid w:val="00994304"/>
    <w:rsid w:val="00994543"/>
    <w:rsid w:val="009946AA"/>
    <w:rsid w:val="009947F8"/>
    <w:rsid w:val="00994CBE"/>
    <w:rsid w:val="00994FAD"/>
    <w:rsid w:val="00995478"/>
    <w:rsid w:val="009956D8"/>
    <w:rsid w:val="00995E44"/>
    <w:rsid w:val="00995F1F"/>
    <w:rsid w:val="00996319"/>
    <w:rsid w:val="009963E2"/>
    <w:rsid w:val="009964EF"/>
    <w:rsid w:val="009964FB"/>
    <w:rsid w:val="009965AA"/>
    <w:rsid w:val="0099667A"/>
    <w:rsid w:val="00996978"/>
    <w:rsid w:val="009969B8"/>
    <w:rsid w:val="00996BBE"/>
    <w:rsid w:val="00996C1E"/>
    <w:rsid w:val="00996D45"/>
    <w:rsid w:val="00997384"/>
    <w:rsid w:val="00997551"/>
    <w:rsid w:val="00997703"/>
    <w:rsid w:val="00997A9F"/>
    <w:rsid w:val="00997D2D"/>
    <w:rsid w:val="009A0126"/>
    <w:rsid w:val="009A0690"/>
    <w:rsid w:val="009A07BE"/>
    <w:rsid w:val="009A0890"/>
    <w:rsid w:val="009A0917"/>
    <w:rsid w:val="009A0930"/>
    <w:rsid w:val="009A0D94"/>
    <w:rsid w:val="009A0DDF"/>
    <w:rsid w:val="009A0EA4"/>
    <w:rsid w:val="009A0F03"/>
    <w:rsid w:val="009A1031"/>
    <w:rsid w:val="009A105F"/>
    <w:rsid w:val="009A123E"/>
    <w:rsid w:val="009A1240"/>
    <w:rsid w:val="009A134D"/>
    <w:rsid w:val="009A1379"/>
    <w:rsid w:val="009A1A5F"/>
    <w:rsid w:val="009A1BA3"/>
    <w:rsid w:val="009A1FE4"/>
    <w:rsid w:val="009A20DA"/>
    <w:rsid w:val="009A2257"/>
    <w:rsid w:val="009A240E"/>
    <w:rsid w:val="009A248D"/>
    <w:rsid w:val="009A25A1"/>
    <w:rsid w:val="009A2698"/>
    <w:rsid w:val="009A26C0"/>
    <w:rsid w:val="009A27D3"/>
    <w:rsid w:val="009A2951"/>
    <w:rsid w:val="009A2E11"/>
    <w:rsid w:val="009A2EBC"/>
    <w:rsid w:val="009A303D"/>
    <w:rsid w:val="009A324D"/>
    <w:rsid w:val="009A3377"/>
    <w:rsid w:val="009A33FF"/>
    <w:rsid w:val="009A348C"/>
    <w:rsid w:val="009A34A3"/>
    <w:rsid w:val="009A3649"/>
    <w:rsid w:val="009A3821"/>
    <w:rsid w:val="009A3857"/>
    <w:rsid w:val="009A3D0F"/>
    <w:rsid w:val="009A43D5"/>
    <w:rsid w:val="009A4479"/>
    <w:rsid w:val="009A46D1"/>
    <w:rsid w:val="009A4B2E"/>
    <w:rsid w:val="009A4D3C"/>
    <w:rsid w:val="009A4F71"/>
    <w:rsid w:val="009A4FCD"/>
    <w:rsid w:val="009A51D6"/>
    <w:rsid w:val="009A52E7"/>
    <w:rsid w:val="009A540D"/>
    <w:rsid w:val="009A5514"/>
    <w:rsid w:val="009A5740"/>
    <w:rsid w:val="009A58A4"/>
    <w:rsid w:val="009A5FE1"/>
    <w:rsid w:val="009A6071"/>
    <w:rsid w:val="009A615C"/>
    <w:rsid w:val="009A64D4"/>
    <w:rsid w:val="009A66A0"/>
    <w:rsid w:val="009A69BD"/>
    <w:rsid w:val="009A711F"/>
    <w:rsid w:val="009A74A2"/>
    <w:rsid w:val="009A77DA"/>
    <w:rsid w:val="009A7902"/>
    <w:rsid w:val="009A7C01"/>
    <w:rsid w:val="009A7F1D"/>
    <w:rsid w:val="009B004B"/>
    <w:rsid w:val="009B004D"/>
    <w:rsid w:val="009B0261"/>
    <w:rsid w:val="009B031B"/>
    <w:rsid w:val="009B04EC"/>
    <w:rsid w:val="009B051C"/>
    <w:rsid w:val="009B078C"/>
    <w:rsid w:val="009B09AB"/>
    <w:rsid w:val="009B09C9"/>
    <w:rsid w:val="009B0A43"/>
    <w:rsid w:val="009B0B76"/>
    <w:rsid w:val="009B0E8C"/>
    <w:rsid w:val="009B0EFB"/>
    <w:rsid w:val="009B0FEB"/>
    <w:rsid w:val="009B147C"/>
    <w:rsid w:val="009B170C"/>
    <w:rsid w:val="009B189E"/>
    <w:rsid w:val="009B1B19"/>
    <w:rsid w:val="009B1C0A"/>
    <w:rsid w:val="009B1D2E"/>
    <w:rsid w:val="009B1DAD"/>
    <w:rsid w:val="009B1F93"/>
    <w:rsid w:val="009B1F9A"/>
    <w:rsid w:val="009B2626"/>
    <w:rsid w:val="009B26B2"/>
    <w:rsid w:val="009B26FF"/>
    <w:rsid w:val="009B273B"/>
    <w:rsid w:val="009B2C31"/>
    <w:rsid w:val="009B2CA5"/>
    <w:rsid w:val="009B2DD8"/>
    <w:rsid w:val="009B2E1B"/>
    <w:rsid w:val="009B31F6"/>
    <w:rsid w:val="009B3534"/>
    <w:rsid w:val="009B360D"/>
    <w:rsid w:val="009B3684"/>
    <w:rsid w:val="009B3B81"/>
    <w:rsid w:val="009B3BBD"/>
    <w:rsid w:val="009B3F68"/>
    <w:rsid w:val="009B415C"/>
    <w:rsid w:val="009B4197"/>
    <w:rsid w:val="009B43CA"/>
    <w:rsid w:val="009B5122"/>
    <w:rsid w:val="009B51C8"/>
    <w:rsid w:val="009B539E"/>
    <w:rsid w:val="009B542E"/>
    <w:rsid w:val="009B57B8"/>
    <w:rsid w:val="009B59C3"/>
    <w:rsid w:val="009B5AFB"/>
    <w:rsid w:val="009B6608"/>
    <w:rsid w:val="009B665F"/>
    <w:rsid w:val="009B6726"/>
    <w:rsid w:val="009B676A"/>
    <w:rsid w:val="009B6F96"/>
    <w:rsid w:val="009B7255"/>
    <w:rsid w:val="009B730A"/>
    <w:rsid w:val="009B7A6A"/>
    <w:rsid w:val="009B7C7D"/>
    <w:rsid w:val="009C001D"/>
    <w:rsid w:val="009C0374"/>
    <w:rsid w:val="009C0460"/>
    <w:rsid w:val="009C04FA"/>
    <w:rsid w:val="009C0658"/>
    <w:rsid w:val="009C0707"/>
    <w:rsid w:val="009C072F"/>
    <w:rsid w:val="009C081E"/>
    <w:rsid w:val="009C0934"/>
    <w:rsid w:val="009C0AC0"/>
    <w:rsid w:val="009C144A"/>
    <w:rsid w:val="009C174B"/>
    <w:rsid w:val="009C1CD2"/>
    <w:rsid w:val="009C1E6A"/>
    <w:rsid w:val="009C1F51"/>
    <w:rsid w:val="009C1FA6"/>
    <w:rsid w:val="009C1FB7"/>
    <w:rsid w:val="009C22A6"/>
    <w:rsid w:val="009C2346"/>
    <w:rsid w:val="009C239B"/>
    <w:rsid w:val="009C2505"/>
    <w:rsid w:val="009C28ED"/>
    <w:rsid w:val="009C2A1B"/>
    <w:rsid w:val="009C2BFE"/>
    <w:rsid w:val="009C2C6B"/>
    <w:rsid w:val="009C2DAD"/>
    <w:rsid w:val="009C2EAE"/>
    <w:rsid w:val="009C36A9"/>
    <w:rsid w:val="009C36FB"/>
    <w:rsid w:val="009C415E"/>
    <w:rsid w:val="009C415F"/>
    <w:rsid w:val="009C435E"/>
    <w:rsid w:val="009C46D7"/>
    <w:rsid w:val="009C476A"/>
    <w:rsid w:val="009C4DC8"/>
    <w:rsid w:val="009C5096"/>
    <w:rsid w:val="009C5508"/>
    <w:rsid w:val="009C55BB"/>
    <w:rsid w:val="009C5705"/>
    <w:rsid w:val="009C5915"/>
    <w:rsid w:val="009C5EFF"/>
    <w:rsid w:val="009C62A3"/>
    <w:rsid w:val="009C6322"/>
    <w:rsid w:val="009C63F9"/>
    <w:rsid w:val="009C644E"/>
    <w:rsid w:val="009C65B7"/>
    <w:rsid w:val="009C65EB"/>
    <w:rsid w:val="009C66D8"/>
    <w:rsid w:val="009C68A1"/>
    <w:rsid w:val="009C6D35"/>
    <w:rsid w:val="009C6E3D"/>
    <w:rsid w:val="009C6E5F"/>
    <w:rsid w:val="009C70ED"/>
    <w:rsid w:val="009C737F"/>
    <w:rsid w:val="009C746A"/>
    <w:rsid w:val="009C7A1E"/>
    <w:rsid w:val="009C7C9A"/>
    <w:rsid w:val="009C7CCC"/>
    <w:rsid w:val="009D0195"/>
    <w:rsid w:val="009D03EB"/>
    <w:rsid w:val="009D0480"/>
    <w:rsid w:val="009D04AA"/>
    <w:rsid w:val="009D06F3"/>
    <w:rsid w:val="009D07FB"/>
    <w:rsid w:val="009D0AB5"/>
    <w:rsid w:val="009D0B2E"/>
    <w:rsid w:val="009D0E63"/>
    <w:rsid w:val="009D10AC"/>
    <w:rsid w:val="009D149F"/>
    <w:rsid w:val="009D15C8"/>
    <w:rsid w:val="009D167C"/>
    <w:rsid w:val="009D1851"/>
    <w:rsid w:val="009D188E"/>
    <w:rsid w:val="009D1906"/>
    <w:rsid w:val="009D1C1C"/>
    <w:rsid w:val="009D1C66"/>
    <w:rsid w:val="009D1D4A"/>
    <w:rsid w:val="009D1F63"/>
    <w:rsid w:val="009D213E"/>
    <w:rsid w:val="009D21D1"/>
    <w:rsid w:val="009D230C"/>
    <w:rsid w:val="009D2324"/>
    <w:rsid w:val="009D2B39"/>
    <w:rsid w:val="009D2BE5"/>
    <w:rsid w:val="009D2CED"/>
    <w:rsid w:val="009D2FD9"/>
    <w:rsid w:val="009D3061"/>
    <w:rsid w:val="009D30E7"/>
    <w:rsid w:val="009D31AF"/>
    <w:rsid w:val="009D31B0"/>
    <w:rsid w:val="009D3225"/>
    <w:rsid w:val="009D32FF"/>
    <w:rsid w:val="009D33F7"/>
    <w:rsid w:val="009D34C5"/>
    <w:rsid w:val="009D3518"/>
    <w:rsid w:val="009D3697"/>
    <w:rsid w:val="009D393B"/>
    <w:rsid w:val="009D39C7"/>
    <w:rsid w:val="009D3F44"/>
    <w:rsid w:val="009D40FF"/>
    <w:rsid w:val="009D421A"/>
    <w:rsid w:val="009D468B"/>
    <w:rsid w:val="009D4833"/>
    <w:rsid w:val="009D49F6"/>
    <w:rsid w:val="009D4A07"/>
    <w:rsid w:val="009D4B5F"/>
    <w:rsid w:val="009D4CA2"/>
    <w:rsid w:val="009D5113"/>
    <w:rsid w:val="009D584B"/>
    <w:rsid w:val="009D59A8"/>
    <w:rsid w:val="009D5C43"/>
    <w:rsid w:val="009D5D6A"/>
    <w:rsid w:val="009D5DE8"/>
    <w:rsid w:val="009D5E20"/>
    <w:rsid w:val="009D5F63"/>
    <w:rsid w:val="009D5FD5"/>
    <w:rsid w:val="009D60B4"/>
    <w:rsid w:val="009D60FC"/>
    <w:rsid w:val="009D61BB"/>
    <w:rsid w:val="009D6330"/>
    <w:rsid w:val="009D6530"/>
    <w:rsid w:val="009D6A7F"/>
    <w:rsid w:val="009D6FF9"/>
    <w:rsid w:val="009D707E"/>
    <w:rsid w:val="009D7226"/>
    <w:rsid w:val="009D72BD"/>
    <w:rsid w:val="009D73FA"/>
    <w:rsid w:val="009D7489"/>
    <w:rsid w:val="009D7537"/>
    <w:rsid w:val="009D759E"/>
    <w:rsid w:val="009D75AD"/>
    <w:rsid w:val="009D7687"/>
    <w:rsid w:val="009D76C8"/>
    <w:rsid w:val="009D7857"/>
    <w:rsid w:val="009D7952"/>
    <w:rsid w:val="009D7AD1"/>
    <w:rsid w:val="009D7D17"/>
    <w:rsid w:val="009D7DEC"/>
    <w:rsid w:val="009D7FDF"/>
    <w:rsid w:val="009E02C9"/>
    <w:rsid w:val="009E06FA"/>
    <w:rsid w:val="009E0711"/>
    <w:rsid w:val="009E07CC"/>
    <w:rsid w:val="009E0B8D"/>
    <w:rsid w:val="009E0C35"/>
    <w:rsid w:val="009E0D59"/>
    <w:rsid w:val="009E0D6E"/>
    <w:rsid w:val="009E0EA9"/>
    <w:rsid w:val="009E0F9A"/>
    <w:rsid w:val="009E10DA"/>
    <w:rsid w:val="009E1110"/>
    <w:rsid w:val="009E1590"/>
    <w:rsid w:val="009E15E3"/>
    <w:rsid w:val="009E1661"/>
    <w:rsid w:val="009E19C3"/>
    <w:rsid w:val="009E1B54"/>
    <w:rsid w:val="009E1E33"/>
    <w:rsid w:val="009E1E3D"/>
    <w:rsid w:val="009E2357"/>
    <w:rsid w:val="009E2393"/>
    <w:rsid w:val="009E246D"/>
    <w:rsid w:val="009E2BF9"/>
    <w:rsid w:val="009E2D0D"/>
    <w:rsid w:val="009E2E14"/>
    <w:rsid w:val="009E2EC8"/>
    <w:rsid w:val="009E2F20"/>
    <w:rsid w:val="009E2FB0"/>
    <w:rsid w:val="009E3556"/>
    <w:rsid w:val="009E3643"/>
    <w:rsid w:val="009E3876"/>
    <w:rsid w:val="009E3883"/>
    <w:rsid w:val="009E3AF5"/>
    <w:rsid w:val="009E3BD7"/>
    <w:rsid w:val="009E411E"/>
    <w:rsid w:val="009E4151"/>
    <w:rsid w:val="009E459B"/>
    <w:rsid w:val="009E45AB"/>
    <w:rsid w:val="009E4A0A"/>
    <w:rsid w:val="009E4ACB"/>
    <w:rsid w:val="009E4CD4"/>
    <w:rsid w:val="009E4D20"/>
    <w:rsid w:val="009E5234"/>
    <w:rsid w:val="009E5378"/>
    <w:rsid w:val="009E53BC"/>
    <w:rsid w:val="009E54EE"/>
    <w:rsid w:val="009E554A"/>
    <w:rsid w:val="009E5B37"/>
    <w:rsid w:val="009E5E85"/>
    <w:rsid w:val="009E6206"/>
    <w:rsid w:val="009E629D"/>
    <w:rsid w:val="009E6738"/>
    <w:rsid w:val="009E67AC"/>
    <w:rsid w:val="009E68A5"/>
    <w:rsid w:val="009E6B0D"/>
    <w:rsid w:val="009E6F89"/>
    <w:rsid w:val="009E7286"/>
    <w:rsid w:val="009E746F"/>
    <w:rsid w:val="009E7BF1"/>
    <w:rsid w:val="009E7E0A"/>
    <w:rsid w:val="009E7FC0"/>
    <w:rsid w:val="009F0186"/>
    <w:rsid w:val="009F022F"/>
    <w:rsid w:val="009F03FD"/>
    <w:rsid w:val="009F06A5"/>
    <w:rsid w:val="009F0CC2"/>
    <w:rsid w:val="009F0EC4"/>
    <w:rsid w:val="009F156E"/>
    <w:rsid w:val="009F1594"/>
    <w:rsid w:val="009F1B9D"/>
    <w:rsid w:val="009F2093"/>
    <w:rsid w:val="009F20CB"/>
    <w:rsid w:val="009F20D6"/>
    <w:rsid w:val="009F2182"/>
    <w:rsid w:val="009F22CD"/>
    <w:rsid w:val="009F2358"/>
    <w:rsid w:val="009F2760"/>
    <w:rsid w:val="009F2886"/>
    <w:rsid w:val="009F2FA2"/>
    <w:rsid w:val="009F32D7"/>
    <w:rsid w:val="009F33B8"/>
    <w:rsid w:val="009F34CD"/>
    <w:rsid w:val="009F389E"/>
    <w:rsid w:val="009F3C8C"/>
    <w:rsid w:val="009F3D12"/>
    <w:rsid w:val="009F3ED9"/>
    <w:rsid w:val="009F3F6C"/>
    <w:rsid w:val="009F4191"/>
    <w:rsid w:val="009F4385"/>
    <w:rsid w:val="009F45E4"/>
    <w:rsid w:val="009F47C4"/>
    <w:rsid w:val="009F4839"/>
    <w:rsid w:val="009F48A9"/>
    <w:rsid w:val="009F4C5C"/>
    <w:rsid w:val="009F4C9C"/>
    <w:rsid w:val="009F5028"/>
    <w:rsid w:val="009F5159"/>
    <w:rsid w:val="009F52AF"/>
    <w:rsid w:val="009F52D7"/>
    <w:rsid w:val="009F5412"/>
    <w:rsid w:val="009F5629"/>
    <w:rsid w:val="009F567E"/>
    <w:rsid w:val="009F583E"/>
    <w:rsid w:val="009F5897"/>
    <w:rsid w:val="009F5AF8"/>
    <w:rsid w:val="009F5B8B"/>
    <w:rsid w:val="009F5BDA"/>
    <w:rsid w:val="009F5C76"/>
    <w:rsid w:val="009F5E0E"/>
    <w:rsid w:val="009F5FF5"/>
    <w:rsid w:val="009F6003"/>
    <w:rsid w:val="009F609C"/>
    <w:rsid w:val="009F6730"/>
    <w:rsid w:val="009F6A56"/>
    <w:rsid w:val="009F6ADE"/>
    <w:rsid w:val="009F6BEF"/>
    <w:rsid w:val="009F6C47"/>
    <w:rsid w:val="009F6EE7"/>
    <w:rsid w:val="009F7487"/>
    <w:rsid w:val="009F76B4"/>
    <w:rsid w:val="009F76EA"/>
    <w:rsid w:val="009F7886"/>
    <w:rsid w:val="009F7C19"/>
    <w:rsid w:val="009F7F60"/>
    <w:rsid w:val="00A0058F"/>
    <w:rsid w:val="00A007C4"/>
    <w:rsid w:val="00A00B3F"/>
    <w:rsid w:val="00A00C46"/>
    <w:rsid w:val="00A00C4B"/>
    <w:rsid w:val="00A0104B"/>
    <w:rsid w:val="00A01081"/>
    <w:rsid w:val="00A01189"/>
    <w:rsid w:val="00A01413"/>
    <w:rsid w:val="00A01579"/>
    <w:rsid w:val="00A017EF"/>
    <w:rsid w:val="00A01849"/>
    <w:rsid w:val="00A0189D"/>
    <w:rsid w:val="00A01937"/>
    <w:rsid w:val="00A0193C"/>
    <w:rsid w:val="00A01965"/>
    <w:rsid w:val="00A019CE"/>
    <w:rsid w:val="00A01E5D"/>
    <w:rsid w:val="00A021E6"/>
    <w:rsid w:val="00A02203"/>
    <w:rsid w:val="00A0222E"/>
    <w:rsid w:val="00A023A7"/>
    <w:rsid w:val="00A0258A"/>
    <w:rsid w:val="00A025F5"/>
    <w:rsid w:val="00A028A6"/>
    <w:rsid w:val="00A028C2"/>
    <w:rsid w:val="00A028D5"/>
    <w:rsid w:val="00A02925"/>
    <w:rsid w:val="00A029C1"/>
    <w:rsid w:val="00A02AD9"/>
    <w:rsid w:val="00A02D2B"/>
    <w:rsid w:val="00A02D9C"/>
    <w:rsid w:val="00A02EAC"/>
    <w:rsid w:val="00A0309D"/>
    <w:rsid w:val="00A031B1"/>
    <w:rsid w:val="00A032AB"/>
    <w:rsid w:val="00A032AE"/>
    <w:rsid w:val="00A032FC"/>
    <w:rsid w:val="00A03785"/>
    <w:rsid w:val="00A039C2"/>
    <w:rsid w:val="00A03C08"/>
    <w:rsid w:val="00A03C0A"/>
    <w:rsid w:val="00A03CF5"/>
    <w:rsid w:val="00A03DA8"/>
    <w:rsid w:val="00A04006"/>
    <w:rsid w:val="00A04012"/>
    <w:rsid w:val="00A041CE"/>
    <w:rsid w:val="00A0457D"/>
    <w:rsid w:val="00A045A9"/>
    <w:rsid w:val="00A04872"/>
    <w:rsid w:val="00A0490C"/>
    <w:rsid w:val="00A049C6"/>
    <w:rsid w:val="00A04CDF"/>
    <w:rsid w:val="00A04E8F"/>
    <w:rsid w:val="00A052ED"/>
    <w:rsid w:val="00A052F5"/>
    <w:rsid w:val="00A053B5"/>
    <w:rsid w:val="00A05623"/>
    <w:rsid w:val="00A06010"/>
    <w:rsid w:val="00A06058"/>
    <w:rsid w:val="00A061DC"/>
    <w:rsid w:val="00A0635E"/>
    <w:rsid w:val="00A0651D"/>
    <w:rsid w:val="00A067A3"/>
    <w:rsid w:val="00A06988"/>
    <w:rsid w:val="00A069D0"/>
    <w:rsid w:val="00A0704F"/>
    <w:rsid w:val="00A0705A"/>
    <w:rsid w:val="00A0724D"/>
    <w:rsid w:val="00A0732D"/>
    <w:rsid w:val="00A075F5"/>
    <w:rsid w:val="00A076CE"/>
    <w:rsid w:val="00A077FA"/>
    <w:rsid w:val="00A07BBD"/>
    <w:rsid w:val="00A07DBE"/>
    <w:rsid w:val="00A1018F"/>
    <w:rsid w:val="00A104B0"/>
    <w:rsid w:val="00A10511"/>
    <w:rsid w:val="00A105D2"/>
    <w:rsid w:val="00A10D33"/>
    <w:rsid w:val="00A10D51"/>
    <w:rsid w:val="00A10E0C"/>
    <w:rsid w:val="00A10E86"/>
    <w:rsid w:val="00A1100A"/>
    <w:rsid w:val="00A11230"/>
    <w:rsid w:val="00A1127E"/>
    <w:rsid w:val="00A114D5"/>
    <w:rsid w:val="00A11687"/>
    <w:rsid w:val="00A116F1"/>
    <w:rsid w:val="00A1191B"/>
    <w:rsid w:val="00A11998"/>
    <w:rsid w:val="00A11C6D"/>
    <w:rsid w:val="00A11D48"/>
    <w:rsid w:val="00A11D6B"/>
    <w:rsid w:val="00A11E39"/>
    <w:rsid w:val="00A11F63"/>
    <w:rsid w:val="00A1231B"/>
    <w:rsid w:val="00A1256F"/>
    <w:rsid w:val="00A1287C"/>
    <w:rsid w:val="00A129AA"/>
    <w:rsid w:val="00A12AB2"/>
    <w:rsid w:val="00A12DC5"/>
    <w:rsid w:val="00A12E08"/>
    <w:rsid w:val="00A12EEF"/>
    <w:rsid w:val="00A12FC5"/>
    <w:rsid w:val="00A1317E"/>
    <w:rsid w:val="00A135EE"/>
    <w:rsid w:val="00A13604"/>
    <w:rsid w:val="00A13639"/>
    <w:rsid w:val="00A1373F"/>
    <w:rsid w:val="00A13C65"/>
    <w:rsid w:val="00A1402E"/>
    <w:rsid w:val="00A14062"/>
    <w:rsid w:val="00A144FC"/>
    <w:rsid w:val="00A14607"/>
    <w:rsid w:val="00A1472C"/>
    <w:rsid w:val="00A147BE"/>
    <w:rsid w:val="00A14A31"/>
    <w:rsid w:val="00A14AEA"/>
    <w:rsid w:val="00A14BAE"/>
    <w:rsid w:val="00A1500B"/>
    <w:rsid w:val="00A15049"/>
    <w:rsid w:val="00A15130"/>
    <w:rsid w:val="00A1519F"/>
    <w:rsid w:val="00A1528D"/>
    <w:rsid w:val="00A15323"/>
    <w:rsid w:val="00A15448"/>
    <w:rsid w:val="00A154AF"/>
    <w:rsid w:val="00A155E4"/>
    <w:rsid w:val="00A159CB"/>
    <w:rsid w:val="00A15CA1"/>
    <w:rsid w:val="00A15D16"/>
    <w:rsid w:val="00A15E63"/>
    <w:rsid w:val="00A15F54"/>
    <w:rsid w:val="00A16062"/>
    <w:rsid w:val="00A163CE"/>
    <w:rsid w:val="00A16446"/>
    <w:rsid w:val="00A16753"/>
    <w:rsid w:val="00A168E6"/>
    <w:rsid w:val="00A16914"/>
    <w:rsid w:val="00A16C5A"/>
    <w:rsid w:val="00A16D31"/>
    <w:rsid w:val="00A16E7D"/>
    <w:rsid w:val="00A173F5"/>
    <w:rsid w:val="00A176C4"/>
    <w:rsid w:val="00A1785B"/>
    <w:rsid w:val="00A179BA"/>
    <w:rsid w:val="00A17ABC"/>
    <w:rsid w:val="00A20008"/>
    <w:rsid w:val="00A2019C"/>
    <w:rsid w:val="00A20250"/>
    <w:rsid w:val="00A20413"/>
    <w:rsid w:val="00A20564"/>
    <w:rsid w:val="00A2064D"/>
    <w:rsid w:val="00A207C1"/>
    <w:rsid w:val="00A20816"/>
    <w:rsid w:val="00A2091B"/>
    <w:rsid w:val="00A20997"/>
    <w:rsid w:val="00A20A6D"/>
    <w:rsid w:val="00A21046"/>
    <w:rsid w:val="00A213A8"/>
    <w:rsid w:val="00A213C1"/>
    <w:rsid w:val="00A213DB"/>
    <w:rsid w:val="00A21C5C"/>
    <w:rsid w:val="00A21F26"/>
    <w:rsid w:val="00A21F84"/>
    <w:rsid w:val="00A2249C"/>
    <w:rsid w:val="00A224C2"/>
    <w:rsid w:val="00A22548"/>
    <w:rsid w:val="00A22619"/>
    <w:rsid w:val="00A226C1"/>
    <w:rsid w:val="00A2275A"/>
    <w:rsid w:val="00A2366D"/>
    <w:rsid w:val="00A236FC"/>
    <w:rsid w:val="00A23794"/>
    <w:rsid w:val="00A239C4"/>
    <w:rsid w:val="00A23A04"/>
    <w:rsid w:val="00A23C2E"/>
    <w:rsid w:val="00A23C95"/>
    <w:rsid w:val="00A23D98"/>
    <w:rsid w:val="00A2414E"/>
    <w:rsid w:val="00A24615"/>
    <w:rsid w:val="00A2465A"/>
    <w:rsid w:val="00A246B1"/>
    <w:rsid w:val="00A246C1"/>
    <w:rsid w:val="00A2479D"/>
    <w:rsid w:val="00A2486D"/>
    <w:rsid w:val="00A248B8"/>
    <w:rsid w:val="00A2495C"/>
    <w:rsid w:val="00A24C5F"/>
    <w:rsid w:val="00A24CB1"/>
    <w:rsid w:val="00A24CEA"/>
    <w:rsid w:val="00A24E63"/>
    <w:rsid w:val="00A24EF3"/>
    <w:rsid w:val="00A25237"/>
    <w:rsid w:val="00A25299"/>
    <w:rsid w:val="00A253D3"/>
    <w:rsid w:val="00A25825"/>
    <w:rsid w:val="00A259BF"/>
    <w:rsid w:val="00A25C88"/>
    <w:rsid w:val="00A25D8D"/>
    <w:rsid w:val="00A2611A"/>
    <w:rsid w:val="00A26217"/>
    <w:rsid w:val="00A265EF"/>
    <w:rsid w:val="00A26B23"/>
    <w:rsid w:val="00A26CB9"/>
    <w:rsid w:val="00A26CF1"/>
    <w:rsid w:val="00A26DD9"/>
    <w:rsid w:val="00A270F0"/>
    <w:rsid w:val="00A27786"/>
    <w:rsid w:val="00A277AB"/>
    <w:rsid w:val="00A27958"/>
    <w:rsid w:val="00A27B44"/>
    <w:rsid w:val="00A27E5E"/>
    <w:rsid w:val="00A27E6B"/>
    <w:rsid w:val="00A27E85"/>
    <w:rsid w:val="00A30289"/>
    <w:rsid w:val="00A30461"/>
    <w:rsid w:val="00A30693"/>
    <w:rsid w:val="00A3096A"/>
    <w:rsid w:val="00A30DA4"/>
    <w:rsid w:val="00A3108A"/>
    <w:rsid w:val="00A3110D"/>
    <w:rsid w:val="00A3123A"/>
    <w:rsid w:val="00A3145F"/>
    <w:rsid w:val="00A315FC"/>
    <w:rsid w:val="00A31866"/>
    <w:rsid w:val="00A318F6"/>
    <w:rsid w:val="00A31940"/>
    <w:rsid w:val="00A31A38"/>
    <w:rsid w:val="00A31AEE"/>
    <w:rsid w:val="00A31C15"/>
    <w:rsid w:val="00A31C85"/>
    <w:rsid w:val="00A31E23"/>
    <w:rsid w:val="00A31EE1"/>
    <w:rsid w:val="00A3207C"/>
    <w:rsid w:val="00A3228A"/>
    <w:rsid w:val="00A329ED"/>
    <w:rsid w:val="00A32A19"/>
    <w:rsid w:val="00A32BB9"/>
    <w:rsid w:val="00A32C71"/>
    <w:rsid w:val="00A32CBD"/>
    <w:rsid w:val="00A32CEB"/>
    <w:rsid w:val="00A33104"/>
    <w:rsid w:val="00A33468"/>
    <w:rsid w:val="00A3356C"/>
    <w:rsid w:val="00A3393B"/>
    <w:rsid w:val="00A3394F"/>
    <w:rsid w:val="00A33965"/>
    <w:rsid w:val="00A339A3"/>
    <w:rsid w:val="00A339E8"/>
    <w:rsid w:val="00A33B41"/>
    <w:rsid w:val="00A33D26"/>
    <w:rsid w:val="00A33E4E"/>
    <w:rsid w:val="00A33F8A"/>
    <w:rsid w:val="00A340B4"/>
    <w:rsid w:val="00A3474F"/>
    <w:rsid w:val="00A34804"/>
    <w:rsid w:val="00A349D4"/>
    <w:rsid w:val="00A34AB3"/>
    <w:rsid w:val="00A34BC8"/>
    <w:rsid w:val="00A34CF8"/>
    <w:rsid w:val="00A34F4A"/>
    <w:rsid w:val="00A34FBF"/>
    <w:rsid w:val="00A35243"/>
    <w:rsid w:val="00A356C9"/>
    <w:rsid w:val="00A35710"/>
    <w:rsid w:val="00A35826"/>
    <w:rsid w:val="00A35863"/>
    <w:rsid w:val="00A35951"/>
    <w:rsid w:val="00A359E3"/>
    <w:rsid w:val="00A35ABD"/>
    <w:rsid w:val="00A35B9D"/>
    <w:rsid w:val="00A35BB0"/>
    <w:rsid w:val="00A35D40"/>
    <w:rsid w:val="00A35DF4"/>
    <w:rsid w:val="00A35E1A"/>
    <w:rsid w:val="00A35F5D"/>
    <w:rsid w:val="00A36032"/>
    <w:rsid w:val="00A3608D"/>
    <w:rsid w:val="00A36151"/>
    <w:rsid w:val="00A36164"/>
    <w:rsid w:val="00A361FF"/>
    <w:rsid w:val="00A364F3"/>
    <w:rsid w:val="00A3690B"/>
    <w:rsid w:val="00A36B41"/>
    <w:rsid w:val="00A36E93"/>
    <w:rsid w:val="00A37387"/>
    <w:rsid w:val="00A37416"/>
    <w:rsid w:val="00A376F2"/>
    <w:rsid w:val="00A3771B"/>
    <w:rsid w:val="00A37A83"/>
    <w:rsid w:val="00A37FC8"/>
    <w:rsid w:val="00A4032C"/>
    <w:rsid w:val="00A4037F"/>
    <w:rsid w:val="00A40579"/>
    <w:rsid w:val="00A405DD"/>
    <w:rsid w:val="00A40982"/>
    <w:rsid w:val="00A409C6"/>
    <w:rsid w:val="00A409CD"/>
    <w:rsid w:val="00A40A20"/>
    <w:rsid w:val="00A40ABB"/>
    <w:rsid w:val="00A40B11"/>
    <w:rsid w:val="00A40ED1"/>
    <w:rsid w:val="00A40ED6"/>
    <w:rsid w:val="00A41362"/>
    <w:rsid w:val="00A41572"/>
    <w:rsid w:val="00A416D4"/>
    <w:rsid w:val="00A41FDE"/>
    <w:rsid w:val="00A423FE"/>
    <w:rsid w:val="00A42788"/>
    <w:rsid w:val="00A42A51"/>
    <w:rsid w:val="00A42AE8"/>
    <w:rsid w:val="00A42C0E"/>
    <w:rsid w:val="00A42ED1"/>
    <w:rsid w:val="00A42FAA"/>
    <w:rsid w:val="00A42FFB"/>
    <w:rsid w:val="00A43191"/>
    <w:rsid w:val="00A434AA"/>
    <w:rsid w:val="00A43571"/>
    <w:rsid w:val="00A437A3"/>
    <w:rsid w:val="00A4388D"/>
    <w:rsid w:val="00A43900"/>
    <w:rsid w:val="00A43B11"/>
    <w:rsid w:val="00A43EAA"/>
    <w:rsid w:val="00A43FE8"/>
    <w:rsid w:val="00A44132"/>
    <w:rsid w:val="00A44349"/>
    <w:rsid w:val="00A448C8"/>
    <w:rsid w:val="00A44A14"/>
    <w:rsid w:val="00A44D8C"/>
    <w:rsid w:val="00A45097"/>
    <w:rsid w:val="00A450DF"/>
    <w:rsid w:val="00A4527B"/>
    <w:rsid w:val="00A45342"/>
    <w:rsid w:val="00A4537C"/>
    <w:rsid w:val="00A45594"/>
    <w:rsid w:val="00A4559E"/>
    <w:rsid w:val="00A455AD"/>
    <w:rsid w:val="00A455F1"/>
    <w:rsid w:val="00A456D5"/>
    <w:rsid w:val="00A457AE"/>
    <w:rsid w:val="00A45A63"/>
    <w:rsid w:val="00A45B56"/>
    <w:rsid w:val="00A461A5"/>
    <w:rsid w:val="00A46221"/>
    <w:rsid w:val="00A46381"/>
    <w:rsid w:val="00A46471"/>
    <w:rsid w:val="00A464B8"/>
    <w:rsid w:val="00A46A70"/>
    <w:rsid w:val="00A46B96"/>
    <w:rsid w:val="00A46C3B"/>
    <w:rsid w:val="00A46E7F"/>
    <w:rsid w:val="00A46ED4"/>
    <w:rsid w:val="00A46FAF"/>
    <w:rsid w:val="00A47035"/>
    <w:rsid w:val="00A476D5"/>
    <w:rsid w:val="00A479FF"/>
    <w:rsid w:val="00A47BD9"/>
    <w:rsid w:val="00A47D0B"/>
    <w:rsid w:val="00A50004"/>
    <w:rsid w:val="00A50058"/>
    <w:rsid w:val="00A50196"/>
    <w:rsid w:val="00A503D1"/>
    <w:rsid w:val="00A504A6"/>
    <w:rsid w:val="00A50BA3"/>
    <w:rsid w:val="00A50DE4"/>
    <w:rsid w:val="00A50E13"/>
    <w:rsid w:val="00A50F63"/>
    <w:rsid w:val="00A5107E"/>
    <w:rsid w:val="00A51214"/>
    <w:rsid w:val="00A51334"/>
    <w:rsid w:val="00A5179A"/>
    <w:rsid w:val="00A518A8"/>
    <w:rsid w:val="00A518BC"/>
    <w:rsid w:val="00A518C3"/>
    <w:rsid w:val="00A518E3"/>
    <w:rsid w:val="00A51C1F"/>
    <w:rsid w:val="00A51C99"/>
    <w:rsid w:val="00A522BE"/>
    <w:rsid w:val="00A5276F"/>
    <w:rsid w:val="00A52806"/>
    <w:rsid w:val="00A528AA"/>
    <w:rsid w:val="00A52B35"/>
    <w:rsid w:val="00A52F62"/>
    <w:rsid w:val="00A52F64"/>
    <w:rsid w:val="00A5303F"/>
    <w:rsid w:val="00A53115"/>
    <w:rsid w:val="00A531A5"/>
    <w:rsid w:val="00A53398"/>
    <w:rsid w:val="00A53434"/>
    <w:rsid w:val="00A5349F"/>
    <w:rsid w:val="00A53940"/>
    <w:rsid w:val="00A53BC0"/>
    <w:rsid w:val="00A53D6A"/>
    <w:rsid w:val="00A53D9E"/>
    <w:rsid w:val="00A53DB2"/>
    <w:rsid w:val="00A53E5B"/>
    <w:rsid w:val="00A53ECB"/>
    <w:rsid w:val="00A541CA"/>
    <w:rsid w:val="00A54793"/>
    <w:rsid w:val="00A548CA"/>
    <w:rsid w:val="00A5497E"/>
    <w:rsid w:val="00A54D1C"/>
    <w:rsid w:val="00A54F11"/>
    <w:rsid w:val="00A54F36"/>
    <w:rsid w:val="00A54FAA"/>
    <w:rsid w:val="00A551C2"/>
    <w:rsid w:val="00A5556E"/>
    <w:rsid w:val="00A558F0"/>
    <w:rsid w:val="00A559CE"/>
    <w:rsid w:val="00A55EE3"/>
    <w:rsid w:val="00A560E8"/>
    <w:rsid w:val="00A56110"/>
    <w:rsid w:val="00A565E6"/>
    <w:rsid w:val="00A56817"/>
    <w:rsid w:val="00A56864"/>
    <w:rsid w:val="00A56A3D"/>
    <w:rsid w:val="00A56AE8"/>
    <w:rsid w:val="00A56AF6"/>
    <w:rsid w:val="00A56C71"/>
    <w:rsid w:val="00A56DAD"/>
    <w:rsid w:val="00A56E44"/>
    <w:rsid w:val="00A56E82"/>
    <w:rsid w:val="00A57051"/>
    <w:rsid w:val="00A57451"/>
    <w:rsid w:val="00A5787E"/>
    <w:rsid w:val="00A57A1B"/>
    <w:rsid w:val="00A57C40"/>
    <w:rsid w:val="00A57C6A"/>
    <w:rsid w:val="00A57DD7"/>
    <w:rsid w:val="00A57DDC"/>
    <w:rsid w:val="00A57E29"/>
    <w:rsid w:val="00A57EE8"/>
    <w:rsid w:val="00A6002A"/>
    <w:rsid w:val="00A6009C"/>
    <w:rsid w:val="00A600D3"/>
    <w:rsid w:val="00A601B6"/>
    <w:rsid w:val="00A6022B"/>
    <w:rsid w:val="00A60507"/>
    <w:rsid w:val="00A605A3"/>
    <w:rsid w:val="00A6072E"/>
    <w:rsid w:val="00A6075D"/>
    <w:rsid w:val="00A6076E"/>
    <w:rsid w:val="00A6098F"/>
    <w:rsid w:val="00A60B03"/>
    <w:rsid w:val="00A60B0C"/>
    <w:rsid w:val="00A60CEB"/>
    <w:rsid w:val="00A61039"/>
    <w:rsid w:val="00A61160"/>
    <w:rsid w:val="00A6119F"/>
    <w:rsid w:val="00A61270"/>
    <w:rsid w:val="00A615E6"/>
    <w:rsid w:val="00A616DD"/>
    <w:rsid w:val="00A61847"/>
    <w:rsid w:val="00A618D3"/>
    <w:rsid w:val="00A61919"/>
    <w:rsid w:val="00A61D3C"/>
    <w:rsid w:val="00A61D74"/>
    <w:rsid w:val="00A61D93"/>
    <w:rsid w:val="00A61E0A"/>
    <w:rsid w:val="00A6239F"/>
    <w:rsid w:val="00A62A05"/>
    <w:rsid w:val="00A62AC8"/>
    <w:rsid w:val="00A62BE9"/>
    <w:rsid w:val="00A62C41"/>
    <w:rsid w:val="00A63117"/>
    <w:rsid w:val="00A63182"/>
    <w:rsid w:val="00A633E7"/>
    <w:rsid w:val="00A6367B"/>
    <w:rsid w:val="00A63A45"/>
    <w:rsid w:val="00A63ADF"/>
    <w:rsid w:val="00A63E61"/>
    <w:rsid w:val="00A63E84"/>
    <w:rsid w:val="00A63FAA"/>
    <w:rsid w:val="00A64042"/>
    <w:rsid w:val="00A642D3"/>
    <w:rsid w:val="00A643C4"/>
    <w:rsid w:val="00A6475A"/>
    <w:rsid w:val="00A6497F"/>
    <w:rsid w:val="00A64A19"/>
    <w:rsid w:val="00A64D08"/>
    <w:rsid w:val="00A64DAE"/>
    <w:rsid w:val="00A64E40"/>
    <w:rsid w:val="00A64E90"/>
    <w:rsid w:val="00A651F9"/>
    <w:rsid w:val="00A6522F"/>
    <w:rsid w:val="00A65878"/>
    <w:rsid w:val="00A658FE"/>
    <w:rsid w:val="00A659B7"/>
    <w:rsid w:val="00A659FA"/>
    <w:rsid w:val="00A66135"/>
    <w:rsid w:val="00A6641D"/>
    <w:rsid w:val="00A664F6"/>
    <w:rsid w:val="00A6652E"/>
    <w:rsid w:val="00A665EE"/>
    <w:rsid w:val="00A665F1"/>
    <w:rsid w:val="00A668EE"/>
    <w:rsid w:val="00A66A2F"/>
    <w:rsid w:val="00A66AE0"/>
    <w:rsid w:val="00A66B1C"/>
    <w:rsid w:val="00A66BBD"/>
    <w:rsid w:val="00A66BEA"/>
    <w:rsid w:val="00A66F5E"/>
    <w:rsid w:val="00A67103"/>
    <w:rsid w:val="00A672D6"/>
    <w:rsid w:val="00A672F7"/>
    <w:rsid w:val="00A6746B"/>
    <w:rsid w:val="00A674DA"/>
    <w:rsid w:val="00A674F2"/>
    <w:rsid w:val="00A679F6"/>
    <w:rsid w:val="00A679FB"/>
    <w:rsid w:val="00A67E56"/>
    <w:rsid w:val="00A7002A"/>
    <w:rsid w:val="00A70062"/>
    <w:rsid w:val="00A701CD"/>
    <w:rsid w:val="00A7031B"/>
    <w:rsid w:val="00A70404"/>
    <w:rsid w:val="00A70434"/>
    <w:rsid w:val="00A704CB"/>
    <w:rsid w:val="00A70C71"/>
    <w:rsid w:val="00A71447"/>
    <w:rsid w:val="00A715A3"/>
    <w:rsid w:val="00A719B5"/>
    <w:rsid w:val="00A71ABE"/>
    <w:rsid w:val="00A71ED6"/>
    <w:rsid w:val="00A72312"/>
    <w:rsid w:val="00A723EC"/>
    <w:rsid w:val="00A725C9"/>
    <w:rsid w:val="00A72B23"/>
    <w:rsid w:val="00A72D80"/>
    <w:rsid w:val="00A72DF4"/>
    <w:rsid w:val="00A732B2"/>
    <w:rsid w:val="00A7356A"/>
    <w:rsid w:val="00A736B6"/>
    <w:rsid w:val="00A738A3"/>
    <w:rsid w:val="00A73B2A"/>
    <w:rsid w:val="00A74001"/>
    <w:rsid w:val="00A7411B"/>
    <w:rsid w:val="00A748EB"/>
    <w:rsid w:val="00A74987"/>
    <w:rsid w:val="00A74BDF"/>
    <w:rsid w:val="00A74E9A"/>
    <w:rsid w:val="00A7501B"/>
    <w:rsid w:val="00A75082"/>
    <w:rsid w:val="00A7536C"/>
    <w:rsid w:val="00A7545C"/>
    <w:rsid w:val="00A754D8"/>
    <w:rsid w:val="00A75608"/>
    <w:rsid w:val="00A758E1"/>
    <w:rsid w:val="00A75B6E"/>
    <w:rsid w:val="00A76019"/>
    <w:rsid w:val="00A7605C"/>
    <w:rsid w:val="00A763CC"/>
    <w:rsid w:val="00A76438"/>
    <w:rsid w:val="00A7648A"/>
    <w:rsid w:val="00A76789"/>
    <w:rsid w:val="00A767E2"/>
    <w:rsid w:val="00A76AFF"/>
    <w:rsid w:val="00A76DAE"/>
    <w:rsid w:val="00A76DBB"/>
    <w:rsid w:val="00A76EEA"/>
    <w:rsid w:val="00A7743D"/>
    <w:rsid w:val="00A774B7"/>
    <w:rsid w:val="00A774EB"/>
    <w:rsid w:val="00A77934"/>
    <w:rsid w:val="00A77952"/>
    <w:rsid w:val="00A77A71"/>
    <w:rsid w:val="00A77C1B"/>
    <w:rsid w:val="00A77D0D"/>
    <w:rsid w:val="00A77D45"/>
    <w:rsid w:val="00A77DF7"/>
    <w:rsid w:val="00A80144"/>
    <w:rsid w:val="00A8025B"/>
    <w:rsid w:val="00A802F6"/>
    <w:rsid w:val="00A803B0"/>
    <w:rsid w:val="00A80432"/>
    <w:rsid w:val="00A807F3"/>
    <w:rsid w:val="00A8092F"/>
    <w:rsid w:val="00A8095F"/>
    <w:rsid w:val="00A8096C"/>
    <w:rsid w:val="00A80CA7"/>
    <w:rsid w:val="00A813A2"/>
    <w:rsid w:val="00A81482"/>
    <w:rsid w:val="00A814A5"/>
    <w:rsid w:val="00A81A75"/>
    <w:rsid w:val="00A81B34"/>
    <w:rsid w:val="00A82078"/>
    <w:rsid w:val="00A824C1"/>
    <w:rsid w:val="00A82764"/>
    <w:rsid w:val="00A82B34"/>
    <w:rsid w:val="00A82C9B"/>
    <w:rsid w:val="00A82FFB"/>
    <w:rsid w:val="00A831C6"/>
    <w:rsid w:val="00A831F2"/>
    <w:rsid w:val="00A832A9"/>
    <w:rsid w:val="00A83A29"/>
    <w:rsid w:val="00A83D75"/>
    <w:rsid w:val="00A83F01"/>
    <w:rsid w:val="00A840B0"/>
    <w:rsid w:val="00A8438C"/>
    <w:rsid w:val="00A844ED"/>
    <w:rsid w:val="00A845FA"/>
    <w:rsid w:val="00A8492F"/>
    <w:rsid w:val="00A84C00"/>
    <w:rsid w:val="00A84F33"/>
    <w:rsid w:val="00A85060"/>
    <w:rsid w:val="00A8541B"/>
    <w:rsid w:val="00A8541E"/>
    <w:rsid w:val="00A8572A"/>
    <w:rsid w:val="00A8596F"/>
    <w:rsid w:val="00A859B6"/>
    <w:rsid w:val="00A85CA4"/>
    <w:rsid w:val="00A85D69"/>
    <w:rsid w:val="00A85FA0"/>
    <w:rsid w:val="00A85FA1"/>
    <w:rsid w:val="00A85FD9"/>
    <w:rsid w:val="00A86104"/>
    <w:rsid w:val="00A862B4"/>
    <w:rsid w:val="00A86752"/>
    <w:rsid w:val="00A868F5"/>
    <w:rsid w:val="00A86B9B"/>
    <w:rsid w:val="00A86BC4"/>
    <w:rsid w:val="00A86C66"/>
    <w:rsid w:val="00A86CDF"/>
    <w:rsid w:val="00A86D3C"/>
    <w:rsid w:val="00A86D52"/>
    <w:rsid w:val="00A8704E"/>
    <w:rsid w:val="00A874A0"/>
    <w:rsid w:val="00A875B4"/>
    <w:rsid w:val="00A8775A"/>
    <w:rsid w:val="00A877C3"/>
    <w:rsid w:val="00A87874"/>
    <w:rsid w:val="00A878EA"/>
    <w:rsid w:val="00A87D15"/>
    <w:rsid w:val="00A87DCF"/>
    <w:rsid w:val="00A87ECF"/>
    <w:rsid w:val="00A9051D"/>
    <w:rsid w:val="00A906E0"/>
    <w:rsid w:val="00A90874"/>
    <w:rsid w:val="00A90CEA"/>
    <w:rsid w:val="00A90DDA"/>
    <w:rsid w:val="00A9129E"/>
    <w:rsid w:val="00A912E9"/>
    <w:rsid w:val="00A916CC"/>
    <w:rsid w:val="00A917F0"/>
    <w:rsid w:val="00A91893"/>
    <w:rsid w:val="00A918B2"/>
    <w:rsid w:val="00A91A51"/>
    <w:rsid w:val="00A91B8F"/>
    <w:rsid w:val="00A91D0A"/>
    <w:rsid w:val="00A91F51"/>
    <w:rsid w:val="00A91F8C"/>
    <w:rsid w:val="00A92018"/>
    <w:rsid w:val="00A92121"/>
    <w:rsid w:val="00A921BD"/>
    <w:rsid w:val="00A9231E"/>
    <w:rsid w:val="00A92398"/>
    <w:rsid w:val="00A923B8"/>
    <w:rsid w:val="00A924D2"/>
    <w:rsid w:val="00A927BF"/>
    <w:rsid w:val="00A92922"/>
    <w:rsid w:val="00A92CF5"/>
    <w:rsid w:val="00A92FCA"/>
    <w:rsid w:val="00A936B5"/>
    <w:rsid w:val="00A936E9"/>
    <w:rsid w:val="00A936F1"/>
    <w:rsid w:val="00A93C36"/>
    <w:rsid w:val="00A93F18"/>
    <w:rsid w:val="00A940B1"/>
    <w:rsid w:val="00A941DA"/>
    <w:rsid w:val="00A94322"/>
    <w:rsid w:val="00A94828"/>
    <w:rsid w:val="00A94EA2"/>
    <w:rsid w:val="00A94F66"/>
    <w:rsid w:val="00A95150"/>
    <w:rsid w:val="00A95238"/>
    <w:rsid w:val="00A95487"/>
    <w:rsid w:val="00A956CA"/>
    <w:rsid w:val="00A9585C"/>
    <w:rsid w:val="00A95908"/>
    <w:rsid w:val="00A95DB9"/>
    <w:rsid w:val="00A95EA2"/>
    <w:rsid w:val="00A95F08"/>
    <w:rsid w:val="00A96095"/>
    <w:rsid w:val="00A96198"/>
    <w:rsid w:val="00A961BE"/>
    <w:rsid w:val="00A96236"/>
    <w:rsid w:val="00A96430"/>
    <w:rsid w:val="00A96A88"/>
    <w:rsid w:val="00A96DA6"/>
    <w:rsid w:val="00A96EAB"/>
    <w:rsid w:val="00A96F16"/>
    <w:rsid w:val="00A977B6"/>
    <w:rsid w:val="00A9787B"/>
    <w:rsid w:val="00A97E63"/>
    <w:rsid w:val="00AA0213"/>
    <w:rsid w:val="00AA0296"/>
    <w:rsid w:val="00AA02B1"/>
    <w:rsid w:val="00AA07D1"/>
    <w:rsid w:val="00AA10ED"/>
    <w:rsid w:val="00AA12C5"/>
    <w:rsid w:val="00AA15CF"/>
    <w:rsid w:val="00AA168E"/>
    <w:rsid w:val="00AA1985"/>
    <w:rsid w:val="00AA19B7"/>
    <w:rsid w:val="00AA1AFB"/>
    <w:rsid w:val="00AA1D6E"/>
    <w:rsid w:val="00AA1E14"/>
    <w:rsid w:val="00AA1FE3"/>
    <w:rsid w:val="00AA23DD"/>
    <w:rsid w:val="00AA28F0"/>
    <w:rsid w:val="00AA2CC3"/>
    <w:rsid w:val="00AA2DC0"/>
    <w:rsid w:val="00AA2EEB"/>
    <w:rsid w:val="00AA2F22"/>
    <w:rsid w:val="00AA305B"/>
    <w:rsid w:val="00AA30C6"/>
    <w:rsid w:val="00AA338A"/>
    <w:rsid w:val="00AA3484"/>
    <w:rsid w:val="00AA355E"/>
    <w:rsid w:val="00AA40D2"/>
    <w:rsid w:val="00AA40DA"/>
    <w:rsid w:val="00AA4200"/>
    <w:rsid w:val="00AA428C"/>
    <w:rsid w:val="00AA4462"/>
    <w:rsid w:val="00AA45D8"/>
    <w:rsid w:val="00AA46DA"/>
    <w:rsid w:val="00AA47A5"/>
    <w:rsid w:val="00AA484D"/>
    <w:rsid w:val="00AA4871"/>
    <w:rsid w:val="00AA4AE7"/>
    <w:rsid w:val="00AA4B1D"/>
    <w:rsid w:val="00AA4D30"/>
    <w:rsid w:val="00AA4D58"/>
    <w:rsid w:val="00AA4E8C"/>
    <w:rsid w:val="00AA4F0E"/>
    <w:rsid w:val="00AA5006"/>
    <w:rsid w:val="00AA53D3"/>
    <w:rsid w:val="00AA55AC"/>
    <w:rsid w:val="00AA58CF"/>
    <w:rsid w:val="00AA5ACB"/>
    <w:rsid w:val="00AA5CCC"/>
    <w:rsid w:val="00AA5F68"/>
    <w:rsid w:val="00AA5FE7"/>
    <w:rsid w:val="00AA6168"/>
    <w:rsid w:val="00AA64EE"/>
    <w:rsid w:val="00AA6525"/>
    <w:rsid w:val="00AA6910"/>
    <w:rsid w:val="00AA6A70"/>
    <w:rsid w:val="00AA6A9A"/>
    <w:rsid w:val="00AA6E35"/>
    <w:rsid w:val="00AA7033"/>
    <w:rsid w:val="00AA7569"/>
    <w:rsid w:val="00AA792C"/>
    <w:rsid w:val="00AA7A05"/>
    <w:rsid w:val="00AA7AC3"/>
    <w:rsid w:val="00AA7D80"/>
    <w:rsid w:val="00AA7E86"/>
    <w:rsid w:val="00AB0339"/>
    <w:rsid w:val="00AB0A15"/>
    <w:rsid w:val="00AB0BB2"/>
    <w:rsid w:val="00AB0E19"/>
    <w:rsid w:val="00AB0E2F"/>
    <w:rsid w:val="00AB0E45"/>
    <w:rsid w:val="00AB15DE"/>
    <w:rsid w:val="00AB189A"/>
    <w:rsid w:val="00AB1A21"/>
    <w:rsid w:val="00AB1A29"/>
    <w:rsid w:val="00AB1BDC"/>
    <w:rsid w:val="00AB1C17"/>
    <w:rsid w:val="00AB1C2E"/>
    <w:rsid w:val="00AB1C4E"/>
    <w:rsid w:val="00AB1FC4"/>
    <w:rsid w:val="00AB2094"/>
    <w:rsid w:val="00AB2150"/>
    <w:rsid w:val="00AB2204"/>
    <w:rsid w:val="00AB2567"/>
    <w:rsid w:val="00AB2A25"/>
    <w:rsid w:val="00AB2FE0"/>
    <w:rsid w:val="00AB316F"/>
    <w:rsid w:val="00AB318C"/>
    <w:rsid w:val="00AB31EA"/>
    <w:rsid w:val="00AB3274"/>
    <w:rsid w:val="00AB34E7"/>
    <w:rsid w:val="00AB35E8"/>
    <w:rsid w:val="00AB363B"/>
    <w:rsid w:val="00AB36C8"/>
    <w:rsid w:val="00AB36E2"/>
    <w:rsid w:val="00AB36EC"/>
    <w:rsid w:val="00AB3814"/>
    <w:rsid w:val="00AB3A5F"/>
    <w:rsid w:val="00AB3C17"/>
    <w:rsid w:val="00AB3CB9"/>
    <w:rsid w:val="00AB3F49"/>
    <w:rsid w:val="00AB3F59"/>
    <w:rsid w:val="00AB4261"/>
    <w:rsid w:val="00AB458E"/>
    <w:rsid w:val="00AB495B"/>
    <w:rsid w:val="00AB4A69"/>
    <w:rsid w:val="00AB4D03"/>
    <w:rsid w:val="00AB4EF3"/>
    <w:rsid w:val="00AB510C"/>
    <w:rsid w:val="00AB5182"/>
    <w:rsid w:val="00AB54E3"/>
    <w:rsid w:val="00AB568B"/>
    <w:rsid w:val="00AB589D"/>
    <w:rsid w:val="00AB5938"/>
    <w:rsid w:val="00AB5B37"/>
    <w:rsid w:val="00AB5B68"/>
    <w:rsid w:val="00AB5E5E"/>
    <w:rsid w:val="00AB5ED0"/>
    <w:rsid w:val="00AB6343"/>
    <w:rsid w:val="00AB6364"/>
    <w:rsid w:val="00AB6433"/>
    <w:rsid w:val="00AB65E9"/>
    <w:rsid w:val="00AB6948"/>
    <w:rsid w:val="00AB6B90"/>
    <w:rsid w:val="00AB6C3C"/>
    <w:rsid w:val="00AB6D50"/>
    <w:rsid w:val="00AB70FE"/>
    <w:rsid w:val="00AB722A"/>
    <w:rsid w:val="00AB742C"/>
    <w:rsid w:val="00AB752F"/>
    <w:rsid w:val="00AB76F3"/>
    <w:rsid w:val="00AB7D52"/>
    <w:rsid w:val="00AB7FEE"/>
    <w:rsid w:val="00AC02C0"/>
    <w:rsid w:val="00AC02DC"/>
    <w:rsid w:val="00AC02EB"/>
    <w:rsid w:val="00AC03A2"/>
    <w:rsid w:val="00AC056F"/>
    <w:rsid w:val="00AC0680"/>
    <w:rsid w:val="00AC0B66"/>
    <w:rsid w:val="00AC0BDD"/>
    <w:rsid w:val="00AC0C00"/>
    <w:rsid w:val="00AC0C4B"/>
    <w:rsid w:val="00AC0D88"/>
    <w:rsid w:val="00AC0E00"/>
    <w:rsid w:val="00AC0E07"/>
    <w:rsid w:val="00AC1018"/>
    <w:rsid w:val="00AC15B2"/>
    <w:rsid w:val="00AC160D"/>
    <w:rsid w:val="00AC17BE"/>
    <w:rsid w:val="00AC1A22"/>
    <w:rsid w:val="00AC1A43"/>
    <w:rsid w:val="00AC1C59"/>
    <w:rsid w:val="00AC1E8C"/>
    <w:rsid w:val="00AC1F21"/>
    <w:rsid w:val="00AC2105"/>
    <w:rsid w:val="00AC21AF"/>
    <w:rsid w:val="00AC24BA"/>
    <w:rsid w:val="00AC2651"/>
    <w:rsid w:val="00AC2745"/>
    <w:rsid w:val="00AC2807"/>
    <w:rsid w:val="00AC2933"/>
    <w:rsid w:val="00AC2E35"/>
    <w:rsid w:val="00AC2E3C"/>
    <w:rsid w:val="00AC304E"/>
    <w:rsid w:val="00AC3133"/>
    <w:rsid w:val="00AC3193"/>
    <w:rsid w:val="00AC37D5"/>
    <w:rsid w:val="00AC380A"/>
    <w:rsid w:val="00AC3B45"/>
    <w:rsid w:val="00AC3BD2"/>
    <w:rsid w:val="00AC3C2E"/>
    <w:rsid w:val="00AC3CA1"/>
    <w:rsid w:val="00AC3F52"/>
    <w:rsid w:val="00AC3F7B"/>
    <w:rsid w:val="00AC4073"/>
    <w:rsid w:val="00AC43E5"/>
    <w:rsid w:val="00AC4589"/>
    <w:rsid w:val="00AC461D"/>
    <w:rsid w:val="00AC4732"/>
    <w:rsid w:val="00AC49D7"/>
    <w:rsid w:val="00AC4A9A"/>
    <w:rsid w:val="00AC4BAC"/>
    <w:rsid w:val="00AC4C5F"/>
    <w:rsid w:val="00AC4C7D"/>
    <w:rsid w:val="00AC4E9F"/>
    <w:rsid w:val="00AC53E0"/>
    <w:rsid w:val="00AC542C"/>
    <w:rsid w:val="00AC5455"/>
    <w:rsid w:val="00AC5472"/>
    <w:rsid w:val="00AC557A"/>
    <w:rsid w:val="00AC56B8"/>
    <w:rsid w:val="00AC5738"/>
    <w:rsid w:val="00AC58FA"/>
    <w:rsid w:val="00AC5A49"/>
    <w:rsid w:val="00AC5A76"/>
    <w:rsid w:val="00AC5AE3"/>
    <w:rsid w:val="00AC5B19"/>
    <w:rsid w:val="00AC5C3D"/>
    <w:rsid w:val="00AC5D83"/>
    <w:rsid w:val="00AC6138"/>
    <w:rsid w:val="00AC6749"/>
    <w:rsid w:val="00AC6EB6"/>
    <w:rsid w:val="00AC6EF7"/>
    <w:rsid w:val="00AC6F2F"/>
    <w:rsid w:val="00AC70E2"/>
    <w:rsid w:val="00AC71C0"/>
    <w:rsid w:val="00AC7282"/>
    <w:rsid w:val="00AC7442"/>
    <w:rsid w:val="00AC75A6"/>
    <w:rsid w:val="00AC7730"/>
    <w:rsid w:val="00AC7A7C"/>
    <w:rsid w:val="00AD015E"/>
    <w:rsid w:val="00AD02F0"/>
    <w:rsid w:val="00AD0359"/>
    <w:rsid w:val="00AD044E"/>
    <w:rsid w:val="00AD047C"/>
    <w:rsid w:val="00AD0633"/>
    <w:rsid w:val="00AD0851"/>
    <w:rsid w:val="00AD08C5"/>
    <w:rsid w:val="00AD0950"/>
    <w:rsid w:val="00AD09CA"/>
    <w:rsid w:val="00AD0DE7"/>
    <w:rsid w:val="00AD0F20"/>
    <w:rsid w:val="00AD15F5"/>
    <w:rsid w:val="00AD1804"/>
    <w:rsid w:val="00AD1A38"/>
    <w:rsid w:val="00AD1AE4"/>
    <w:rsid w:val="00AD1B36"/>
    <w:rsid w:val="00AD1DC6"/>
    <w:rsid w:val="00AD1FB6"/>
    <w:rsid w:val="00AD20D3"/>
    <w:rsid w:val="00AD21BC"/>
    <w:rsid w:val="00AD2224"/>
    <w:rsid w:val="00AD23FA"/>
    <w:rsid w:val="00AD241B"/>
    <w:rsid w:val="00AD27D4"/>
    <w:rsid w:val="00AD28F1"/>
    <w:rsid w:val="00AD2914"/>
    <w:rsid w:val="00AD29C2"/>
    <w:rsid w:val="00AD2AE3"/>
    <w:rsid w:val="00AD2B81"/>
    <w:rsid w:val="00AD2BA2"/>
    <w:rsid w:val="00AD2C60"/>
    <w:rsid w:val="00AD2EB2"/>
    <w:rsid w:val="00AD2ED4"/>
    <w:rsid w:val="00AD330E"/>
    <w:rsid w:val="00AD37C6"/>
    <w:rsid w:val="00AD37DB"/>
    <w:rsid w:val="00AD392D"/>
    <w:rsid w:val="00AD3B29"/>
    <w:rsid w:val="00AD3D08"/>
    <w:rsid w:val="00AD3D7E"/>
    <w:rsid w:val="00AD3EC0"/>
    <w:rsid w:val="00AD41D3"/>
    <w:rsid w:val="00AD42AB"/>
    <w:rsid w:val="00AD4485"/>
    <w:rsid w:val="00AD460C"/>
    <w:rsid w:val="00AD4621"/>
    <w:rsid w:val="00AD4628"/>
    <w:rsid w:val="00AD483A"/>
    <w:rsid w:val="00AD4AF5"/>
    <w:rsid w:val="00AD4DCF"/>
    <w:rsid w:val="00AD4F29"/>
    <w:rsid w:val="00AD4F3E"/>
    <w:rsid w:val="00AD50FB"/>
    <w:rsid w:val="00AD51DC"/>
    <w:rsid w:val="00AD527B"/>
    <w:rsid w:val="00AD54E0"/>
    <w:rsid w:val="00AD55F7"/>
    <w:rsid w:val="00AD5792"/>
    <w:rsid w:val="00AD591A"/>
    <w:rsid w:val="00AD59FF"/>
    <w:rsid w:val="00AD5DBB"/>
    <w:rsid w:val="00AD5E1A"/>
    <w:rsid w:val="00AD6250"/>
    <w:rsid w:val="00AD6942"/>
    <w:rsid w:val="00AD69D4"/>
    <w:rsid w:val="00AD6B06"/>
    <w:rsid w:val="00AD6C7D"/>
    <w:rsid w:val="00AD6CBC"/>
    <w:rsid w:val="00AD6CD6"/>
    <w:rsid w:val="00AD6DB6"/>
    <w:rsid w:val="00AD6E13"/>
    <w:rsid w:val="00AD6FBF"/>
    <w:rsid w:val="00AD71EB"/>
    <w:rsid w:val="00AD7257"/>
    <w:rsid w:val="00AD72A4"/>
    <w:rsid w:val="00AD72F4"/>
    <w:rsid w:val="00AD74E8"/>
    <w:rsid w:val="00AD75A2"/>
    <w:rsid w:val="00AD79C5"/>
    <w:rsid w:val="00AD7D1C"/>
    <w:rsid w:val="00AE019F"/>
    <w:rsid w:val="00AE02BB"/>
    <w:rsid w:val="00AE0339"/>
    <w:rsid w:val="00AE043A"/>
    <w:rsid w:val="00AE0AA5"/>
    <w:rsid w:val="00AE0CF2"/>
    <w:rsid w:val="00AE1288"/>
    <w:rsid w:val="00AE13AD"/>
    <w:rsid w:val="00AE159B"/>
    <w:rsid w:val="00AE16FC"/>
    <w:rsid w:val="00AE1A95"/>
    <w:rsid w:val="00AE2350"/>
    <w:rsid w:val="00AE252B"/>
    <w:rsid w:val="00AE25B4"/>
    <w:rsid w:val="00AE278F"/>
    <w:rsid w:val="00AE2885"/>
    <w:rsid w:val="00AE2E00"/>
    <w:rsid w:val="00AE300F"/>
    <w:rsid w:val="00AE32C2"/>
    <w:rsid w:val="00AE3368"/>
    <w:rsid w:val="00AE33D3"/>
    <w:rsid w:val="00AE3421"/>
    <w:rsid w:val="00AE356C"/>
    <w:rsid w:val="00AE373E"/>
    <w:rsid w:val="00AE384E"/>
    <w:rsid w:val="00AE3887"/>
    <w:rsid w:val="00AE3935"/>
    <w:rsid w:val="00AE3ADC"/>
    <w:rsid w:val="00AE3B38"/>
    <w:rsid w:val="00AE3C03"/>
    <w:rsid w:val="00AE3C49"/>
    <w:rsid w:val="00AE3C8D"/>
    <w:rsid w:val="00AE3CAF"/>
    <w:rsid w:val="00AE44CB"/>
    <w:rsid w:val="00AE496D"/>
    <w:rsid w:val="00AE4ACE"/>
    <w:rsid w:val="00AE523E"/>
    <w:rsid w:val="00AE5321"/>
    <w:rsid w:val="00AE5487"/>
    <w:rsid w:val="00AE57BF"/>
    <w:rsid w:val="00AE5888"/>
    <w:rsid w:val="00AE5968"/>
    <w:rsid w:val="00AE5D74"/>
    <w:rsid w:val="00AE5E58"/>
    <w:rsid w:val="00AE63E7"/>
    <w:rsid w:val="00AE64AD"/>
    <w:rsid w:val="00AE6987"/>
    <w:rsid w:val="00AE6A27"/>
    <w:rsid w:val="00AE6A49"/>
    <w:rsid w:val="00AE6B41"/>
    <w:rsid w:val="00AE6D14"/>
    <w:rsid w:val="00AE6D68"/>
    <w:rsid w:val="00AE7061"/>
    <w:rsid w:val="00AE7118"/>
    <w:rsid w:val="00AE7430"/>
    <w:rsid w:val="00AE75EA"/>
    <w:rsid w:val="00AE77C3"/>
    <w:rsid w:val="00AE7A98"/>
    <w:rsid w:val="00AE7BBD"/>
    <w:rsid w:val="00AE7DD1"/>
    <w:rsid w:val="00AE7E20"/>
    <w:rsid w:val="00AE7F4C"/>
    <w:rsid w:val="00AF016F"/>
    <w:rsid w:val="00AF03C4"/>
    <w:rsid w:val="00AF05B4"/>
    <w:rsid w:val="00AF05E3"/>
    <w:rsid w:val="00AF0C04"/>
    <w:rsid w:val="00AF100C"/>
    <w:rsid w:val="00AF1277"/>
    <w:rsid w:val="00AF12A3"/>
    <w:rsid w:val="00AF139A"/>
    <w:rsid w:val="00AF151F"/>
    <w:rsid w:val="00AF1578"/>
    <w:rsid w:val="00AF15CD"/>
    <w:rsid w:val="00AF181C"/>
    <w:rsid w:val="00AF18EA"/>
    <w:rsid w:val="00AF18FD"/>
    <w:rsid w:val="00AF1A3C"/>
    <w:rsid w:val="00AF1C95"/>
    <w:rsid w:val="00AF1E76"/>
    <w:rsid w:val="00AF1EF9"/>
    <w:rsid w:val="00AF1F8D"/>
    <w:rsid w:val="00AF2186"/>
    <w:rsid w:val="00AF2263"/>
    <w:rsid w:val="00AF2398"/>
    <w:rsid w:val="00AF249E"/>
    <w:rsid w:val="00AF257B"/>
    <w:rsid w:val="00AF2642"/>
    <w:rsid w:val="00AF276B"/>
    <w:rsid w:val="00AF28B2"/>
    <w:rsid w:val="00AF2962"/>
    <w:rsid w:val="00AF2B40"/>
    <w:rsid w:val="00AF2C3C"/>
    <w:rsid w:val="00AF3377"/>
    <w:rsid w:val="00AF338A"/>
    <w:rsid w:val="00AF3391"/>
    <w:rsid w:val="00AF3541"/>
    <w:rsid w:val="00AF360F"/>
    <w:rsid w:val="00AF3AA9"/>
    <w:rsid w:val="00AF3B07"/>
    <w:rsid w:val="00AF3B43"/>
    <w:rsid w:val="00AF3EDB"/>
    <w:rsid w:val="00AF3F03"/>
    <w:rsid w:val="00AF3FF8"/>
    <w:rsid w:val="00AF4361"/>
    <w:rsid w:val="00AF44DF"/>
    <w:rsid w:val="00AF4970"/>
    <w:rsid w:val="00AF49E2"/>
    <w:rsid w:val="00AF4E3F"/>
    <w:rsid w:val="00AF519C"/>
    <w:rsid w:val="00AF53CF"/>
    <w:rsid w:val="00AF57B5"/>
    <w:rsid w:val="00AF58D4"/>
    <w:rsid w:val="00AF59B1"/>
    <w:rsid w:val="00AF5BD8"/>
    <w:rsid w:val="00AF5DE6"/>
    <w:rsid w:val="00AF5E3F"/>
    <w:rsid w:val="00AF5FCF"/>
    <w:rsid w:val="00AF6105"/>
    <w:rsid w:val="00AF6116"/>
    <w:rsid w:val="00AF61B0"/>
    <w:rsid w:val="00AF641F"/>
    <w:rsid w:val="00AF64DB"/>
    <w:rsid w:val="00AF6636"/>
    <w:rsid w:val="00AF67C6"/>
    <w:rsid w:val="00AF68A5"/>
    <w:rsid w:val="00AF6B6E"/>
    <w:rsid w:val="00AF6B93"/>
    <w:rsid w:val="00AF6CE0"/>
    <w:rsid w:val="00AF7809"/>
    <w:rsid w:val="00AF7855"/>
    <w:rsid w:val="00AF79DF"/>
    <w:rsid w:val="00AF7C18"/>
    <w:rsid w:val="00AF7CED"/>
    <w:rsid w:val="00AF7E1C"/>
    <w:rsid w:val="00B00400"/>
    <w:rsid w:val="00B0094F"/>
    <w:rsid w:val="00B00C1F"/>
    <w:rsid w:val="00B00DB9"/>
    <w:rsid w:val="00B00F3A"/>
    <w:rsid w:val="00B015E5"/>
    <w:rsid w:val="00B0176C"/>
    <w:rsid w:val="00B017CE"/>
    <w:rsid w:val="00B01D7E"/>
    <w:rsid w:val="00B01E61"/>
    <w:rsid w:val="00B02146"/>
    <w:rsid w:val="00B024F8"/>
    <w:rsid w:val="00B02948"/>
    <w:rsid w:val="00B02B4A"/>
    <w:rsid w:val="00B02BFD"/>
    <w:rsid w:val="00B02D6B"/>
    <w:rsid w:val="00B02E89"/>
    <w:rsid w:val="00B033BB"/>
    <w:rsid w:val="00B03488"/>
    <w:rsid w:val="00B035A2"/>
    <w:rsid w:val="00B035FB"/>
    <w:rsid w:val="00B03778"/>
    <w:rsid w:val="00B03C28"/>
    <w:rsid w:val="00B03D14"/>
    <w:rsid w:val="00B03DE2"/>
    <w:rsid w:val="00B03E61"/>
    <w:rsid w:val="00B03F2B"/>
    <w:rsid w:val="00B040A6"/>
    <w:rsid w:val="00B0446A"/>
    <w:rsid w:val="00B0454C"/>
    <w:rsid w:val="00B04692"/>
    <w:rsid w:val="00B049F8"/>
    <w:rsid w:val="00B04A45"/>
    <w:rsid w:val="00B04A7A"/>
    <w:rsid w:val="00B04AAE"/>
    <w:rsid w:val="00B04AE4"/>
    <w:rsid w:val="00B04C31"/>
    <w:rsid w:val="00B04E7C"/>
    <w:rsid w:val="00B04EC6"/>
    <w:rsid w:val="00B051ED"/>
    <w:rsid w:val="00B05381"/>
    <w:rsid w:val="00B05435"/>
    <w:rsid w:val="00B05718"/>
    <w:rsid w:val="00B05812"/>
    <w:rsid w:val="00B05FC3"/>
    <w:rsid w:val="00B06211"/>
    <w:rsid w:val="00B0654E"/>
    <w:rsid w:val="00B06736"/>
    <w:rsid w:val="00B06808"/>
    <w:rsid w:val="00B068D0"/>
    <w:rsid w:val="00B06B15"/>
    <w:rsid w:val="00B06C2D"/>
    <w:rsid w:val="00B06EBF"/>
    <w:rsid w:val="00B076FC"/>
    <w:rsid w:val="00B07CF0"/>
    <w:rsid w:val="00B07F27"/>
    <w:rsid w:val="00B07F2B"/>
    <w:rsid w:val="00B100CD"/>
    <w:rsid w:val="00B100F5"/>
    <w:rsid w:val="00B101CF"/>
    <w:rsid w:val="00B10254"/>
    <w:rsid w:val="00B1035D"/>
    <w:rsid w:val="00B103A4"/>
    <w:rsid w:val="00B103C0"/>
    <w:rsid w:val="00B1074A"/>
    <w:rsid w:val="00B10A97"/>
    <w:rsid w:val="00B10CA2"/>
    <w:rsid w:val="00B10D40"/>
    <w:rsid w:val="00B10F0D"/>
    <w:rsid w:val="00B10FBB"/>
    <w:rsid w:val="00B11171"/>
    <w:rsid w:val="00B1126C"/>
    <w:rsid w:val="00B11591"/>
    <w:rsid w:val="00B1174E"/>
    <w:rsid w:val="00B1191E"/>
    <w:rsid w:val="00B11996"/>
    <w:rsid w:val="00B11C8A"/>
    <w:rsid w:val="00B11D66"/>
    <w:rsid w:val="00B11EC0"/>
    <w:rsid w:val="00B11F8B"/>
    <w:rsid w:val="00B12164"/>
    <w:rsid w:val="00B12598"/>
    <w:rsid w:val="00B12667"/>
    <w:rsid w:val="00B128BC"/>
    <w:rsid w:val="00B12988"/>
    <w:rsid w:val="00B12DD4"/>
    <w:rsid w:val="00B13150"/>
    <w:rsid w:val="00B137E7"/>
    <w:rsid w:val="00B138FF"/>
    <w:rsid w:val="00B1391D"/>
    <w:rsid w:val="00B13979"/>
    <w:rsid w:val="00B13B32"/>
    <w:rsid w:val="00B144E7"/>
    <w:rsid w:val="00B14625"/>
    <w:rsid w:val="00B1464A"/>
    <w:rsid w:val="00B14727"/>
    <w:rsid w:val="00B149A6"/>
    <w:rsid w:val="00B14EA1"/>
    <w:rsid w:val="00B14EAE"/>
    <w:rsid w:val="00B1515A"/>
    <w:rsid w:val="00B154A0"/>
    <w:rsid w:val="00B15519"/>
    <w:rsid w:val="00B15818"/>
    <w:rsid w:val="00B15A5C"/>
    <w:rsid w:val="00B15DD0"/>
    <w:rsid w:val="00B15E04"/>
    <w:rsid w:val="00B15F69"/>
    <w:rsid w:val="00B15F88"/>
    <w:rsid w:val="00B15FAB"/>
    <w:rsid w:val="00B16104"/>
    <w:rsid w:val="00B1620D"/>
    <w:rsid w:val="00B16269"/>
    <w:rsid w:val="00B163A6"/>
    <w:rsid w:val="00B164C5"/>
    <w:rsid w:val="00B16693"/>
    <w:rsid w:val="00B167C6"/>
    <w:rsid w:val="00B16AAC"/>
    <w:rsid w:val="00B16B95"/>
    <w:rsid w:val="00B16BA4"/>
    <w:rsid w:val="00B16D04"/>
    <w:rsid w:val="00B16E29"/>
    <w:rsid w:val="00B16E2E"/>
    <w:rsid w:val="00B17009"/>
    <w:rsid w:val="00B17206"/>
    <w:rsid w:val="00B176F6"/>
    <w:rsid w:val="00B177F6"/>
    <w:rsid w:val="00B17812"/>
    <w:rsid w:val="00B17AF0"/>
    <w:rsid w:val="00B17D07"/>
    <w:rsid w:val="00B17DA2"/>
    <w:rsid w:val="00B200E2"/>
    <w:rsid w:val="00B201B6"/>
    <w:rsid w:val="00B20227"/>
    <w:rsid w:val="00B20230"/>
    <w:rsid w:val="00B206E0"/>
    <w:rsid w:val="00B206FD"/>
    <w:rsid w:val="00B20786"/>
    <w:rsid w:val="00B207B8"/>
    <w:rsid w:val="00B207E3"/>
    <w:rsid w:val="00B20A80"/>
    <w:rsid w:val="00B20CDA"/>
    <w:rsid w:val="00B20E15"/>
    <w:rsid w:val="00B2100B"/>
    <w:rsid w:val="00B2109B"/>
    <w:rsid w:val="00B21505"/>
    <w:rsid w:val="00B21590"/>
    <w:rsid w:val="00B21608"/>
    <w:rsid w:val="00B2173F"/>
    <w:rsid w:val="00B219F8"/>
    <w:rsid w:val="00B21A53"/>
    <w:rsid w:val="00B21DA3"/>
    <w:rsid w:val="00B22276"/>
    <w:rsid w:val="00B22308"/>
    <w:rsid w:val="00B223EE"/>
    <w:rsid w:val="00B2268B"/>
    <w:rsid w:val="00B226C9"/>
    <w:rsid w:val="00B2276C"/>
    <w:rsid w:val="00B22AF2"/>
    <w:rsid w:val="00B22DDF"/>
    <w:rsid w:val="00B22E7F"/>
    <w:rsid w:val="00B23100"/>
    <w:rsid w:val="00B2311F"/>
    <w:rsid w:val="00B23340"/>
    <w:rsid w:val="00B23390"/>
    <w:rsid w:val="00B235F5"/>
    <w:rsid w:val="00B238EF"/>
    <w:rsid w:val="00B2392D"/>
    <w:rsid w:val="00B23A8E"/>
    <w:rsid w:val="00B23DF5"/>
    <w:rsid w:val="00B246D3"/>
    <w:rsid w:val="00B24734"/>
    <w:rsid w:val="00B2538C"/>
    <w:rsid w:val="00B257D7"/>
    <w:rsid w:val="00B2585A"/>
    <w:rsid w:val="00B2597D"/>
    <w:rsid w:val="00B25B7A"/>
    <w:rsid w:val="00B25CB3"/>
    <w:rsid w:val="00B25CD8"/>
    <w:rsid w:val="00B25F23"/>
    <w:rsid w:val="00B25F83"/>
    <w:rsid w:val="00B2613E"/>
    <w:rsid w:val="00B262C3"/>
    <w:rsid w:val="00B26ADC"/>
    <w:rsid w:val="00B26B8E"/>
    <w:rsid w:val="00B27213"/>
    <w:rsid w:val="00B27260"/>
    <w:rsid w:val="00B272DC"/>
    <w:rsid w:val="00B2737B"/>
    <w:rsid w:val="00B274DE"/>
    <w:rsid w:val="00B27604"/>
    <w:rsid w:val="00B27766"/>
    <w:rsid w:val="00B27A2C"/>
    <w:rsid w:val="00B27AA8"/>
    <w:rsid w:val="00B27EB1"/>
    <w:rsid w:val="00B30014"/>
    <w:rsid w:val="00B30348"/>
    <w:rsid w:val="00B30A08"/>
    <w:rsid w:val="00B30CCA"/>
    <w:rsid w:val="00B31027"/>
    <w:rsid w:val="00B313F4"/>
    <w:rsid w:val="00B31442"/>
    <w:rsid w:val="00B31507"/>
    <w:rsid w:val="00B31590"/>
    <w:rsid w:val="00B316B2"/>
    <w:rsid w:val="00B31955"/>
    <w:rsid w:val="00B31A93"/>
    <w:rsid w:val="00B31CAD"/>
    <w:rsid w:val="00B31D74"/>
    <w:rsid w:val="00B31DAF"/>
    <w:rsid w:val="00B31F3B"/>
    <w:rsid w:val="00B32160"/>
    <w:rsid w:val="00B324C9"/>
    <w:rsid w:val="00B32953"/>
    <w:rsid w:val="00B32A00"/>
    <w:rsid w:val="00B32BC6"/>
    <w:rsid w:val="00B32C98"/>
    <w:rsid w:val="00B331CB"/>
    <w:rsid w:val="00B33431"/>
    <w:rsid w:val="00B334DF"/>
    <w:rsid w:val="00B336E1"/>
    <w:rsid w:val="00B3378C"/>
    <w:rsid w:val="00B338BB"/>
    <w:rsid w:val="00B33AE9"/>
    <w:rsid w:val="00B33B53"/>
    <w:rsid w:val="00B34056"/>
    <w:rsid w:val="00B340BE"/>
    <w:rsid w:val="00B342B8"/>
    <w:rsid w:val="00B3432D"/>
    <w:rsid w:val="00B343DE"/>
    <w:rsid w:val="00B343EA"/>
    <w:rsid w:val="00B3485C"/>
    <w:rsid w:val="00B351E9"/>
    <w:rsid w:val="00B3522A"/>
    <w:rsid w:val="00B353F1"/>
    <w:rsid w:val="00B3581E"/>
    <w:rsid w:val="00B35C93"/>
    <w:rsid w:val="00B35D4B"/>
    <w:rsid w:val="00B35EA1"/>
    <w:rsid w:val="00B35F5C"/>
    <w:rsid w:val="00B36057"/>
    <w:rsid w:val="00B362AE"/>
    <w:rsid w:val="00B363BA"/>
    <w:rsid w:val="00B36401"/>
    <w:rsid w:val="00B36472"/>
    <w:rsid w:val="00B364E9"/>
    <w:rsid w:val="00B3654E"/>
    <w:rsid w:val="00B365F7"/>
    <w:rsid w:val="00B36649"/>
    <w:rsid w:val="00B3665D"/>
    <w:rsid w:val="00B36932"/>
    <w:rsid w:val="00B36B09"/>
    <w:rsid w:val="00B36D25"/>
    <w:rsid w:val="00B36DCE"/>
    <w:rsid w:val="00B36E77"/>
    <w:rsid w:val="00B37165"/>
    <w:rsid w:val="00B371E6"/>
    <w:rsid w:val="00B3776A"/>
    <w:rsid w:val="00B37A06"/>
    <w:rsid w:val="00B37D20"/>
    <w:rsid w:val="00B37EA5"/>
    <w:rsid w:val="00B37F3D"/>
    <w:rsid w:val="00B37F7E"/>
    <w:rsid w:val="00B4002C"/>
    <w:rsid w:val="00B4054C"/>
    <w:rsid w:val="00B405FD"/>
    <w:rsid w:val="00B408D9"/>
    <w:rsid w:val="00B40A6D"/>
    <w:rsid w:val="00B40A86"/>
    <w:rsid w:val="00B40ABB"/>
    <w:rsid w:val="00B40CDF"/>
    <w:rsid w:val="00B417DB"/>
    <w:rsid w:val="00B41ACF"/>
    <w:rsid w:val="00B41F81"/>
    <w:rsid w:val="00B4203D"/>
    <w:rsid w:val="00B4207A"/>
    <w:rsid w:val="00B420C0"/>
    <w:rsid w:val="00B421F2"/>
    <w:rsid w:val="00B422FB"/>
    <w:rsid w:val="00B423E8"/>
    <w:rsid w:val="00B424A0"/>
    <w:rsid w:val="00B42531"/>
    <w:rsid w:val="00B42544"/>
    <w:rsid w:val="00B4291C"/>
    <w:rsid w:val="00B42C3E"/>
    <w:rsid w:val="00B42EDC"/>
    <w:rsid w:val="00B42FB4"/>
    <w:rsid w:val="00B43083"/>
    <w:rsid w:val="00B432D7"/>
    <w:rsid w:val="00B433AD"/>
    <w:rsid w:val="00B433E8"/>
    <w:rsid w:val="00B43502"/>
    <w:rsid w:val="00B435AA"/>
    <w:rsid w:val="00B435C0"/>
    <w:rsid w:val="00B436A8"/>
    <w:rsid w:val="00B4377C"/>
    <w:rsid w:val="00B4408D"/>
    <w:rsid w:val="00B442E0"/>
    <w:rsid w:val="00B44C51"/>
    <w:rsid w:val="00B44C83"/>
    <w:rsid w:val="00B44DF3"/>
    <w:rsid w:val="00B44FFB"/>
    <w:rsid w:val="00B4511A"/>
    <w:rsid w:val="00B45809"/>
    <w:rsid w:val="00B45853"/>
    <w:rsid w:val="00B458A7"/>
    <w:rsid w:val="00B45927"/>
    <w:rsid w:val="00B4593D"/>
    <w:rsid w:val="00B45BF0"/>
    <w:rsid w:val="00B45C96"/>
    <w:rsid w:val="00B45F6D"/>
    <w:rsid w:val="00B46478"/>
    <w:rsid w:val="00B4689D"/>
    <w:rsid w:val="00B46978"/>
    <w:rsid w:val="00B469DB"/>
    <w:rsid w:val="00B46C4B"/>
    <w:rsid w:val="00B46E61"/>
    <w:rsid w:val="00B47025"/>
    <w:rsid w:val="00B47148"/>
    <w:rsid w:val="00B4726B"/>
    <w:rsid w:val="00B4732C"/>
    <w:rsid w:val="00B47747"/>
    <w:rsid w:val="00B47874"/>
    <w:rsid w:val="00B47DE3"/>
    <w:rsid w:val="00B47E8C"/>
    <w:rsid w:val="00B47E93"/>
    <w:rsid w:val="00B47F02"/>
    <w:rsid w:val="00B50019"/>
    <w:rsid w:val="00B500CE"/>
    <w:rsid w:val="00B501A6"/>
    <w:rsid w:val="00B50350"/>
    <w:rsid w:val="00B50569"/>
    <w:rsid w:val="00B50AE9"/>
    <w:rsid w:val="00B50BA3"/>
    <w:rsid w:val="00B50BC3"/>
    <w:rsid w:val="00B50C25"/>
    <w:rsid w:val="00B50D14"/>
    <w:rsid w:val="00B50D51"/>
    <w:rsid w:val="00B50DA6"/>
    <w:rsid w:val="00B50F2B"/>
    <w:rsid w:val="00B51177"/>
    <w:rsid w:val="00B5117D"/>
    <w:rsid w:val="00B51182"/>
    <w:rsid w:val="00B51499"/>
    <w:rsid w:val="00B517CD"/>
    <w:rsid w:val="00B5190C"/>
    <w:rsid w:val="00B51E55"/>
    <w:rsid w:val="00B51E7F"/>
    <w:rsid w:val="00B52259"/>
    <w:rsid w:val="00B525A1"/>
    <w:rsid w:val="00B526E6"/>
    <w:rsid w:val="00B5285A"/>
    <w:rsid w:val="00B52B5C"/>
    <w:rsid w:val="00B52E74"/>
    <w:rsid w:val="00B53077"/>
    <w:rsid w:val="00B5319C"/>
    <w:rsid w:val="00B533CE"/>
    <w:rsid w:val="00B53B50"/>
    <w:rsid w:val="00B53E42"/>
    <w:rsid w:val="00B542D7"/>
    <w:rsid w:val="00B542FE"/>
    <w:rsid w:val="00B54309"/>
    <w:rsid w:val="00B54469"/>
    <w:rsid w:val="00B548DE"/>
    <w:rsid w:val="00B54B22"/>
    <w:rsid w:val="00B54E47"/>
    <w:rsid w:val="00B54E68"/>
    <w:rsid w:val="00B54F55"/>
    <w:rsid w:val="00B54FEF"/>
    <w:rsid w:val="00B5529B"/>
    <w:rsid w:val="00B55404"/>
    <w:rsid w:val="00B5560C"/>
    <w:rsid w:val="00B55793"/>
    <w:rsid w:val="00B55A1F"/>
    <w:rsid w:val="00B55BC8"/>
    <w:rsid w:val="00B55EE3"/>
    <w:rsid w:val="00B55FFA"/>
    <w:rsid w:val="00B5607A"/>
    <w:rsid w:val="00B5626B"/>
    <w:rsid w:val="00B56274"/>
    <w:rsid w:val="00B5662E"/>
    <w:rsid w:val="00B567F0"/>
    <w:rsid w:val="00B5697D"/>
    <w:rsid w:val="00B569B4"/>
    <w:rsid w:val="00B569CE"/>
    <w:rsid w:val="00B569EA"/>
    <w:rsid w:val="00B5758A"/>
    <w:rsid w:val="00B57752"/>
    <w:rsid w:val="00B57BD0"/>
    <w:rsid w:val="00B57C7F"/>
    <w:rsid w:val="00B57EB4"/>
    <w:rsid w:val="00B57F64"/>
    <w:rsid w:val="00B57FDE"/>
    <w:rsid w:val="00B60433"/>
    <w:rsid w:val="00B6056E"/>
    <w:rsid w:val="00B606CE"/>
    <w:rsid w:val="00B60842"/>
    <w:rsid w:val="00B609DB"/>
    <w:rsid w:val="00B60B9C"/>
    <w:rsid w:val="00B60C09"/>
    <w:rsid w:val="00B60C1C"/>
    <w:rsid w:val="00B61067"/>
    <w:rsid w:val="00B61073"/>
    <w:rsid w:val="00B61133"/>
    <w:rsid w:val="00B61187"/>
    <w:rsid w:val="00B614B4"/>
    <w:rsid w:val="00B61501"/>
    <w:rsid w:val="00B616DA"/>
    <w:rsid w:val="00B617B2"/>
    <w:rsid w:val="00B6197D"/>
    <w:rsid w:val="00B61A05"/>
    <w:rsid w:val="00B61AB8"/>
    <w:rsid w:val="00B61BCE"/>
    <w:rsid w:val="00B61DDB"/>
    <w:rsid w:val="00B6217B"/>
    <w:rsid w:val="00B622BD"/>
    <w:rsid w:val="00B6241A"/>
    <w:rsid w:val="00B625A9"/>
    <w:rsid w:val="00B62A68"/>
    <w:rsid w:val="00B62B68"/>
    <w:rsid w:val="00B62C71"/>
    <w:rsid w:val="00B62CF2"/>
    <w:rsid w:val="00B63113"/>
    <w:rsid w:val="00B63138"/>
    <w:rsid w:val="00B6345C"/>
    <w:rsid w:val="00B635C3"/>
    <w:rsid w:val="00B6363F"/>
    <w:rsid w:val="00B63B34"/>
    <w:rsid w:val="00B63B59"/>
    <w:rsid w:val="00B63B66"/>
    <w:rsid w:val="00B63F3A"/>
    <w:rsid w:val="00B64077"/>
    <w:rsid w:val="00B6415E"/>
    <w:rsid w:val="00B643D5"/>
    <w:rsid w:val="00B644F3"/>
    <w:rsid w:val="00B645E9"/>
    <w:rsid w:val="00B64670"/>
    <w:rsid w:val="00B6476D"/>
    <w:rsid w:val="00B64772"/>
    <w:rsid w:val="00B648AF"/>
    <w:rsid w:val="00B64BB9"/>
    <w:rsid w:val="00B64CAC"/>
    <w:rsid w:val="00B64EF3"/>
    <w:rsid w:val="00B652CA"/>
    <w:rsid w:val="00B652E0"/>
    <w:rsid w:val="00B653C2"/>
    <w:rsid w:val="00B6557A"/>
    <w:rsid w:val="00B65743"/>
    <w:rsid w:val="00B6581B"/>
    <w:rsid w:val="00B658EB"/>
    <w:rsid w:val="00B65EC2"/>
    <w:rsid w:val="00B6601C"/>
    <w:rsid w:val="00B6610B"/>
    <w:rsid w:val="00B662CD"/>
    <w:rsid w:val="00B662E2"/>
    <w:rsid w:val="00B66490"/>
    <w:rsid w:val="00B66508"/>
    <w:rsid w:val="00B665B8"/>
    <w:rsid w:val="00B66C12"/>
    <w:rsid w:val="00B66CA1"/>
    <w:rsid w:val="00B66F38"/>
    <w:rsid w:val="00B67308"/>
    <w:rsid w:val="00B6760E"/>
    <w:rsid w:val="00B67AF4"/>
    <w:rsid w:val="00B67B39"/>
    <w:rsid w:val="00B67EAE"/>
    <w:rsid w:val="00B67EE4"/>
    <w:rsid w:val="00B70227"/>
    <w:rsid w:val="00B7040B"/>
    <w:rsid w:val="00B705B5"/>
    <w:rsid w:val="00B70855"/>
    <w:rsid w:val="00B70BAB"/>
    <w:rsid w:val="00B70DBB"/>
    <w:rsid w:val="00B70EC6"/>
    <w:rsid w:val="00B71070"/>
    <w:rsid w:val="00B7135E"/>
    <w:rsid w:val="00B713A7"/>
    <w:rsid w:val="00B713E9"/>
    <w:rsid w:val="00B714CF"/>
    <w:rsid w:val="00B7151A"/>
    <w:rsid w:val="00B71616"/>
    <w:rsid w:val="00B71978"/>
    <w:rsid w:val="00B71A8C"/>
    <w:rsid w:val="00B71D89"/>
    <w:rsid w:val="00B71F20"/>
    <w:rsid w:val="00B72320"/>
    <w:rsid w:val="00B72333"/>
    <w:rsid w:val="00B7277D"/>
    <w:rsid w:val="00B72C79"/>
    <w:rsid w:val="00B72CC8"/>
    <w:rsid w:val="00B72FDC"/>
    <w:rsid w:val="00B741A9"/>
    <w:rsid w:val="00B74274"/>
    <w:rsid w:val="00B7450E"/>
    <w:rsid w:val="00B7452D"/>
    <w:rsid w:val="00B74606"/>
    <w:rsid w:val="00B747F4"/>
    <w:rsid w:val="00B7484D"/>
    <w:rsid w:val="00B74C2D"/>
    <w:rsid w:val="00B74D06"/>
    <w:rsid w:val="00B75321"/>
    <w:rsid w:val="00B7533E"/>
    <w:rsid w:val="00B75340"/>
    <w:rsid w:val="00B7549F"/>
    <w:rsid w:val="00B75AA4"/>
    <w:rsid w:val="00B75BF3"/>
    <w:rsid w:val="00B75F0D"/>
    <w:rsid w:val="00B75F7A"/>
    <w:rsid w:val="00B7631D"/>
    <w:rsid w:val="00B76607"/>
    <w:rsid w:val="00B766B8"/>
    <w:rsid w:val="00B766D9"/>
    <w:rsid w:val="00B767B4"/>
    <w:rsid w:val="00B76987"/>
    <w:rsid w:val="00B76A17"/>
    <w:rsid w:val="00B76AD9"/>
    <w:rsid w:val="00B76DDE"/>
    <w:rsid w:val="00B76ED0"/>
    <w:rsid w:val="00B7712F"/>
    <w:rsid w:val="00B77245"/>
    <w:rsid w:val="00B774F5"/>
    <w:rsid w:val="00B7769B"/>
    <w:rsid w:val="00B77AEF"/>
    <w:rsid w:val="00B800EA"/>
    <w:rsid w:val="00B801C5"/>
    <w:rsid w:val="00B802E3"/>
    <w:rsid w:val="00B8035E"/>
    <w:rsid w:val="00B804E7"/>
    <w:rsid w:val="00B80511"/>
    <w:rsid w:val="00B805BB"/>
    <w:rsid w:val="00B807B3"/>
    <w:rsid w:val="00B80ACE"/>
    <w:rsid w:val="00B80B67"/>
    <w:rsid w:val="00B8155A"/>
    <w:rsid w:val="00B8167E"/>
    <w:rsid w:val="00B81B4E"/>
    <w:rsid w:val="00B82055"/>
    <w:rsid w:val="00B82345"/>
    <w:rsid w:val="00B82404"/>
    <w:rsid w:val="00B8244D"/>
    <w:rsid w:val="00B8265B"/>
    <w:rsid w:val="00B82A5C"/>
    <w:rsid w:val="00B82A65"/>
    <w:rsid w:val="00B82A96"/>
    <w:rsid w:val="00B82B63"/>
    <w:rsid w:val="00B82BA0"/>
    <w:rsid w:val="00B82DE6"/>
    <w:rsid w:val="00B82E0D"/>
    <w:rsid w:val="00B82E3A"/>
    <w:rsid w:val="00B82F9D"/>
    <w:rsid w:val="00B832B1"/>
    <w:rsid w:val="00B83301"/>
    <w:rsid w:val="00B833E8"/>
    <w:rsid w:val="00B83447"/>
    <w:rsid w:val="00B834E5"/>
    <w:rsid w:val="00B83522"/>
    <w:rsid w:val="00B838EF"/>
    <w:rsid w:val="00B839D8"/>
    <w:rsid w:val="00B83A1B"/>
    <w:rsid w:val="00B83B80"/>
    <w:rsid w:val="00B83CDB"/>
    <w:rsid w:val="00B83F80"/>
    <w:rsid w:val="00B84331"/>
    <w:rsid w:val="00B8459B"/>
    <w:rsid w:val="00B846C7"/>
    <w:rsid w:val="00B8474A"/>
    <w:rsid w:val="00B8489F"/>
    <w:rsid w:val="00B849AC"/>
    <w:rsid w:val="00B84B22"/>
    <w:rsid w:val="00B852BD"/>
    <w:rsid w:val="00B85341"/>
    <w:rsid w:val="00B8551C"/>
    <w:rsid w:val="00B85B5E"/>
    <w:rsid w:val="00B85C75"/>
    <w:rsid w:val="00B85D58"/>
    <w:rsid w:val="00B85F71"/>
    <w:rsid w:val="00B85FE1"/>
    <w:rsid w:val="00B861CF"/>
    <w:rsid w:val="00B865F6"/>
    <w:rsid w:val="00B86600"/>
    <w:rsid w:val="00B86689"/>
    <w:rsid w:val="00B86958"/>
    <w:rsid w:val="00B86A2C"/>
    <w:rsid w:val="00B86F10"/>
    <w:rsid w:val="00B871B7"/>
    <w:rsid w:val="00B87371"/>
    <w:rsid w:val="00B873CF"/>
    <w:rsid w:val="00B87C6A"/>
    <w:rsid w:val="00B90252"/>
    <w:rsid w:val="00B90815"/>
    <w:rsid w:val="00B90B56"/>
    <w:rsid w:val="00B910C7"/>
    <w:rsid w:val="00B9125D"/>
    <w:rsid w:val="00B912A8"/>
    <w:rsid w:val="00B914FA"/>
    <w:rsid w:val="00B91589"/>
    <w:rsid w:val="00B9160C"/>
    <w:rsid w:val="00B91839"/>
    <w:rsid w:val="00B91879"/>
    <w:rsid w:val="00B919A0"/>
    <w:rsid w:val="00B91D9D"/>
    <w:rsid w:val="00B91E6C"/>
    <w:rsid w:val="00B92067"/>
    <w:rsid w:val="00B925B5"/>
    <w:rsid w:val="00B926A3"/>
    <w:rsid w:val="00B92797"/>
    <w:rsid w:val="00B928AD"/>
    <w:rsid w:val="00B92956"/>
    <w:rsid w:val="00B92A3B"/>
    <w:rsid w:val="00B92B4A"/>
    <w:rsid w:val="00B92BC5"/>
    <w:rsid w:val="00B92D9E"/>
    <w:rsid w:val="00B92DE2"/>
    <w:rsid w:val="00B92EA5"/>
    <w:rsid w:val="00B92FF5"/>
    <w:rsid w:val="00B93034"/>
    <w:rsid w:val="00B93154"/>
    <w:rsid w:val="00B933A0"/>
    <w:rsid w:val="00B934F5"/>
    <w:rsid w:val="00B93533"/>
    <w:rsid w:val="00B93675"/>
    <w:rsid w:val="00B9373E"/>
    <w:rsid w:val="00B9378A"/>
    <w:rsid w:val="00B93902"/>
    <w:rsid w:val="00B939F1"/>
    <w:rsid w:val="00B93D00"/>
    <w:rsid w:val="00B943EA"/>
    <w:rsid w:val="00B94595"/>
    <w:rsid w:val="00B948BF"/>
    <w:rsid w:val="00B94AAE"/>
    <w:rsid w:val="00B94B2A"/>
    <w:rsid w:val="00B94C98"/>
    <w:rsid w:val="00B94D44"/>
    <w:rsid w:val="00B94E1A"/>
    <w:rsid w:val="00B94E46"/>
    <w:rsid w:val="00B94E80"/>
    <w:rsid w:val="00B94F82"/>
    <w:rsid w:val="00B9522F"/>
    <w:rsid w:val="00B95332"/>
    <w:rsid w:val="00B955CE"/>
    <w:rsid w:val="00B956EF"/>
    <w:rsid w:val="00B958DE"/>
    <w:rsid w:val="00B95BFC"/>
    <w:rsid w:val="00B95C23"/>
    <w:rsid w:val="00B95DE7"/>
    <w:rsid w:val="00B95FAC"/>
    <w:rsid w:val="00B966E9"/>
    <w:rsid w:val="00B968A0"/>
    <w:rsid w:val="00B969E0"/>
    <w:rsid w:val="00B969F5"/>
    <w:rsid w:val="00B96BE4"/>
    <w:rsid w:val="00B96CB2"/>
    <w:rsid w:val="00B970F6"/>
    <w:rsid w:val="00B97184"/>
    <w:rsid w:val="00B972FE"/>
    <w:rsid w:val="00B973AE"/>
    <w:rsid w:val="00B974DA"/>
    <w:rsid w:val="00B976C7"/>
    <w:rsid w:val="00B977C8"/>
    <w:rsid w:val="00B97C5F"/>
    <w:rsid w:val="00B97D9B"/>
    <w:rsid w:val="00BA0253"/>
    <w:rsid w:val="00BA052F"/>
    <w:rsid w:val="00BA059C"/>
    <w:rsid w:val="00BA0861"/>
    <w:rsid w:val="00BA0AAD"/>
    <w:rsid w:val="00BA0B98"/>
    <w:rsid w:val="00BA152F"/>
    <w:rsid w:val="00BA1543"/>
    <w:rsid w:val="00BA1717"/>
    <w:rsid w:val="00BA17FE"/>
    <w:rsid w:val="00BA1975"/>
    <w:rsid w:val="00BA1A44"/>
    <w:rsid w:val="00BA1F99"/>
    <w:rsid w:val="00BA1FA2"/>
    <w:rsid w:val="00BA212B"/>
    <w:rsid w:val="00BA2664"/>
    <w:rsid w:val="00BA2927"/>
    <w:rsid w:val="00BA29A0"/>
    <w:rsid w:val="00BA2D38"/>
    <w:rsid w:val="00BA2E23"/>
    <w:rsid w:val="00BA3005"/>
    <w:rsid w:val="00BA30EC"/>
    <w:rsid w:val="00BA31A9"/>
    <w:rsid w:val="00BA331E"/>
    <w:rsid w:val="00BA33AB"/>
    <w:rsid w:val="00BA3496"/>
    <w:rsid w:val="00BA3630"/>
    <w:rsid w:val="00BA3649"/>
    <w:rsid w:val="00BA36CB"/>
    <w:rsid w:val="00BA3B03"/>
    <w:rsid w:val="00BA3B63"/>
    <w:rsid w:val="00BA3BD6"/>
    <w:rsid w:val="00BA3C82"/>
    <w:rsid w:val="00BA3E2B"/>
    <w:rsid w:val="00BA3F99"/>
    <w:rsid w:val="00BA43A0"/>
    <w:rsid w:val="00BA489B"/>
    <w:rsid w:val="00BA4A54"/>
    <w:rsid w:val="00BA4B57"/>
    <w:rsid w:val="00BA532D"/>
    <w:rsid w:val="00BA567C"/>
    <w:rsid w:val="00BA57EA"/>
    <w:rsid w:val="00BA5A1D"/>
    <w:rsid w:val="00BA5A9E"/>
    <w:rsid w:val="00BA5AF1"/>
    <w:rsid w:val="00BA5E41"/>
    <w:rsid w:val="00BA60EE"/>
    <w:rsid w:val="00BA61BB"/>
    <w:rsid w:val="00BA6532"/>
    <w:rsid w:val="00BA67D3"/>
    <w:rsid w:val="00BA6A29"/>
    <w:rsid w:val="00BA6C37"/>
    <w:rsid w:val="00BA6E39"/>
    <w:rsid w:val="00BA6F0E"/>
    <w:rsid w:val="00BA6FF1"/>
    <w:rsid w:val="00BA700E"/>
    <w:rsid w:val="00BA7057"/>
    <w:rsid w:val="00BA71CB"/>
    <w:rsid w:val="00BA742E"/>
    <w:rsid w:val="00BA766D"/>
    <w:rsid w:val="00BA77DB"/>
    <w:rsid w:val="00BA7D3B"/>
    <w:rsid w:val="00BA7E3C"/>
    <w:rsid w:val="00BB00EE"/>
    <w:rsid w:val="00BB014A"/>
    <w:rsid w:val="00BB0460"/>
    <w:rsid w:val="00BB051C"/>
    <w:rsid w:val="00BB057F"/>
    <w:rsid w:val="00BB067D"/>
    <w:rsid w:val="00BB0BA8"/>
    <w:rsid w:val="00BB0DD6"/>
    <w:rsid w:val="00BB0E73"/>
    <w:rsid w:val="00BB0E93"/>
    <w:rsid w:val="00BB10CE"/>
    <w:rsid w:val="00BB1293"/>
    <w:rsid w:val="00BB12D9"/>
    <w:rsid w:val="00BB13A0"/>
    <w:rsid w:val="00BB147C"/>
    <w:rsid w:val="00BB1714"/>
    <w:rsid w:val="00BB180A"/>
    <w:rsid w:val="00BB182A"/>
    <w:rsid w:val="00BB1AC0"/>
    <w:rsid w:val="00BB21EB"/>
    <w:rsid w:val="00BB220D"/>
    <w:rsid w:val="00BB2264"/>
    <w:rsid w:val="00BB24C3"/>
    <w:rsid w:val="00BB2699"/>
    <w:rsid w:val="00BB284D"/>
    <w:rsid w:val="00BB28D2"/>
    <w:rsid w:val="00BB2D8A"/>
    <w:rsid w:val="00BB3808"/>
    <w:rsid w:val="00BB38D1"/>
    <w:rsid w:val="00BB3C98"/>
    <w:rsid w:val="00BB3F1F"/>
    <w:rsid w:val="00BB3FAA"/>
    <w:rsid w:val="00BB40F7"/>
    <w:rsid w:val="00BB4255"/>
    <w:rsid w:val="00BB4312"/>
    <w:rsid w:val="00BB48D4"/>
    <w:rsid w:val="00BB4920"/>
    <w:rsid w:val="00BB4CCE"/>
    <w:rsid w:val="00BB4D30"/>
    <w:rsid w:val="00BB4D43"/>
    <w:rsid w:val="00BB5306"/>
    <w:rsid w:val="00BB555A"/>
    <w:rsid w:val="00BB563A"/>
    <w:rsid w:val="00BB5795"/>
    <w:rsid w:val="00BB57E1"/>
    <w:rsid w:val="00BB586E"/>
    <w:rsid w:val="00BB58F4"/>
    <w:rsid w:val="00BB5AE5"/>
    <w:rsid w:val="00BB5B76"/>
    <w:rsid w:val="00BB5C81"/>
    <w:rsid w:val="00BB5CAF"/>
    <w:rsid w:val="00BB5DA9"/>
    <w:rsid w:val="00BB5E10"/>
    <w:rsid w:val="00BB5E42"/>
    <w:rsid w:val="00BB621A"/>
    <w:rsid w:val="00BB6577"/>
    <w:rsid w:val="00BB65AE"/>
    <w:rsid w:val="00BB68B7"/>
    <w:rsid w:val="00BB69B1"/>
    <w:rsid w:val="00BB6A32"/>
    <w:rsid w:val="00BB6D1B"/>
    <w:rsid w:val="00BB6E09"/>
    <w:rsid w:val="00BB6E5E"/>
    <w:rsid w:val="00BB72D9"/>
    <w:rsid w:val="00BB742E"/>
    <w:rsid w:val="00BB75C1"/>
    <w:rsid w:val="00BB778C"/>
    <w:rsid w:val="00BB7844"/>
    <w:rsid w:val="00BB7868"/>
    <w:rsid w:val="00BB7CAF"/>
    <w:rsid w:val="00BB7D78"/>
    <w:rsid w:val="00BB7E3B"/>
    <w:rsid w:val="00BB7E7A"/>
    <w:rsid w:val="00BC0188"/>
    <w:rsid w:val="00BC0518"/>
    <w:rsid w:val="00BC057E"/>
    <w:rsid w:val="00BC094B"/>
    <w:rsid w:val="00BC0DFC"/>
    <w:rsid w:val="00BC0E49"/>
    <w:rsid w:val="00BC0E9A"/>
    <w:rsid w:val="00BC0EB3"/>
    <w:rsid w:val="00BC0F6E"/>
    <w:rsid w:val="00BC0F8E"/>
    <w:rsid w:val="00BC1120"/>
    <w:rsid w:val="00BC13AE"/>
    <w:rsid w:val="00BC1457"/>
    <w:rsid w:val="00BC1996"/>
    <w:rsid w:val="00BC19C6"/>
    <w:rsid w:val="00BC1B1E"/>
    <w:rsid w:val="00BC1B9A"/>
    <w:rsid w:val="00BC1C1B"/>
    <w:rsid w:val="00BC1FAB"/>
    <w:rsid w:val="00BC213E"/>
    <w:rsid w:val="00BC218F"/>
    <w:rsid w:val="00BC28A1"/>
    <w:rsid w:val="00BC2E2A"/>
    <w:rsid w:val="00BC317F"/>
    <w:rsid w:val="00BC3259"/>
    <w:rsid w:val="00BC33C0"/>
    <w:rsid w:val="00BC3419"/>
    <w:rsid w:val="00BC38A5"/>
    <w:rsid w:val="00BC3989"/>
    <w:rsid w:val="00BC3B19"/>
    <w:rsid w:val="00BC3C00"/>
    <w:rsid w:val="00BC3C91"/>
    <w:rsid w:val="00BC3EDB"/>
    <w:rsid w:val="00BC45ED"/>
    <w:rsid w:val="00BC4929"/>
    <w:rsid w:val="00BC4ADD"/>
    <w:rsid w:val="00BC4EA2"/>
    <w:rsid w:val="00BC515C"/>
    <w:rsid w:val="00BC51C4"/>
    <w:rsid w:val="00BC5594"/>
    <w:rsid w:val="00BC5702"/>
    <w:rsid w:val="00BC57D9"/>
    <w:rsid w:val="00BC5BEC"/>
    <w:rsid w:val="00BC5D23"/>
    <w:rsid w:val="00BC5F53"/>
    <w:rsid w:val="00BC6133"/>
    <w:rsid w:val="00BC615C"/>
    <w:rsid w:val="00BC6164"/>
    <w:rsid w:val="00BC6653"/>
    <w:rsid w:val="00BC68F9"/>
    <w:rsid w:val="00BC6A21"/>
    <w:rsid w:val="00BC6BB2"/>
    <w:rsid w:val="00BC6F05"/>
    <w:rsid w:val="00BC727A"/>
    <w:rsid w:val="00BC7486"/>
    <w:rsid w:val="00BC753E"/>
    <w:rsid w:val="00BC75FB"/>
    <w:rsid w:val="00BC76E9"/>
    <w:rsid w:val="00BC79D8"/>
    <w:rsid w:val="00BC7A22"/>
    <w:rsid w:val="00BC7AE1"/>
    <w:rsid w:val="00BC7C9F"/>
    <w:rsid w:val="00BC7D5F"/>
    <w:rsid w:val="00BC7D6B"/>
    <w:rsid w:val="00BD00B6"/>
    <w:rsid w:val="00BD0109"/>
    <w:rsid w:val="00BD0211"/>
    <w:rsid w:val="00BD0620"/>
    <w:rsid w:val="00BD074B"/>
    <w:rsid w:val="00BD0944"/>
    <w:rsid w:val="00BD0B94"/>
    <w:rsid w:val="00BD106E"/>
    <w:rsid w:val="00BD1262"/>
    <w:rsid w:val="00BD142D"/>
    <w:rsid w:val="00BD143B"/>
    <w:rsid w:val="00BD148C"/>
    <w:rsid w:val="00BD1899"/>
    <w:rsid w:val="00BD1988"/>
    <w:rsid w:val="00BD19F9"/>
    <w:rsid w:val="00BD1D19"/>
    <w:rsid w:val="00BD20AE"/>
    <w:rsid w:val="00BD2155"/>
    <w:rsid w:val="00BD230D"/>
    <w:rsid w:val="00BD2494"/>
    <w:rsid w:val="00BD24F5"/>
    <w:rsid w:val="00BD27C8"/>
    <w:rsid w:val="00BD2B69"/>
    <w:rsid w:val="00BD2FD0"/>
    <w:rsid w:val="00BD32CA"/>
    <w:rsid w:val="00BD335C"/>
    <w:rsid w:val="00BD35C2"/>
    <w:rsid w:val="00BD3970"/>
    <w:rsid w:val="00BD3971"/>
    <w:rsid w:val="00BD3B61"/>
    <w:rsid w:val="00BD41E1"/>
    <w:rsid w:val="00BD4502"/>
    <w:rsid w:val="00BD45EE"/>
    <w:rsid w:val="00BD4834"/>
    <w:rsid w:val="00BD4B1D"/>
    <w:rsid w:val="00BD4BAE"/>
    <w:rsid w:val="00BD4BC4"/>
    <w:rsid w:val="00BD4D9E"/>
    <w:rsid w:val="00BD4E5E"/>
    <w:rsid w:val="00BD4FE7"/>
    <w:rsid w:val="00BD50E6"/>
    <w:rsid w:val="00BD522B"/>
    <w:rsid w:val="00BD5342"/>
    <w:rsid w:val="00BD5463"/>
    <w:rsid w:val="00BD5729"/>
    <w:rsid w:val="00BD5740"/>
    <w:rsid w:val="00BD5B8B"/>
    <w:rsid w:val="00BD5C6A"/>
    <w:rsid w:val="00BD600E"/>
    <w:rsid w:val="00BD60B2"/>
    <w:rsid w:val="00BD613C"/>
    <w:rsid w:val="00BD61E2"/>
    <w:rsid w:val="00BD6459"/>
    <w:rsid w:val="00BD6548"/>
    <w:rsid w:val="00BD66A2"/>
    <w:rsid w:val="00BD66F7"/>
    <w:rsid w:val="00BD66FE"/>
    <w:rsid w:val="00BD6894"/>
    <w:rsid w:val="00BD68A9"/>
    <w:rsid w:val="00BD68CE"/>
    <w:rsid w:val="00BD6BD3"/>
    <w:rsid w:val="00BD6D11"/>
    <w:rsid w:val="00BD77BF"/>
    <w:rsid w:val="00BD7817"/>
    <w:rsid w:val="00BD7A5E"/>
    <w:rsid w:val="00BD7AA7"/>
    <w:rsid w:val="00BD7EBD"/>
    <w:rsid w:val="00BD7EF1"/>
    <w:rsid w:val="00BE00AA"/>
    <w:rsid w:val="00BE00C2"/>
    <w:rsid w:val="00BE0110"/>
    <w:rsid w:val="00BE02A9"/>
    <w:rsid w:val="00BE0781"/>
    <w:rsid w:val="00BE08CA"/>
    <w:rsid w:val="00BE1DC9"/>
    <w:rsid w:val="00BE1F28"/>
    <w:rsid w:val="00BE207A"/>
    <w:rsid w:val="00BE2578"/>
    <w:rsid w:val="00BE2722"/>
    <w:rsid w:val="00BE288F"/>
    <w:rsid w:val="00BE2896"/>
    <w:rsid w:val="00BE28A0"/>
    <w:rsid w:val="00BE2923"/>
    <w:rsid w:val="00BE2D5B"/>
    <w:rsid w:val="00BE3109"/>
    <w:rsid w:val="00BE337D"/>
    <w:rsid w:val="00BE353E"/>
    <w:rsid w:val="00BE387F"/>
    <w:rsid w:val="00BE3982"/>
    <w:rsid w:val="00BE3AA0"/>
    <w:rsid w:val="00BE3D0E"/>
    <w:rsid w:val="00BE400C"/>
    <w:rsid w:val="00BE4841"/>
    <w:rsid w:val="00BE48A7"/>
    <w:rsid w:val="00BE4970"/>
    <w:rsid w:val="00BE4A9B"/>
    <w:rsid w:val="00BE4C9E"/>
    <w:rsid w:val="00BE4E3C"/>
    <w:rsid w:val="00BE4F97"/>
    <w:rsid w:val="00BE539C"/>
    <w:rsid w:val="00BE551A"/>
    <w:rsid w:val="00BE5737"/>
    <w:rsid w:val="00BE5893"/>
    <w:rsid w:val="00BE604C"/>
    <w:rsid w:val="00BE607B"/>
    <w:rsid w:val="00BE609E"/>
    <w:rsid w:val="00BE60BD"/>
    <w:rsid w:val="00BE6101"/>
    <w:rsid w:val="00BE63E4"/>
    <w:rsid w:val="00BE685E"/>
    <w:rsid w:val="00BE6A2F"/>
    <w:rsid w:val="00BE6ACF"/>
    <w:rsid w:val="00BE6B96"/>
    <w:rsid w:val="00BE7176"/>
    <w:rsid w:val="00BE729D"/>
    <w:rsid w:val="00BE72CE"/>
    <w:rsid w:val="00BE72DD"/>
    <w:rsid w:val="00BE74BB"/>
    <w:rsid w:val="00BE791A"/>
    <w:rsid w:val="00BE7B94"/>
    <w:rsid w:val="00BE7EDC"/>
    <w:rsid w:val="00BF0077"/>
    <w:rsid w:val="00BF02E1"/>
    <w:rsid w:val="00BF0468"/>
    <w:rsid w:val="00BF0656"/>
    <w:rsid w:val="00BF09AE"/>
    <w:rsid w:val="00BF0A44"/>
    <w:rsid w:val="00BF0BB7"/>
    <w:rsid w:val="00BF0CB0"/>
    <w:rsid w:val="00BF0D10"/>
    <w:rsid w:val="00BF0F1C"/>
    <w:rsid w:val="00BF10B9"/>
    <w:rsid w:val="00BF1158"/>
    <w:rsid w:val="00BF120B"/>
    <w:rsid w:val="00BF1343"/>
    <w:rsid w:val="00BF1468"/>
    <w:rsid w:val="00BF1506"/>
    <w:rsid w:val="00BF1507"/>
    <w:rsid w:val="00BF1AF9"/>
    <w:rsid w:val="00BF1CD4"/>
    <w:rsid w:val="00BF1D0E"/>
    <w:rsid w:val="00BF1EC1"/>
    <w:rsid w:val="00BF2189"/>
    <w:rsid w:val="00BF22ED"/>
    <w:rsid w:val="00BF2371"/>
    <w:rsid w:val="00BF25D6"/>
    <w:rsid w:val="00BF27BD"/>
    <w:rsid w:val="00BF289A"/>
    <w:rsid w:val="00BF2918"/>
    <w:rsid w:val="00BF2B5E"/>
    <w:rsid w:val="00BF312F"/>
    <w:rsid w:val="00BF3340"/>
    <w:rsid w:val="00BF376A"/>
    <w:rsid w:val="00BF37B2"/>
    <w:rsid w:val="00BF39C6"/>
    <w:rsid w:val="00BF3D11"/>
    <w:rsid w:val="00BF400E"/>
    <w:rsid w:val="00BF4285"/>
    <w:rsid w:val="00BF43F7"/>
    <w:rsid w:val="00BF441F"/>
    <w:rsid w:val="00BF4476"/>
    <w:rsid w:val="00BF49CF"/>
    <w:rsid w:val="00BF4B2F"/>
    <w:rsid w:val="00BF4CDC"/>
    <w:rsid w:val="00BF4D81"/>
    <w:rsid w:val="00BF4E0F"/>
    <w:rsid w:val="00BF508A"/>
    <w:rsid w:val="00BF54EA"/>
    <w:rsid w:val="00BF55E4"/>
    <w:rsid w:val="00BF5644"/>
    <w:rsid w:val="00BF592D"/>
    <w:rsid w:val="00BF59A6"/>
    <w:rsid w:val="00BF5BE8"/>
    <w:rsid w:val="00BF5C68"/>
    <w:rsid w:val="00BF5CE4"/>
    <w:rsid w:val="00BF5F43"/>
    <w:rsid w:val="00BF6445"/>
    <w:rsid w:val="00BF64B6"/>
    <w:rsid w:val="00BF656E"/>
    <w:rsid w:val="00BF6711"/>
    <w:rsid w:val="00BF694D"/>
    <w:rsid w:val="00BF69A1"/>
    <w:rsid w:val="00BF6E00"/>
    <w:rsid w:val="00BF6EBE"/>
    <w:rsid w:val="00BF7204"/>
    <w:rsid w:val="00BF730C"/>
    <w:rsid w:val="00BF734A"/>
    <w:rsid w:val="00BF74A9"/>
    <w:rsid w:val="00BF74F7"/>
    <w:rsid w:val="00BF7812"/>
    <w:rsid w:val="00BF78A1"/>
    <w:rsid w:val="00BF792A"/>
    <w:rsid w:val="00BF79DC"/>
    <w:rsid w:val="00BF7ABC"/>
    <w:rsid w:val="00BF7E29"/>
    <w:rsid w:val="00C00008"/>
    <w:rsid w:val="00C0017E"/>
    <w:rsid w:val="00C007FA"/>
    <w:rsid w:val="00C00B8E"/>
    <w:rsid w:val="00C00BE4"/>
    <w:rsid w:val="00C00F0F"/>
    <w:rsid w:val="00C0100D"/>
    <w:rsid w:val="00C01056"/>
    <w:rsid w:val="00C012EA"/>
    <w:rsid w:val="00C013A0"/>
    <w:rsid w:val="00C015AD"/>
    <w:rsid w:val="00C015D4"/>
    <w:rsid w:val="00C016BF"/>
    <w:rsid w:val="00C016DA"/>
    <w:rsid w:val="00C01818"/>
    <w:rsid w:val="00C01AFC"/>
    <w:rsid w:val="00C01CCD"/>
    <w:rsid w:val="00C01D89"/>
    <w:rsid w:val="00C0205E"/>
    <w:rsid w:val="00C020E5"/>
    <w:rsid w:val="00C02225"/>
    <w:rsid w:val="00C025E6"/>
    <w:rsid w:val="00C028CC"/>
    <w:rsid w:val="00C02B4D"/>
    <w:rsid w:val="00C02B5A"/>
    <w:rsid w:val="00C02BA1"/>
    <w:rsid w:val="00C02BEF"/>
    <w:rsid w:val="00C02BF7"/>
    <w:rsid w:val="00C02C3B"/>
    <w:rsid w:val="00C02C40"/>
    <w:rsid w:val="00C02EA6"/>
    <w:rsid w:val="00C02EAE"/>
    <w:rsid w:val="00C02F90"/>
    <w:rsid w:val="00C030CF"/>
    <w:rsid w:val="00C03275"/>
    <w:rsid w:val="00C033B0"/>
    <w:rsid w:val="00C035A5"/>
    <w:rsid w:val="00C036C1"/>
    <w:rsid w:val="00C038F6"/>
    <w:rsid w:val="00C03A27"/>
    <w:rsid w:val="00C041B0"/>
    <w:rsid w:val="00C04410"/>
    <w:rsid w:val="00C044F5"/>
    <w:rsid w:val="00C0452C"/>
    <w:rsid w:val="00C0485B"/>
    <w:rsid w:val="00C0488C"/>
    <w:rsid w:val="00C04994"/>
    <w:rsid w:val="00C04C50"/>
    <w:rsid w:val="00C04CAE"/>
    <w:rsid w:val="00C0558C"/>
    <w:rsid w:val="00C05621"/>
    <w:rsid w:val="00C05630"/>
    <w:rsid w:val="00C056AF"/>
    <w:rsid w:val="00C05816"/>
    <w:rsid w:val="00C05897"/>
    <w:rsid w:val="00C0594B"/>
    <w:rsid w:val="00C0599E"/>
    <w:rsid w:val="00C05A27"/>
    <w:rsid w:val="00C05BC5"/>
    <w:rsid w:val="00C05DFA"/>
    <w:rsid w:val="00C05FCF"/>
    <w:rsid w:val="00C06224"/>
    <w:rsid w:val="00C063AE"/>
    <w:rsid w:val="00C063DA"/>
    <w:rsid w:val="00C06453"/>
    <w:rsid w:val="00C06763"/>
    <w:rsid w:val="00C06982"/>
    <w:rsid w:val="00C06A7C"/>
    <w:rsid w:val="00C06B27"/>
    <w:rsid w:val="00C06B61"/>
    <w:rsid w:val="00C06CDE"/>
    <w:rsid w:val="00C06D71"/>
    <w:rsid w:val="00C06FE1"/>
    <w:rsid w:val="00C070A7"/>
    <w:rsid w:val="00C07109"/>
    <w:rsid w:val="00C07125"/>
    <w:rsid w:val="00C074C9"/>
    <w:rsid w:val="00C07673"/>
    <w:rsid w:val="00C0769A"/>
    <w:rsid w:val="00C07709"/>
    <w:rsid w:val="00C07D1F"/>
    <w:rsid w:val="00C10019"/>
    <w:rsid w:val="00C101A2"/>
    <w:rsid w:val="00C10458"/>
    <w:rsid w:val="00C10BF9"/>
    <w:rsid w:val="00C10F32"/>
    <w:rsid w:val="00C11068"/>
    <w:rsid w:val="00C11120"/>
    <w:rsid w:val="00C1116B"/>
    <w:rsid w:val="00C1120B"/>
    <w:rsid w:val="00C11307"/>
    <w:rsid w:val="00C115CE"/>
    <w:rsid w:val="00C115E7"/>
    <w:rsid w:val="00C1195C"/>
    <w:rsid w:val="00C11B05"/>
    <w:rsid w:val="00C11EB6"/>
    <w:rsid w:val="00C1251F"/>
    <w:rsid w:val="00C12556"/>
    <w:rsid w:val="00C125D7"/>
    <w:rsid w:val="00C12BA5"/>
    <w:rsid w:val="00C12BDF"/>
    <w:rsid w:val="00C12DAE"/>
    <w:rsid w:val="00C12ED6"/>
    <w:rsid w:val="00C12EFC"/>
    <w:rsid w:val="00C1314C"/>
    <w:rsid w:val="00C13307"/>
    <w:rsid w:val="00C13771"/>
    <w:rsid w:val="00C13A99"/>
    <w:rsid w:val="00C13CDC"/>
    <w:rsid w:val="00C13EA6"/>
    <w:rsid w:val="00C13F6A"/>
    <w:rsid w:val="00C14142"/>
    <w:rsid w:val="00C14160"/>
    <w:rsid w:val="00C1417D"/>
    <w:rsid w:val="00C142B8"/>
    <w:rsid w:val="00C14434"/>
    <w:rsid w:val="00C14888"/>
    <w:rsid w:val="00C148F6"/>
    <w:rsid w:val="00C14AE3"/>
    <w:rsid w:val="00C14DBE"/>
    <w:rsid w:val="00C14ED1"/>
    <w:rsid w:val="00C15125"/>
    <w:rsid w:val="00C152D7"/>
    <w:rsid w:val="00C15348"/>
    <w:rsid w:val="00C15543"/>
    <w:rsid w:val="00C1570D"/>
    <w:rsid w:val="00C15918"/>
    <w:rsid w:val="00C15AAE"/>
    <w:rsid w:val="00C15DD4"/>
    <w:rsid w:val="00C1622E"/>
    <w:rsid w:val="00C16258"/>
    <w:rsid w:val="00C1628F"/>
    <w:rsid w:val="00C16320"/>
    <w:rsid w:val="00C16492"/>
    <w:rsid w:val="00C16526"/>
    <w:rsid w:val="00C1666C"/>
    <w:rsid w:val="00C16701"/>
    <w:rsid w:val="00C168DD"/>
    <w:rsid w:val="00C169CB"/>
    <w:rsid w:val="00C16AEB"/>
    <w:rsid w:val="00C173F9"/>
    <w:rsid w:val="00C174EA"/>
    <w:rsid w:val="00C17753"/>
    <w:rsid w:val="00C17C50"/>
    <w:rsid w:val="00C17EE9"/>
    <w:rsid w:val="00C17F3A"/>
    <w:rsid w:val="00C203D7"/>
    <w:rsid w:val="00C2052E"/>
    <w:rsid w:val="00C205CF"/>
    <w:rsid w:val="00C20830"/>
    <w:rsid w:val="00C20957"/>
    <w:rsid w:val="00C20967"/>
    <w:rsid w:val="00C209A5"/>
    <w:rsid w:val="00C209BA"/>
    <w:rsid w:val="00C20A62"/>
    <w:rsid w:val="00C20AC1"/>
    <w:rsid w:val="00C2131F"/>
    <w:rsid w:val="00C2141F"/>
    <w:rsid w:val="00C217B8"/>
    <w:rsid w:val="00C21996"/>
    <w:rsid w:val="00C21A2C"/>
    <w:rsid w:val="00C22400"/>
    <w:rsid w:val="00C22819"/>
    <w:rsid w:val="00C2298C"/>
    <w:rsid w:val="00C22F14"/>
    <w:rsid w:val="00C2310E"/>
    <w:rsid w:val="00C236E0"/>
    <w:rsid w:val="00C23859"/>
    <w:rsid w:val="00C2396E"/>
    <w:rsid w:val="00C23AE6"/>
    <w:rsid w:val="00C23C06"/>
    <w:rsid w:val="00C23CA0"/>
    <w:rsid w:val="00C23E6A"/>
    <w:rsid w:val="00C23F3C"/>
    <w:rsid w:val="00C23FDB"/>
    <w:rsid w:val="00C24125"/>
    <w:rsid w:val="00C2416D"/>
    <w:rsid w:val="00C241E3"/>
    <w:rsid w:val="00C244E8"/>
    <w:rsid w:val="00C245F4"/>
    <w:rsid w:val="00C2474F"/>
    <w:rsid w:val="00C24777"/>
    <w:rsid w:val="00C24966"/>
    <w:rsid w:val="00C249F1"/>
    <w:rsid w:val="00C24AD6"/>
    <w:rsid w:val="00C24B7F"/>
    <w:rsid w:val="00C24D2F"/>
    <w:rsid w:val="00C24FB5"/>
    <w:rsid w:val="00C252A8"/>
    <w:rsid w:val="00C25499"/>
    <w:rsid w:val="00C256CC"/>
    <w:rsid w:val="00C257B0"/>
    <w:rsid w:val="00C257E4"/>
    <w:rsid w:val="00C25AD3"/>
    <w:rsid w:val="00C25B8D"/>
    <w:rsid w:val="00C25C2F"/>
    <w:rsid w:val="00C261C6"/>
    <w:rsid w:val="00C2624B"/>
    <w:rsid w:val="00C26830"/>
    <w:rsid w:val="00C2692A"/>
    <w:rsid w:val="00C2697B"/>
    <w:rsid w:val="00C26C5B"/>
    <w:rsid w:val="00C26D26"/>
    <w:rsid w:val="00C26EF0"/>
    <w:rsid w:val="00C26F0D"/>
    <w:rsid w:val="00C276D3"/>
    <w:rsid w:val="00C27768"/>
    <w:rsid w:val="00C27772"/>
    <w:rsid w:val="00C27AFE"/>
    <w:rsid w:val="00C27DFC"/>
    <w:rsid w:val="00C27FC7"/>
    <w:rsid w:val="00C3013C"/>
    <w:rsid w:val="00C305AE"/>
    <w:rsid w:val="00C30605"/>
    <w:rsid w:val="00C30622"/>
    <w:rsid w:val="00C30AA2"/>
    <w:rsid w:val="00C30C6F"/>
    <w:rsid w:val="00C313B7"/>
    <w:rsid w:val="00C3171D"/>
    <w:rsid w:val="00C31845"/>
    <w:rsid w:val="00C31846"/>
    <w:rsid w:val="00C318E8"/>
    <w:rsid w:val="00C31913"/>
    <w:rsid w:val="00C3196A"/>
    <w:rsid w:val="00C31CC9"/>
    <w:rsid w:val="00C31DA3"/>
    <w:rsid w:val="00C32178"/>
    <w:rsid w:val="00C32643"/>
    <w:rsid w:val="00C32686"/>
    <w:rsid w:val="00C3268B"/>
    <w:rsid w:val="00C3280E"/>
    <w:rsid w:val="00C32AEF"/>
    <w:rsid w:val="00C32B4B"/>
    <w:rsid w:val="00C32DB3"/>
    <w:rsid w:val="00C32E75"/>
    <w:rsid w:val="00C32F4B"/>
    <w:rsid w:val="00C3302E"/>
    <w:rsid w:val="00C332AC"/>
    <w:rsid w:val="00C33390"/>
    <w:rsid w:val="00C3346B"/>
    <w:rsid w:val="00C33558"/>
    <w:rsid w:val="00C336DB"/>
    <w:rsid w:val="00C3370B"/>
    <w:rsid w:val="00C33724"/>
    <w:rsid w:val="00C33737"/>
    <w:rsid w:val="00C3373C"/>
    <w:rsid w:val="00C337A8"/>
    <w:rsid w:val="00C33AE1"/>
    <w:rsid w:val="00C33F1C"/>
    <w:rsid w:val="00C33F8E"/>
    <w:rsid w:val="00C34218"/>
    <w:rsid w:val="00C34238"/>
    <w:rsid w:val="00C344D5"/>
    <w:rsid w:val="00C34644"/>
    <w:rsid w:val="00C348FE"/>
    <w:rsid w:val="00C349ED"/>
    <w:rsid w:val="00C34A04"/>
    <w:rsid w:val="00C34A15"/>
    <w:rsid w:val="00C34B52"/>
    <w:rsid w:val="00C34F4F"/>
    <w:rsid w:val="00C352EA"/>
    <w:rsid w:val="00C35328"/>
    <w:rsid w:val="00C3536D"/>
    <w:rsid w:val="00C35708"/>
    <w:rsid w:val="00C35787"/>
    <w:rsid w:val="00C357A7"/>
    <w:rsid w:val="00C35A15"/>
    <w:rsid w:val="00C35B5F"/>
    <w:rsid w:val="00C35CB0"/>
    <w:rsid w:val="00C35FB2"/>
    <w:rsid w:val="00C3609A"/>
    <w:rsid w:val="00C362BB"/>
    <w:rsid w:val="00C3646E"/>
    <w:rsid w:val="00C36619"/>
    <w:rsid w:val="00C367C7"/>
    <w:rsid w:val="00C368DF"/>
    <w:rsid w:val="00C36B05"/>
    <w:rsid w:val="00C36B30"/>
    <w:rsid w:val="00C36C7F"/>
    <w:rsid w:val="00C36E29"/>
    <w:rsid w:val="00C3703D"/>
    <w:rsid w:val="00C3774C"/>
    <w:rsid w:val="00C377E4"/>
    <w:rsid w:val="00C37816"/>
    <w:rsid w:val="00C3789B"/>
    <w:rsid w:val="00C379E8"/>
    <w:rsid w:val="00C37C53"/>
    <w:rsid w:val="00C37EA9"/>
    <w:rsid w:val="00C37FD2"/>
    <w:rsid w:val="00C40194"/>
    <w:rsid w:val="00C401C2"/>
    <w:rsid w:val="00C401DC"/>
    <w:rsid w:val="00C40344"/>
    <w:rsid w:val="00C40479"/>
    <w:rsid w:val="00C404B6"/>
    <w:rsid w:val="00C4051C"/>
    <w:rsid w:val="00C406CF"/>
    <w:rsid w:val="00C407D2"/>
    <w:rsid w:val="00C40A86"/>
    <w:rsid w:val="00C40A96"/>
    <w:rsid w:val="00C40D7D"/>
    <w:rsid w:val="00C40FCE"/>
    <w:rsid w:val="00C4121A"/>
    <w:rsid w:val="00C4135D"/>
    <w:rsid w:val="00C4172A"/>
    <w:rsid w:val="00C417C8"/>
    <w:rsid w:val="00C417D6"/>
    <w:rsid w:val="00C4181A"/>
    <w:rsid w:val="00C4187B"/>
    <w:rsid w:val="00C418E7"/>
    <w:rsid w:val="00C419F1"/>
    <w:rsid w:val="00C422FE"/>
    <w:rsid w:val="00C42497"/>
    <w:rsid w:val="00C42539"/>
    <w:rsid w:val="00C42575"/>
    <w:rsid w:val="00C42662"/>
    <w:rsid w:val="00C42854"/>
    <w:rsid w:val="00C42892"/>
    <w:rsid w:val="00C42CEF"/>
    <w:rsid w:val="00C42FC4"/>
    <w:rsid w:val="00C4319B"/>
    <w:rsid w:val="00C4329A"/>
    <w:rsid w:val="00C43785"/>
    <w:rsid w:val="00C4382E"/>
    <w:rsid w:val="00C43999"/>
    <w:rsid w:val="00C439E3"/>
    <w:rsid w:val="00C43A6D"/>
    <w:rsid w:val="00C43A75"/>
    <w:rsid w:val="00C44073"/>
    <w:rsid w:val="00C44706"/>
    <w:rsid w:val="00C44784"/>
    <w:rsid w:val="00C447AC"/>
    <w:rsid w:val="00C447B3"/>
    <w:rsid w:val="00C4484E"/>
    <w:rsid w:val="00C44B2A"/>
    <w:rsid w:val="00C44B9D"/>
    <w:rsid w:val="00C44C98"/>
    <w:rsid w:val="00C45057"/>
    <w:rsid w:val="00C454C5"/>
    <w:rsid w:val="00C45905"/>
    <w:rsid w:val="00C459B3"/>
    <w:rsid w:val="00C459E6"/>
    <w:rsid w:val="00C45B52"/>
    <w:rsid w:val="00C45E0A"/>
    <w:rsid w:val="00C45E62"/>
    <w:rsid w:val="00C45F43"/>
    <w:rsid w:val="00C45FB3"/>
    <w:rsid w:val="00C460F5"/>
    <w:rsid w:val="00C46293"/>
    <w:rsid w:val="00C46358"/>
    <w:rsid w:val="00C464FE"/>
    <w:rsid w:val="00C46678"/>
    <w:rsid w:val="00C46768"/>
    <w:rsid w:val="00C472BC"/>
    <w:rsid w:val="00C47465"/>
    <w:rsid w:val="00C478D1"/>
    <w:rsid w:val="00C47B13"/>
    <w:rsid w:val="00C47D2D"/>
    <w:rsid w:val="00C503A5"/>
    <w:rsid w:val="00C50468"/>
    <w:rsid w:val="00C504BA"/>
    <w:rsid w:val="00C5051E"/>
    <w:rsid w:val="00C50BD4"/>
    <w:rsid w:val="00C50BDB"/>
    <w:rsid w:val="00C50D05"/>
    <w:rsid w:val="00C51110"/>
    <w:rsid w:val="00C51323"/>
    <w:rsid w:val="00C51462"/>
    <w:rsid w:val="00C51475"/>
    <w:rsid w:val="00C5150C"/>
    <w:rsid w:val="00C5161E"/>
    <w:rsid w:val="00C51652"/>
    <w:rsid w:val="00C5186C"/>
    <w:rsid w:val="00C51BE1"/>
    <w:rsid w:val="00C51BF3"/>
    <w:rsid w:val="00C51E1F"/>
    <w:rsid w:val="00C52104"/>
    <w:rsid w:val="00C52201"/>
    <w:rsid w:val="00C522EF"/>
    <w:rsid w:val="00C523BB"/>
    <w:rsid w:val="00C523C3"/>
    <w:rsid w:val="00C524C3"/>
    <w:rsid w:val="00C525A2"/>
    <w:rsid w:val="00C52808"/>
    <w:rsid w:val="00C52868"/>
    <w:rsid w:val="00C529A0"/>
    <w:rsid w:val="00C52B17"/>
    <w:rsid w:val="00C52B42"/>
    <w:rsid w:val="00C53391"/>
    <w:rsid w:val="00C534E1"/>
    <w:rsid w:val="00C5395F"/>
    <w:rsid w:val="00C53CC6"/>
    <w:rsid w:val="00C53D54"/>
    <w:rsid w:val="00C53D7A"/>
    <w:rsid w:val="00C53ECC"/>
    <w:rsid w:val="00C53EDA"/>
    <w:rsid w:val="00C53FAD"/>
    <w:rsid w:val="00C54162"/>
    <w:rsid w:val="00C541D8"/>
    <w:rsid w:val="00C54840"/>
    <w:rsid w:val="00C54875"/>
    <w:rsid w:val="00C549B8"/>
    <w:rsid w:val="00C54B6A"/>
    <w:rsid w:val="00C54B81"/>
    <w:rsid w:val="00C54DFD"/>
    <w:rsid w:val="00C54E0F"/>
    <w:rsid w:val="00C54E83"/>
    <w:rsid w:val="00C54F60"/>
    <w:rsid w:val="00C54F98"/>
    <w:rsid w:val="00C55072"/>
    <w:rsid w:val="00C55095"/>
    <w:rsid w:val="00C552E3"/>
    <w:rsid w:val="00C555B8"/>
    <w:rsid w:val="00C55617"/>
    <w:rsid w:val="00C5565E"/>
    <w:rsid w:val="00C5582F"/>
    <w:rsid w:val="00C5588C"/>
    <w:rsid w:val="00C55CD9"/>
    <w:rsid w:val="00C55D03"/>
    <w:rsid w:val="00C56184"/>
    <w:rsid w:val="00C56476"/>
    <w:rsid w:val="00C56485"/>
    <w:rsid w:val="00C5681F"/>
    <w:rsid w:val="00C568D1"/>
    <w:rsid w:val="00C56975"/>
    <w:rsid w:val="00C56D10"/>
    <w:rsid w:val="00C56D38"/>
    <w:rsid w:val="00C56D80"/>
    <w:rsid w:val="00C56F3A"/>
    <w:rsid w:val="00C57089"/>
    <w:rsid w:val="00C57234"/>
    <w:rsid w:val="00C574F4"/>
    <w:rsid w:val="00C5777F"/>
    <w:rsid w:val="00C57D51"/>
    <w:rsid w:val="00C57DC3"/>
    <w:rsid w:val="00C57F56"/>
    <w:rsid w:val="00C601AB"/>
    <w:rsid w:val="00C60475"/>
    <w:rsid w:val="00C60641"/>
    <w:rsid w:val="00C60714"/>
    <w:rsid w:val="00C608DF"/>
    <w:rsid w:val="00C60995"/>
    <w:rsid w:val="00C60A65"/>
    <w:rsid w:val="00C60A9E"/>
    <w:rsid w:val="00C60BB4"/>
    <w:rsid w:val="00C60C8C"/>
    <w:rsid w:val="00C60E03"/>
    <w:rsid w:val="00C60F97"/>
    <w:rsid w:val="00C61024"/>
    <w:rsid w:val="00C61266"/>
    <w:rsid w:val="00C61315"/>
    <w:rsid w:val="00C616F0"/>
    <w:rsid w:val="00C617D6"/>
    <w:rsid w:val="00C618B7"/>
    <w:rsid w:val="00C61912"/>
    <w:rsid w:val="00C61981"/>
    <w:rsid w:val="00C61A6C"/>
    <w:rsid w:val="00C61B0C"/>
    <w:rsid w:val="00C61C81"/>
    <w:rsid w:val="00C61D1B"/>
    <w:rsid w:val="00C61DB5"/>
    <w:rsid w:val="00C61DBD"/>
    <w:rsid w:val="00C61DDD"/>
    <w:rsid w:val="00C61E40"/>
    <w:rsid w:val="00C62003"/>
    <w:rsid w:val="00C624DA"/>
    <w:rsid w:val="00C62A88"/>
    <w:rsid w:val="00C62C67"/>
    <w:rsid w:val="00C62D73"/>
    <w:rsid w:val="00C63331"/>
    <w:rsid w:val="00C63399"/>
    <w:rsid w:val="00C63520"/>
    <w:rsid w:val="00C63A46"/>
    <w:rsid w:val="00C63AA0"/>
    <w:rsid w:val="00C63B34"/>
    <w:rsid w:val="00C63B50"/>
    <w:rsid w:val="00C63BDE"/>
    <w:rsid w:val="00C63C27"/>
    <w:rsid w:val="00C63EA8"/>
    <w:rsid w:val="00C63F2D"/>
    <w:rsid w:val="00C64115"/>
    <w:rsid w:val="00C64A64"/>
    <w:rsid w:val="00C64BD9"/>
    <w:rsid w:val="00C64C6C"/>
    <w:rsid w:val="00C64F36"/>
    <w:rsid w:val="00C65260"/>
    <w:rsid w:val="00C65527"/>
    <w:rsid w:val="00C656C1"/>
    <w:rsid w:val="00C6573E"/>
    <w:rsid w:val="00C65785"/>
    <w:rsid w:val="00C65A33"/>
    <w:rsid w:val="00C65CE9"/>
    <w:rsid w:val="00C65E15"/>
    <w:rsid w:val="00C65EC2"/>
    <w:rsid w:val="00C65FBD"/>
    <w:rsid w:val="00C660A8"/>
    <w:rsid w:val="00C662D1"/>
    <w:rsid w:val="00C66699"/>
    <w:rsid w:val="00C6699C"/>
    <w:rsid w:val="00C66B10"/>
    <w:rsid w:val="00C66C22"/>
    <w:rsid w:val="00C66C27"/>
    <w:rsid w:val="00C66C58"/>
    <w:rsid w:val="00C66D47"/>
    <w:rsid w:val="00C6740C"/>
    <w:rsid w:val="00C674BC"/>
    <w:rsid w:val="00C6754B"/>
    <w:rsid w:val="00C6761B"/>
    <w:rsid w:val="00C677A7"/>
    <w:rsid w:val="00C67F79"/>
    <w:rsid w:val="00C67FD1"/>
    <w:rsid w:val="00C702AF"/>
    <w:rsid w:val="00C70622"/>
    <w:rsid w:val="00C707CC"/>
    <w:rsid w:val="00C70D9A"/>
    <w:rsid w:val="00C70F35"/>
    <w:rsid w:val="00C710B9"/>
    <w:rsid w:val="00C71147"/>
    <w:rsid w:val="00C713C0"/>
    <w:rsid w:val="00C71E21"/>
    <w:rsid w:val="00C71E54"/>
    <w:rsid w:val="00C71FE2"/>
    <w:rsid w:val="00C7226E"/>
    <w:rsid w:val="00C72306"/>
    <w:rsid w:val="00C723C6"/>
    <w:rsid w:val="00C72462"/>
    <w:rsid w:val="00C725A1"/>
    <w:rsid w:val="00C7270B"/>
    <w:rsid w:val="00C72A0E"/>
    <w:rsid w:val="00C72B21"/>
    <w:rsid w:val="00C72BA2"/>
    <w:rsid w:val="00C72C1E"/>
    <w:rsid w:val="00C72F1F"/>
    <w:rsid w:val="00C73291"/>
    <w:rsid w:val="00C73935"/>
    <w:rsid w:val="00C73A7B"/>
    <w:rsid w:val="00C73BB1"/>
    <w:rsid w:val="00C74012"/>
    <w:rsid w:val="00C740C7"/>
    <w:rsid w:val="00C74131"/>
    <w:rsid w:val="00C7448C"/>
    <w:rsid w:val="00C7492C"/>
    <w:rsid w:val="00C74958"/>
    <w:rsid w:val="00C749EE"/>
    <w:rsid w:val="00C74CD7"/>
    <w:rsid w:val="00C74CEF"/>
    <w:rsid w:val="00C74D98"/>
    <w:rsid w:val="00C74F2C"/>
    <w:rsid w:val="00C74FE4"/>
    <w:rsid w:val="00C754C5"/>
    <w:rsid w:val="00C75539"/>
    <w:rsid w:val="00C75964"/>
    <w:rsid w:val="00C75CA7"/>
    <w:rsid w:val="00C7606B"/>
    <w:rsid w:val="00C7606C"/>
    <w:rsid w:val="00C76128"/>
    <w:rsid w:val="00C76190"/>
    <w:rsid w:val="00C761C3"/>
    <w:rsid w:val="00C76299"/>
    <w:rsid w:val="00C7635A"/>
    <w:rsid w:val="00C764F7"/>
    <w:rsid w:val="00C76544"/>
    <w:rsid w:val="00C7669B"/>
    <w:rsid w:val="00C766F3"/>
    <w:rsid w:val="00C76789"/>
    <w:rsid w:val="00C76A0E"/>
    <w:rsid w:val="00C76E8C"/>
    <w:rsid w:val="00C76FE7"/>
    <w:rsid w:val="00C7709B"/>
    <w:rsid w:val="00C7723F"/>
    <w:rsid w:val="00C775FE"/>
    <w:rsid w:val="00C7766A"/>
    <w:rsid w:val="00C776C1"/>
    <w:rsid w:val="00C776EA"/>
    <w:rsid w:val="00C77B69"/>
    <w:rsid w:val="00C77CCF"/>
    <w:rsid w:val="00C77E3A"/>
    <w:rsid w:val="00C77F3C"/>
    <w:rsid w:val="00C77FAE"/>
    <w:rsid w:val="00C806B8"/>
    <w:rsid w:val="00C8076F"/>
    <w:rsid w:val="00C8078C"/>
    <w:rsid w:val="00C808BD"/>
    <w:rsid w:val="00C80C0A"/>
    <w:rsid w:val="00C80C63"/>
    <w:rsid w:val="00C81132"/>
    <w:rsid w:val="00C81245"/>
    <w:rsid w:val="00C819D9"/>
    <w:rsid w:val="00C81AB7"/>
    <w:rsid w:val="00C81CE0"/>
    <w:rsid w:val="00C81D8A"/>
    <w:rsid w:val="00C821C5"/>
    <w:rsid w:val="00C82348"/>
    <w:rsid w:val="00C82672"/>
    <w:rsid w:val="00C828E0"/>
    <w:rsid w:val="00C8347B"/>
    <w:rsid w:val="00C8377F"/>
    <w:rsid w:val="00C83CEE"/>
    <w:rsid w:val="00C83EBD"/>
    <w:rsid w:val="00C846F3"/>
    <w:rsid w:val="00C84AFE"/>
    <w:rsid w:val="00C84FF1"/>
    <w:rsid w:val="00C85210"/>
    <w:rsid w:val="00C8529D"/>
    <w:rsid w:val="00C8538A"/>
    <w:rsid w:val="00C856CA"/>
    <w:rsid w:val="00C859B0"/>
    <w:rsid w:val="00C85A31"/>
    <w:rsid w:val="00C85BD6"/>
    <w:rsid w:val="00C85BDD"/>
    <w:rsid w:val="00C85CA6"/>
    <w:rsid w:val="00C8608E"/>
    <w:rsid w:val="00C86227"/>
    <w:rsid w:val="00C8654E"/>
    <w:rsid w:val="00C86632"/>
    <w:rsid w:val="00C86A69"/>
    <w:rsid w:val="00C86C46"/>
    <w:rsid w:val="00C871FC"/>
    <w:rsid w:val="00C872BE"/>
    <w:rsid w:val="00C873B4"/>
    <w:rsid w:val="00C874E5"/>
    <w:rsid w:val="00C876F3"/>
    <w:rsid w:val="00C87C1E"/>
    <w:rsid w:val="00C87F7C"/>
    <w:rsid w:val="00C87FC0"/>
    <w:rsid w:val="00C87FE9"/>
    <w:rsid w:val="00C90005"/>
    <w:rsid w:val="00C90016"/>
    <w:rsid w:val="00C90295"/>
    <w:rsid w:val="00C902E2"/>
    <w:rsid w:val="00C9053D"/>
    <w:rsid w:val="00C9064D"/>
    <w:rsid w:val="00C9087E"/>
    <w:rsid w:val="00C908DA"/>
    <w:rsid w:val="00C90B80"/>
    <w:rsid w:val="00C90C2A"/>
    <w:rsid w:val="00C90D14"/>
    <w:rsid w:val="00C91180"/>
    <w:rsid w:val="00C913E7"/>
    <w:rsid w:val="00C91424"/>
    <w:rsid w:val="00C9166C"/>
    <w:rsid w:val="00C9175B"/>
    <w:rsid w:val="00C917E9"/>
    <w:rsid w:val="00C91CF4"/>
    <w:rsid w:val="00C91E69"/>
    <w:rsid w:val="00C922CA"/>
    <w:rsid w:val="00C9236B"/>
    <w:rsid w:val="00C92528"/>
    <w:rsid w:val="00C927E2"/>
    <w:rsid w:val="00C93021"/>
    <w:rsid w:val="00C931D0"/>
    <w:rsid w:val="00C934D9"/>
    <w:rsid w:val="00C938BD"/>
    <w:rsid w:val="00C93C0A"/>
    <w:rsid w:val="00C93DAC"/>
    <w:rsid w:val="00C93F74"/>
    <w:rsid w:val="00C943B3"/>
    <w:rsid w:val="00C944EA"/>
    <w:rsid w:val="00C945CB"/>
    <w:rsid w:val="00C94642"/>
    <w:rsid w:val="00C94695"/>
    <w:rsid w:val="00C94707"/>
    <w:rsid w:val="00C94779"/>
    <w:rsid w:val="00C94782"/>
    <w:rsid w:val="00C94910"/>
    <w:rsid w:val="00C9492C"/>
    <w:rsid w:val="00C94A98"/>
    <w:rsid w:val="00C94EBA"/>
    <w:rsid w:val="00C9517B"/>
    <w:rsid w:val="00C9527E"/>
    <w:rsid w:val="00C95332"/>
    <w:rsid w:val="00C95720"/>
    <w:rsid w:val="00C9583F"/>
    <w:rsid w:val="00C9586F"/>
    <w:rsid w:val="00C95B6C"/>
    <w:rsid w:val="00C95C39"/>
    <w:rsid w:val="00C95D3F"/>
    <w:rsid w:val="00C95D78"/>
    <w:rsid w:val="00C95FE9"/>
    <w:rsid w:val="00C960CD"/>
    <w:rsid w:val="00C9621F"/>
    <w:rsid w:val="00C96354"/>
    <w:rsid w:val="00C965FA"/>
    <w:rsid w:val="00C96710"/>
    <w:rsid w:val="00C96FF4"/>
    <w:rsid w:val="00C97C5E"/>
    <w:rsid w:val="00CA0119"/>
    <w:rsid w:val="00CA019B"/>
    <w:rsid w:val="00CA0509"/>
    <w:rsid w:val="00CA0597"/>
    <w:rsid w:val="00CA0683"/>
    <w:rsid w:val="00CA0910"/>
    <w:rsid w:val="00CA0941"/>
    <w:rsid w:val="00CA0973"/>
    <w:rsid w:val="00CA0E09"/>
    <w:rsid w:val="00CA1050"/>
    <w:rsid w:val="00CA12E9"/>
    <w:rsid w:val="00CA1359"/>
    <w:rsid w:val="00CA1638"/>
    <w:rsid w:val="00CA174D"/>
    <w:rsid w:val="00CA1A8B"/>
    <w:rsid w:val="00CA1D61"/>
    <w:rsid w:val="00CA1D8F"/>
    <w:rsid w:val="00CA1E1D"/>
    <w:rsid w:val="00CA1FB3"/>
    <w:rsid w:val="00CA2047"/>
    <w:rsid w:val="00CA22B5"/>
    <w:rsid w:val="00CA262C"/>
    <w:rsid w:val="00CA281E"/>
    <w:rsid w:val="00CA3087"/>
    <w:rsid w:val="00CA3252"/>
    <w:rsid w:val="00CA3373"/>
    <w:rsid w:val="00CA362E"/>
    <w:rsid w:val="00CA375F"/>
    <w:rsid w:val="00CA3774"/>
    <w:rsid w:val="00CA3915"/>
    <w:rsid w:val="00CA3A7C"/>
    <w:rsid w:val="00CA3E6B"/>
    <w:rsid w:val="00CA3EB9"/>
    <w:rsid w:val="00CA4001"/>
    <w:rsid w:val="00CA4038"/>
    <w:rsid w:val="00CA41A5"/>
    <w:rsid w:val="00CA452B"/>
    <w:rsid w:val="00CA45D7"/>
    <w:rsid w:val="00CA464C"/>
    <w:rsid w:val="00CA492A"/>
    <w:rsid w:val="00CA49C9"/>
    <w:rsid w:val="00CA4A80"/>
    <w:rsid w:val="00CA4A83"/>
    <w:rsid w:val="00CA4AAB"/>
    <w:rsid w:val="00CA4AEB"/>
    <w:rsid w:val="00CA4BDA"/>
    <w:rsid w:val="00CA4C94"/>
    <w:rsid w:val="00CA4D84"/>
    <w:rsid w:val="00CA532D"/>
    <w:rsid w:val="00CA56B7"/>
    <w:rsid w:val="00CA5795"/>
    <w:rsid w:val="00CA59EB"/>
    <w:rsid w:val="00CA5B56"/>
    <w:rsid w:val="00CA5BE7"/>
    <w:rsid w:val="00CA5C05"/>
    <w:rsid w:val="00CA5C49"/>
    <w:rsid w:val="00CA5C56"/>
    <w:rsid w:val="00CA5F60"/>
    <w:rsid w:val="00CA628E"/>
    <w:rsid w:val="00CA62D1"/>
    <w:rsid w:val="00CA68AC"/>
    <w:rsid w:val="00CA68E6"/>
    <w:rsid w:val="00CA69D4"/>
    <w:rsid w:val="00CA69FA"/>
    <w:rsid w:val="00CA6A16"/>
    <w:rsid w:val="00CA6D0F"/>
    <w:rsid w:val="00CA6E76"/>
    <w:rsid w:val="00CA6F9A"/>
    <w:rsid w:val="00CA70B6"/>
    <w:rsid w:val="00CA715C"/>
    <w:rsid w:val="00CA7310"/>
    <w:rsid w:val="00CA7421"/>
    <w:rsid w:val="00CA7D90"/>
    <w:rsid w:val="00CA7DF6"/>
    <w:rsid w:val="00CA7F3F"/>
    <w:rsid w:val="00CB00DA"/>
    <w:rsid w:val="00CB0221"/>
    <w:rsid w:val="00CB04D1"/>
    <w:rsid w:val="00CB0530"/>
    <w:rsid w:val="00CB0620"/>
    <w:rsid w:val="00CB075F"/>
    <w:rsid w:val="00CB0824"/>
    <w:rsid w:val="00CB08D1"/>
    <w:rsid w:val="00CB0C91"/>
    <w:rsid w:val="00CB0F46"/>
    <w:rsid w:val="00CB0F64"/>
    <w:rsid w:val="00CB18FE"/>
    <w:rsid w:val="00CB1963"/>
    <w:rsid w:val="00CB1C11"/>
    <w:rsid w:val="00CB212A"/>
    <w:rsid w:val="00CB25BA"/>
    <w:rsid w:val="00CB289D"/>
    <w:rsid w:val="00CB290C"/>
    <w:rsid w:val="00CB29A6"/>
    <w:rsid w:val="00CB2A12"/>
    <w:rsid w:val="00CB2D7A"/>
    <w:rsid w:val="00CB2DB4"/>
    <w:rsid w:val="00CB2EF1"/>
    <w:rsid w:val="00CB301F"/>
    <w:rsid w:val="00CB311D"/>
    <w:rsid w:val="00CB34C1"/>
    <w:rsid w:val="00CB3594"/>
    <w:rsid w:val="00CB3A16"/>
    <w:rsid w:val="00CB3B0C"/>
    <w:rsid w:val="00CB3B91"/>
    <w:rsid w:val="00CB3D2B"/>
    <w:rsid w:val="00CB3E20"/>
    <w:rsid w:val="00CB4136"/>
    <w:rsid w:val="00CB4453"/>
    <w:rsid w:val="00CB44E2"/>
    <w:rsid w:val="00CB4693"/>
    <w:rsid w:val="00CB4895"/>
    <w:rsid w:val="00CB4A35"/>
    <w:rsid w:val="00CB4A50"/>
    <w:rsid w:val="00CB4C69"/>
    <w:rsid w:val="00CB535C"/>
    <w:rsid w:val="00CB53C5"/>
    <w:rsid w:val="00CB5593"/>
    <w:rsid w:val="00CB55E3"/>
    <w:rsid w:val="00CB5BB2"/>
    <w:rsid w:val="00CB5EFD"/>
    <w:rsid w:val="00CB5FF9"/>
    <w:rsid w:val="00CB60E4"/>
    <w:rsid w:val="00CB6144"/>
    <w:rsid w:val="00CB6240"/>
    <w:rsid w:val="00CB66D9"/>
    <w:rsid w:val="00CB676D"/>
    <w:rsid w:val="00CB677F"/>
    <w:rsid w:val="00CB6830"/>
    <w:rsid w:val="00CB694F"/>
    <w:rsid w:val="00CB6ABC"/>
    <w:rsid w:val="00CB6AC6"/>
    <w:rsid w:val="00CB715A"/>
    <w:rsid w:val="00CB72A0"/>
    <w:rsid w:val="00CB73B0"/>
    <w:rsid w:val="00CB7505"/>
    <w:rsid w:val="00CB7A33"/>
    <w:rsid w:val="00CB7B11"/>
    <w:rsid w:val="00CB7C80"/>
    <w:rsid w:val="00CB7CA4"/>
    <w:rsid w:val="00CB7D20"/>
    <w:rsid w:val="00CB7D53"/>
    <w:rsid w:val="00CB7E86"/>
    <w:rsid w:val="00CB7ECF"/>
    <w:rsid w:val="00CC0062"/>
    <w:rsid w:val="00CC0180"/>
    <w:rsid w:val="00CC01CC"/>
    <w:rsid w:val="00CC025B"/>
    <w:rsid w:val="00CC051B"/>
    <w:rsid w:val="00CC05E5"/>
    <w:rsid w:val="00CC0A29"/>
    <w:rsid w:val="00CC0CAF"/>
    <w:rsid w:val="00CC0FC2"/>
    <w:rsid w:val="00CC1312"/>
    <w:rsid w:val="00CC1793"/>
    <w:rsid w:val="00CC1853"/>
    <w:rsid w:val="00CC1D07"/>
    <w:rsid w:val="00CC1E54"/>
    <w:rsid w:val="00CC1E76"/>
    <w:rsid w:val="00CC1FB1"/>
    <w:rsid w:val="00CC223E"/>
    <w:rsid w:val="00CC2264"/>
    <w:rsid w:val="00CC2271"/>
    <w:rsid w:val="00CC24B4"/>
    <w:rsid w:val="00CC272C"/>
    <w:rsid w:val="00CC2943"/>
    <w:rsid w:val="00CC2944"/>
    <w:rsid w:val="00CC2AD3"/>
    <w:rsid w:val="00CC2BB0"/>
    <w:rsid w:val="00CC2BDA"/>
    <w:rsid w:val="00CC2CA6"/>
    <w:rsid w:val="00CC2D4D"/>
    <w:rsid w:val="00CC2ECA"/>
    <w:rsid w:val="00CC2EEB"/>
    <w:rsid w:val="00CC3138"/>
    <w:rsid w:val="00CC3208"/>
    <w:rsid w:val="00CC3467"/>
    <w:rsid w:val="00CC3866"/>
    <w:rsid w:val="00CC3B30"/>
    <w:rsid w:val="00CC3F74"/>
    <w:rsid w:val="00CC474A"/>
    <w:rsid w:val="00CC48EF"/>
    <w:rsid w:val="00CC497D"/>
    <w:rsid w:val="00CC4B2F"/>
    <w:rsid w:val="00CC4D4B"/>
    <w:rsid w:val="00CC50D1"/>
    <w:rsid w:val="00CC55EA"/>
    <w:rsid w:val="00CC55FF"/>
    <w:rsid w:val="00CC577A"/>
    <w:rsid w:val="00CC57C6"/>
    <w:rsid w:val="00CC587B"/>
    <w:rsid w:val="00CC588A"/>
    <w:rsid w:val="00CC58E4"/>
    <w:rsid w:val="00CC5A17"/>
    <w:rsid w:val="00CC5B0C"/>
    <w:rsid w:val="00CC5DAB"/>
    <w:rsid w:val="00CC6020"/>
    <w:rsid w:val="00CC6074"/>
    <w:rsid w:val="00CC612E"/>
    <w:rsid w:val="00CC622B"/>
    <w:rsid w:val="00CC6392"/>
    <w:rsid w:val="00CC63C8"/>
    <w:rsid w:val="00CC66DD"/>
    <w:rsid w:val="00CC68EB"/>
    <w:rsid w:val="00CC6A53"/>
    <w:rsid w:val="00CC70B4"/>
    <w:rsid w:val="00CC72C0"/>
    <w:rsid w:val="00CC73C2"/>
    <w:rsid w:val="00CC758B"/>
    <w:rsid w:val="00CC7854"/>
    <w:rsid w:val="00CC7A27"/>
    <w:rsid w:val="00CC7A6F"/>
    <w:rsid w:val="00CC7A82"/>
    <w:rsid w:val="00CC7B26"/>
    <w:rsid w:val="00CC7B3D"/>
    <w:rsid w:val="00CC7CE6"/>
    <w:rsid w:val="00CC7DB0"/>
    <w:rsid w:val="00CD0082"/>
    <w:rsid w:val="00CD01A9"/>
    <w:rsid w:val="00CD025E"/>
    <w:rsid w:val="00CD0763"/>
    <w:rsid w:val="00CD0B7A"/>
    <w:rsid w:val="00CD0BAA"/>
    <w:rsid w:val="00CD0EEA"/>
    <w:rsid w:val="00CD11F7"/>
    <w:rsid w:val="00CD1263"/>
    <w:rsid w:val="00CD127F"/>
    <w:rsid w:val="00CD148F"/>
    <w:rsid w:val="00CD201B"/>
    <w:rsid w:val="00CD20FD"/>
    <w:rsid w:val="00CD217C"/>
    <w:rsid w:val="00CD23CA"/>
    <w:rsid w:val="00CD242D"/>
    <w:rsid w:val="00CD2466"/>
    <w:rsid w:val="00CD24D3"/>
    <w:rsid w:val="00CD24F6"/>
    <w:rsid w:val="00CD25E2"/>
    <w:rsid w:val="00CD272A"/>
    <w:rsid w:val="00CD2737"/>
    <w:rsid w:val="00CD299C"/>
    <w:rsid w:val="00CD2A2D"/>
    <w:rsid w:val="00CD2DB0"/>
    <w:rsid w:val="00CD2DE6"/>
    <w:rsid w:val="00CD2EBA"/>
    <w:rsid w:val="00CD2F2E"/>
    <w:rsid w:val="00CD346F"/>
    <w:rsid w:val="00CD357A"/>
    <w:rsid w:val="00CD3614"/>
    <w:rsid w:val="00CD3C50"/>
    <w:rsid w:val="00CD3CF8"/>
    <w:rsid w:val="00CD3D97"/>
    <w:rsid w:val="00CD3EEC"/>
    <w:rsid w:val="00CD4035"/>
    <w:rsid w:val="00CD408E"/>
    <w:rsid w:val="00CD4188"/>
    <w:rsid w:val="00CD4248"/>
    <w:rsid w:val="00CD43D8"/>
    <w:rsid w:val="00CD45D3"/>
    <w:rsid w:val="00CD4638"/>
    <w:rsid w:val="00CD4813"/>
    <w:rsid w:val="00CD4914"/>
    <w:rsid w:val="00CD4CA3"/>
    <w:rsid w:val="00CD4D19"/>
    <w:rsid w:val="00CD5380"/>
    <w:rsid w:val="00CD554D"/>
    <w:rsid w:val="00CD5589"/>
    <w:rsid w:val="00CD55F3"/>
    <w:rsid w:val="00CD5664"/>
    <w:rsid w:val="00CD5915"/>
    <w:rsid w:val="00CD594F"/>
    <w:rsid w:val="00CD5ABC"/>
    <w:rsid w:val="00CD5B2B"/>
    <w:rsid w:val="00CD5B55"/>
    <w:rsid w:val="00CD5B86"/>
    <w:rsid w:val="00CD5BC7"/>
    <w:rsid w:val="00CD5BE0"/>
    <w:rsid w:val="00CD5C95"/>
    <w:rsid w:val="00CD5E93"/>
    <w:rsid w:val="00CD5EC9"/>
    <w:rsid w:val="00CD5F5F"/>
    <w:rsid w:val="00CD6581"/>
    <w:rsid w:val="00CD66F9"/>
    <w:rsid w:val="00CD671E"/>
    <w:rsid w:val="00CD6AEA"/>
    <w:rsid w:val="00CD6C77"/>
    <w:rsid w:val="00CD6D16"/>
    <w:rsid w:val="00CD6DED"/>
    <w:rsid w:val="00CD6E7F"/>
    <w:rsid w:val="00CD700B"/>
    <w:rsid w:val="00CD700D"/>
    <w:rsid w:val="00CD73FE"/>
    <w:rsid w:val="00CD754F"/>
    <w:rsid w:val="00CD7679"/>
    <w:rsid w:val="00CD77BE"/>
    <w:rsid w:val="00CD7801"/>
    <w:rsid w:val="00CD780C"/>
    <w:rsid w:val="00CD7A35"/>
    <w:rsid w:val="00CD7E20"/>
    <w:rsid w:val="00CD7FD7"/>
    <w:rsid w:val="00CE0601"/>
    <w:rsid w:val="00CE0747"/>
    <w:rsid w:val="00CE09A4"/>
    <w:rsid w:val="00CE0A6E"/>
    <w:rsid w:val="00CE0ACB"/>
    <w:rsid w:val="00CE0B99"/>
    <w:rsid w:val="00CE0C45"/>
    <w:rsid w:val="00CE0DBB"/>
    <w:rsid w:val="00CE0FFA"/>
    <w:rsid w:val="00CE137D"/>
    <w:rsid w:val="00CE14E0"/>
    <w:rsid w:val="00CE1593"/>
    <w:rsid w:val="00CE166C"/>
    <w:rsid w:val="00CE1926"/>
    <w:rsid w:val="00CE1A5A"/>
    <w:rsid w:val="00CE1CDE"/>
    <w:rsid w:val="00CE1E94"/>
    <w:rsid w:val="00CE1EDF"/>
    <w:rsid w:val="00CE2180"/>
    <w:rsid w:val="00CE23C3"/>
    <w:rsid w:val="00CE2523"/>
    <w:rsid w:val="00CE25F7"/>
    <w:rsid w:val="00CE2781"/>
    <w:rsid w:val="00CE2EBA"/>
    <w:rsid w:val="00CE307C"/>
    <w:rsid w:val="00CE3086"/>
    <w:rsid w:val="00CE311D"/>
    <w:rsid w:val="00CE3176"/>
    <w:rsid w:val="00CE31FE"/>
    <w:rsid w:val="00CE33E0"/>
    <w:rsid w:val="00CE3406"/>
    <w:rsid w:val="00CE340F"/>
    <w:rsid w:val="00CE3723"/>
    <w:rsid w:val="00CE3C23"/>
    <w:rsid w:val="00CE3FB3"/>
    <w:rsid w:val="00CE40FB"/>
    <w:rsid w:val="00CE439A"/>
    <w:rsid w:val="00CE473D"/>
    <w:rsid w:val="00CE475D"/>
    <w:rsid w:val="00CE4AC2"/>
    <w:rsid w:val="00CE4D32"/>
    <w:rsid w:val="00CE4D8D"/>
    <w:rsid w:val="00CE4F43"/>
    <w:rsid w:val="00CE5099"/>
    <w:rsid w:val="00CE5246"/>
    <w:rsid w:val="00CE538B"/>
    <w:rsid w:val="00CE53F6"/>
    <w:rsid w:val="00CE55D6"/>
    <w:rsid w:val="00CE55D9"/>
    <w:rsid w:val="00CE58B9"/>
    <w:rsid w:val="00CE594B"/>
    <w:rsid w:val="00CE5DDD"/>
    <w:rsid w:val="00CE63F8"/>
    <w:rsid w:val="00CE648F"/>
    <w:rsid w:val="00CE64CC"/>
    <w:rsid w:val="00CE663B"/>
    <w:rsid w:val="00CE696D"/>
    <w:rsid w:val="00CE6A43"/>
    <w:rsid w:val="00CE6B45"/>
    <w:rsid w:val="00CE6C8C"/>
    <w:rsid w:val="00CE6F3C"/>
    <w:rsid w:val="00CE73E6"/>
    <w:rsid w:val="00CE7561"/>
    <w:rsid w:val="00CE7673"/>
    <w:rsid w:val="00CE79DC"/>
    <w:rsid w:val="00CE7B44"/>
    <w:rsid w:val="00CE7C43"/>
    <w:rsid w:val="00CE7DAD"/>
    <w:rsid w:val="00CE7E60"/>
    <w:rsid w:val="00CE7F3B"/>
    <w:rsid w:val="00CF00AD"/>
    <w:rsid w:val="00CF065E"/>
    <w:rsid w:val="00CF06BB"/>
    <w:rsid w:val="00CF0886"/>
    <w:rsid w:val="00CF0A39"/>
    <w:rsid w:val="00CF0A4A"/>
    <w:rsid w:val="00CF0F1E"/>
    <w:rsid w:val="00CF0FE1"/>
    <w:rsid w:val="00CF13F7"/>
    <w:rsid w:val="00CF1465"/>
    <w:rsid w:val="00CF1747"/>
    <w:rsid w:val="00CF1A5A"/>
    <w:rsid w:val="00CF1AEB"/>
    <w:rsid w:val="00CF2053"/>
    <w:rsid w:val="00CF20C5"/>
    <w:rsid w:val="00CF2204"/>
    <w:rsid w:val="00CF22FB"/>
    <w:rsid w:val="00CF2431"/>
    <w:rsid w:val="00CF24E8"/>
    <w:rsid w:val="00CF2744"/>
    <w:rsid w:val="00CF2754"/>
    <w:rsid w:val="00CF278E"/>
    <w:rsid w:val="00CF2917"/>
    <w:rsid w:val="00CF293F"/>
    <w:rsid w:val="00CF2A7A"/>
    <w:rsid w:val="00CF2AB8"/>
    <w:rsid w:val="00CF2BAF"/>
    <w:rsid w:val="00CF30CB"/>
    <w:rsid w:val="00CF30EE"/>
    <w:rsid w:val="00CF3205"/>
    <w:rsid w:val="00CF34AA"/>
    <w:rsid w:val="00CF3687"/>
    <w:rsid w:val="00CF36A9"/>
    <w:rsid w:val="00CF379D"/>
    <w:rsid w:val="00CF383C"/>
    <w:rsid w:val="00CF3A4D"/>
    <w:rsid w:val="00CF3D53"/>
    <w:rsid w:val="00CF3F71"/>
    <w:rsid w:val="00CF41E0"/>
    <w:rsid w:val="00CF4204"/>
    <w:rsid w:val="00CF4342"/>
    <w:rsid w:val="00CF439F"/>
    <w:rsid w:val="00CF44C9"/>
    <w:rsid w:val="00CF45AF"/>
    <w:rsid w:val="00CF462C"/>
    <w:rsid w:val="00CF470F"/>
    <w:rsid w:val="00CF47E5"/>
    <w:rsid w:val="00CF49BA"/>
    <w:rsid w:val="00CF49BD"/>
    <w:rsid w:val="00CF4EF5"/>
    <w:rsid w:val="00CF4F81"/>
    <w:rsid w:val="00CF5408"/>
    <w:rsid w:val="00CF54A2"/>
    <w:rsid w:val="00CF55CD"/>
    <w:rsid w:val="00CF5649"/>
    <w:rsid w:val="00CF58C2"/>
    <w:rsid w:val="00CF5DA5"/>
    <w:rsid w:val="00CF5F17"/>
    <w:rsid w:val="00CF6266"/>
    <w:rsid w:val="00CF6637"/>
    <w:rsid w:val="00CF68CC"/>
    <w:rsid w:val="00CF68E5"/>
    <w:rsid w:val="00CF6C4F"/>
    <w:rsid w:val="00CF6ED2"/>
    <w:rsid w:val="00CF6F45"/>
    <w:rsid w:val="00CF73BA"/>
    <w:rsid w:val="00CF7D46"/>
    <w:rsid w:val="00CF7E77"/>
    <w:rsid w:val="00D0004D"/>
    <w:rsid w:val="00D00263"/>
    <w:rsid w:val="00D0045D"/>
    <w:rsid w:val="00D004D9"/>
    <w:rsid w:val="00D006AD"/>
    <w:rsid w:val="00D00936"/>
    <w:rsid w:val="00D00B31"/>
    <w:rsid w:val="00D00B78"/>
    <w:rsid w:val="00D00BCF"/>
    <w:rsid w:val="00D00D88"/>
    <w:rsid w:val="00D00F6D"/>
    <w:rsid w:val="00D01245"/>
    <w:rsid w:val="00D0132A"/>
    <w:rsid w:val="00D013B7"/>
    <w:rsid w:val="00D0147A"/>
    <w:rsid w:val="00D014FD"/>
    <w:rsid w:val="00D015F3"/>
    <w:rsid w:val="00D01837"/>
    <w:rsid w:val="00D01897"/>
    <w:rsid w:val="00D018BC"/>
    <w:rsid w:val="00D01A7A"/>
    <w:rsid w:val="00D01B42"/>
    <w:rsid w:val="00D01BF4"/>
    <w:rsid w:val="00D01C94"/>
    <w:rsid w:val="00D01CFE"/>
    <w:rsid w:val="00D01D7D"/>
    <w:rsid w:val="00D01DCC"/>
    <w:rsid w:val="00D01F90"/>
    <w:rsid w:val="00D029A6"/>
    <w:rsid w:val="00D029FA"/>
    <w:rsid w:val="00D02BC8"/>
    <w:rsid w:val="00D0305C"/>
    <w:rsid w:val="00D0305D"/>
    <w:rsid w:val="00D030A7"/>
    <w:rsid w:val="00D030ED"/>
    <w:rsid w:val="00D0367C"/>
    <w:rsid w:val="00D037D1"/>
    <w:rsid w:val="00D03840"/>
    <w:rsid w:val="00D03864"/>
    <w:rsid w:val="00D039D8"/>
    <w:rsid w:val="00D03B3A"/>
    <w:rsid w:val="00D03B5D"/>
    <w:rsid w:val="00D041F4"/>
    <w:rsid w:val="00D042F8"/>
    <w:rsid w:val="00D043EC"/>
    <w:rsid w:val="00D044F6"/>
    <w:rsid w:val="00D048D0"/>
    <w:rsid w:val="00D05100"/>
    <w:rsid w:val="00D05573"/>
    <w:rsid w:val="00D0601D"/>
    <w:rsid w:val="00D06080"/>
    <w:rsid w:val="00D062E4"/>
    <w:rsid w:val="00D06719"/>
    <w:rsid w:val="00D0678B"/>
    <w:rsid w:val="00D067E2"/>
    <w:rsid w:val="00D06929"/>
    <w:rsid w:val="00D06AA8"/>
    <w:rsid w:val="00D06ADB"/>
    <w:rsid w:val="00D06D8F"/>
    <w:rsid w:val="00D06E2D"/>
    <w:rsid w:val="00D072F0"/>
    <w:rsid w:val="00D078FF"/>
    <w:rsid w:val="00D0793B"/>
    <w:rsid w:val="00D07BD5"/>
    <w:rsid w:val="00D07D7A"/>
    <w:rsid w:val="00D07DBE"/>
    <w:rsid w:val="00D07EB1"/>
    <w:rsid w:val="00D07F01"/>
    <w:rsid w:val="00D10072"/>
    <w:rsid w:val="00D102EF"/>
    <w:rsid w:val="00D10445"/>
    <w:rsid w:val="00D10657"/>
    <w:rsid w:val="00D1072A"/>
    <w:rsid w:val="00D1076A"/>
    <w:rsid w:val="00D10870"/>
    <w:rsid w:val="00D108BC"/>
    <w:rsid w:val="00D10C26"/>
    <w:rsid w:val="00D11106"/>
    <w:rsid w:val="00D1117F"/>
    <w:rsid w:val="00D11245"/>
    <w:rsid w:val="00D1134A"/>
    <w:rsid w:val="00D115A9"/>
    <w:rsid w:val="00D115CE"/>
    <w:rsid w:val="00D1180D"/>
    <w:rsid w:val="00D11871"/>
    <w:rsid w:val="00D11A08"/>
    <w:rsid w:val="00D11A60"/>
    <w:rsid w:val="00D11B7A"/>
    <w:rsid w:val="00D11D35"/>
    <w:rsid w:val="00D11DAF"/>
    <w:rsid w:val="00D11E18"/>
    <w:rsid w:val="00D11E1B"/>
    <w:rsid w:val="00D120B1"/>
    <w:rsid w:val="00D120C9"/>
    <w:rsid w:val="00D120F9"/>
    <w:rsid w:val="00D1253B"/>
    <w:rsid w:val="00D12703"/>
    <w:rsid w:val="00D12794"/>
    <w:rsid w:val="00D127A3"/>
    <w:rsid w:val="00D12D61"/>
    <w:rsid w:val="00D12F4C"/>
    <w:rsid w:val="00D13390"/>
    <w:rsid w:val="00D13436"/>
    <w:rsid w:val="00D13596"/>
    <w:rsid w:val="00D1388C"/>
    <w:rsid w:val="00D139A3"/>
    <w:rsid w:val="00D13AA8"/>
    <w:rsid w:val="00D13C51"/>
    <w:rsid w:val="00D13CBA"/>
    <w:rsid w:val="00D13DE3"/>
    <w:rsid w:val="00D13FF2"/>
    <w:rsid w:val="00D1407C"/>
    <w:rsid w:val="00D142A1"/>
    <w:rsid w:val="00D1435C"/>
    <w:rsid w:val="00D14533"/>
    <w:rsid w:val="00D1459F"/>
    <w:rsid w:val="00D14765"/>
    <w:rsid w:val="00D14A1B"/>
    <w:rsid w:val="00D14DD1"/>
    <w:rsid w:val="00D14E8A"/>
    <w:rsid w:val="00D150CD"/>
    <w:rsid w:val="00D1534B"/>
    <w:rsid w:val="00D15787"/>
    <w:rsid w:val="00D15E83"/>
    <w:rsid w:val="00D163B9"/>
    <w:rsid w:val="00D1647A"/>
    <w:rsid w:val="00D164E7"/>
    <w:rsid w:val="00D166D4"/>
    <w:rsid w:val="00D168E8"/>
    <w:rsid w:val="00D1692A"/>
    <w:rsid w:val="00D16CBE"/>
    <w:rsid w:val="00D16E69"/>
    <w:rsid w:val="00D16F1C"/>
    <w:rsid w:val="00D16FC5"/>
    <w:rsid w:val="00D17049"/>
    <w:rsid w:val="00D17420"/>
    <w:rsid w:val="00D17469"/>
    <w:rsid w:val="00D174B8"/>
    <w:rsid w:val="00D17575"/>
    <w:rsid w:val="00D17603"/>
    <w:rsid w:val="00D1769F"/>
    <w:rsid w:val="00D1790F"/>
    <w:rsid w:val="00D17952"/>
    <w:rsid w:val="00D17ABF"/>
    <w:rsid w:val="00D17C8E"/>
    <w:rsid w:val="00D17DDE"/>
    <w:rsid w:val="00D17E74"/>
    <w:rsid w:val="00D17EB1"/>
    <w:rsid w:val="00D17F11"/>
    <w:rsid w:val="00D202CB"/>
    <w:rsid w:val="00D205BB"/>
    <w:rsid w:val="00D205ED"/>
    <w:rsid w:val="00D20877"/>
    <w:rsid w:val="00D20A19"/>
    <w:rsid w:val="00D20DD2"/>
    <w:rsid w:val="00D20EBA"/>
    <w:rsid w:val="00D20F28"/>
    <w:rsid w:val="00D21355"/>
    <w:rsid w:val="00D214D8"/>
    <w:rsid w:val="00D21555"/>
    <w:rsid w:val="00D215B4"/>
    <w:rsid w:val="00D218C7"/>
    <w:rsid w:val="00D21E8A"/>
    <w:rsid w:val="00D21F03"/>
    <w:rsid w:val="00D21F04"/>
    <w:rsid w:val="00D220D2"/>
    <w:rsid w:val="00D2213F"/>
    <w:rsid w:val="00D221A5"/>
    <w:rsid w:val="00D2230D"/>
    <w:rsid w:val="00D224C7"/>
    <w:rsid w:val="00D22588"/>
    <w:rsid w:val="00D2262D"/>
    <w:rsid w:val="00D22D81"/>
    <w:rsid w:val="00D22FD0"/>
    <w:rsid w:val="00D2318C"/>
    <w:rsid w:val="00D2357A"/>
    <w:rsid w:val="00D2358B"/>
    <w:rsid w:val="00D236A2"/>
    <w:rsid w:val="00D236A7"/>
    <w:rsid w:val="00D236AD"/>
    <w:rsid w:val="00D23745"/>
    <w:rsid w:val="00D23869"/>
    <w:rsid w:val="00D23A77"/>
    <w:rsid w:val="00D23BE8"/>
    <w:rsid w:val="00D23E6E"/>
    <w:rsid w:val="00D241CE"/>
    <w:rsid w:val="00D2457B"/>
    <w:rsid w:val="00D247CA"/>
    <w:rsid w:val="00D24900"/>
    <w:rsid w:val="00D24CDE"/>
    <w:rsid w:val="00D24EC3"/>
    <w:rsid w:val="00D24F1D"/>
    <w:rsid w:val="00D24FE6"/>
    <w:rsid w:val="00D2500D"/>
    <w:rsid w:val="00D25132"/>
    <w:rsid w:val="00D252D8"/>
    <w:rsid w:val="00D25412"/>
    <w:rsid w:val="00D255B0"/>
    <w:rsid w:val="00D2590E"/>
    <w:rsid w:val="00D25C9A"/>
    <w:rsid w:val="00D25D8D"/>
    <w:rsid w:val="00D26127"/>
    <w:rsid w:val="00D263E6"/>
    <w:rsid w:val="00D26441"/>
    <w:rsid w:val="00D265EE"/>
    <w:rsid w:val="00D2676E"/>
    <w:rsid w:val="00D26818"/>
    <w:rsid w:val="00D268A4"/>
    <w:rsid w:val="00D269AC"/>
    <w:rsid w:val="00D26CB6"/>
    <w:rsid w:val="00D26DB1"/>
    <w:rsid w:val="00D26DF3"/>
    <w:rsid w:val="00D275FD"/>
    <w:rsid w:val="00D2760C"/>
    <w:rsid w:val="00D2771E"/>
    <w:rsid w:val="00D2784A"/>
    <w:rsid w:val="00D278B2"/>
    <w:rsid w:val="00D27CAD"/>
    <w:rsid w:val="00D27DE8"/>
    <w:rsid w:val="00D3022C"/>
    <w:rsid w:val="00D3033C"/>
    <w:rsid w:val="00D305DC"/>
    <w:rsid w:val="00D30DD5"/>
    <w:rsid w:val="00D30ECE"/>
    <w:rsid w:val="00D30FA7"/>
    <w:rsid w:val="00D3115C"/>
    <w:rsid w:val="00D31381"/>
    <w:rsid w:val="00D313A7"/>
    <w:rsid w:val="00D3159C"/>
    <w:rsid w:val="00D31646"/>
    <w:rsid w:val="00D31700"/>
    <w:rsid w:val="00D3182F"/>
    <w:rsid w:val="00D31AB8"/>
    <w:rsid w:val="00D31B33"/>
    <w:rsid w:val="00D31D23"/>
    <w:rsid w:val="00D31EBF"/>
    <w:rsid w:val="00D32777"/>
    <w:rsid w:val="00D32874"/>
    <w:rsid w:val="00D329FE"/>
    <w:rsid w:val="00D32C99"/>
    <w:rsid w:val="00D32E09"/>
    <w:rsid w:val="00D32ED7"/>
    <w:rsid w:val="00D32F61"/>
    <w:rsid w:val="00D33229"/>
    <w:rsid w:val="00D3358D"/>
    <w:rsid w:val="00D335E7"/>
    <w:rsid w:val="00D3366A"/>
    <w:rsid w:val="00D33798"/>
    <w:rsid w:val="00D339DA"/>
    <w:rsid w:val="00D33ABE"/>
    <w:rsid w:val="00D33E1A"/>
    <w:rsid w:val="00D33E5C"/>
    <w:rsid w:val="00D343DD"/>
    <w:rsid w:val="00D3449D"/>
    <w:rsid w:val="00D34752"/>
    <w:rsid w:val="00D347DB"/>
    <w:rsid w:val="00D34BF6"/>
    <w:rsid w:val="00D3512C"/>
    <w:rsid w:val="00D351D5"/>
    <w:rsid w:val="00D3522F"/>
    <w:rsid w:val="00D35289"/>
    <w:rsid w:val="00D3552D"/>
    <w:rsid w:val="00D355C6"/>
    <w:rsid w:val="00D3575E"/>
    <w:rsid w:val="00D35933"/>
    <w:rsid w:val="00D35D77"/>
    <w:rsid w:val="00D3612B"/>
    <w:rsid w:val="00D36229"/>
    <w:rsid w:val="00D36476"/>
    <w:rsid w:val="00D365ED"/>
    <w:rsid w:val="00D36703"/>
    <w:rsid w:val="00D36754"/>
    <w:rsid w:val="00D368CC"/>
    <w:rsid w:val="00D369BD"/>
    <w:rsid w:val="00D36B63"/>
    <w:rsid w:val="00D36FA0"/>
    <w:rsid w:val="00D3729A"/>
    <w:rsid w:val="00D372C1"/>
    <w:rsid w:val="00D37501"/>
    <w:rsid w:val="00D379D0"/>
    <w:rsid w:val="00D37A39"/>
    <w:rsid w:val="00D37DB2"/>
    <w:rsid w:val="00D37DD3"/>
    <w:rsid w:val="00D37E26"/>
    <w:rsid w:val="00D37E80"/>
    <w:rsid w:val="00D400AC"/>
    <w:rsid w:val="00D40265"/>
    <w:rsid w:val="00D40313"/>
    <w:rsid w:val="00D403FD"/>
    <w:rsid w:val="00D405C0"/>
    <w:rsid w:val="00D40618"/>
    <w:rsid w:val="00D4083E"/>
    <w:rsid w:val="00D40A63"/>
    <w:rsid w:val="00D40D60"/>
    <w:rsid w:val="00D40DB9"/>
    <w:rsid w:val="00D40FB5"/>
    <w:rsid w:val="00D412C0"/>
    <w:rsid w:val="00D41457"/>
    <w:rsid w:val="00D41465"/>
    <w:rsid w:val="00D41485"/>
    <w:rsid w:val="00D41598"/>
    <w:rsid w:val="00D419AF"/>
    <w:rsid w:val="00D419F5"/>
    <w:rsid w:val="00D41AF4"/>
    <w:rsid w:val="00D41C17"/>
    <w:rsid w:val="00D41E20"/>
    <w:rsid w:val="00D42230"/>
    <w:rsid w:val="00D422C7"/>
    <w:rsid w:val="00D423EE"/>
    <w:rsid w:val="00D4266B"/>
    <w:rsid w:val="00D426D2"/>
    <w:rsid w:val="00D42A08"/>
    <w:rsid w:val="00D42ADB"/>
    <w:rsid w:val="00D42BA8"/>
    <w:rsid w:val="00D42BEB"/>
    <w:rsid w:val="00D42D31"/>
    <w:rsid w:val="00D42F6F"/>
    <w:rsid w:val="00D4301F"/>
    <w:rsid w:val="00D432F7"/>
    <w:rsid w:val="00D43707"/>
    <w:rsid w:val="00D438C6"/>
    <w:rsid w:val="00D44054"/>
    <w:rsid w:val="00D4433D"/>
    <w:rsid w:val="00D44943"/>
    <w:rsid w:val="00D449F4"/>
    <w:rsid w:val="00D44A93"/>
    <w:rsid w:val="00D44AD0"/>
    <w:rsid w:val="00D44BAD"/>
    <w:rsid w:val="00D44BEE"/>
    <w:rsid w:val="00D44C56"/>
    <w:rsid w:val="00D45244"/>
    <w:rsid w:val="00D455C9"/>
    <w:rsid w:val="00D45818"/>
    <w:rsid w:val="00D4581B"/>
    <w:rsid w:val="00D459F4"/>
    <w:rsid w:val="00D45C4E"/>
    <w:rsid w:val="00D45CBB"/>
    <w:rsid w:val="00D45E0B"/>
    <w:rsid w:val="00D46063"/>
    <w:rsid w:val="00D4621E"/>
    <w:rsid w:val="00D462EC"/>
    <w:rsid w:val="00D46380"/>
    <w:rsid w:val="00D466A2"/>
    <w:rsid w:val="00D469D7"/>
    <w:rsid w:val="00D46B31"/>
    <w:rsid w:val="00D46BD3"/>
    <w:rsid w:val="00D46DF1"/>
    <w:rsid w:val="00D46DF6"/>
    <w:rsid w:val="00D46DF7"/>
    <w:rsid w:val="00D46E2A"/>
    <w:rsid w:val="00D47176"/>
    <w:rsid w:val="00D47441"/>
    <w:rsid w:val="00D4752D"/>
    <w:rsid w:val="00D475E1"/>
    <w:rsid w:val="00D476BB"/>
    <w:rsid w:val="00D476C4"/>
    <w:rsid w:val="00D47819"/>
    <w:rsid w:val="00D4798F"/>
    <w:rsid w:val="00D47A2A"/>
    <w:rsid w:val="00D47DA3"/>
    <w:rsid w:val="00D47DA4"/>
    <w:rsid w:val="00D47DEE"/>
    <w:rsid w:val="00D5031C"/>
    <w:rsid w:val="00D50320"/>
    <w:rsid w:val="00D50746"/>
    <w:rsid w:val="00D50A26"/>
    <w:rsid w:val="00D50A51"/>
    <w:rsid w:val="00D50E32"/>
    <w:rsid w:val="00D5127F"/>
    <w:rsid w:val="00D515A0"/>
    <w:rsid w:val="00D5174D"/>
    <w:rsid w:val="00D51BBF"/>
    <w:rsid w:val="00D51D01"/>
    <w:rsid w:val="00D51D92"/>
    <w:rsid w:val="00D51DDA"/>
    <w:rsid w:val="00D51DE7"/>
    <w:rsid w:val="00D51E00"/>
    <w:rsid w:val="00D523BA"/>
    <w:rsid w:val="00D525E1"/>
    <w:rsid w:val="00D52750"/>
    <w:rsid w:val="00D52AB8"/>
    <w:rsid w:val="00D5305B"/>
    <w:rsid w:val="00D530AC"/>
    <w:rsid w:val="00D533F6"/>
    <w:rsid w:val="00D53435"/>
    <w:rsid w:val="00D53562"/>
    <w:rsid w:val="00D53637"/>
    <w:rsid w:val="00D53783"/>
    <w:rsid w:val="00D53C04"/>
    <w:rsid w:val="00D53D81"/>
    <w:rsid w:val="00D53EE4"/>
    <w:rsid w:val="00D53FB0"/>
    <w:rsid w:val="00D54071"/>
    <w:rsid w:val="00D54574"/>
    <w:rsid w:val="00D54653"/>
    <w:rsid w:val="00D550F0"/>
    <w:rsid w:val="00D55278"/>
    <w:rsid w:val="00D55997"/>
    <w:rsid w:val="00D559F5"/>
    <w:rsid w:val="00D55AF0"/>
    <w:rsid w:val="00D55B4B"/>
    <w:rsid w:val="00D55DC4"/>
    <w:rsid w:val="00D5614B"/>
    <w:rsid w:val="00D56433"/>
    <w:rsid w:val="00D56434"/>
    <w:rsid w:val="00D566E7"/>
    <w:rsid w:val="00D566EB"/>
    <w:rsid w:val="00D567D1"/>
    <w:rsid w:val="00D56BE0"/>
    <w:rsid w:val="00D574DA"/>
    <w:rsid w:val="00D57857"/>
    <w:rsid w:val="00D579FC"/>
    <w:rsid w:val="00D57A8C"/>
    <w:rsid w:val="00D57B0B"/>
    <w:rsid w:val="00D57CC0"/>
    <w:rsid w:val="00D57E21"/>
    <w:rsid w:val="00D60211"/>
    <w:rsid w:val="00D6022E"/>
    <w:rsid w:val="00D60294"/>
    <w:rsid w:val="00D60593"/>
    <w:rsid w:val="00D606A0"/>
    <w:rsid w:val="00D60712"/>
    <w:rsid w:val="00D6095D"/>
    <w:rsid w:val="00D609BC"/>
    <w:rsid w:val="00D60A41"/>
    <w:rsid w:val="00D60A83"/>
    <w:rsid w:val="00D60F29"/>
    <w:rsid w:val="00D6126A"/>
    <w:rsid w:val="00D61587"/>
    <w:rsid w:val="00D616DF"/>
    <w:rsid w:val="00D61716"/>
    <w:rsid w:val="00D617C1"/>
    <w:rsid w:val="00D6191A"/>
    <w:rsid w:val="00D61DF3"/>
    <w:rsid w:val="00D61EA0"/>
    <w:rsid w:val="00D61F12"/>
    <w:rsid w:val="00D6207D"/>
    <w:rsid w:val="00D6208B"/>
    <w:rsid w:val="00D6209D"/>
    <w:rsid w:val="00D6209F"/>
    <w:rsid w:val="00D623D8"/>
    <w:rsid w:val="00D624B2"/>
    <w:rsid w:val="00D62621"/>
    <w:rsid w:val="00D6270F"/>
    <w:rsid w:val="00D6295F"/>
    <w:rsid w:val="00D62F2C"/>
    <w:rsid w:val="00D62FAA"/>
    <w:rsid w:val="00D63050"/>
    <w:rsid w:val="00D6341E"/>
    <w:rsid w:val="00D63680"/>
    <w:rsid w:val="00D637A9"/>
    <w:rsid w:val="00D63D70"/>
    <w:rsid w:val="00D63DB2"/>
    <w:rsid w:val="00D63FC9"/>
    <w:rsid w:val="00D64658"/>
    <w:rsid w:val="00D64856"/>
    <w:rsid w:val="00D64B96"/>
    <w:rsid w:val="00D64CA0"/>
    <w:rsid w:val="00D64E6E"/>
    <w:rsid w:val="00D64F9D"/>
    <w:rsid w:val="00D6506E"/>
    <w:rsid w:val="00D653F5"/>
    <w:rsid w:val="00D6586E"/>
    <w:rsid w:val="00D65956"/>
    <w:rsid w:val="00D65C3E"/>
    <w:rsid w:val="00D65D6D"/>
    <w:rsid w:val="00D662BE"/>
    <w:rsid w:val="00D662D3"/>
    <w:rsid w:val="00D664D6"/>
    <w:rsid w:val="00D664E1"/>
    <w:rsid w:val="00D66520"/>
    <w:rsid w:val="00D666A2"/>
    <w:rsid w:val="00D666E4"/>
    <w:rsid w:val="00D666EC"/>
    <w:rsid w:val="00D6675B"/>
    <w:rsid w:val="00D6689E"/>
    <w:rsid w:val="00D668CA"/>
    <w:rsid w:val="00D668EF"/>
    <w:rsid w:val="00D6696B"/>
    <w:rsid w:val="00D66A25"/>
    <w:rsid w:val="00D66A6B"/>
    <w:rsid w:val="00D66B0C"/>
    <w:rsid w:val="00D6711B"/>
    <w:rsid w:val="00D675CC"/>
    <w:rsid w:val="00D675FA"/>
    <w:rsid w:val="00D676EC"/>
    <w:rsid w:val="00D6771A"/>
    <w:rsid w:val="00D67A38"/>
    <w:rsid w:val="00D67A9A"/>
    <w:rsid w:val="00D67AFF"/>
    <w:rsid w:val="00D67B02"/>
    <w:rsid w:val="00D67B13"/>
    <w:rsid w:val="00D67B68"/>
    <w:rsid w:val="00D67ECC"/>
    <w:rsid w:val="00D67EF6"/>
    <w:rsid w:val="00D67EFD"/>
    <w:rsid w:val="00D67FD8"/>
    <w:rsid w:val="00D703BD"/>
    <w:rsid w:val="00D705AB"/>
    <w:rsid w:val="00D7097A"/>
    <w:rsid w:val="00D709EC"/>
    <w:rsid w:val="00D70E8E"/>
    <w:rsid w:val="00D70F01"/>
    <w:rsid w:val="00D7160B"/>
    <w:rsid w:val="00D71708"/>
    <w:rsid w:val="00D71B75"/>
    <w:rsid w:val="00D71CF0"/>
    <w:rsid w:val="00D71F23"/>
    <w:rsid w:val="00D720AA"/>
    <w:rsid w:val="00D720F8"/>
    <w:rsid w:val="00D721B2"/>
    <w:rsid w:val="00D7250D"/>
    <w:rsid w:val="00D725CA"/>
    <w:rsid w:val="00D72605"/>
    <w:rsid w:val="00D726F9"/>
    <w:rsid w:val="00D7276F"/>
    <w:rsid w:val="00D72912"/>
    <w:rsid w:val="00D72BDE"/>
    <w:rsid w:val="00D73453"/>
    <w:rsid w:val="00D73791"/>
    <w:rsid w:val="00D7384F"/>
    <w:rsid w:val="00D73F9E"/>
    <w:rsid w:val="00D74319"/>
    <w:rsid w:val="00D74578"/>
    <w:rsid w:val="00D747B7"/>
    <w:rsid w:val="00D748BD"/>
    <w:rsid w:val="00D74AE6"/>
    <w:rsid w:val="00D74DD4"/>
    <w:rsid w:val="00D75359"/>
    <w:rsid w:val="00D75501"/>
    <w:rsid w:val="00D7552F"/>
    <w:rsid w:val="00D75619"/>
    <w:rsid w:val="00D75742"/>
    <w:rsid w:val="00D75880"/>
    <w:rsid w:val="00D7589B"/>
    <w:rsid w:val="00D75B40"/>
    <w:rsid w:val="00D75BE2"/>
    <w:rsid w:val="00D76086"/>
    <w:rsid w:val="00D76153"/>
    <w:rsid w:val="00D7615E"/>
    <w:rsid w:val="00D762F5"/>
    <w:rsid w:val="00D76467"/>
    <w:rsid w:val="00D764AE"/>
    <w:rsid w:val="00D765CB"/>
    <w:rsid w:val="00D766C6"/>
    <w:rsid w:val="00D76B84"/>
    <w:rsid w:val="00D76C04"/>
    <w:rsid w:val="00D76CFC"/>
    <w:rsid w:val="00D76E91"/>
    <w:rsid w:val="00D76F63"/>
    <w:rsid w:val="00D77116"/>
    <w:rsid w:val="00D77123"/>
    <w:rsid w:val="00D771A2"/>
    <w:rsid w:val="00D77214"/>
    <w:rsid w:val="00D773D8"/>
    <w:rsid w:val="00D773F3"/>
    <w:rsid w:val="00D77541"/>
    <w:rsid w:val="00D77716"/>
    <w:rsid w:val="00D77866"/>
    <w:rsid w:val="00D7790C"/>
    <w:rsid w:val="00D77957"/>
    <w:rsid w:val="00D779E5"/>
    <w:rsid w:val="00D77B62"/>
    <w:rsid w:val="00D77BC5"/>
    <w:rsid w:val="00D77CC9"/>
    <w:rsid w:val="00D77D85"/>
    <w:rsid w:val="00D77ED8"/>
    <w:rsid w:val="00D77F1F"/>
    <w:rsid w:val="00D77F27"/>
    <w:rsid w:val="00D77FEE"/>
    <w:rsid w:val="00D805B3"/>
    <w:rsid w:val="00D805FB"/>
    <w:rsid w:val="00D8073A"/>
    <w:rsid w:val="00D807BD"/>
    <w:rsid w:val="00D8087D"/>
    <w:rsid w:val="00D80BAB"/>
    <w:rsid w:val="00D80BDE"/>
    <w:rsid w:val="00D80C2B"/>
    <w:rsid w:val="00D80E68"/>
    <w:rsid w:val="00D811F8"/>
    <w:rsid w:val="00D812A4"/>
    <w:rsid w:val="00D814B6"/>
    <w:rsid w:val="00D81543"/>
    <w:rsid w:val="00D81A66"/>
    <w:rsid w:val="00D81FC7"/>
    <w:rsid w:val="00D820AE"/>
    <w:rsid w:val="00D820FD"/>
    <w:rsid w:val="00D821A2"/>
    <w:rsid w:val="00D822FC"/>
    <w:rsid w:val="00D82A68"/>
    <w:rsid w:val="00D82B4A"/>
    <w:rsid w:val="00D82BED"/>
    <w:rsid w:val="00D82E29"/>
    <w:rsid w:val="00D82F1D"/>
    <w:rsid w:val="00D832B5"/>
    <w:rsid w:val="00D83363"/>
    <w:rsid w:val="00D83472"/>
    <w:rsid w:val="00D834D1"/>
    <w:rsid w:val="00D83A8F"/>
    <w:rsid w:val="00D83AB5"/>
    <w:rsid w:val="00D83B2E"/>
    <w:rsid w:val="00D83CBF"/>
    <w:rsid w:val="00D83EE6"/>
    <w:rsid w:val="00D8436E"/>
    <w:rsid w:val="00D8451A"/>
    <w:rsid w:val="00D847A8"/>
    <w:rsid w:val="00D8482F"/>
    <w:rsid w:val="00D84B0F"/>
    <w:rsid w:val="00D84B9B"/>
    <w:rsid w:val="00D84DAC"/>
    <w:rsid w:val="00D84DD2"/>
    <w:rsid w:val="00D84E8B"/>
    <w:rsid w:val="00D84F52"/>
    <w:rsid w:val="00D851FD"/>
    <w:rsid w:val="00D85527"/>
    <w:rsid w:val="00D856F2"/>
    <w:rsid w:val="00D857D3"/>
    <w:rsid w:val="00D8583B"/>
    <w:rsid w:val="00D85B84"/>
    <w:rsid w:val="00D85CA7"/>
    <w:rsid w:val="00D85DFF"/>
    <w:rsid w:val="00D860D7"/>
    <w:rsid w:val="00D861D9"/>
    <w:rsid w:val="00D862A5"/>
    <w:rsid w:val="00D862FB"/>
    <w:rsid w:val="00D8630F"/>
    <w:rsid w:val="00D86350"/>
    <w:rsid w:val="00D86442"/>
    <w:rsid w:val="00D86592"/>
    <w:rsid w:val="00D8660D"/>
    <w:rsid w:val="00D86919"/>
    <w:rsid w:val="00D869BC"/>
    <w:rsid w:val="00D86BE3"/>
    <w:rsid w:val="00D86D76"/>
    <w:rsid w:val="00D86DE9"/>
    <w:rsid w:val="00D871E1"/>
    <w:rsid w:val="00D871E8"/>
    <w:rsid w:val="00D8759B"/>
    <w:rsid w:val="00D875AD"/>
    <w:rsid w:val="00D87642"/>
    <w:rsid w:val="00D87866"/>
    <w:rsid w:val="00D878E0"/>
    <w:rsid w:val="00D87AD7"/>
    <w:rsid w:val="00D87B67"/>
    <w:rsid w:val="00D87D4D"/>
    <w:rsid w:val="00D87EE3"/>
    <w:rsid w:val="00D903C9"/>
    <w:rsid w:val="00D909DE"/>
    <w:rsid w:val="00D90B0C"/>
    <w:rsid w:val="00D90D8D"/>
    <w:rsid w:val="00D90EF1"/>
    <w:rsid w:val="00D90EF8"/>
    <w:rsid w:val="00D90FFB"/>
    <w:rsid w:val="00D9113C"/>
    <w:rsid w:val="00D91259"/>
    <w:rsid w:val="00D913C9"/>
    <w:rsid w:val="00D9155B"/>
    <w:rsid w:val="00D915A3"/>
    <w:rsid w:val="00D917B2"/>
    <w:rsid w:val="00D919FC"/>
    <w:rsid w:val="00D91B07"/>
    <w:rsid w:val="00D91D19"/>
    <w:rsid w:val="00D91D69"/>
    <w:rsid w:val="00D91EE5"/>
    <w:rsid w:val="00D91F9B"/>
    <w:rsid w:val="00D92381"/>
    <w:rsid w:val="00D92638"/>
    <w:rsid w:val="00D92891"/>
    <w:rsid w:val="00D92CCA"/>
    <w:rsid w:val="00D92DBF"/>
    <w:rsid w:val="00D92E24"/>
    <w:rsid w:val="00D92E6A"/>
    <w:rsid w:val="00D9318D"/>
    <w:rsid w:val="00D931B1"/>
    <w:rsid w:val="00D93298"/>
    <w:rsid w:val="00D9372D"/>
    <w:rsid w:val="00D9379F"/>
    <w:rsid w:val="00D93879"/>
    <w:rsid w:val="00D93884"/>
    <w:rsid w:val="00D938D5"/>
    <w:rsid w:val="00D938E5"/>
    <w:rsid w:val="00D939B1"/>
    <w:rsid w:val="00D93AFB"/>
    <w:rsid w:val="00D93D5C"/>
    <w:rsid w:val="00D93E55"/>
    <w:rsid w:val="00D94012"/>
    <w:rsid w:val="00D94134"/>
    <w:rsid w:val="00D94203"/>
    <w:rsid w:val="00D94295"/>
    <w:rsid w:val="00D942B0"/>
    <w:rsid w:val="00D942C0"/>
    <w:rsid w:val="00D942C5"/>
    <w:rsid w:val="00D94354"/>
    <w:rsid w:val="00D94471"/>
    <w:rsid w:val="00D94649"/>
    <w:rsid w:val="00D947B0"/>
    <w:rsid w:val="00D94A99"/>
    <w:rsid w:val="00D94ADF"/>
    <w:rsid w:val="00D94B4C"/>
    <w:rsid w:val="00D94C2D"/>
    <w:rsid w:val="00D94D5E"/>
    <w:rsid w:val="00D94F6C"/>
    <w:rsid w:val="00D94FED"/>
    <w:rsid w:val="00D952FB"/>
    <w:rsid w:val="00D95377"/>
    <w:rsid w:val="00D953AE"/>
    <w:rsid w:val="00D957C5"/>
    <w:rsid w:val="00D95ABC"/>
    <w:rsid w:val="00D95B8D"/>
    <w:rsid w:val="00D95C18"/>
    <w:rsid w:val="00D95C50"/>
    <w:rsid w:val="00D95DB5"/>
    <w:rsid w:val="00D95E9A"/>
    <w:rsid w:val="00D95ED7"/>
    <w:rsid w:val="00D96638"/>
    <w:rsid w:val="00D96769"/>
    <w:rsid w:val="00D96797"/>
    <w:rsid w:val="00D96A7A"/>
    <w:rsid w:val="00D96BFF"/>
    <w:rsid w:val="00D96DA1"/>
    <w:rsid w:val="00D970A9"/>
    <w:rsid w:val="00D97138"/>
    <w:rsid w:val="00D97183"/>
    <w:rsid w:val="00D9726F"/>
    <w:rsid w:val="00D972AB"/>
    <w:rsid w:val="00D972F9"/>
    <w:rsid w:val="00D973D9"/>
    <w:rsid w:val="00D974C3"/>
    <w:rsid w:val="00D97F5D"/>
    <w:rsid w:val="00D97F62"/>
    <w:rsid w:val="00DA0008"/>
    <w:rsid w:val="00DA00E4"/>
    <w:rsid w:val="00DA03BD"/>
    <w:rsid w:val="00DA063E"/>
    <w:rsid w:val="00DA06EC"/>
    <w:rsid w:val="00DA08BD"/>
    <w:rsid w:val="00DA099B"/>
    <w:rsid w:val="00DA0BBA"/>
    <w:rsid w:val="00DA102C"/>
    <w:rsid w:val="00DA12C0"/>
    <w:rsid w:val="00DA1D50"/>
    <w:rsid w:val="00DA1D74"/>
    <w:rsid w:val="00DA205B"/>
    <w:rsid w:val="00DA21A1"/>
    <w:rsid w:val="00DA26F7"/>
    <w:rsid w:val="00DA287E"/>
    <w:rsid w:val="00DA28FA"/>
    <w:rsid w:val="00DA2924"/>
    <w:rsid w:val="00DA2A8A"/>
    <w:rsid w:val="00DA2ECE"/>
    <w:rsid w:val="00DA31B5"/>
    <w:rsid w:val="00DA3265"/>
    <w:rsid w:val="00DA3278"/>
    <w:rsid w:val="00DA3293"/>
    <w:rsid w:val="00DA3610"/>
    <w:rsid w:val="00DA3898"/>
    <w:rsid w:val="00DA3B21"/>
    <w:rsid w:val="00DA3CC7"/>
    <w:rsid w:val="00DA3D3E"/>
    <w:rsid w:val="00DA40B5"/>
    <w:rsid w:val="00DA40DD"/>
    <w:rsid w:val="00DA42A6"/>
    <w:rsid w:val="00DA42D4"/>
    <w:rsid w:val="00DA4909"/>
    <w:rsid w:val="00DA495F"/>
    <w:rsid w:val="00DA4AF6"/>
    <w:rsid w:val="00DA4BBE"/>
    <w:rsid w:val="00DA4BE0"/>
    <w:rsid w:val="00DA4C61"/>
    <w:rsid w:val="00DA4D7F"/>
    <w:rsid w:val="00DA4FB7"/>
    <w:rsid w:val="00DA5172"/>
    <w:rsid w:val="00DA5328"/>
    <w:rsid w:val="00DA533E"/>
    <w:rsid w:val="00DA551B"/>
    <w:rsid w:val="00DA5ACA"/>
    <w:rsid w:val="00DA5B61"/>
    <w:rsid w:val="00DA5E0E"/>
    <w:rsid w:val="00DA5E20"/>
    <w:rsid w:val="00DA6415"/>
    <w:rsid w:val="00DA659A"/>
    <w:rsid w:val="00DA6852"/>
    <w:rsid w:val="00DA688C"/>
    <w:rsid w:val="00DA69B4"/>
    <w:rsid w:val="00DA6AF0"/>
    <w:rsid w:val="00DA6F29"/>
    <w:rsid w:val="00DA7055"/>
    <w:rsid w:val="00DA7169"/>
    <w:rsid w:val="00DA718D"/>
    <w:rsid w:val="00DA72BF"/>
    <w:rsid w:val="00DA72D6"/>
    <w:rsid w:val="00DA73D3"/>
    <w:rsid w:val="00DA7703"/>
    <w:rsid w:val="00DA796E"/>
    <w:rsid w:val="00DA7B23"/>
    <w:rsid w:val="00DA7B68"/>
    <w:rsid w:val="00DA7C26"/>
    <w:rsid w:val="00DA7D8F"/>
    <w:rsid w:val="00DB003F"/>
    <w:rsid w:val="00DB004A"/>
    <w:rsid w:val="00DB0169"/>
    <w:rsid w:val="00DB067D"/>
    <w:rsid w:val="00DB07B5"/>
    <w:rsid w:val="00DB0AAF"/>
    <w:rsid w:val="00DB0CE1"/>
    <w:rsid w:val="00DB0E17"/>
    <w:rsid w:val="00DB0F18"/>
    <w:rsid w:val="00DB0F91"/>
    <w:rsid w:val="00DB10D9"/>
    <w:rsid w:val="00DB1171"/>
    <w:rsid w:val="00DB11E2"/>
    <w:rsid w:val="00DB1232"/>
    <w:rsid w:val="00DB124A"/>
    <w:rsid w:val="00DB1321"/>
    <w:rsid w:val="00DB1906"/>
    <w:rsid w:val="00DB1B21"/>
    <w:rsid w:val="00DB1BCE"/>
    <w:rsid w:val="00DB1CCA"/>
    <w:rsid w:val="00DB1D38"/>
    <w:rsid w:val="00DB1F24"/>
    <w:rsid w:val="00DB2013"/>
    <w:rsid w:val="00DB2194"/>
    <w:rsid w:val="00DB2330"/>
    <w:rsid w:val="00DB274F"/>
    <w:rsid w:val="00DB28C0"/>
    <w:rsid w:val="00DB2978"/>
    <w:rsid w:val="00DB29A7"/>
    <w:rsid w:val="00DB2ABE"/>
    <w:rsid w:val="00DB2E0F"/>
    <w:rsid w:val="00DB2E6A"/>
    <w:rsid w:val="00DB2F0E"/>
    <w:rsid w:val="00DB3066"/>
    <w:rsid w:val="00DB30B3"/>
    <w:rsid w:val="00DB3361"/>
    <w:rsid w:val="00DB33E4"/>
    <w:rsid w:val="00DB33F0"/>
    <w:rsid w:val="00DB3457"/>
    <w:rsid w:val="00DB3781"/>
    <w:rsid w:val="00DB3AA4"/>
    <w:rsid w:val="00DB3BEA"/>
    <w:rsid w:val="00DB3CE5"/>
    <w:rsid w:val="00DB3EC1"/>
    <w:rsid w:val="00DB3F81"/>
    <w:rsid w:val="00DB4198"/>
    <w:rsid w:val="00DB45DF"/>
    <w:rsid w:val="00DB4625"/>
    <w:rsid w:val="00DB487F"/>
    <w:rsid w:val="00DB48A0"/>
    <w:rsid w:val="00DB4A14"/>
    <w:rsid w:val="00DB4A63"/>
    <w:rsid w:val="00DB4C2B"/>
    <w:rsid w:val="00DB4CA3"/>
    <w:rsid w:val="00DB4D59"/>
    <w:rsid w:val="00DB4F1F"/>
    <w:rsid w:val="00DB521A"/>
    <w:rsid w:val="00DB533C"/>
    <w:rsid w:val="00DB53A8"/>
    <w:rsid w:val="00DB58FA"/>
    <w:rsid w:val="00DB5A53"/>
    <w:rsid w:val="00DB5DFA"/>
    <w:rsid w:val="00DB5FDF"/>
    <w:rsid w:val="00DB6442"/>
    <w:rsid w:val="00DB6763"/>
    <w:rsid w:val="00DB6A10"/>
    <w:rsid w:val="00DB6A69"/>
    <w:rsid w:val="00DB6AE3"/>
    <w:rsid w:val="00DB6B4F"/>
    <w:rsid w:val="00DB7085"/>
    <w:rsid w:val="00DB72A9"/>
    <w:rsid w:val="00DB7523"/>
    <w:rsid w:val="00DB76A8"/>
    <w:rsid w:val="00DB77B9"/>
    <w:rsid w:val="00DB7884"/>
    <w:rsid w:val="00DB794E"/>
    <w:rsid w:val="00DB7AFE"/>
    <w:rsid w:val="00DB7C7D"/>
    <w:rsid w:val="00DC080C"/>
    <w:rsid w:val="00DC08BC"/>
    <w:rsid w:val="00DC0B9C"/>
    <w:rsid w:val="00DC0BD4"/>
    <w:rsid w:val="00DC0D05"/>
    <w:rsid w:val="00DC0D47"/>
    <w:rsid w:val="00DC0EEF"/>
    <w:rsid w:val="00DC115F"/>
    <w:rsid w:val="00DC13EA"/>
    <w:rsid w:val="00DC1530"/>
    <w:rsid w:val="00DC1563"/>
    <w:rsid w:val="00DC1CA5"/>
    <w:rsid w:val="00DC1D12"/>
    <w:rsid w:val="00DC1D57"/>
    <w:rsid w:val="00DC1F31"/>
    <w:rsid w:val="00DC20B5"/>
    <w:rsid w:val="00DC2168"/>
    <w:rsid w:val="00DC2300"/>
    <w:rsid w:val="00DC2350"/>
    <w:rsid w:val="00DC2464"/>
    <w:rsid w:val="00DC2496"/>
    <w:rsid w:val="00DC25B5"/>
    <w:rsid w:val="00DC26D9"/>
    <w:rsid w:val="00DC2797"/>
    <w:rsid w:val="00DC2BBB"/>
    <w:rsid w:val="00DC2F57"/>
    <w:rsid w:val="00DC3048"/>
    <w:rsid w:val="00DC33AE"/>
    <w:rsid w:val="00DC3511"/>
    <w:rsid w:val="00DC3754"/>
    <w:rsid w:val="00DC3BCB"/>
    <w:rsid w:val="00DC3CD4"/>
    <w:rsid w:val="00DC3CF4"/>
    <w:rsid w:val="00DC4085"/>
    <w:rsid w:val="00DC4198"/>
    <w:rsid w:val="00DC4281"/>
    <w:rsid w:val="00DC4415"/>
    <w:rsid w:val="00DC4662"/>
    <w:rsid w:val="00DC4781"/>
    <w:rsid w:val="00DC4847"/>
    <w:rsid w:val="00DC4ABC"/>
    <w:rsid w:val="00DC4AC0"/>
    <w:rsid w:val="00DC4C8F"/>
    <w:rsid w:val="00DC4F9B"/>
    <w:rsid w:val="00DC4FFE"/>
    <w:rsid w:val="00DC5558"/>
    <w:rsid w:val="00DC5836"/>
    <w:rsid w:val="00DC5A5C"/>
    <w:rsid w:val="00DC5B9C"/>
    <w:rsid w:val="00DC6248"/>
    <w:rsid w:val="00DC6445"/>
    <w:rsid w:val="00DC65E0"/>
    <w:rsid w:val="00DC6680"/>
    <w:rsid w:val="00DC6A0E"/>
    <w:rsid w:val="00DC6AE0"/>
    <w:rsid w:val="00DC6B36"/>
    <w:rsid w:val="00DC6CBF"/>
    <w:rsid w:val="00DC6DFD"/>
    <w:rsid w:val="00DC6FF9"/>
    <w:rsid w:val="00DC70B1"/>
    <w:rsid w:val="00DC70DD"/>
    <w:rsid w:val="00DC71A0"/>
    <w:rsid w:val="00DC7372"/>
    <w:rsid w:val="00DC78EE"/>
    <w:rsid w:val="00DC7A6C"/>
    <w:rsid w:val="00DC7C57"/>
    <w:rsid w:val="00DC7DFA"/>
    <w:rsid w:val="00DC7EDD"/>
    <w:rsid w:val="00DC7FB1"/>
    <w:rsid w:val="00DD004C"/>
    <w:rsid w:val="00DD0386"/>
    <w:rsid w:val="00DD0682"/>
    <w:rsid w:val="00DD06CB"/>
    <w:rsid w:val="00DD0702"/>
    <w:rsid w:val="00DD07B9"/>
    <w:rsid w:val="00DD0949"/>
    <w:rsid w:val="00DD09BF"/>
    <w:rsid w:val="00DD0F3E"/>
    <w:rsid w:val="00DD11AC"/>
    <w:rsid w:val="00DD11D9"/>
    <w:rsid w:val="00DD13C9"/>
    <w:rsid w:val="00DD13D4"/>
    <w:rsid w:val="00DD1533"/>
    <w:rsid w:val="00DD1716"/>
    <w:rsid w:val="00DD1FDA"/>
    <w:rsid w:val="00DD2330"/>
    <w:rsid w:val="00DD26C3"/>
    <w:rsid w:val="00DD2868"/>
    <w:rsid w:val="00DD2877"/>
    <w:rsid w:val="00DD2B12"/>
    <w:rsid w:val="00DD2DF5"/>
    <w:rsid w:val="00DD312B"/>
    <w:rsid w:val="00DD312F"/>
    <w:rsid w:val="00DD3157"/>
    <w:rsid w:val="00DD3175"/>
    <w:rsid w:val="00DD39B6"/>
    <w:rsid w:val="00DD39D0"/>
    <w:rsid w:val="00DD3E0B"/>
    <w:rsid w:val="00DD40A5"/>
    <w:rsid w:val="00DD412F"/>
    <w:rsid w:val="00DD4255"/>
    <w:rsid w:val="00DD4741"/>
    <w:rsid w:val="00DD488C"/>
    <w:rsid w:val="00DD4B8B"/>
    <w:rsid w:val="00DD4BDF"/>
    <w:rsid w:val="00DD4DD8"/>
    <w:rsid w:val="00DD4F98"/>
    <w:rsid w:val="00DD507B"/>
    <w:rsid w:val="00DD5089"/>
    <w:rsid w:val="00DD50EF"/>
    <w:rsid w:val="00DD5279"/>
    <w:rsid w:val="00DD54F3"/>
    <w:rsid w:val="00DD56DD"/>
    <w:rsid w:val="00DD5794"/>
    <w:rsid w:val="00DD5800"/>
    <w:rsid w:val="00DD5950"/>
    <w:rsid w:val="00DD5E39"/>
    <w:rsid w:val="00DD5ED8"/>
    <w:rsid w:val="00DD5FC1"/>
    <w:rsid w:val="00DD6202"/>
    <w:rsid w:val="00DD66AA"/>
    <w:rsid w:val="00DD69AD"/>
    <w:rsid w:val="00DD6BE8"/>
    <w:rsid w:val="00DD6D08"/>
    <w:rsid w:val="00DD6DF1"/>
    <w:rsid w:val="00DD6E76"/>
    <w:rsid w:val="00DD6E8D"/>
    <w:rsid w:val="00DD6EF5"/>
    <w:rsid w:val="00DD6F66"/>
    <w:rsid w:val="00DD7257"/>
    <w:rsid w:val="00DD7316"/>
    <w:rsid w:val="00DD732A"/>
    <w:rsid w:val="00DD732B"/>
    <w:rsid w:val="00DD745E"/>
    <w:rsid w:val="00DD746D"/>
    <w:rsid w:val="00DD7475"/>
    <w:rsid w:val="00DD75CB"/>
    <w:rsid w:val="00DD7836"/>
    <w:rsid w:val="00DD78B4"/>
    <w:rsid w:val="00DD7937"/>
    <w:rsid w:val="00DD795A"/>
    <w:rsid w:val="00DD79AB"/>
    <w:rsid w:val="00DD7A51"/>
    <w:rsid w:val="00DD7A6A"/>
    <w:rsid w:val="00DD7C19"/>
    <w:rsid w:val="00DD7FEB"/>
    <w:rsid w:val="00DE0140"/>
    <w:rsid w:val="00DE0377"/>
    <w:rsid w:val="00DE055A"/>
    <w:rsid w:val="00DE0610"/>
    <w:rsid w:val="00DE061C"/>
    <w:rsid w:val="00DE0667"/>
    <w:rsid w:val="00DE094C"/>
    <w:rsid w:val="00DE0DBB"/>
    <w:rsid w:val="00DE0F01"/>
    <w:rsid w:val="00DE0FF1"/>
    <w:rsid w:val="00DE109F"/>
    <w:rsid w:val="00DE1120"/>
    <w:rsid w:val="00DE1657"/>
    <w:rsid w:val="00DE1977"/>
    <w:rsid w:val="00DE1B81"/>
    <w:rsid w:val="00DE1D14"/>
    <w:rsid w:val="00DE1F90"/>
    <w:rsid w:val="00DE216B"/>
    <w:rsid w:val="00DE217E"/>
    <w:rsid w:val="00DE2496"/>
    <w:rsid w:val="00DE25E1"/>
    <w:rsid w:val="00DE2770"/>
    <w:rsid w:val="00DE2F45"/>
    <w:rsid w:val="00DE34C9"/>
    <w:rsid w:val="00DE3546"/>
    <w:rsid w:val="00DE363D"/>
    <w:rsid w:val="00DE36F1"/>
    <w:rsid w:val="00DE3B9B"/>
    <w:rsid w:val="00DE3BA5"/>
    <w:rsid w:val="00DE3D02"/>
    <w:rsid w:val="00DE3E22"/>
    <w:rsid w:val="00DE3EA3"/>
    <w:rsid w:val="00DE4238"/>
    <w:rsid w:val="00DE4D4F"/>
    <w:rsid w:val="00DE5136"/>
    <w:rsid w:val="00DE515C"/>
    <w:rsid w:val="00DE52D4"/>
    <w:rsid w:val="00DE533A"/>
    <w:rsid w:val="00DE5590"/>
    <w:rsid w:val="00DE56F7"/>
    <w:rsid w:val="00DE5829"/>
    <w:rsid w:val="00DE5A52"/>
    <w:rsid w:val="00DE5FC2"/>
    <w:rsid w:val="00DE6415"/>
    <w:rsid w:val="00DE64CC"/>
    <w:rsid w:val="00DE6ACC"/>
    <w:rsid w:val="00DE6CC1"/>
    <w:rsid w:val="00DE6DA3"/>
    <w:rsid w:val="00DE6E95"/>
    <w:rsid w:val="00DE70A6"/>
    <w:rsid w:val="00DE71C2"/>
    <w:rsid w:val="00DE757B"/>
    <w:rsid w:val="00DE76AE"/>
    <w:rsid w:val="00DE771D"/>
    <w:rsid w:val="00DE79F3"/>
    <w:rsid w:val="00DE7FDC"/>
    <w:rsid w:val="00DF003B"/>
    <w:rsid w:val="00DF00AD"/>
    <w:rsid w:val="00DF045F"/>
    <w:rsid w:val="00DF0467"/>
    <w:rsid w:val="00DF0506"/>
    <w:rsid w:val="00DF0931"/>
    <w:rsid w:val="00DF0DFF"/>
    <w:rsid w:val="00DF0F20"/>
    <w:rsid w:val="00DF128D"/>
    <w:rsid w:val="00DF1345"/>
    <w:rsid w:val="00DF16B0"/>
    <w:rsid w:val="00DF189B"/>
    <w:rsid w:val="00DF18DD"/>
    <w:rsid w:val="00DF1A7E"/>
    <w:rsid w:val="00DF1C19"/>
    <w:rsid w:val="00DF1C4D"/>
    <w:rsid w:val="00DF1E71"/>
    <w:rsid w:val="00DF2038"/>
    <w:rsid w:val="00DF26BA"/>
    <w:rsid w:val="00DF28BA"/>
    <w:rsid w:val="00DF2A82"/>
    <w:rsid w:val="00DF2A98"/>
    <w:rsid w:val="00DF2B04"/>
    <w:rsid w:val="00DF2BAA"/>
    <w:rsid w:val="00DF2C8C"/>
    <w:rsid w:val="00DF2CB5"/>
    <w:rsid w:val="00DF2EFA"/>
    <w:rsid w:val="00DF3150"/>
    <w:rsid w:val="00DF33F4"/>
    <w:rsid w:val="00DF3924"/>
    <w:rsid w:val="00DF3C15"/>
    <w:rsid w:val="00DF3C4F"/>
    <w:rsid w:val="00DF3DDD"/>
    <w:rsid w:val="00DF408F"/>
    <w:rsid w:val="00DF418D"/>
    <w:rsid w:val="00DF47C5"/>
    <w:rsid w:val="00DF4999"/>
    <w:rsid w:val="00DF4B96"/>
    <w:rsid w:val="00DF4BF9"/>
    <w:rsid w:val="00DF536E"/>
    <w:rsid w:val="00DF546A"/>
    <w:rsid w:val="00DF5543"/>
    <w:rsid w:val="00DF58C5"/>
    <w:rsid w:val="00DF59DF"/>
    <w:rsid w:val="00DF5A15"/>
    <w:rsid w:val="00DF5C33"/>
    <w:rsid w:val="00DF5D1B"/>
    <w:rsid w:val="00DF5E57"/>
    <w:rsid w:val="00DF6023"/>
    <w:rsid w:val="00DF603A"/>
    <w:rsid w:val="00DF63FB"/>
    <w:rsid w:val="00DF64EB"/>
    <w:rsid w:val="00DF6A41"/>
    <w:rsid w:val="00DF6B77"/>
    <w:rsid w:val="00DF6D8B"/>
    <w:rsid w:val="00DF70D8"/>
    <w:rsid w:val="00DF738B"/>
    <w:rsid w:val="00DF74D1"/>
    <w:rsid w:val="00DF7521"/>
    <w:rsid w:val="00DF7B45"/>
    <w:rsid w:val="00DF7BA2"/>
    <w:rsid w:val="00DF7D13"/>
    <w:rsid w:val="00DF7D71"/>
    <w:rsid w:val="00DF7D95"/>
    <w:rsid w:val="00DF7F08"/>
    <w:rsid w:val="00DF7F85"/>
    <w:rsid w:val="00DF7FF5"/>
    <w:rsid w:val="00E00019"/>
    <w:rsid w:val="00E0052B"/>
    <w:rsid w:val="00E00611"/>
    <w:rsid w:val="00E0068C"/>
    <w:rsid w:val="00E007B1"/>
    <w:rsid w:val="00E007FB"/>
    <w:rsid w:val="00E00948"/>
    <w:rsid w:val="00E009BC"/>
    <w:rsid w:val="00E00D9F"/>
    <w:rsid w:val="00E00E2C"/>
    <w:rsid w:val="00E00E4C"/>
    <w:rsid w:val="00E00F4D"/>
    <w:rsid w:val="00E013E9"/>
    <w:rsid w:val="00E0145F"/>
    <w:rsid w:val="00E014C5"/>
    <w:rsid w:val="00E01734"/>
    <w:rsid w:val="00E017EE"/>
    <w:rsid w:val="00E01B32"/>
    <w:rsid w:val="00E01BBA"/>
    <w:rsid w:val="00E02019"/>
    <w:rsid w:val="00E0225D"/>
    <w:rsid w:val="00E0241E"/>
    <w:rsid w:val="00E02525"/>
    <w:rsid w:val="00E02657"/>
    <w:rsid w:val="00E0279D"/>
    <w:rsid w:val="00E02850"/>
    <w:rsid w:val="00E02861"/>
    <w:rsid w:val="00E02942"/>
    <w:rsid w:val="00E02F06"/>
    <w:rsid w:val="00E02F17"/>
    <w:rsid w:val="00E02F92"/>
    <w:rsid w:val="00E03014"/>
    <w:rsid w:val="00E0317F"/>
    <w:rsid w:val="00E032D6"/>
    <w:rsid w:val="00E038E8"/>
    <w:rsid w:val="00E03D2B"/>
    <w:rsid w:val="00E04250"/>
    <w:rsid w:val="00E045A0"/>
    <w:rsid w:val="00E0471B"/>
    <w:rsid w:val="00E04A5A"/>
    <w:rsid w:val="00E04A9A"/>
    <w:rsid w:val="00E04ADB"/>
    <w:rsid w:val="00E04C32"/>
    <w:rsid w:val="00E04D65"/>
    <w:rsid w:val="00E04E5C"/>
    <w:rsid w:val="00E055AC"/>
    <w:rsid w:val="00E05801"/>
    <w:rsid w:val="00E058C3"/>
    <w:rsid w:val="00E05938"/>
    <w:rsid w:val="00E05D6D"/>
    <w:rsid w:val="00E05DA4"/>
    <w:rsid w:val="00E05DC9"/>
    <w:rsid w:val="00E05F37"/>
    <w:rsid w:val="00E05FF8"/>
    <w:rsid w:val="00E06014"/>
    <w:rsid w:val="00E060A1"/>
    <w:rsid w:val="00E06186"/>
    <w:rsid w:val="00E0648B"/>
    <w:rsid w:val="00E06491"/>
    <w:rsid w:val="00E064CF"/>
    <w:rsid w:val="00E068C4"/>
    <w:rsid w:val="00E06965"/>
    <w:rsid w:val="00E06AFC"/>
    <w:rsid w:val="00E06C17"/>
    <w:rsid w:val="00E06C1D"/>
    <w:rsid w:val="00E06C8F"/>
    <w:rsid w:val="00E06D62"/>
    <w:rsid w:val="00E06DA6"/>
    <w:rsid w:val="00E0752E"/>
    <w:rsid w:val="00E077A6"/>
    <w:rsid w:val="00E07A82"/>
    <w:rsid w:val="00E07EA2"/>
    <w:rsid w:val="00E10087"/>
    <w:rsid w:val="00E10161"/>
    <w:rsid w:val="00E103F7"/>
    <w:rsid w:val="00E106A5"/>
    <w:rsid w:val="00E107C6"/>
    <w:rsid w:val="00E10922"/>
    <w:rsid w:val="00E10D02"/>
    <w:rsid w:val="00E10D40"/>
    <w:rsid w:val="00E10D97"/>
    <w:rsid w:val="00E11479"/>
    <w:rsid w:val="00E11E15"/>
    <w:rsid w:val="00E11E7F"/>
    <w:rsid w:val="00E11EE3"/>
    <w:rsid w:val="00E11F39"/>
    <w:rsid w:val="00E120D9"/>
    <w:rsid w:val="00E12173"/>
    <w:rsid w:val="00E122DD"/>
    <w:rsid w:val="00E12472"/>
    <w:rsid w:val="00E12803"/>
    <w:rsid w:val="00E12A24"/>
    <w:rsid w:val="00E12AAD"/>
    <w:rsid w:val="00E12BA9"/>
    <w:rsid w:val="00E12C5E"/>
    <w:rsid w:val="00E12D1F"/>
    <w:rsid w:val="00E1378C"/>
    <w:rsid w:val="00E13815"/>
    <w:rsid w:val="00E138A8"/>
    <w:rsid w:val="00E13BB1"/>
    <w:rsid w:val="00E13EDB"/>
    <w:rsid w:val="00E143D0"/>
    <w:rsid w:val="00E144AB"/>
    <w:rsid w:val="00E1465E"/>
    <w:rsid w:val="00E14C7D"/>
    <w:rsid w:val="00E14DA2"/>
    <w:rsid w:val="00E14DDA"/>
    <w:rsid w:val="00E14DF2"/>
    <w:rsid w:val="00E150BC"/>
    <w:rsid w:val="00E155B7"/>
    <w:rsid w:val="00E1576C"/>
    <w:rsid w:val="00E15939"/>
    <w:rsid w:val="00E159A8"/>
    <w:rsid w:val="00E159B0"/>
    <w:rsid w:val="00E15BBE"/>
    <w:rsid w:val="00E15EEE"/>
    <w:rsid w:val="00E15F41"/>
    <w:rsid w:val="00E161D3"/>
    <w:rsid w:val="00E16295"/>
    <w:rsid w:val="00E163B4"/>
    <w:rsid w:val="00E164B0"/>
    <w:rsid w:val="00E1676C"/>
    <w:rsid w:val="00E16F2D"/>
    <w:rsid w:val="00E17134"/>
    <w:rsid w:val="00E171FA"/>
    <w:rsid w:val="00E1727D"/>
    <w:rsid w:val="00E17394"/>
    <w:rsid w:val="00E1794B"/>
    <w:rsid w:val="00E17AC3"/>
    <w:rsid w:val="00E17B0A"/>
    <w:rsid w:val="00E17B18"/>
    <w:rsid w:val="00E17FC2"/>
    <w:rsid w:val="00E20097"/>
    <w:rsid w:val="00E20489"/>
    <w:rsid w:val="00E206BA"/>
    <w:rsid w:val="00E206F5"/>
    <w:rsid w:val="00E20711"/>
    <w:rsid w:val="00E20942"/>
    <w:rsid w:val="00E20C6A"/>
    <w:rsid w:val="00E21118"/>
    <w:rsid w:val="00E2112A"/>
    <w:rsid w:val="00E211A0"/>
    <w:rsid w:val="00E21208"/>
    <w:rsid w:val="00E21389"/>
    <w:rsid w:val="00E216C6"/>
    <w:rsid w:val="00E218AF"/>
    <w:rsid w:val="00E219B2"/>
    <w:rsid w:val="00E21AAF"/>
    <w:rsid w:val="00E21B58"/>
    <w:rsid w:val="00E21C16"/>
    <w:rsid w:val="00E21DCF"/>
    <w:rsid w:val="00E22334"/>
    <w:rsid w:val="00E227F0"/>
    <w:rsid w:val="00E22965"/>
    <w:rsid w:val="00E22CDF"/>
    <w:rsid w:val="00E22D35"/>
    <w:rsid w:val="00E22E3B"/>
    <w:rsid w:val="00E22EFB"/>
    <w:rsid w:val="00E23007"/>
    <w:rsid w:val="00E23380"/>
    <w:rsid w:val="00E2384B"/>
    <w:rsid w:val="00E23A24"/>
    <w:rsid w:val="00E23E69"/>
    <w:rsid w:val="00E240F9"/>
    <w:rsid w:val="00E2428F"/>
    <w:rsid w:val="00E2429F"/>
    <w:rsid w:val="00E242EE"/>
    <w:rsid w:val="00E2436A"/>
    <w:rsid w:val="00E244E0"/>
    <w:rsid w:val="00E245C0"/>
    <w:rsid w:val="00E245E3"/>
    <w:rsid w:val="00E24922"/>
    <w:rsid w:val="00E2496D"/>
    <w:rsid w:val="00E2521A"/>
    <w:rsid w:val="00E25318"/>
    <w:rsid w:val="00E254EE"/>
    <w:rsid w:val="00E25589"/>
    <w:rsid w:val="00E256DA"/>
    <w:rsid w:val="00E257F4"/>
    <w:rsid w:val="00E25AF7"/>
    <w:rsid w:val="00E25E4E"/>
    <w:rsid w:val="00E25F89"/>
    <w:rsid w:val="00E26030"/>
    <w:rsid w:val="00E268D9"/>
    <w:rsid w:val="00E26C89"/>
    <w:rsid w:val="00E27083"/>
    <w:rsid w:val="00E270A0"/>
    <w:rsid w:val="00E2716F"/>
    <w:rsid w:val="00E272C0"/>
    <w:rsid w:val="00E273CC"/>
    <w:rsid w:val="00E27750"/>
    <w:rsid w:val="00E27822"/>
    <w:rsid w:val="00E27913"/>
    <w:rsid w:val="00E279E1"/>
    <w:rsid w:val="00E279EE"/>
    <w:rsid w:val="00E27A24"/>
    <w:rsid w:val="00E27BA7"/>
    <w:rsid w:val="00E27C52"/>
    <w:rsid w:val="00E27CE1"/>
    <w:rsid w:val="00E27F63"/>
    <w:rsid w:val="00E30053"/>
    <w:rsid w:val="00E300B4"/>
    <w:rsid w:val="00E30404"/>
    <w:rsid w:val="00E304A6"/>
    <w:rsid w:val="00E30777"/>
    <w:rsid w:val="00E30780"/>
    <w:rsid w:val="00E30A27"/>
    <w:rsid w:val="00E310B1"/>
    <w:rsid w:val="00E310F6"/>
    <w:rsid w:val="00E3110B"/>
    <w:rsid w:val="00E3136F"/>
    <w:rsid w:val="00E31880"/>
    <w:rsid w:val="00E31928"/>
    <w:rsid w:val="00E31BC9"/>
    <w:rsid w:val="00E31F9D"/>
    <w:rsid w:val="00E31FF4"/>
    <w:rsid w:val="00E3229D"/>
    <w:rsid w:val="00E32445"/>
    <w:rsid w:val="00E3253C"/>
    <w:rsid w:val="00E32555"/>
    <w:rsid w:val="00E32629"/>
    <w:rsid w:val="00E3266A"/>
    <w:rsid w:val="00E326DA"/>
    <w:rsid w:val="00E32953"/>
    <w:rsid w:val="00E329DA"/>
    <w:rsid w:val="00E32C46"/>
    <w:rsid w:val="00E32D7C"/>
    <w:rsid w:val="00E32E4B"/>
    <w:rsid w:val="00E32EF2"/>
    <w:rsid w:val="00E32F7C"/>
    <w:rsid w:val="00E3336F"/>
    <w:rsid w:val="00E337D1"/>
    <w:rsid w:val="00E337E5"/>
    <w:rsid w:val="00E33861"/>
    <w:rsid w:val="00E338DA"/>
    <w:rsid w:val="00E33A0A"/>
    <w:rsid w:val="00E33A35"/>
    <w:rsid w:val="00E33DAA"/>
    <w:rsid w:val="00E33F8E"/>
    <w:rsid w:val="00E34134"/>
    <w:rsid w:val="00E3425F"/>
    <w:rsid w:val="00E34290"/>
    <w:rsid w:val="00E343AA"/>
    <w:rsid w:val="00E345B9"/>
    <w:rsid w:val="00E345C5"/>
    <w:rsid w:val="00E346F6"/>
    <w:rsid w:val="00E3479D"/>
    <w:rsid w:val="00E3487C"/>
    <w:rsid w:val="00E34973"/>
    <w:rsid w:val="00E34A72"/>
    <w:rsid w:val="00E34DC0"/>
    <w:rsid w:val="00E35158"/>
    <w:rsid w:val="00E35369"/>
    <w:rsid w:val="00E355E1"/>
    <w:rsid w:val="00E358D6"/>
    <w:rsid w:val="00E3594A"/>
    <w:rsid w:val="00E35DB6"/>
    <w:rsid w:val="00E3635D"/>
    <w:rsid w:val="00E3642B"/>
    <w:rsid w:val="00E3660D"/>
    <w:rsid w:val="00E36725"/>
    <w:rsid w:val="00E36A52"/>
    <w:rsid w:val="00E36BBC"/>
    <w:rsid w:val="00E36BFD"/>
    <w:rsid w:val="00E36C2E"/>
    <w:rsid w:val="00E36F38"/>
    <w:rsid w:val="00E371CA"/>
    <w:rsid w:val="00E37335"/>
    <w:rsid w:val="00E373C3"/>
    <w:rsid w:val="00E373F5"/>
    <w:rsid w:val="00E37639"/>
    <w:rsid w:val="00E3767B"/>
    <w:rsid w:val="00E376B5"/>
    <w:rsid w:val="00E376BA"/>
    <w:rsid w:val="00E3789E"/>
    <w:rsid w:val="00E37BAE"/>
    <w:rsid w:val="00E37CD4"/>
    <w:rsid w:val="00E37D6D"/>
    <w:rsid w:val="00E37F34"/>
    <w:rsid w:val="00E4017D"/>
    <w:rsid w:val="00E40466"/>
    <w:rsid w:val="00E40938"/>
    <w:rsid w:val="00E40AEB"/>
    <w:rsid w:val="00E40BA2"/>
    <w:rsid w:val="00E40DB3"/>
    <w:rsid w:val="00E40E58"/>
    <w:rsid w:val="00E40F95"/>
    <w:rsid w:val="00E41042"/>
    <w:rsid w:val="00E411FE"/>
    <w:rsid w:val="00E414AC"/>
    <w:rsid w:val="00E417B3"/>
    <w:rsid w:val="00E418F0"/>
    <w:rsid w:val="00E4190E"/>
    <w:rsid w:val="00E41E71"/>
    <w:rsid w:val="00E41EEA"/>
    <w:rsid w:val="00E4204F"/>
    <w:rsid w:val="00E42221"/>
    <w:rsid w:val="00E4222B"/>
    <w:rsid w:val="00E4226D"/>
    <w:rsid w:val="00E42312"/>
    <w:rsid w:val="00E4237C"/>
    <w:rsid w:val="00E4250A"/>
    <w:rsid w:val="00E4297E"/>
    <w:rsid w:val="00E43256"/>
    <w:rsid w:val="00E43AB7"/>
    <w:rsid w:val="00E43C69"/>
    <w:rsid w:val="00E43E02"/>
    <w:rsid w:val="00E43EB6"/>
    <w:rsid w:val="00E43ECE"/>
    <w:rsid w:val="00E4422E"/>
    <w:rsid w:val="00E443C4"/>
    <w:rsid w:val="00E444E2"/>
    <w:rsid w:val="00E44914"/>
    <w:rsid w:val="00E44B9A"/>
    <w:rsid w:val="00E44C50"/>
    <w:rsid w:val="00E44CE1"/>
    <w:rsid w:val="00E44D36"/>
    <w:rsid w:val="00E44F09"/>
    <w:rsid w:val="00E44F0F"/>
    <w:rsid w:val="00E45013"/>
    <w:rsid w:val="00E45333"/>
    <w:rsid w:val="00E4541D"/>
    <w:rsid w:val="00E454D2"/>
    <w:rsid w:val="00E45749"/>
    <w:rsid w:val="00E458B5"/>
    <w:rsid w:val="00E45D3F"/>
    <w:rsid w:val="00E45EE9"/>
    <w:rsid w:val="00E464F4"/>
    <w:rsid w:val="00E4652C"/>
    <w:rsid w:val="00E466F4"/>
    <w:rsid w:val="00E4681A"/>
    <w:rsid w:val="00E469EE"/>
    <w:rsid w:val="00E46CBA"/>
    <w:rsid w:val="00E4717C"/>
    <w:rsid w:val="00E4727F"/>
    <w:rsid w:val="00E4796D"/>
    <w:rsid w:val="00E47D1A"/>
    <w:rsid w:val="00E47EC9"/>
    <w:rsid w:val="00E47F55"/>
    <w:rsid w:val="00E5012D"/>
    <w:rsid w:val="00E5020F"/>
    <w:rsid w:val="00E504F6"/>
    <w:rsid w:val="00E50501"/>
    <w:rsid w:val="00E506B8"/>
    <w:rsid w:val="00E50708"/>
    <w:rsid w:val="00E50AAF"/>
    <w:rsid w:val="00E50B54"/>
    <w:rsid w:val="00E50CD1"/>
    <w:rsid w:val="00E50DBB"/>
    <w:rsid w:val="00E50E2A"/>
    <w:rsid w:val="00E50EB8"/>
    <w:rsid w:val="00E50EEB"/>
    <w:rsid w:val="00E515C0"/>
    <w:rsid w:val="00E516A0"/>
    <w:rsid w:val="00E51747"/>
    <w:rsid w:val="00E51A2C"/>
    <w:rsid w:val="00E51C7F"/>
    <w:rsid w:val="00E51F8C"/>
    <w:rsid w:val="00E52047"/>
    <w:rsid w:val="00E52071"/>
    <w:rsid w:val="00E520C2"/>
    <w:rsid w:val="00E52103"/>
    <w:rsid w:val="00E52384"/>
    <w:rsid w:val="00E525DD"/>
    <w:rsid w:val="00E52846"/>
    <w:rsid w:val="00E5297B"/>
    <w:rsid w:val="00E52B56"/>
    <w:rsid w:val="00E52C10"/>
    <w:rsid w:val="00E52D07"/>
    <w:rsid w:val="00E52D90"/>
    <w:rsid w:val="00E52F0E"/>
    <w:rsid w:val="00E53150"/>
    <w:rsid w:val="00E533B3"/>
    <w:rsid w:val="00E53534"/>
    <w:rsid w:val="00E5376D"/>
    <w:rsid w:val="00E53933"/>
    <w:rsid w:val="00E53C04"/>
    <w:rsid w:val="00E53CB8"/>
    <w:rsid w:val="00E53CBB"/>
    <w:rsid w:val="00E53D55"/>
    <w:rsid w:val="00E53EE5"/>
    <w:rsid w:val="00E5402E"/>
    <w:rsid w:val="00E5440A"/>
    <w:rsid w:val="00E544CA"/>
    <w:rsid w:val="00E54518"/>
    <w:rsid w:val="00E5454E"/>
    <w:rsid w:val="00E54718"/>
    <w:rsid w:val="00E54E26"/>
    <w:rsid w:val="00E54EA8"/>
    <w:rsid w:val="00E54F29"/>
    <w:rsid w:val="00E54F3E"/>
    <w:rsid w:val="00E5517C"/>
    <w:rsid w:val="00E551B4"/>
    <w:rsid w:val="00E551E7"/>
    <w:rsid w:val="00E552E9"/>
    <w:rsid w:val="00E55619"/>
    <w:rsid w:val="00E5565B"/>
    <w:rsid w:val="00E55A7D"/>
    <w:rsid w:val="00E55AEA"/>
    <w:rsid w:val="00E55AEE"/>
    <w:rsid w:val="00E55B51"/>
    <w:rsid w:val="00E55B64"/>
    <w:rsid w:val="00E55E95"/>
    <w:rsid w:val="00E561BD"/>
    <w:rsid w:val="00E56385"/>
    <w:rsid w:val="00E5649E"/>
    <w:rsid w:val="00E56546"/>
    <w:rsid w:val="00E567E2"/>
    <w:rsid w:val="00E568A4"/>
    <w:rsid w:val="00E568AE"/>
    <w:rsid w:val="00E569DF"/>
    <w:rsid w:val="00E56AB8"/>
    <w:rsid w:val="00E56C45"/>
    <w:rsid w:val="00E56C91"/>
    <w:rsid w:val="00E56D49"/>
    <w:rsid w:val="00E56D5B"/>
    <w:rsid w:val="00E56D7E"/>
    <w:rsid w:val="00E56E7B"/>
    <w:rsid w:val="00E56F3A"/>
    <w:rsid w:val="00E56F91"/>
    <w:rsid w:val="00E575AF"/>
    <w:rsid w:val="00E575B1"/>
    <w:rsid w:val="00E57A3A"/>
    <w:rsid w:val="00E57CC1"/>
    <w:rsid w:val="00E57D31"/>
    <w:rsid w:val="00E57D93"/>
    <w:rsid w:val="00E57F3E"/>
    <w:rsid w:val="00E600A6"/>
    <w:rsid w:val="00E603D8"/>
    <w:rsid w:val="00E605C2"/>
    <w:rsid w:val="00E606B8"/>
    <w:rsid w:val="00E60887"/>
    <w:rsid w:val="00E60980"/>
    <w:rsid w:val="00E60C22"/>
    <w:rsid w:val="00E60C4C"/>
    <w:rsid w:val="00E60DF5"/>
    <w:rsid w:val="00E60EBD"/>
    <w:rsid w:val="00E6102E"/>
    <w:rsid w:val="00E61288"/>
    <w:rsid w:val="00E615E1"/>
    <w:rsid w:val="00E61666"/>
    <w:rsid w:val="00E616F8"/>
    <w:rsid w:val="00E616FA"/>
    <w:rsid w:val="00E61B75"/>
    <w:rsid w:val="00E61BA0"/>
    <w:rsid w:val="00E61BDC"/>
    <w:rsid w:val="00E61CE5"/>
    <w:rsid w:val="00E61D39"/>
    <w:rsid w:val="00E61D76"/>
    <w:rsid w:val="00E621F8"/>
    <w:rsid w:val="00E621FF"/>
    <w:rsid w:val="00E62213"/>
    <w:rsid w:val="00E62767"/>
    <w:rsid w:val="00E6277A"/>
    <w:rsid w:val="00E6291C"/>
    <w:rsid w:val="00E62BB9"/>
    <w:rsid w:val="00E62E40"/>
    <w:rsid w:val="00E62EE8"/>
    <w:rsid w:val="00E6319E"/>
    <w:rsid w:val="00E63678"/>
    <w:rsid w:val="00E63709"/>
    <w:rsid w:val="00E63822"/>
    <w:rsid w:val="00E63E99"/>
    <w:rsid w:val="00E63FC9"/>
    <w:rsid w:val="00E63FF0"/>
    <w:rsid w:val="00E6440E"/>
    <w:rsid w:val="00E645EE"/>
    <w:rsid w:val="00E647D7"/>
    <w:rsid w:val="00E6487D"/>
    <w:rsid w:val="00E64A52"/>
    <w:rsid w:val="00E65841"/>
    <w:rsid w:val="00E65EC2"/>
    <w:rsid w:val="00E65F17"/>
    <w:rsid w:val="00E660FB"/>
    <w:rsid w:val="00E661E1"/>
    <w:rsid w:val="00E6685D"/>
    <w:rsid w:val="00E6694D"/>
    <w:rsid w:val="00E669E5"/>
    <w:rsid w:val="00E66B74"/>
    <w:rsid w:val="00E66D98"/>
    <w:rsid w:val="00E66EA0"/>
    <w:rsid w:val="00E672F7"/>
    <w:rsid w:val="00E67473"/>
    <w:rsid w:val="00E67507"/>
    <w:rsid w:val="00E675AD"/>
    <w:rsid w:val="00E676D8"/>
    <w:rsid w:val="00E67724"/>
    <w:rsid w:val="00E67C50"/>
    <w:rsid w:val="00E67DAA"/>
    <w:rsid w:val="00E67E82"/>
    <w:rsid w:val="00E67EB8"/>
    <w:rsid w:val="00E67F54"/>
    <w:rsid w:val="00E70183"/>
    <w:rsid w:val="00E7031F"/>
    <w:rsid w:val="00E7060D"/>
    <w:rsid w:val="00E70644"/>
    <w:rsid w:val="00E7073F"/>
    <w:rsid w:val="00E70AE4"/>
    <w:rsid w:val="00E70B68"/>
    <w:rsid w:val="00E70CEC"/>
    <w:rsid w:val="00E70E0A"/>
    <w:rsid w:val="00E70E93"/>
    <w:rsid w:val="00E70FFB"/>
    <w:rsid w:val="00E71371"/>
    <w:rsid w:val="00E7175C"/>
    <w:rsid w:val="00E7180D"/>
    <w:rsid w:val="00E71B81"/>
    <w:rsid w:val="00E71BA6"/>
    <w:rsid w:val="00E71BED"/>
    <w:rsid w:val="00E71DB3"/>
    <w:rsid w:val="00E72078"/>
    <w:rsid w:val="00E7230A"/>
    <w:rsid w:val="00E7263A"/>
    <w:rsid w:val="00E7275C"/>
    <w:rsid w:val="00E7278B"/>
    <w:rsid w:val="00E72A71"/>
    <w:rsid w:val="00E72F6F"/>
    <w:rsid w:val="00E7310E"/>
    <w:rsid w:val="00E7327F"/>
    <w:rsid w:val="00E736BC"/>
    <w:rsid w:val="00E740FC"/>
    <w:rsid w:val="00E741E0"/>
    <w:rsid w:val="00E742EB"/>
    <w:rsid w:val="00E7436F"/>
    <w:rsid w:val="00E747E5"/>
    <w:rsid w:val="00E7494E"/>
    <w:rsid w:val="00E74BB0"/>
    <w:rsid w:val="00E74CEB"/>
    <w:rsid w:val="00E74DB4"/>
    <w:rsid w:val="00E75044"/>
    <w:rsid w:val="00E75614"/>
    <w:rsid w:val="00E75699"/>
    <w:rsid w:val="00E757D7"/>
    <w:rsid w:val="00E75831"/>
    <w:rsid w:val="00E75C9C"/>
    <w:rsid w:val="00E75CF3"/>
    <w:rsid w:val="00E75E1C"/>
    <w:rsid w:val="00E75E93"/>
    <w:rsid w:val="00E75F6F"/>
    <w:rsid w:val="00E761C1"/>
    <w:rsid w:val="00E761C9"/>
    <w:rsid w:val="00E76462"/>
    <w:rsid w:val="00E7657A"/>
    <w:rsid w:val="00E768AC"/>
    <w:rsid w:val="00E76935"/>
    <w:rsid w:val="00E769B5"/>
    <w:rsid w:val="00E76E38"/>
    <w:rsid w:val="00E7704C"/>
    <w:rsid w:val="00E779B3"/>
    <w:rsid w:val="00E77A33"/>
    <w:rsid w:val="00E77AAA"/>
    <w:rsid w:val="00E77BB0"/>
    <w:rsid w:val="00E77D89"/>
    <w:rsid w:val="00E80030"/>
    <w:rsid w:val="00E80200"/>
    <w:rsid w:val="00E80232"/>
    <w:rsid w:val="00E80257"/>
    <w:rsid w:val="00E802DB"/>
    <w:rsid w:val="00E804EA"/>
    <w:rsid w:val="00E80633"/>
    <w:rsid w:val="00E80807"/>
    <w:rsid w:val="00E8091B"/>
    <w:rsid w:val="00E80D03"/>
    <w:rsid w:val="00E80D0F"/>
    <w:rsid w:val="00E810A4"/>
    <w:rsid w:val="00E810F1"/>
    <w:rsid w:val="00E81214"/>
    <w:rsid w:val="00E813CD"/>
    <w:rsid w:val="00E81574"/>
    <w:rsid w:val="00E816D0"/>
    <w:rsid w:val="00E81A45"/>
    <w:rsid w:val="00E81B9D"/>
    <w:rsid w:val="00E81C16"/>
    <w:rsid w:val="00E81CEB"/>
    <w:rsid w:val="00E81DCA"/>
    <w:rsid w:val="00E82129"/>
    <w:rsid w:val="00E82135"/>
    <w:rsid w:val="00E8219D"/>
    <w:rsid w:val="00E821EA"/>
    <w:rsid w:val="00E822B3"/>
    <w:rsid w:val="00E82302"/>
    <w:rsid w:val="00E827C3"/>
    <w:rsid w:val="00E829EA"/>
    <w:rsid w:val="00E82A7D"/>
    <w:rsid w:val="00E82C6E"/>
    <w:rsid w:val="00E82E4E"/>
    <w:rsid w:val="00E82ED1"/>
    <w:rsid w:val="00E830A9"/>
    <w:rsid w:val="00E830FA"/>
    <w:rsid w:val="00E8318F"/>
    <w:rsid w:val="00E8359A"/>
    <w:rsid w:val="00E835B0"/>
    <w:rsid w:val="00E83BFE"/>
    <w:rsid w:val="00E83D2C"/>
    <w:rsid w:val="00E83DC6"/>
    <w:rsid w:val="00E83E57"/>
    <w:rsid w:val="00E84258"/>
    <w:rsid w:val="00E8438F"/>
    <w:rsid w:val="00E843B8"/>
    <w:rsid w:val="00E843EE"/>
    <w:rsid w:val="00E845E4"/>
    <w:rsid w:val="00E84636"/>
    <w:rsid w:val="00E846C5"/>
    <w:rsid w:val="00E846F1"/>
    <w:rsid w:val="00E848F2"/>
    <w:rsid w:val="00E84CD5"/>
    <w:rsid w:val="00E84E9F"/>
    <w:rsid w:val="00E85006"/>
    <w:rsid w:val="00E850E9"/>
    <w:rsid w:val="00E85190"/>
    <w:rsid w:val="00E85354"/>
    <w:rsid w:val="00E853CD"/>
    <w:rsid w:val="00E8565F"/>
    <w:rsid w:val="00E85709"/>
    <w:rsid w:val="00E85DDE"/>
    <w:rsid w:val="00E85F25"/>
    <w:rsid w:val="00E86032"/>
    <w:rsid w:val="00E860A1"/>
    <w:rsid w:val="00E860F7"/>
    <w:rsid w:val="00E8611D"/>
    <w:rsid w:val="00E86517"/>
    <w:rsid w:val="00E86586"/>
    <w:rsid w:val="00E86700"/>
    <w:rsid w:val="00E86750"/>
    <w:rsid w:val="00E8681A"/>
    <w:rsid w:val="00E86979"/>
    <w:rsid w:val="00E8697A"/>
    <w:rsid w:val="00E86C73"/>
    <w:rsid w:val="00E86C8A"/>
    <w:rsid w:val="00E86FD4"/>
    <w:rsid w:val="00E8724B"/>
    <w:rsid w:val="00E877B0"/>
    <w:rsid w:val="00E87827"/>
    <w:rsid w:val="00E87A5B"/>
    <w:rsid w:val="00E87BD5"/>
    <w:rsid w:val="00E87C18"/>
    <w:rsid w:val="00E87F21"/>
    <w:rsid w:val="00E9015A"/>
    <w:rsid w:val="00E9040F"/>
    <w:rsid w:val="00E90B96"/>
    <w:rsid w:val="00E9107B"/>
    <w:rsid w:val="00E9190E"/>
    <w:rsid w:val="00E91A86"/>
    <w:rsid w:val="00E91B35"/>
    <w:rsid w:val="00E91CB7"/>
    <w:rsid w:val="00E91D6F"/>
    <w:rsid w:val="00E91E33"/>
    <w:rsid w:val="00E91EBC"/>
    <w:rsid w:val="00E9210E"/>
    <w:rsid w:val="00E921C0"/>
    <w:rsid w:val="00E9245C"/>
    <w:rsid w:val="00E92614"/>
    <w:rsid w:val="00E9275F"/>
    <w:rsid w:val="00E92A17"/>
    <w:rsid w:val="00E92D59"/>
    <w:rsid w:val="00E92E80"/>
    <w:rsid w:val="00E92F25"/>
    <w:rsid w:val="00E92F9A"/>
    <w:rsid w:val="00E9303D"/>
    <w:rsid w:val="00E930A5"/>
    <w:rsid w:val="00E930A6"/>
    <w:rsid w:val="00E930B3"/>
    <w:rsid w:val="00E93176"/>
    <w:rsid w:val="00E9317B"/>
    <w:rsid w:val="00E93450"/>
    <w:rsid w:val="00E935F1"/>
    <w:rsid w:val="00E93887"/>
    <w:rsid w:val="00E93959"/>
    <w:rsid w:val="00E93D7C"/>
    <w:rsid w:val="00E94454"/>
    <w:rsid w:val="00E944C4"/>
    <w:rsid w:val="00E94722"/>
    <w:rsid w:val="00E94C41"/>
    <w:rsid w:val="00E94E6B"/>
    <w:rsid w:val="00E95147"/>
    <w:rsid w:val="00E954AF"/>
    <w:rsid w:val="00E95631"/>
    <w:rsid w:val="00E95715"/>
    <w:rsid w:val="00E9582A"/>
    <w:rsid w:val="00E958B2"/>
    <w:rsid w:val="00E95A67"/>
    <w:rsid w:val="00E95B43"/>
    <w:rsid w:val="00E95D13"/>
    <w:rsid w:val="00E95DAE"/>
    <w:rsid w:val="00E95E28"/>
    <w:rsid w:val="00E95E33"/>
    <w:rsid w:val="00E95E69"/>
    <w:rsid w:val="00E95EFC"/>
    <w:rsid w:val="00E96010"/>
    <w:rsid w:val="00E9602F"/>
    <w:rsid w:val="00E9622E"/>
    <w:rsid w:val="00E96432"/>
    <w:rsid w:val="00E9665F"/>
    <w:rsid w:val="00E968D6"/>
    <w:rsid w:val="00E96AF7"/>
    <w:rsid w:val="00E96CA4"/>
    <w:rsid w:val="00E97160"/>
    <w:rsid w:val="00E973FC"/>
    <w:rsid w:val="00E97403"/>
    <w:rsid w:val="00E9751F"/>
    <w:rsid w:val="00E975CB"/>
    <w:rsid w:val="00E978E6"/>
    <w:rsid w:val="00E97A38"/>
    <w:rsid w:val="00EA005D"/>
    <w:rsid w:val="00EA030A"/>
    <w:rsid w:val="00EA06CF"/>
    <w:rsid w:val="00EA0740"/>
    <w:rsid w:val="00EA0DBF"/>
    <w:rsid w:val="00EA0F2B"/>
    <w:rsid w:val="00EA10DE"/>
    <w:rsid w:val="00EA11A3"/>
    <w:rsid w:val="00EA13C4"/>
    <w:rsid w:val="00EA1499"/>
    <w:rsid w:val="00EA14E2"/>
    <w:rsid w:val="00EA16BD"/>
    <w:rsid w:val="00EA1806"/>
    <w:rsid w:val="00EA1EB4"/>
    <w:rsid w:val="00EA1FC2"/>
    <w:rsid w:val="00EA2034"/>
    <w:rsid w:val="00EA2040"/>
    <w:rsid w:val="00EA21B1"/>
    <w:rsid w:val="00EA22C2"/>
    <w:rsid w:val="00EA2308"/>
    <w:rsid w:val="00EA234D"/>
    <w:rsid w:val="00EA2707"/>
    <w:rsid w:val="00EA2B7B"/>
    <w:rsid w:val="00EA2F66"/>
    <w:rsid w:val="00EA302E"/>
    <w:rsid w:val="00EA323B"/>
    <w:rsid w:val="00EA3256"/>
    <w:rsid w:val="00EA34B1"/>
    <w:rsid w:val="00EA3531"/>
    <w:rsid w:val="00EA35FA"/>
    <w:rsid w:val="00EA3617"/>
    <w:rsid w:val="00EA3630"/>
    <w:rsid w:val="00EA374D"/>
    <w:rsid w:val="00EA3958"/>
    <w:rsid w:val="00EA3CD0"/>
    <w:rsid w:val="00EA3D19"/>
    <w:rsid w:val="00EA409B"/>
    <w:rsid w:val="00EA4155"/>
    <w:rsid w:val="00EA43FA"/>
    <w:rsid w:val="00EA452E"/>
    <w:rsid w:val="00EA4634"/>
    <w:rsid w:val="00EA483D"/>
    <w:rsid w:val="00EA48AA"/>
    <w:rsid w:val="00EA4F73"/>
    <w:rsid w:val="00EA5055"/>
    <w:rsid w:val="00EA52F5"/>
    <w:rsid w:val="00EA53EA"/>
    <w:rsid w:val="00EA5C13"/>
    <w:rsid w:val="00EA5DB9"/>
    <w:rsid w:val="00EA5E3D"/>
    <w:rsid w:val="00EA66D9"/>
    <w:rsid w:val="00EA67BF"/>
    <w:rsid w:val="00EA6806"/>
    <w:rsid w:val="00EA6ACB"/>
    <w:rsid w:val="00EA6B73"/>
    <w:rsid w:val="00EA6C79"/>
    <w:rsid w:val="00EA6CD8"/>
    <w:rsid w:val="00EA6D22"/>
    <w:rsid w:val="00EA6DEB"/>
    <w:rsid w:val="00EA6EAE"/>
    <w:rsid w:val="00EA7278"/>
    <w:rsid w:val="00EA7421"/>
    <w:rsid w:val="00EA74FF"/>
    <w:rsid w:val="00EA7552"/>
    <w:rsid w:val="00EA775E"/>
    <w:rsid w:val="00EA7760"/>
    <w:rsid w:val="00EA7CDC"/>
    <w:rsid w:val="00EA7F0D"/>
    <w:rsid w:val="00EB0041"/>
    <w:rsid w:val="00EB0056"/>
    <w:rsid w:val="00EB02FC"/>
    <w:rsid w:val="00EB0595"/>
    <w:rsid w:val="00EB0C3E"/>
    <w:rsid w:val="00EB0EA0"/>
    <w:rsid w:val="00EB0EF5"/>
    <w:rsid w:val="00EB0FD0"/>
    <w:rsid w:val="00EB1AC4"/>
    <w:rsid w:val="00EB1D00"/>
    <w:rsid w:val="00EB277C"/>
    <w:rsid w:val="00EB28C7"/>
    <w:rsid w:val="00EB2E95"/>
    <w:rsid w:val="00EB32FC"/>
    <w:rsid w:val="00EB33BF"/>
    <w:rsid w:val="00EB33DA"/>
    <w:rsid w:val="00EB37C8"/>
    <w:rsid w:val="00EB3A13"/>
    <w:rsid w:val="00EB3C4D"/>
    <w:rsid w:val="00EB3D23"/>
    <w:rsid w:val="00EB40B9"/>
    <w:rsid w:val="00EB4170"/>
    <w:rsid w:val="00EB41B0"/>
    <w:rsid w:val="00EB41F4"/>
    <w:rsid w:val="00EB43D5"/>
    <w:rsid w:val="00EB443F"/>
    <w:rsid w:val="00EB4607"/>
    <w:rsid w:val="00EB4808"/>
    <w:rsid w:val="00EB4872"/>
    <w:rsid w:val="00EB49F3"/>
    <w:rsid w:val="00EB4AC9"/>
    <w:rsid w:val="00EB5143"/>
    <w:rsid w:val="00EB55D3"/>
    <w:rsid w:val="00EB564A"/>
    <w:rsid w:val="00EB573A"/>
    <w:rsid w:val="00EB5A75"/>
    <w:rsid w:val="00EB5C81"/>
    <w:rsid w:val="00EB5DB1"/>
    <w:rsid w:val="00EB5F1F"/>
    <w:rsid w:val="00EB6091"/>
    <w:rsid w:val="00EB62CF"/>
    <w:rsid w:val="00EB62F4"/>
    <w:rsid w:val="00EB635F"/>
    <w:rsid w:val="00EB64F1"/>
    <w:rsid w:val="00EB6606"/>
    <w:rsid w:val="00EB69E7"/>
    <w:rsid w:val="00EB6D23"/>
    <w:rsid w:val="00EB6DEA"/>
    <w:rsid w:val="00EB6EF8"/>
    <w:rsid w:val="00EB7058"/>
    <w:rsid w:val="00EB7A24"/>
    <w:rsid w:val="00EB7CC4"/>
    <w:rsid w:val="00EC0117"/>
    <w:rsid w:val="00EC012F"/>
    <w:rsid w:val="00EC03C8"/>
    <w:rsid w:val="00EC06A1"/>
    <w:rsid w:val="00EC07EF"/>
    <w:rsid w:val="00EC087E"/>
    <w:rsid w:val="00EC0C7B"/>
    <w:rsid w:val="00EC0FC6"/>
    <w:rsid w:val="00EC10FD"/>
    <w:rsid w:val="00EC11D6"/>
    <w:rsid w:val="00EC12BD"/>
    <w:rsid w:val="00EC142F"/>
    <w:rsid w:val="00EC1A5D"/>
    <w:rsid w:val="00EC1B64"/>
    <w:rsid w:val="00EC1BC0"/>
    <w:rsid w:val="00EC1C58"/>
    <w:rsid w:val="00EC1CF5"/>
    <w:rsid w:val="00EC2049"/>
    <w:rsid w:val="00EC20DB"/>
    <w:rsid w:val="00EC25F3"/>
    <w:rsid w:val="00EC27C4"/>
    <w:rsid w:val="00EC2999"/>
    <w:rsid w:val="00EC2AA9"/>
    <w:rsid w:val="00EC2AD6"/>
    <w:rsid w:val="00EC2B43"/>
    <w:rsid w:val="00EC3044"/>
    <w:rsid w:val="00EC33EB"/>
    <w:rsid w:val="00EC3868"/>
    <w:rsid w:val="00EC3945"/>
    <w:rsid w:val="00EC3C0A"/>
    <w:rsid w:val="00EC3C81"/>
    <w:rsid w:val="00EC3DF4"/>
    <w:rsid w:val="00EC3E00"/>
    <w:rsid w:val="00EC3E47"/>
    <w:rsid w:val="00EC402C"/>
    <w:rsid w:val="00EC4400"/>
    <w:rsid w:val="00EC45C6"/>
    <w:rsid w:val="00EC466E"/>
    <w:rsid w:val="00EC4809"/>
    <w:rsid w:val="00EC489E"/>
    <w:rsid w:val="00EC4AF9"/>
    <w:rsid w:val="00EC4C06"/>
    <w:rsid w:val="00EC4E65"/>
    <w:rsid w:val="00EC4E6E"/>
    <w:rsid w:val="00EC4F94"/>
    <w:rsid w:val="00EC540C"/>
    <w:rsid w:val="00EC5468"/>
    <w:rsid w:val="00EC54BA"/>
    <w:rsid w:val="00EC55B1"/>
    <w:rsid w:val="00EC575E"/>
    <w:rsid w:val="00EC59EE"/>
    <w:rsid w:val="00EC5A22"/>
    <w:rsid w:val="00EC5A48"/>
    <w:rsid w:val="00EC5AB2"/>
    <w:rsid w:val="00EC5C88"/>
    <w:rsid w:val="00EC5DD5"/>
    <w:rsid w:val="00EC60F0"/>
    <w:rsid w:val="00EC616A"/>
    <w:rsid w:val="00EC625F"/>
    <w:rsid w:val="00EC6316"/>
    <w:rsid w:val="00EC6492"/>
    <w:rsid w:val="00EC6825"/>
    <w:rsid w:val="00EC685A"/>
    <w:rsid w:val="00EC68B2"/>
    <w:rsid w:val="00EC68D4"/>
    <w:rsid w:val="00EC69C6"/>
    <w:rsid w:val="00EC6CAB"/>
    <w:rsid w:val="00EC6DA6"/>
    <w:rsid w:val="00EC6E27"/>
    <w:rsid w:val="00EC6F2E"/>
    <w:rsid w:val="00EC700F"/>
    <w:rsid w:val="00EC728A"/>
    <w:rsid w:val="00EC72AA"/>
    <w:rsid w:val="00EC753A"/>
    <w:rsid w:val="00EC7727"/>
    <w:rsid w:val="00EC7CB6"/>
    <w:rsid w:val="00EC7D36"/>
    <w:rsid w:val="00ED0425"/>
    <w:rsid w:val="00ED046B"/>
    <w:rsid w:val="00ED05E8"/>
    <w:rsid w:val="00ED071A"/>
    <w:rsid w:val="00ED08D2"/>
    <w:rsid w:val="00ED09B2"/>
    <w:rsid w:val="00ED0BA1"/>
    <w:rsid w:val="00ED0C0C"/>
    <w:rsid w:val="00ED0DCE"/>
    <w:rsid w:val="00ED1101"/>
    <w:rsid w:val="00ED122B"/>
    <w:rsid w:val="00ED1296"/>
    <w:rsid w:val="00ED1319"/>
    <w:rsid w:val="00ED14F3"/>
    <w:rsid w:val="00ED1719"/>
    <w:rsid w:val="00ED17B6"/>
    <w:rsid w:val="00ED18A4"/>
    <w:rsid w:val="00ED1C00"/>
    <w:rsid w:val="00ED1C68"/>
    <w:rsid w:val="00ED1CCA"/>
    <w:rsid w:val="00ED1DEC"/>
    <w:rsid w:val="00ED1EEA"/>
    <w:rsid w:val="00ED1F66"/>
    <w:rsid w:val="00ED1FA2"/>
    <w:rsid w:val="00ED27C9"/>
    <w:rsid w:val="00ED282E"/>
    <w:rsid w:val="00ED29F0"/>
    <w:rsid w:val="00ED2DFC"/>
    <w:rsid w:val="00ED302B"/>
    <w:rsid w:val="00ED3130"/>
    <w:rsid w:val="00ED31F3"/>
    <w:rsid w:val="00ED33B7"/>
    <w:rsid w:val="00ED36D4"/>
    <w:rsid w:val="00ED3960"/>
    <w:rsid w:val="00ED3F04"/>
    <w:rsid w:val="00ED3FCD"/>
    <w:rsid w:val="00ED41BC"/>
    <w:rsid w:val="00ED43AD"/>
    <w:rsid w:val="00ED4401"/>
    <w:rsid w:val="00ED45BC"/>
    <w:rsid w:val="00ED4951"/>
    <w:rsid w:val="00ED4A0D"/>
    <w:rsid w:val="00ED4AB3"/>
    <w:rsid w:val="00ED4BCB"/>
    <w:rsid w:val="00ED4C97"/>
    <w:rsid w:val="00ED4E6C"/>
    <w:rsid w:val="00ED52AC"/>
    <w:rsid w:val="00ED53B8"/>
    <w:rsid w:val="00ED551C"/>
    <w:rsid w:val="00ED55CD"/>
    <w:rsid w:val="00ED5A7B"/>
    <w:rsid w:val="00ED5E1A"/>
    <w:rsid w:val="00ED6005"/>
    <w:rsid w:val="00ED61C1"/>
    <w:rsid w:val="00ED6688"/>
    <w:rsid w:val="00ED677A"/>
    <w:rsid w:val="00ED67AB"/>
    <w:rsid w:val="00ED68B3"/>
    <w:rsid w:val="00ED68FB"/>
    <w:rsid w:val="00ED6A75"/>
    <w:rsid w:val="00ED6AB7"/>
    <w:rsid w:val="00ED6ADF"/>
    <w:rsid w:val="00ED6D0D"/>
    <w:rsid w:val="00ED6E75"/>
    <w:rsid w:val="00ED70BD"/>
    <w:rsid w:val="00ED71C3"/>
    <w:rsid w:val="00ED73BE"/>
    <w:rsid w:val="00ED76BE"/>
    <w:rsid w:val="00ED783A"/>
    <w:rsid w:val="00ED7D6F"/>
    <w:rsid w:val="00ED7F1A"/>
    <w:rsid w:val="00EE0246"/>
    <w:rsid w:val="00EE033A"/>
    <w:rsid w:val="00EE051E"/>
    <w:rsid w:val="00EE0974"/>
    <w:rsid w:val="00EE0C90"/>
    <w:rsid w:val="00EE0CEF"/>
    <w:rsid w:val="00EE0E08"/>
    <w:rsid w:val="00EE0E5C"/>
    <w:rsid w:val="00EE10C2"/>
    <w:rsid w:val="00EE117B"/>
    <w:rsid w:val="00EE13B4"/>
    <w:rsid w:val="00EE13B5"/>
    <w:rsid w:val="00EE155A"/>
    <w:rsid w:val="00EE16B9"/>
    <w:rsid w:val="00EE1821"/>
    <w:rsid w:val="00EE1AB6"/>
    <w:rsid w:val="00EE1B89"/>
    <w:rsid w:val="00EE1D4B"/>
    <w:rsid w:val="00EE1E1D"/>
    <w:rsid w:val="00EE226B"/>
    <w:rsid w:val="00EE22FD"/>
    <w:rsid w:val="00EE238D"/>
    <w:rsid w:val="00EE28D1"/>
    <w:rsid w:val="00EE2B32"/>
    <w:rsid w:val="00EE2B54"/>
    <w:rsid w:val="00EE2C20"/>
    <w:rsid w:val="00EE2E1E"/>
    <w:rsid w:val="00EE2FB3"/>
    <w:rsid w:val="00EE305C"/>
    <w:rsid w:val="00EE341D"/>
    <w:rsid w:val="00EE3488"/>
    <w:rsid w:val="00EE350E"/>
    <w:rsid w:val="00EE3590"/>
    <w:rsid w:val="00EE3A91"/>
    <w:rsid w:val="00EE3AD0"/>
    <w:rsid w:val="00EE3AE1"/>
    <w:rsid w:val="00EE3AEF"/>
    <w:rsid w:val="00EE3E69"/>
    <w:rsid w:val="00EE4168"/>
    <w:rsid w:val="00EE427D"/>
    <w:rsid w:val="00EE46FC"/>
    <w:rsid w:val="00EE4739"/>
    <w:rsid w:val="00EE494B"/>
    <w:rsid w:val="00EE4A81"/>
    <w:rsid w:val="00EE4ABB"/>
    <w:rsid w:val="00EE4B0A"/>
    <w:rsid w:val="00EE4C03"/>
    <w:rsid w:val="00EE4D21"/>
    <w:rsid w:val="00EE4D55"/>
    <w:rsid w:val="00EE4D67"/>
    <w:rsid w:val="00EE4DEF"/>
    <w:rsid w:val="00EE4ECE"/>
    <w:rsid w:val="00EE50F1"/>
    <w:rsid w:val="00EE511D"/>
    <w:rsid w:val="00EE51E1"/>
    <w:rsid w:val="00EE5666"/>
    <w:rsid w:val="00EE5676"/>
    <w:rsid w:val="00EE5A04"/>
    <w:rsid w:val="00EE6100"/>
    <w:rsid w:val="00EE610B"/>
    <w:rsid w:val="00EE65FE"/>
    <w:rsid w:val="00EE66F2"/>
    <w:rsid w:val="00EE674F"/>
    <w:rsid w:val="00EE67B7"/>
    <w:rsid w:val="00EE699D"/>
    <w:rsid w:val="00EE6A9F"/>
    <w:rsid w:val="00EE6B71"/>
    <w:rsid w:val="00EE6DC1"/>
    <w:rsid w:val="00EE6EA5"/>
    <w:rsid w:val="00EE70B8"/>
    <w:rsid w:val="00EE7139"/>
    <w:rsid w:val="00EE72F9"/>
    <w:rsid w:val="00EE74DC"/>
    <w:rsid w:val="00EE74EA"/>
    <w:rsid w:val="00EE7633"/>
    <w:rsid w:val="00EE7657"/>
    <w:rsid w:val="00EE77C3"/>
    <w:rsid w:val="00EE788D"/>
    <w:rsid w:val="00EE7957"/>
    <w:rsid w:val="00EE7A13"/>
    <w:rsid w:val="00EE7E6E"/>
    <w:rsid w:val="00EE7FCC"/>
    <w:rsid w:val="00EE7FE8"/>
    <w:rsid w:val="00EE7FF0"/>
    <w:rsid w:val="00EF0359"/>
    <w:rsid w:val="00EF052F"/>
    <w:rsid w:val="00EF0584"/>
    <w:rsid w:val="00EF06EA"/>
    <w:rsid w:val="00EF09D7"/>
    <w:rsid w:val="00EF0BB6"/>
    <w:rsid w:val="00EF0EC2"/>
    <w:rsid w:val="00EF0F82"/>
    <w:rsid w:val="00EF1027"/>
    <w:rsid w:val="00EF113B"/>
    <w:rsid w:val="00EF1789"/>
    <w:rsid w:val="00EF17DE"/>
    <w:rsid w:val="00EF1989"/>
    <w:rsid w:val="00EF1A88"/>
    <w:rsid w:val="00EF1FA7"/>
    <w:rsid w:val="00EF20E4"/>
    <w:rsid w:val="00EF23AB"/>
    <w:rsid w:val="00EF2532"/>
    <w:rsid w:val="00EF2574"/>
    <w:rsid w:val="00EF27A0"/>
    <w:rsid w:val="00EF27DF"/>
    <w:rsid w:val="00EF32AF"/>
    <w:rsid w:val="00EF3508"/>
    <w:rsid w:val="00EF35D1"/>
    <w:rsid w:val="00EF3602"/>
    <w:rsid w:val="00EF382B"/>
    <w:rsid w:val="00EF3A92"/>
    <w:rsid w:val="00EF3E62"/>
    <w:rsid w:val="00EF3F55"/>
    <w:rsid w:val="00EF405F"/>
    <w:rsid w:val="00EF4091"/>
    <w:rsid w:val="00EF42F1"/>
    <w:rsid w:val="00EF43F4"/>
    <w:rsid w:val="00EF446A"/>
    <w:rsid w:val="00EF4618"/>
    <w:rsid w:val="00EF46D8"/>
    <w:rsid w:val="00EF46F8"/>
    <w:rsid w:val="00EF4818"/>
    <w:rsid w:val="00EF4A8D"/>
    <w:rsid w:val="00EF4F79"/>
    <w:rsid w:val="00EF5407"/>
    <w:rsid w:val="00EF570A"/>
    <w:rsid w:val="00EF57B5"/>
    <w:rsid w:val="00EF591E"/>
    <w:rsid w:val="00EF59B4"/>
    <w:rsid w:val="00EF5AC7"/>
    <w:rsid w:val="00EF5B6C"/>
    <w:rsid w:val="00EF5F3D"/>
    <w:rsid w:val="00EF5F79"/>
    <w:rsid w:val="00EF6356"/>
    <w:rsid w:val="00EF6418"/>
    <w:rsid w:val="00EF6500"/>
    <w:rsid w:val="00EF655F"/>
    <w:rsid w:val="00EF6628"/>
    <w:rsid w:val="00EF66BD"/>
    <w:rsid w:val="00EF6B47"/>
    <w:rsid w:val="00EF7055"/>
    <w:rsid w:val="00EF725C"/>
    <w:rsid w:val="00EF7338"/>
    <w:rsid w:val="00EF7497"/>
    <w:rsid w:val="00EF74F2"/>
    <w:rsid w:val="00EF7502"/>
    <w:rsid w:val="00EF7645"/>
    <w:rsid w:val="00EF78D7"/>
    <w:rsid w:val="00EF7919"/>
    <w:rsid w:val="00EF7A21"/>
    <w:rsid w:val="00EF7AD8"/>
    <w:rsid w:val="00EF7BEB"/>
    <w:rsid w:val="00EF7C19"/>
    <w:rsid w:val="00EF7CD9"/>
    <w:rsid w:val="00F0054E"/>
    <w:rsid w:val="00F008BB"/>
    <w:rsid w:val="00F00B56"/>
    <w:rsid w:val="00F00B7A"/>
    <w:rsid w:val="00F010BB"/>
    <w:rsid w:val="00F01111"/>
    <w:rsid w:val="00F01158"/>
    <w:rsid w:val="00F012F2"/>
    <w:rsid w:val="00F0144A"/>
    <w:rsid w:val="00F0188B"/>
    <w:rsid w:val="00F01B2C"/>
    <w:rsid w:val="00F01EEE"/>
    <w:rsid w:val="00F020AF"/>
    <w:rsid w:val="00F0212A"/>
    <w:rsid w:val="00F02190"/>
    <w:rsid w:val="00F02636"/>
    <w:rsid w:val="00F02722"/>
    <w:rsid w:val="00F02812"/>
    <w:rsid w:val="00F028AE"/>
    <w:rsid w:val="00F02BEA"/>
    <w:rsid w:val="00F02C64"/>
    <w:rsid w:val="00F02E52"/>
    <w:rsid w:val="00F02ECF"/>
    <w:rsid w:val="00F03110"/>
    <w:rsid w:val="00F0311E"/>
    <w:rsid w:val="00F034FD"/>
    <w:rsid w:val="00F035A6"/>
    <w:rsid w:val="00F03641"/>
    <w:rsid w:val="00F03902"/>
    <w:rsid w:val="00F03FED"/>
    <w:rsid w:val="00F040F5"/>
    <w:rsid w:val="00F0418B"/>
    <w:rsid w:val="00F041DE"/>
    <w:rsid w:val="00F0431F"/>
    <w:rsid w:val="00F0452F"/>
    <w:rsid w:val="00F04575"/>
    <w:rsid w:val="00F04726"/>
    <w:rsid w:val="00F04A9D"/>
    <w:rsid w:val="00F04E33"/>
    <w:rsid w:val="00F04E4B"/>
    <w:rsid w:val="00F050E4"/>
    <w:rsid w:val="00F05710"/>
    <w:rsid w:val="00F05AAD"/>
    <w:rsid w:val="00F05ED2"/>
    <w:rsid w:val="00F0624C"/>
    <w:rsid w:val="00F0626F"/>
    <w:rsid w:val="00F06579"/>
    <w:rsid w:val="00F06629"/>
    <w:rsid w:val="00F066A0"/>
    <w:rsid w:val="00F067DB"/>
    <w:rsid w:val="00F06BFB"/>
    <w:rsid w:val="00F06D6E"/>
    <w:rsid w:val="00F06E87"/>
    <w:rsid w:val="00F07156"/>
    <w:rsid w:val="00F0715E"/>
    <w:rsid w:val="00F0731E"/>
    <w:rsid w:val="00F07505"/>
    <w:rsid w:val="00F07649"/>
    <w:rsid w:val="00F07981"/>
    <w:rsid w:val="00F079F0"/>
    <w:rsid w:val="00F07A20"/>
    <w:rsid w:val="00F07A58"/>
    <w:rsid w:val="00F07DF1"/>
    <w:rsid w:val="00F10175"/>
    <w:rsid w:val="00F101CC"/>
    <w:rsid w:val="00F1021B"/>
    <w:rsid w:val="00F1021C"/>
    <w:rsid w:val="00F10288"/>
    <w:rsid w:val="00F1037F"/>
    <w:rsid w:val="00F104C1"/>
    <w:rsid w:val="00F10665"/>
    <w:rsid w:val="00F109C6"/>
    <w:rsid w:val="00F10B36"/>
    <w:rsid w:val="00F10C60"/>
    <w:rsid w:val="00F10CD6"/>
    <w:rsid w:val="00F10F63"/>
    <w:rsid w:val="00F1126D"/>
    <w:rsid w:val="00F114C9"/>
    <w:rsid w:val="00F11B09"/>
    <w:rsid w:val="00F11F6B"/>
    <w:rsid w:val="00F11F82"/>
    <w:rsid w:val="00F12294"/>
    <w:rsid w:val="00F12366"/>
    <w:rsid w:val="00F12488"/>
    <w:rsid w:val="00F124AA"/>
    <w:rsid w:val="00F12BA9"/>
    <w:rsid w:val="00F12CDC"/>
    <w:rsid w:val="00F12F21"/>
    <w:rsid w:val="00F12FD7"/>
    <w:rsid w:val="00F13059"/>
    <w:rsid w:val="00F1317B"/>
    <w:rsid w:val="00F1327D"/>
    <w:rsid w:val="00F13571"/>
    <w:rsid w:val="00F1357B"/>
    <w:rsid w:val="00F13671"/>
    <w:rsid w:val="00F13C4C"/>
    <w:rsid w:val="00F13D93"/>
    <w:rsid w:val="00F13FBD"/>
    <w:rsid w:val="00F1420C"/>
    <w:rsid w:val="00F144BF"/>
    <w:rsid w:val="00F1498E"/>
    <w:rsid w:val="00F1499F"/>
    <w:rsid w:val="00F149BA"/>
    <w:rsid w:val="00F14CD9"/>
    <w:rsid w:val="00F14D8A"/>
    <w:rsid w:val="00F14DF8"/>
    <w:rsid w:val="00F15302"/>
    <w:rsid w:val="00F1540F"/>
    <w:rsid w:val="00F154BC"/>
    <w:rsid w:val="00F154DF"/>
    <w:rsid w:val="00F15586"/>
    <w:rsid w:val="00F159FC"/>
    <w:rsid w:val="00F15DB0"/>
    <w:rsid w:val="00F15FC2"/>
    <w:rsid w:val="00F16010"/>
    <w:rsid w:val="00F1646C"/>
    <w:rsid w:val="00F164CB"/>
    <w:rsid w:val="00F16500"/>
    <w:rsid w:val="00F16659"/>
    <w:rsid w:val="00F168D0"/>
    <w:rsid w:val="00F16D67"/>
    <w:rsid w:val="00F16ECA"/>
    <w:rsid w:val="00F16F02"/>
    <w:rsid w:val="00F17190"/>
    <w:rsid w:val="00F174F3"/>
    <w:rsid w:val="00F17BB5"/>
    <w:rsid w:val="00F17D24"/>
    <w:rsid w:val="00F17D93"/>
    <w:rsid w:val="00F17EB5"/>
    <w:rsid w:val="00F17EFF"/>
    <w:rsid w:val="00F20051"/>
    <w:rsid w:val="00F20348"/>
    <w:rsid w:val="00F204DA"/>
    <w:rsid w:val="00F207DC"/>
    <w:rsid w:val="00F2083E"/>
    <w:rsid w:val="00F20A44"/>
    <w:rsid w:val="00F20E60"/>
    <w:rsid w:val="00F20E6E"/>
    <w:rsid w:val="00F20E94"/>
    <w:rsid w:val="00F20EB8"/>
    <w:rsid w:val="00F211B1"/>
    <w:rsid w:val="00F214B8"/>
    <w:rsid w:val="00F21689"/>
    <w:rsid w:val="00F21912"/>
    <w:rsid w:val="00F2196E"/>
    <w:rsid w:val="00F21A20"/>
    <w:rsid w:val="00F21B73"/>
    <w:rsid w:val="00F21B89"/>
    <w:rsid w:val="00F21C26"/>
    <w:rsid w:val="00F21D9B"/>
    <w:rsid w:val="00F22272"/>
    <w:rsid w:val="00F22365"/>
    <w:rsid w:val="00F2275C"/>
    <w:rsid w:val="00F227B8"/>
    <w:rsid w:val="00F22846"/>
    <w:rsid w:val="00F2299E"/>
    <w:rsid w:val="00F229C8"/>
    <w:rsid w:val="00F229D9"/>
    <w:rsid w:val="00F22D8C"/>
    <w:rsid w:val="00F22DC6"/>
    <w:rsid w:val="00F2348A"/>
    <w:rsid w:val="00F236C4"/>
    <w:rsid w:val="00F23892"/>
    <w:rsid w:val="00F238B1"/>
    <w:rsid w:val="00F23969"/>
    <w:rsid w:val="00F23E56"/>
    <w:rsid w:val="00F23EFC"/>
    <w:rsid w:val="00F23F6B"/>
    <w:rsid w:val="00F2415E"/>
    <w:rsid w:val="00F241D2"/>
    <w:rsid w:val="00F24A78"/>
    <w:rsid w:val="00F24B03"/>
    <w:rsid w:val="00F250C0"/>
    <w:rsid w:val="00F259A8"/>
    <w:rsid w:val="00F25A3E"/>
    <w:rsid w:val="00F25A9B"/>
    <w:rsid w:val="00F25AB7"/>
    <w:rsid w:val="00F25ADA"/>
    <w:rsid w:val="00F25C4C"/>
    <w:rsid w:val="00F25DA0"/>
    <w:rsid w:val="00F26078"/>
    <w:rsid w:val="00F263E8"/>
    <w:rsid w:val="00F266CD"/>
    <w:rsid w:val="00F2696F"/>
    <w:rsid w:val="00F26A33"/>
    <w:rsid w:val="00F26C1D"/>
    <w:rsid w:val="00F26D5B"/>
    <w:rsid w:val="00F26F7B"/>
    <w:rsid w:val="00F26FC0"/>
    <w:rsid w:val="00F275FB"/>
    <w:rsid w:val="00F276A0"/>
    <w:rsid w:val="00F2793C"/>
    <w:rsid w:val="00F27C03"/>
    <w:rsid w:val="00F30201"/>
    <w:rsid w:val="00F30282"/>
    <w:rsid w:val="00F302DB"/>
    <w:rsid w:val="00F3034F"/>
    <w:rsid w:val="00F3059C"/>
    <w:rsid w:val="00F3062D"/>
    <w:rsid w:val="00F3083A"/>
    <w:rsid w:val="00F30A24"/>
    <w:rsid w:val="00F30A7D"/>
    <w:rsid w:val="00F30A91"/>
    <w:rsid w:val="00F30B0C"/>
    <w:rsid w:val="00F30D0A"/>
    <w:rsid w:val="00F30F8B"/>
    <w:rsid w:val="00F311E8"/>
    <w:rsid w:val="00F31427"/>
    <w:rsid w:val="00F31525"/>
    <w:rsid w:val="00F3162D"/>
    <w:rsid w:val="00F316C4"/>
    <w:rsid w:val="00F31791"/>
    <w:rsid w:val="00F317D7"/>
    <w:rsid w:val="00F3186F"/>
    <w:rsid w:val="00F31A2C"/>
    <w:rsid w:val="00F31AD3"/>
    <w:rsid w:val="00F31B43"/>
    <w:rsid w:val="00F31BAB"/>
    <w:rsid w:val="00F31CE8"/>
    <w:rsid w:val="00F31F66"/>
    <w:rsid w:val="00F320F3"/>
    <w:rsid w:val="00F3253A"/>
    <w:rsid w:val="00F32753"/>
    <w:rsid w:val="00F327C7"/>
    <w:rsid w:val="00F32B8C"/>
    <w:rsid w:val="00F32C01"/>
    <w:rsid w:val="00F32D05"/>
    <w:rsid w:val="00F331DC"/>
    <w:rsid w:val="00F33410"/>
    <w:rsid w:val="00F33442"/>
    <w:rsid w:val="00F335E9"/>
    <w:rsid w:val="00F33B02"/>
    <w:rsid w:val="00F33B8D"/>
    <w:rsid w:val="00F33E2E"/>
    <w:rsid w:val="00F33F2A"/>
    <w:rsid w:val="00F34001"/>
    <w:rsid w:val="00F347CA"/>
    <w:rsid w:val="00F34A04"/>
    <w:rsid w:val="00F34A5A"/>
    <w:rsid w:val="00F34C0D"/>
    <w:rsid w:val="00F34F45"/>
    <w:rsid w:val="00F34FF7"/>
    <w:rsid w:val="00F350CF"/>
    <w:rsid w:val="00F350D9"/>
    <w:rsid w:val="00F35188"/>
    <w:rsid w:val="00F352E8"/>
    <w:rsid w:val="00F353EC"/>
    <w:rsid w:val="00F354EF"/>
    <w:rsid w:val="00F355A9"/>
    <w:rsid w:val="00F356C0"/>
    <w:rsid w:val="00F3580E"/>
    <w:rsid w:val="00F3584C"/>
    <w:rsid w:val="00F35A19"/>
    <w:rsid w:val="00F35B79"/>
    <w:rsid w:val="00F35D15"/>
    <w:rsid w:val="00F3617E"/>
    <w:rsid w:val="00F363A9"/>
    <w:rsid w:val="00F364C9"/>
    <w:rsid w:val="00F364D1"/>
    <w:rsid w:val="00F365A3"/>
    <w:rsid w:val="00F36A2D"/>
    <w:rsid w:val="00F36A6F"/>
    <w:rsid w:val="00F36D50"/>
    <w:rsid w:val="00F36EC4"/>
    <w:rsid w:val="00F370BA"/>
    <w:rsid w:val="00F3722F"/>
    <w:rsid w:val="00F37411"/>
    <w:rsid w:val="00F3743F"/>
    <w:rsid w:val="00F374CB"/>
    <w:rsid w:val="00F37745"/>
    <w:rsid w:val="00F37943"/>
    <w:rsid w:val="00F37A33"/>
    <w:rsid w:val="00F37D21"/>
    <w:rsid w:val="00F40302"/>
    <w:rsid w:val="00F40379"/>
    <w:rsid w:val="00F4061A"/>
    <w:rsid w:val="00F40687"/>
    <w:rsid w:val="00F40791"/>
    <w:rsid w:val="00F40AC6"/>
    <w:rsid w:val="00F40E24"/>
    <w:rsid w:val="00F40EAD"/>
    <w:rsid w:val="00F41159"/>
    <w:rsid w:val="00F41381"/>
    <w:rsid w:val="00F414DA"/>
    <w:rsid w:val="00F41663"/>
    <w:rsid w:val="00F41B64"/>
    <w:rsid w:val="00F41BE0"/>
    <w:rsid w:val="00F41C86"/>
    <w:rsid w:val="00F41DB2"/>
    <w:rsid w:val="00F41E2D"/>
    <w:rsid w:val="00F41FBD"/>
    <w:rsid w:val="00F41FEF"/>
    <w:rsid w:val="00F42074"/>
    <w:rsid w:val="00F420B0"/>
    <w:rsid w:val="00F42234"/>
    <w:rsid w:val="00F422CA"/>
    <w:rsid w:val="00F423F1"/>
    <w:rsid w:val="00F425DD"/>
    <w:rsid w:val="00F42601"/>
    <w:rsid w:val="00F42628"/>
    <w:rsid w:val="00F42727"/>
    <w:rsid w:val="00F4274C"/>
    <w:rsid w:val="00F42841"/>
    <w:rsid w:val="00F428CB"/>
    <w:rsid w:val="00F4290D"/>
    <w:rsid w:val="00F42BBA"/>
    <w:rsid w:val="00F42CCB"/>
    <w:rsid w:val="00F436A4"/>
    <w:rsid w:val="00F43705"/>
    <w:rsid w:val="00F4372B"/>
    <w:rsid w:val="00F43A15"/>
    <w:rsid w:val="00F43AD0"/>
    <w:rsid w:val="00F43EA3"/>
    <w:rsid w:val="00F44040"/>
    <w:rsid w:val="00F440E0"/>
    <w:rsid w:val="00F44478"/>
    <w:rsid w:val="00F446C5"/>
    <w:rsid w:val="00F44762"/>
    <w:rsid w:val="00F44859"/>
    <w:rsid w:val="00F44F2F"/>
    <w:rsid w:val="00F44F4F"/>
    <w:rsid w:val="00F4519C"/>
    <w:rsid w:val="00F4530A"/>
    <w:rsid w:val="00F454AD"/>
    <w:rsid w:val="00F4588D"/>
    <w:rsid w:val="00F45A93"/>
    <w:rsid w:val="00F45F6F"/>
    <w:rsid w:val="00F46670"/>
    <w:rsid w:val="00F469CE"/>
    <w:rsid w:val="00F46A56"/>
    <w:rsid w:val="00F46D97"/>
    <w:rsid w:val="00F46E1D"/>
    <w:rsid w:val="00F46E46"/>
    <w:rsid w:val="00F46F40"/>
    <w:rsid w:val="00F47609"/>
    <w:rsid w:val="00F476B5"/>
    <w:rsid w:val="00F47797"/>
    <w:rsid w:val="00F479E4"/>
    <w:rsid w:val="00F47C22"/>
    <w:rsid w:val="00F47DC2"/>
    <w:rsid w:val="00F47FB5"/>
    <w:rsid w:val="00F50055"/>
    <w:rsid w:val="00F50482"/>
    <w:rsid w:val="00F504B8"/>
    <w:rsid w:val="00F50582"/>
    <w:rsid w:val="00F50637"/>
    <w:rsid w:val="00F50CF4"/>
    <w:rsid w:val="00F5150C"/>
    <w:rsid w:val="00F51590"/>
    <w:rsid w:val="00F516B6"/>
    <w:rsid w:val="00F519A1"/>
    <w:rsid w:val="00F51D84"/>
    <w:rsid w:val="00F51EE1"/>
    <w:rsid w:val="00F51F15"/>
    <w:rsid w:val="00F51FCF"/>
    <w:rsid w:val="00F521AF"/>
    <w:rsid w:val="00F524A1"/>
    <w:rsid w:val="00F52600"/>
    <w:rsid w:val="00F5284D"/>
    <w:rsid w:val="00F52A18"/>
    <w:rsid w:val="00F52A1C"/>
    <w:rsid w:val="00F52AB1"/>
    <w:rsid w:val="00F52D26"/>
    <w:rsid w:val="00F52E8C"/>
    <w:rsid w:val="00F52F1B"/>
    <w:rsid w:val="00F52F96"/>
    <w:rsid w:val="00F53165"/>
    <w:rsid w:val="00F5352F"/>
    <w:rsid w:val="00F53637"/>
    <w:rsid w:val="00F539DB"/>
    <w:rsid w:val="00F53AB3"/>
    <w:rsid w:val="00F53BF4"/>
    <w:rsid w:val="00F53C1E"/>
    <w:rsid w:val="00F541E7"/>
    <w:rsid w:val="00F54555"/>
    <w:rsid w:val="00F54577"/>
    <w:rsid w:val="00F54868"/>
    <w:rsid w:val="00F54A62"/>
    <w:rsid w:val="00F54BD2"/>
    <w:rsid w:val="00F54CBA"/>
    <w:rsid w:val="00F54D21"/>
    <w:rsid w:val="00F54D25"/>
    <w:rsid w:val="00F54D29"/>
    <w:rsid w:val="00F553DD"/>
    <w:rsid w:val="00F558C1"/>
    <w:rsid w:val="00F55EC1"/>
    <w:rsid w:val="00F55F0D"/>
    <w:rsid w:val="00F55FD0"/>
    <w:rsid w:val="00F5619B"/>
    <w:rsid w:val="00F561F4"/>
    <w:rsid w:val="00F56373"/>
    <w:rsid w:val="00F56499"/>
    <w:rsid w:val="00F56D87"/>
    <w:rsid w:val="00F56F3D"/>
    <w:rsid w:val="00F5706D"/>
    <w:rsid w:val="00F570AF"/>
    <w:rsid w:val="00F57235"/>
    <w:rsid w:val="00F5727B"/>
    <w:rsid w:val="00F57307"/>
    <w:rsid w:val="00F57442"/>
    <w:rsid w:val="00F574AC"/>
    <w:rsid w:val="00F575D0"/>
    <w:rsid w:val="00F576E9"/>
    <w:rsid w:val="00F60161"/>
    <w:rsid w:val="00F6027D"/>
    <w:rsid w:val="00F604C6"/>
    <w:rsid w:val="00F60640"/>
    <w:rsid w:val="00F60692"/>
    <w:rsid w:val="00F606FA"/>
    <w:rsid w:val="00F60BB5"/>
    <w:rsid w:val="00F60D5D"/>
    <w:rsid w:val="00F60DAC"/>
    <w:rsid w:val="00F60E31"/>
    <w:rsid w:val="00F611F9"/>
    <w:rsid w:val="00F61261"/>
    <w:rsid w:val="00F612B6"/>
    <w:rsid w:val="00F618CB"/>
    <w:rsid w:val="00F61934"/>
    <w:rsid w:val="00F61D92"/>
    <w:rsid w:val="00F61DCF"/>
    <w:rsid w:val="00F61F0A"/>
    <w:rsid w:val="00F61F41"/>
    <w:rsid w:val="00F61F68"/>
    <w:rsid w:val="00F61FA1"/>
    <w:rsid w:val="00F6205C"/>
    <w:rsid w:val="00F620BB"/>
    <w:rsid w:val="00F6219F"/>
    <w:rsid w:val="00F62204"/>
    <w:rsid w:val="00F62207"/>
    <w:rsid w:val="00F622C1"/>
    <w:rsid w:val="00F62606"/>
    <w:rsid w:val="00F629CC"/>
    <w:rsid w:val="00F62A85"/>
    <w:rsid w:val="00F62B1F"/>
    <w:rsid w:val="00F631F6"/>
    <w:rsid w:val="00F632BB"/>
    <w:rsid w:val="00F6351A"/>
    <w:rsid w:val="00F638DC"/>
    <w:rsid w:val="00F639F4"/>
    <w:rsid w:val="00F63A74"/>
    <w:rsid w:val="00F63CCC"/>
    <w:rsid w:val="00F63D3F"/>
    <w:rsid w:val="00F63D6B"/>
    <w:rsid w:val="00F63E6B"/>
    <w:rsid w:val="00F64133"/>
    <w:rsid w:val="00F64153"/>
    <w:rsid w:val="00F641D0"/>
    <w:rsid w:val="00F6448D"/>
    <w:rsid w:val="00F6486B"/>
    <w:rsid w:val="00F64874"/>
    <w:rsid w:val="00F64EAF"/>
    <w:rsid w:val="00F64F90"/>
    <w:rsid w:val="00F65260"/>
    <w:rsid w:val="00F6532C"/>
    <w:rsid w:val="00F657EC"/>
    <w:rsid w:val="00F65FFC"/>
    <w:rsid w:val="00F661F8"/>
    <w:rsid w:val="00F662E3"/>
    <w:rsid w:val="00F66373"/>
    <w:rsid w:val="00F666C9"/>
    <w:rsid w:val="00F668B0"/>
    <w:rsid w:val="00F66A0D"/>
    <w:rsid w:val="00F66DCC"/>
    <w:rsid w:val="00F6700D"/>
    <w:rsid w:val="00F67023"/>
    <w:rsid w:val="00F67086"/>
    <w:rsid w:val="00F670C0"/>
    <w:rsid w:val="00F6710F"/>
    <w:rsid w:val="00F673FD"/>
    <w:rsid w:val="00F6747B"/>
    <w:rsid w:val="00F674EE"/>
    <w:rsid w:val="00F67BAB"/>
    <w:rsid w:val="00F7002C"/>
    <w:rsid w:val="00F70638"/>
    <w:rsid w:val="00F706EF"/>
    <w:rsid w:val="00F70E6E"/>
    <w:rsid w:val="00F70EF7"/>
    <w:rsid w:val="00F70F5B"/>
    <w:rsid w:val="00F70FBE"/>
    <w:rsid w:val="00F7130D"/>
    <w:rsid w:val="00F7148A"/>
    <w:rsid w:val="00F7183B"/>
    <w:rsid w:val="00F71B34"/>
    <w:rsid w:val="00F71F59"/>
    <w:rsid w:val="00F720D7"/>
    <w:rsid w:val="00F723FA"/>
    <w:rsid w:val="00F72459"/>
    <w:rsid w:val="00F724CB"/>
    <w:rsid w:val="00F7254F"/>
    <w:rsid w:val="00F725B7"/>
    <w:rsid w:val="00F72890"/>
    <w:rsid w:val="00F730BE"/>
    <w:rsid w:val="00F7338F"/>
    <w:rsid w:val="00F733AC"/>
    <w:rsid w:val="00F7343A"/>
    <w:rsid w:val="00F73660"/>
    <w:rsid w:val="00F73F7D"/>
    <w:rsid w:val="00F73FBA"/>
    <w:rsid w:val="00F740FF"/>
    <w:rsid w:val="00F742DB"/>
    <w:rsid w:val="00F74419"/>
    <w:rsid w:val="00F74554"/>
    <w:rsid w:val="00F74595"/>
    <w:rsid w:val="00F747E9"/>
    <w:rsid w:val="00F7481F"/>
    <w:rsid w:val="00F74C63"/>
    <w:rsid w:val="00F74F88"/>
    <w:rsid w:val="00F7501E"/>
    <w:rsid w:val="00F750FD"/>
    <w:rsid w:val="00F75128"/>
    <w:rsid w:val="00F75523"/>
    <w:rsid w:val="00F7578B"/>
    <w:rsid w:val="00F75A63"/>
    <w:rsid w:val="00F75AE5"/>
    <w:rsid w:val="00F75BB5"/>
    <w:rsid w:val="00F75C8A"/>
    <w:rsid w:val="00F75D08"/>
    <w:rsid w:val="00F76379"/>
    <w:rsid w:val="00F764EF"/>
    <w:rsid w:val="00F765C4"/>
    <w:rsid w:val="00F7669C"/>
    <w:rsid w:val="00F767BF"/>
    <w:rsid w:val="00F769AE"/>
    <w:rsid w:val="00F76ADF"/>
    <w:rsid w:val="00F76D17"/>
    <w:rsid w:val="00F76FB3"/>
    <w:rsid w:val="00F770F9"/>
    <w:rsid w:val="00F7729D"/>
    <w:rsid w:val="00F77653"/>
    <w:rsid w:val="00F776F5"/>
    <w:rsid w:val="00F7777D"/>
    <w:rsid w:val="00F77836"/>
    <w:rsid w:val="00F77D1E"/>
    <w:rsid w:val="00F77F05"/>
    <w:rsid w:val="00F77F6B"/>
    <w:rsid w:val="00F802F7"/>
    <w:rsid w:val="00F8033E"/>
    <w:rsid w:val="00F80597"/>
    <w:rsid w:val="00F806DF"/>
    <w:rsid w:val="00F80732"/>
    <w:rsid w:val="00F80766"/>
    <w:rsid w:val="00F807C7"/>
    <w:rsid w:val="00F80A9F"/>
    <w:rsid w:val="00F80B06"/>
    <w:rsid w:val="00F80C37"/>
    <w:rsid w:val="00F80DC3"/>
    <w:rsid w:val="00F81169"/>
    <w:rsid w:val="00F8150D"/>
    <w:rsid w:val="00F81555"/>
    <w:rsid w:val="00F815EB"/>
    <w:rsid w:val="00F81836"/>
    <w:rsid w:val="00F81896"/>
    <w:rsid w:val="00F81982"/>
    <w:rsid w:val="00F81F7F"/>
    <w:rsid w:val="00F820FF"/>
    <w:rsid w:val="00F82162"/>
    <w:rsid w:val="00F824CB"/>
    <w:rsid w:val="00F825F8"/>
    <w:rsid w:val="00F8285F"/>
    <w:rsid w:val="00F82928"/>
    <w:rsid w:val="00F829DD"/>
    <w:rsid w:val="00F82A0A"/>
    <w:rsid w:val="00F82B8E"/>
    <w:rsid w:val="00F82DB1"/>
    <w:rsid w:val="00F82F2D"/>
    <w:rsid w:val="00F832F3"/>
    <w:rsid w:val="00F83356"/>
    <w:rsid w:val="00F8337C"/>
    <w:rsid w:val="00F833AB"/>
    <w:rsid w:val="00F83480"/>
    <w:rsid w:val="00F8353D"/>
    <w:rsid w:val="00F83629"/>
    <w:rsid w:val="00F8377B"/>
    <w:rsid w:val="00F83A72"/>
    <w:rsid w:val="00F83AAB"/>
    <w:rsid w:val="00F83D8D"/>
    <w:rsid w:val="00F83F5E"/>
    <w:rsid w:val="00F847BC"/>
    <w:rsid w:val="00F84813"/>
    <w:rsid w:val="00F84829"/>
    <w:rsid w:val="00F8483B"/>
    <w:rsid w:val="00F8493B"/>
    <w:rsid w:val="00F84C25"/>
    <w:rsid w:val="00F850E0"/>
    <w:rsid w:val="00F850F4"/>
    <w:rsid w:val="00F85680"/>
    <w:rsid w:val="00F8593A"/>
    <w:rsid w:val="00F85A49"/>
    <w:rsid w:val="00F85E1B"/>
    <w:rsid w:val="00F85FDD"/>
    <w:rsid w:val="00F860C4"/>
    <w:rsid w:val="00F86470"/>
    <w:rsid w:val="00F866D3"/>
    <w:rsid w:val="00F867B0"/>
    <w:rsid w:val="00F86BAB"/>
    <w:rsid w:val="00F86C84"/>
    <w:rsid w:val="00F86CED"/>
    <w:rsid w:val="00F86D7C"/>
    <w:rsid w:val="00F86E50"/>
    <w:rsid w:val="00F86E73"/>
    <w:rsid w:val="00F87041"/>
    <w:rsid w:val="00F87098"/>
    <w:rsid w:val="00F871B8"/>
    <w:rsid w:val="00F8721E"/>
    <w:rsid w:val="00F873F1"/>
    <w:rsid w:val="00F874B8"/>
    <w:rsid w:val="00F874D9"/>
    <w:rsid w:val="00F87595"/>
    <w:rsid w:val="00F87704"/>
    <w:rsid w:val="00F87801"/>
    <w:rsid w:val="00F87A61"/>
    <w:rsid w:val="00F87ACC"/>
    <w:rsid w:val="00F87B0C"/>
    <w:rsid w:val="00F87B0F"/>
    <w:rsid w:val="00F87B43"/>
    <w:rsid w:val="00F87FDD"/>
    <w:rsid w:val="00F90021"/>
    <w:rsid w:val="00F90072"/>
    <w:rsid w:val="00F90448"/>
    <w:rsid w:val="00F90627"/>
    <w:rsid w:val="00F907AF"/>
    <w:rsid w:val="00F90920"/>
    <w:rsid w:val="00F90A6D"/>
    <w:rsid w:val="00F90B79"/>
    <w:rsid w:val="00F90BD6"/>
    <w:rsid w:val="00F90F6B"/>
    <w:rsid w:val="00F90F86"/>
    <w:rsid w:val="00F90FA9"/>
    <w:rsid w:val="00F90FED"/>
    <w:rsid w:val="00F91038"/>
    <w:rsid w:val="00F91152"/>
    <w:rsid w:val="00F91420"/>
    <w:rsid w:val="00F91538"/>
    <w:rsid w:val="00F9155E"/>
    <w:rsid w:val="00F91731"/>
    <w:rsid w:val="00F918BC"/>
    <w:rsid w:val="00F91A03"/>
    <w:rsid w:val="00F9209C"/>
    <w:rsid w:val="00F92341"/>
    <w:rsid w:val="00F9273E"/>
    <w:rsid w:val="00F92A04"/>
    <w:rsid w:val="00F92BA5"/>
    <w:rsid w:val="00F92BC1"/>
    <w:rsid w:val="00F92C2B"/>
    <w:rsid w:val="00F92DD6"/>
    <w:rsid w:val="00F92FEC"/>
    <w:rsid w:val="00F92FFA"/>
    <w:rsid w:val="00F93044"/>
    <w:rsid w:val="00F930D3"/>
    <w:rsid w:val="00F932A8"/>
    <w:rsid w:val="00F93399"/>
    <w:rsid w:val="00F9346F"/>
    <w:rsid w:val="00F93997"/>
    <w:rsid w:val="00F93B50"/>
    <w:rsid w:val="00F93D64"/>
    <w:rsid w:val="00F93DC3"/>
    <w:rsid w:val="00F93F60"/>
    <w:rsid w:val="00F93FF6"/>
    <w:rsid w:val="00F942AE"/>
    <w:rsid w:val="00F942FA"/>
    <w:rsid w:val="00F94490"/>
    <w:rsid w:val="00F944CD"/>
    <w:rsid w:val="00F94756"/>
    <w:rsid w:val="00F948C0"/>
    <w:rsid w:val="00F94A0C"/>
    <w:rsid w:val="00F94B4B"/>
    <w:rsid w:val="00F94BEC"/>
    <w:rsid w:val="00F94E9B"/>
    <w:rsid w:val="00F94FF4"/>
    <w:rsid w:val="00F951A5"/>
    <w:rsid w:val="00F95377"/>
    <w:rsid w:val="00F95416"/>
    <w:rsid w:val="00F9548E"/>
    <w:rsid w:val="00F95595"/>
    <w:rsid w:val="00F956C6"/>
    <w:rsid w:val="00F95A60"/>
    <w:rsid w:val="00F95FAA"/>
    <w:rsid w:val="00F9616A"/>
    <w:rsid w:val="00F96308"/>
    <w:rsid w:val="00F967B1"/>
    <w:rsid w:val="00F96863"/>
    <w:rsid w:val="00F968CD"/>
    <w:rsid w:val="00F96927"/>
    <w:rsid w:val="00F96B46"/>
    <w:rsid w:val="00F96FCF"/>
    <w:rsid w:val="00F9709A"/>
    <w:rsid w:val="00F97160"/>
    <w:rsid w:val="00F97293"/>
    <w:rsid w:val="00F975CA"/>
    <w:rsid w:val="00F97A10"/>
    <w:rsid w:val="00F97A3A"/>
    <w:rsid w:val="00F97A47"/>
    <w:rsid w:val="00F97C8F"/>
    <w:rsid w:val="00F97DFB"/>
    <w:rsid w:val="00FA0200"/>
    <w:rsid w:val="00FA021C"/>
    <w:rsid w:val="00FA0830"/>
    <w:rsid w:val="00FA087F"/>
    <w:rsid w:val="00FA0A00"/>
    <w:rsid w:val="00FA12F3"/>
    <w:rsid w:val="00FA13F2"/>
    <w:rsid w:val="00FA140B"/>
    <w:rsid w:val="00FA163C"/>
    <w:rsid w:val="00FA1743"/>
    <w:rsid w:val="00FA175F"/>
    <w:rsid w:val="00FA17A6"/>
    <w:rsid w:val="00FA17D3"/>
    <w:rsid w:val="00FA19D2"/>
    <w:rsid w:val="00FA1BD5"/>
    <w:rsid w:val="00FA2084"/>
    <w:rsid w:val="00FA2204"/>
    <w:rsid w:val="00FA2227"/>
    <w:rsid w:val="00FA22AB"/>
    <w:rsid w:val="00FA24D3"/>
    <w:rsid w:val="00FA24F3"/>
    <w:rsid w:val="00FA2569"/>
    <w:rsid w:val="00FA29C4"/>
    <w:rsid w:val="00FA2D01"/>
    <w:rsid w:val="00FA2E0C"/>
    <w:rsid w:val="00FA2E18"/>
    <w:rsid w:val="00FA2E47"/>
    <w:rsid w:val="00FA303F"/>
    <w:rsid w:val="00FA3173"/>
    <w:rsid w:val="00FA37D3"/>
    <w:rsid w:val="00FA3C8C"/>
    <w:rsid w:val="00FA3EF0"/>
    <w:rsid w:val="00FA3F78"/>
    <w:rsid w:val="00FA418B"/>
    <w:rsid w:val="00FA4269"/>
    <w:rsid w:val="00FA47A7"/>
    <w:rsid w:val="00FA47AF"/>
    <w:rsid w:val="00FA499E"/>
    <w:rsid w:val="00FA4BB8"/>
    <w:rsid w:val="00FA4BC9"/>
    <w:rsid w:val="00FA4DDE"/>
    <w:rsid w:val="00FA508E"/>
    <w:rsid w:val="00FA524C"/>
    <w:rsid w:val="00FA53CB"/>
    <w:rsid w:val="00FA5473"/>
    <w:rsid w:val="00FA54C4"/>
    <w:rsid w:val="00FA56A2"/>
    <w:rsid w:val="00FA5B87"/>
    <w:rsid w:val="00FA5BE5"/>
    <w:rsid w:val="00FA5C20"/>
    <w:rsid w:val="00FA5D74"/>
    <w:rsid w:val="00FA5DD6"/>
    <w:rsid w:val="00FA5FA3"/>
    <w:rsid w:val="00FA5FD0"/>
    <w:rsid w:val="00FA6216"/>
    <w:rsid w:val="00FA636C"/>
    <w:rsid w:val="00FA6A09"/>
    <w:rsid w:val="00FA6A1D"/>
    <w:rsid w:val="00FA6CD0"/>
    <w:rsid w:val="00FA6F68"/>
    <w:rsid w:val="00FA7004"/>
    <w:rsid w:val="00FA73B2"/>
    <w:rsid w:val="00FA75BF"/>
    <w:rsid w:val="00FA7629"/>
    <w:rsid w:val="00FA7681"/>
    <w:rsid w:val="00FA7752"/>
    <w:rsid w:val="00FA791B"/>
    <w:rsid w:val="00FA7ADF"/>
    <w:rsid w:val="00FA7CE7"/>
    <w:rsid w:val="00FA7E3B"/>
    <w:rsid w:val="00FA7F77"/>
    <w:rsid w:val="00FB0146"/>
    <w:rsid w:val="00FB048C"/>
    <w:rsid w:val="00FB0B80"/>
    <w:rsid w:val="00FB0B96"/>
    <w:rsid w:val="00FB0CBD"/>
    <w:rsid w:val="00FB0F41"/>
    <w:rsid w:val="00FB113D"/>
    <w:rsid w:val="00FB11D4"/>
    <w:rsid w:val="00FB120F"/>
    <w:rsid w:val="00FB1317"/>
    <w:rsid w:val="00FB169E"/>
    <w:rsid w:val="00FB1C67"/>
    <w:rsid w:val="00FB1D9B"/>
    <w:rsid w:val="00FB1F71"/>
    <w:rsid w:val="00FB2382"/>
    <w:rsid w:val="00FB2706"/>
    <w:rsid w:val="00FB270D"/>
    <w:rsid w:val="00FB2818"/>
    <w:rsid w:val="00FB2A93"/>
    <w:rsid w:val="00FB2B42"/>
    <w:rsid w:val="00FB2CE1"/>
    <w:rsid w:val="00FB2D2A"/>
    <w:rsid w:val="00FB2FC8"/>
    <w:rsid w:val="00FB3230"/>
    <w:rsid w:val="00FB3787"/>
    <w:rsid w:val="00FB380D"/>
    <w:rsid w:val="00FB38EE"/>
    <w:rsid w:val="00FB3A0E"/>
    <w:rsid w:val="00FB3D36"/>
    <w:rsid w:val="00FB3DA3"/>
    <w:rsid w:val="00FB3E76"/>
    <w:rsid w:val="00FB3F03"/>
    <w:rsid w:val="00FB3F50"/>
    <w:rsid w:val="00FB3FB2"/>
    <w:rsid w:val="00FB43A1"/>
    <w:rsid w:val="00FB4451"/>
    <w:rsid w:val="00FB4570"/>
    <w:rsid w:val="00FB46CF"/>
    <w:rsid w:val="00FB4EF7"/>
    <w:rsid w:val="00FB4FFC"/>
    <w:rsid w:val="00FB524B"/>
    <w:rsid w:val="00FB5427"/>
    <w:rsid w:val="00FB54AA"/>
    <w:rsid w:val="00FB57E6"/>
    <w:rsid w:val="00FB5A90"/>
    <w:rsid w:val="00FB5FA4"/>
    <w:rsid w:val="00FB603C"/>
    <w:rsid w:val="00FB625B"/>
    <w:rsid w:val="00FB6467"/>
    <w:rsid w:val="00FB6639"/>
    <w:rsid w:val="00FB672D"/>
    <w:rsid w:val="00FB6746"/>
    <w:rsid w:val="00FB6905"/>
    <w:rsid w:val="00FB6D97"/>
    <w:rsid w:val="00FB7170"/>
    <w:rsid w:val="00FB71B2"/>
    <w:rsid w:val="00FB799D"/>
    <w:rsid w:val="00FB7A78"/>
    <w:rsid w:val="00FB7BB9"/>
    <w:rsid w:val="00FB7EBB"/>
    <w:rsid w:val="00FC01DD"/>
    <w:rsid w:val="00FC0988"/>
    <w:rsid w:val="00FC0C20"/>
    <w:rsid w:val="00FC0CEA"/>
    <w:rsid w:val="00FC1277"/>
    <w:rsid w:val="00FC12DB"/>
    <w:rsid w:val="00FC148B"/>
    <w:rsid w:val="00FC1808"/>
    <w:rsid w:val="00FC184A"/>
    <w:rsid w:val="00FC1A62"/>
    <w:rsid w:val="00FC1D6C"/>
    <w:rsid w:val="00FC2033"/>
    <w:rsid w:val="00FC205C"/>
    <w:rsid w:val="00FC27F8"/>
    <w:rsid w:val="00FC2848"/>
    <w:rsid w:val="00FC29D3"/>
    <w:rsid w:val="00FC29DB"/>
    <w:rsid w:val="00FC2B27"/>
    <w:rsid w:val="00FC2DF3"/>
    <w:rsid w:val="00FC31BB"/>
    <w:rsid w:val="00FC3252"/>
    <w:rsid w:val="00FC334F"/>
    <w:rsid w:val="00FC37E5"/>
    <w:rsid w:val="00FC38FA"/>
    <w:rsid w:val="00FC39C3"/>
    <w:rsid w:val="00FC3B4D"/>
    <w:rsid w:val="00FC3BE0"/>
    <w:rsid w:val="00FC3E0C"/>
    <w:rsid w:val="00FC3E9B"/>
    <w:rsid w:val="00FC43D9"/>
    <w:rsid w:val="00FC448D"/>
    <w:rsid w:val="00FC4EEC"/>
    <w:rsid w:val="00FC4FD4"/>
    <w:rsid w:val="00FC50D8"/>
    <w:rsid w:val="00FC50E2"/>
    <w:rsid w:val="00FC51EE"/>
    <w:rsid w:val="00FC5345"/>
    <w:rsid w:val="00FC55F7"/>
    <w:rsid w:val="00FC59F2"/>
    <w:rsid w:val="00FC5A3A"/>
    <w:rsid w:val="00FC5BA9"/>
    <w:rsid w:val="00FC5C16"/>
    <w:rsid w:val="00FC5D52"/>
    <w:rsid w:val="00FC5DEA"/>
    <w:rsid w:val="00FC61E4"/>
    <w:rsid w:val="00FC632F"/>
    <w:rsid w:val="00FC6334"/>
    <w:rsid w:val="00FC6555"/>
    <w:rsid w:val="00FC69B6"/>
    <w:rsid w:val="00FC6D2E"/>
    <w:rsid w:val="00FC6D89"/>
    <w:rsid w:val="00FC6DA7"/>
    <w:rsid w:val="00FC6EDC"/>
    <w:rsid w:val="00FC72DC"/>
    <w:rsid w:val="00FC7800"/>
    <w:rsid w:val="00FC79EC"/>
    <w:rsid w:val="00FC79EF"/>
    <w:rsid w:val="00FC7A76"/>
    <w:rsid w:val="00FC7BC2"/>
    <w:rsid w:val="00FC7BE6"/>
    <w:rsid w:val="00FC7D4D"/>
    <w:rsid w:val="00FD0B02"/>
    <w:rsid w:val="00FD0B88"/>
    <w:rsid w:val="00FD0CCF"/>
    <w:rsid w:val="00FD13C7"/>
    <w:rsid w:val="00FD1489"/>
    <w:rsid w:val="00FD1546"/>
    <w:rsid w:val="00FD1F38"/>
    <w:rsid w:val="00FD2211"/>
    <w:rsid w:val="00FD278E"/>
    <w:rsid w:val="00FD28B5"/>
    <w:rsid w:val="00FD28DA"/>
    <w:rsid w:val="00FD297C"/>
    <w:rsid w:val="00FD2C00"/>
    <w:rsid w:val="00FD2E12"/>
    <w:rsid w:val="00FD31FD"/>
    <w:rsid w:val="00FD3216"/>
    <w:rsid w:val="00FD355F"/>
    <w:rsid w:val="00FD3618"/>
    <w:rsid w:val="00FD36BD"/>
    <w:rsid w:val="00FD3960"/>
    <w:rsid w:val="00FD3A24"/>
    <w:rsid w:val="00FD3A29"/>
    <w:rsid w:val="00FD3BAA"/>
    <w:rsid w:val="00FD3FE6"/>
    <w:rsid w:val="00FD4220"/>
    <w:rsid w:val="00FD42A0"/>
    <w:rsid w:val="00FD42CD"/>
    <w:rsid w:val="00FD442B"/>
    <w:rsid w:val="00FD449A"/>
    <w:rsid w:val="00FD453E"/>
    <w:rsid w:val="00FD45D8"/>
    <w:rsid w:val="00FD4844"/>
    <w:rsid w:val="00FD4B90"/>
    <w:rsid w:val="00FD4C17"/>
    <w:rsid w:val="00FD4D33"/>
    <w:rsid w:val="00FD5386"/>
    <w:rsid w:val="00FD53B5"/>
    <w:rsid w:val="00FD54D4"/>
    <w:rsid w:val="00FD557C"/>
    <w:rsid w:val="00FD5684"/>
    <w:rsid w:val="00FD57C1"/>
    <w:rsid w:val="00FD585A"/>
    <w:rsid w:val="00FD5B2C"/>
    <w:rsid w:val="00FD5D42"/>
    <w:rsid w:val="00FD5DA1"/>
    <w:rsid w:val="00FD5EF3"/>
    <w:rsid w:val="00FD60FA"/>
    <w:rsid w:val="00FD62B8"/>
    <w:rsid w:val="00FD645C"/>
    <w:rsid w:val="00FD6552"/>
    <w:rsid w:val="00FD656C"/>
    <w:rsid w:val="00FD665D"/>
    <w:rsid w:val="00FD6A0B"/>
    <w:rsid w:val="00FD6B0C"/>
    <w:rsid w:val="00FD6B9C"/>
    <w:rsid w:val="00FD6E60"/>
    <w:rsid w:val="00FD6F4D"/>
    <w:rsid w:val="00FD6FAC"/>
    <w:rsid w:val="00FD780C"/>
    <w:rsid w:val="00FD7810"/>
    <w:rsid w:val="00FD7E6C"/>
    <w:rsid w:val="00FE0160"/>
    <w:rsid w:val="00FE038C"/>
    <w:rsid w:val="00FE03FA"/>
    <w:rsid w:val="00FE0543"/>
    <w:rsid w:val="00FE0570"/>
    <w:rsid w:val="00FE06ED"/>
    <w:rsid w:val="00FE08B4"/>
    <w:rsid w:val="00FE0906"/>
    <w:rsid w:val="00FE0A27"/>
    <w:rsid w:val="00FE0A94"/>
    <w:rsid w:val="00FE0B81"/>
    <w:rsid w:val="00FE0DCF"/>
    <w:rsid w:val="00FE0F06"/>
    <w:rsid w:val="00FE1064"/>
    <w:rsid w:val="00FE129C"/>
    <w:rsid w:val="00FE12C5"/>
    <w:rsid w:val="00FE133B"/>
    <w:rsid w:val="00FE148E"/>
    <w:rsid w:val="00FE1556"/>
    <w:rsid w:val="00FE177D"/>
    <w:rsid w:val="00FE1B47"/>
    <w:rsid w:val="00FE1C02"/>
    <w:rsid w:val="00FE1D57"/>
    <w:rsid w:val="00FE1D66"/>
    <w:rsid w:val="00FE22F3"/>
    <w:rsid w:val="00FE2429"/>
    <w:rsid w:val="00FE2828"/>
    <w:rsid w:val="00FE2AAC"/>
    <w:rsid w:val="00FE2F8F"/>
    <w:rsid w:val="00FE32B1"/>
    <w:rsid w:val="00FE372A"/>
    <w:rsid w:val="00FE379A"/>
    <w:rsid w:val="00FE3A25"/>
    <w:rsid w:val="00FE3ABD"/>
    <w:rsid w:val="00FE3C90"/>
    <w:rsid w:val="00FE43AA"/>
    <w:rsid w:val="00FE43D1"/>
    <w:rsid w:val="00FE49ED"/>
    <w:rsid w:val="00FE4A40"/>
    <w:rsid w:val="00FE4ACC"/>
    <w:rsid w:val="00FE4B91"/>
    <w:rsid w:val="00FE4EAD"/>
    <w:rsid w:val="00FE522B"/>
    <w:rsid w:val="00FE53FB"/>
    <w:rsid w:val="00FE5712"/>
    <w:rsid w:val="00FE57EE"/>
    <w:rsid w:val="00FE59DF"/>
    <w:rsid w:val="00FE5B26"/>
    <w:rsid w:val="00FE5E28"/>
    <w:rsid w:val="00FE5EF2"/>
    <w:rsid w:val="00FE5F7C"/>
    <w:rsid w:val="00FE61C2"/>
    <w:rsid w:val="00FE621C"/>
    <w:rsid w:val="00FE638B"/>
    <w:rsid w:val="00FE6474"/>
    <w:rsid w:val="00FE6592"/>
    <w:rsid w:val="00FE6649"/>
    <w:rsid w:val="00FE6863"/>
    <w:rsid w:val="00FE6948"/>
    <w:rsid w:val="00FE6A4E"/>
    <w:rsid w:val="00FE6A69"/>
    <w:rsid w:val="00FE6A6A"/>
    <w:rsid w:val="00FE6B74"/>
    <w:rsid w:val="00FE6CBE"/>
    <w:rsid w:val="00FE6FA1"/>
    <w:rsid w:val="00FE7302"/>
    <w:rsid w:val="00FE7743"/>
    <w:rsid w:val="00FE7764"/>
    <w:rsid w:val="00FE7BB2"/>
    <w:rsid w:val="00FE7CFC"/>
    <w:rsid w:val="00FE7DC1"/>
    <w:rsid w:val="00FE7ED1"/>
    <w:rsid w:val="00FE7F6D"/>
    <w:rsid w:val="00FF011B"/>
    <w:rsid w:val="00FF0485"/>
    <w:rsid w:val="00FF0AFF"/>
    <w:rsid w:val="00FF0B9E"/>
    <w:rsid w:val="00FF1081"/>
    <w:rsid w:val="00FF1261"/>
    <w:rsid w:val="00FF16C6"/>
    <w:rsid w:val="00FF176B"/>
    <w:rsid w:val="00FF17BB"/>
    <w:rsid w:val="00FF1A41"/>
    <w:rsid w:val="00FF1ECF"/>
    <w:rsid w:val="00FF1FB5"/>
    <w:rsid w:val="00FF20E8"/>
    <w:rsid w:val="00FF22D3"/>
    <w:rsid w:val="00FF25B4"/>
    <w:rsid w:val="00FF25CA"/>
    <w:rsid w:val="00FF25EF"/>
    <w:rsid w:val="00FF297A"/>
    <w:rsid w:val="00FF2B60"/>
    <w:rsid w:val="00FF2DCE"/>
    <w:rsid w:val="00FF2E5D"/>
    <w:rsid w:val="00FF2EE7"/>
    <w:rsid w:val="00FF2F99"/>
    <w:rsid w:val="00FF2FD5"/>
    <w:rsid w:val="00FF30AC"/>
    <w:rsid w:val="00FF348E"/>
    <w:rsid w:val="00FF3758"/>
    <w:rsid w:val="00FF3A20"/>
    <w:rsid w:val="00FF3F13"/>
    <w:rsid w:val="00FF3F1A"/>
    <w:rsid w:val="00FF420C"/>
    <w:rsid w:val="00FF431C"/>
    <w:rsid w:val="00FF4973"/>
    <w:rsid w:val="00FF4BC7"/>
    <w:rsid w:val="00FF4C1C"/>
    <w:rsid w:val="00FF4CFD"/>
    <w:rsid w:val="00FF4D41"/>
    <w:rsid w:val="00FF4E15"/>
    <w:rsid w:val="00FF4FE7"/>
    <w:rsid w:val="00FF50AD"/>
    <w:rsid w:val="00FF5102"/>
    <w:rsid w:val="00FF5103"/>
    <w:rsid w:val="00FF516B"/>
    <w:rsid w:val="00FF51BC"/>
    <w:rsid w:val="00FF572C"/>
    <w:rsid w:val="00FF5936"/>
    <w:rsid w:val="00FF5964"/>
    <w:rsid w:val="00FF5A86"/>
    <w:rsid w:val="00FF5C5F"/>
    <w:rsid w:val="00FF5D35"/>
    <w:rsid w:val="00FF5DC6"/>
    <w:rsid w:val="00FF5E24"/>
    <w:rsid w:val="00FF5E77"/>
    <w:rsid w:val="00FF5F08"/>
    <w:rsid w:val="00FF6205"/>
    <w:rsid w:val="00FF64C4"/>
    <w:rsid w:val="00FF6621"/>
    <w:rsid w:val="00FF6EB9"/>
    <w:rsid w:val="00FF6F51"/>
    <w:rsid w:val="00FF6F84"/>
    <w:rsid w:val="00FF70C9"/>
    <w:rsid w:val="00FF7197"/>
    <w:rsid w:val="00FF730E"/>
    <w:rsid w:val="00FF7321"/>
    <w:rsid w:val="00FF7553"/>
    <w:rsid w:val="00FF7856"/>
    <w:rsid w:val="00FF79D0"/>
    <w:rsid w:val="00FF7D7C"/>
    <w:rsid w:val="00FF7DAE"/>
    <w:rsid w:val="00FF7EAD"/>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color="red">
      <v:fill color="white" on="f"/>
      <v:stroke dashstyle="1 1" color="red" weight="2.25pt"/>
    </o:shapedefaults>
    <o:shapelayout v:ext="edit">
      <o:idmap v:ext="edit" data="1"/>
    </o:shapelayout>
  </w:shapeDefaults>
  <w:decimalSymbol w:val=","/>
  <w:listSeparator w:val=";"/>
  <w14:docId w14:val="1EE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0" w:unhideWhenUsed="1" w:qFormat="1"/>
    <w:lsdException w:name="List Number" w:semiHidden="1" w:uiPriority="15"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qFormat="1"/>
    <w:lsdException w:name="List Bullet 5" w:semiHidden="1" w:uiPriority="10" w:unhideWhenUsed="1" w:qFormat="1"/>
    <w:lsdException w:name="List Number 2" w:semiHidden="1"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2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3" w:qFormat="1"/>
    <w:lsdException w:name="Intense Reference" w:uiPriority="24" w:qFormat="1"/>
    <w:lsdException w:name="Book Title" w:uiPriority="33" w:qFormat="1"/>
    <w:lsdException w:name="Bibliography" w:semiHidden="1" w:uiPriority="0" w:unhideWhenUsed="1"/>
    <w:lsdException w:name="TOC Heading" w:semiHidden="1" w:uiPriority="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nadpis 1,N 1,Dipl 1,título 1,H1,h1,h11,h12,h13,h14,h15,h16,h17,h111,h121,h131,h141,h151,h161,h18,h112,h122,h132,h142,h152,h162,h19,h113,h123,h133,h143,h153,h163,l1,II+,I,Section Head,Chapter Heading,h:1,h:1app,app heading 1,Titre§,adpis 1"/>
    <w:basedOn w:val="Normln"/>
    <w:next w:val="Normln"/>
    <w:link w:val="Nadpis1Char1"/>
    <w:uiPriority w:val="9"/>
    <w:qFormat/>
    <w:rsid w:val="009679AD"/>
    <w:pPr>
      <w:widowControl w:val="0"/>
      <w:numPr>
        <w:numId w:val="66"/>
      </w:numPr>
      <w:outlineLvl w:val="0"/>
    </w:pPr>
    <w:rPr>
      <w:rFonts w:ascii="Cambria" w:eastAsia="Times New Roman" w:hAnsi="Cambria"/>
      <w:b/>
      <w:bCs/>
      <w:color w:val="B6B002"/>
      <w:sz w:val="28"/>
      <w:szCs w:val="28"/>
    </w:rPr>
  </w:style>
  <w:style w:type="paragraph" w:styleId="Nadpis2">
    <w:name w:val="heading 2"/>
    <w:aliases w:val="Heading 2 Firm,Heading 2 Firm1,nadpis 2,Nadpis 2 Z,Dipl2,Heading 2 Firm11,h2,l2,list + change bar,???,heading 2,h21,ASAPHeading 2,Headline 2,2,headi,heading2,h22,21,H...,Heading 2 Hidden,Ma,Major,(SubSection),Attribute Heading 2,clanak"/>
    <w:basedOn w:val="Normln"/>
    <w:next w:val="Normln"/>
    <w:link w:val="Nadpis2Char1"/>
    <w:qFormat/>
    <w:rsid w:val="0015726B"/>
    <w:pPr>
      <w:keepNext/>
      <w:numPr>
        <w:ilvl w:val="1"/>
        <w:numId w:val="66"/>
      </w:numPr>
      <w:outlineLvl w:val="1"/>
    </w:pPr>
    <w:rPr>
      <w:rFonts w:ascii="Cambria" w:eastAsia="Times New Roman" w:hAnsi="Cambria"/>
      <w:b/>
      <w:bCs/>
      <w:color w:val="B6B002"/>
      <w:sz w:val="26"/>
      <w:szCs w:val="26"/>
    </w:rPr>
  </w:style>
  <w:style w:type="paragraph" w:styleId="Nadpis3">
    <w:name w:val="heading 3"/>
    <w:aliases w:val="nadpis 3,Nadpis 3 Z,Dipl3,h31,h3,3,heading 3,H31,Headline 3,h32,H3,Heading 3 Char Char,Heading 3 - old,ASAPHeading 3,Mi,Minor,Headline,Punt 3,Heading 3 CFMU,Para 3,Punt 3 Char,Arial 12 Fett,1.1.1 Heading 3,Numbered 3 (SBC),Sub-Title,V_Head3"/>
    <w:basedOn w:val="Normln"/>
    <w:next w:val="Normln"/>
    <w:link w:val="Nadpis3Char1"/>
    <w:qFormat/>
    <w:rsid w:val="00B71A8C"/>
    <w:pPr>
      <w:keepNext/>
      <w:numPr>
        <w:ilvl w:val="2"/>
        <w:numId w:val="1"/>
      </w:numPr>
      <w:ind w:left="720"/>
      <w:outlineLvl w:val="2"/>
    </w:pPr>
    <w:rPr>
      <w:rFonts w:ascii="Cambria" w:eastAsia="Times New Roman" w:hAnsi="Cambria"/>
      <w:b/>
      <w:bCs/>
      <w:color w:val="B6B002"/>
    </w:rPr>
  </w:style>
  <w:style w:type="paragraph" w:styleId="Nadpis4">
    <w:name w:val="heading 4"/>
    <w:aliases w:val="nadpis 4,Nadpis 4 Z,1-1,h41,h4,Figures Only,Heading 4 CFMU,Header 4,Numbered 4 (SBC),Heading 4 - SBC,dash,Map Title,H4,Topic Major,RFQ3,4,4heading,heading4,heading,Subhead C,FigureHead,Level 2 - a,Sub Sub Paragraph,Te,heading 4,Titre 4-esis,mh"/>
    <w:basedOn w:val="Normln"/>
    <w:next w:val="Normln"/>
    <w:link w:val="Nadpis4Char1"/>
    <w:uiPriority w:val="99"/>
    <w:qFormat/>
    <w:rsid w:val="00F52A18"/>
    <w:pPr>
      <w:keepNext/>
      <w:keepLines/>
      <w:numPr>
        <w:numId w:val="68"/>
      </w:numPr>
      <w:ind w:left="357" w:hanging="357"/>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F52A18"/>
    <w:pPr>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66"/>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66"/>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66"/>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66"/>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_Odstavec se seznamem,Seznam - odrážky,Tučné,Odstavec cíl se seznamem,A-Odrážky1,Odstavec_muj,Nad,Odstavec_muj1,Odstavec_muj2,Odstavec_muj3,Nad1,Odstavec_muj4,Nad2,List Paragraph2,Odstavec_muj5,Odstavec_muj6,Odstavec_muj7,Odstavec1"/>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Titulek tabulky,Title for table,picture,graph,formula,Zdroj_moje,titulek tabulka,Tabulka-PK,Tabulka,Tabulka_nadpis,Figure Caption, Char Char,Figure Caption + Avant : 14 pt,Motif : Transparente (Gris - 15 %),TF,EEIP_Titulek,Beschriftung_tab"/>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iPriority w:val="99"/>
    <w:unhideWhenUsed/>
    <w:qFormat/>
    <w:rsid w:val="00243636"/>
    <w:rPr>
      <w:sz w:val="16"/>
      <w:szCs w:val="16"/>
    </w:rPr>
  </w:style>
  <w:style w:type="paragraph" w:styleId="Textkomente">
    <w:name w:val="annotation text"/>
    <w:aliases w:val="Text poznámky"/>
    <w:basedOn w:val="Normln"/>
    <w:link w:val="TextkomenteChar1"/>
    <w:uiPriority w:val="99"/>
    <w:unhideWhenUsed/>
    <w:qFormat/>
    <w:rsid w:val="00243636"/>
    <w:rPr>
      <w:sz w:val="20"/>
      <w:szCs w:val="20"/>
    </w:rPr>
  </w:style>
  <w:style w:type="character" w:customStyle="1" w:styleId="TextkomenteChar">
    <w:name w:val="Text komentáře Char"/>
    <w:aliases w:val="Text poznámky Char"/>
    <w:basedOn w:val="Standardnpsmoodstavce"/>
    <w:uiPriority w:val="99"/>
    <w:qFormat/>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nadpis 2 Char,Nadpis 2 Z Char,Dipl2 Char,h2 Char,Titre 2 Char,l2 Char,list + change bar Char,??? Char,heading 2 Char,h21 Char,ASAPHeading 2 Char,Headline 2 Char,2 Char,headi Char,heading2 Char,h22 Char,21 Char,H... Char"/>
    <w:basedOn w:val="Standardnpsmoodstavce"/>
    <w:uiPriority w:val="7"/>
    <w:rsid w:val="00243636"/>
    <w:rPr>
      <w:rFonts w:ascii="Cambria" w:eastAsia="Times New Roman" w:hAnsi="Cambria"/>
      <w:b/>
      <w:bCs/>
      <w:color w:val="B6B002"/>
      <w:sz w:val="26"/>
      <w:szCs w:val="26"/>
      <w:lang w:eastAsia="en-US"/>
    </w:rPr>
  </w:style>
  <w:style w:type="character" w:customStyle="1" w:styleId="Nadpis1Char">
    <w:name w:val="Nadpis 1 Char"/>
    <w:aliases w:val="nadpis 1 Char,N 1 Char,Dipl 1 Char,cover1 Char,intoduction Char,Headline 1 Char,head1 Char,(Section) Char,Heading 1a Char,Attribute Heading 1 Char,Part Char,HauptPunkt Char,Oscar Faber 1 Char1,Section Heading Char1,Section Char1"/>
    <w:basedOn w:val="Standardnpsmoodstavce"/>
    <w:uiPriority w:val="7"/>
    <w:rsid w:val="00243636"/>
    <w:rPr>
      <w:rFonts w:ascii="Cambria" w:eastAsia="Times New Roman" w:hAnsi="Cambria"/>
      <w:b/>
      <w:bCs/>
      <w:color w:val="B6B002"/>
      <w:sz w:val="28"/>
      <w:szCs w:val="28"/>
      <w:lang w:eastAsia="en-US"/>
    </w:rPr>
  </w:style>
  <w:style w:type="character" w:customStyle="1" w:styleId="Nadpis3Char">
    <w:name w:val="Nadpis 3 Char"/>
    <w:aliases w:val="nadpis 3 Char,Nadpis 3 Z Char,Dipl3 Char,h31 Char,h3 Char,3 Char,Titre 3 Char,heading 3 Char,H31 Char,Headline 3 Char,h32 Char,H3 Char,Heading 3 Char Char Char,Heading 3 - old Char,ASAPHeading 3 Char,Mi Char,Minor Char,Headline Char"/>
    <w:basedOn w:val="Standardnpsmoodstavce"/>
    <w:uiPriority w:val="7"/>
    <w:rsid w:val="00243636"/>
    <w:rPr>
      <w:rFonts w:ascii="Cambria" w:eastAsia="Times New Roman" w:hAnsi="Cambria"/>
      <w:b/>
      <w:bCs/>
      <w:color w:val="B6B002"/>
      <w:sz w:val="24"/>
      <w:szCs w:val="22"/>
      <w:lang w:eastAsia="en-US"/>
    </w:rPr>
  </w:style>
  <w:style w:type="character" w:customStyle="1" w:styleId="Nadpis4Char">
    <w:name w:val="Nadpis 4 Char"/>
    <w:aliases w:val="nadpis 4 Char,Nadpis 4 Z Char,h41 Char,h4 Char,Figures Only Char,Heading 4 CFMU Char,Header 4 Char,Numbered 4 (SBC) Char,Heading 4 - SBC Char,dash Char,Map Title Char,H4 Char,Topic Major Char,RFQ3 Char,l4 Char,4 Char,4heading Char,Te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Text poznámky pod čiarou 007,_Poznámka pod čiarou,Poznámka,Footnote text,Fußnotentextf,Char1,Schriftart: 9 pt,Schriftart: 10 pt,Schriftart: 8 pt,Geneva 9,Font: Geneva 9,Boston 10,f,Text pozn. pod čarou1,o,Char,Char3,fn,DNV-FT Char"/>
    <w:basedOn w:val="Normln"/>
    <w:link w:val="TextpoznpodarouChar1"/>
    <w:uiPriority w:val="99"/>
    <w:qFormat/>
    <w:rsid w:val="00140ED7"/>
    <w:pPr>
      <w:spacing w:before="0" w:after="0"/>
    </w:pPr>
    <w:rPr>
      <w:rFonts w:eastAsia="Times New Roman"/>
      <w:sz w:val="18"/>
      <w:szCs w:val="20"/>
      <w:lang w:eastAsia="cs-CZ"/>
    </w:rPr>
  </w:style>
  <w:style w:type="character" w:customStyle="1" w:styleId="TextpoznpodarouChar">
    <w:name w:val="Text pozn. pod čarou Char"/>
    <w:aliases w:val="Text poznámky pod čiarou 007 Char,_Poznámka pod čiarou Char,Poznámka Char,Footnote text Char,Fußnotentextf Char,Char1 Char,Schriftart: 9 pt Char,Schriftart: 10 pt Char,Schriftart: 8 pt Char,Geneva 9 Char,Footnote Text Char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Footnote Reference Number,Footnote symbol,Footnote,PGI Fußnote Ziffer,BVI fnr,Footnote Reference Superscript,Appel note de bas de p,Appel note de bas de page,Légende,Char Car Car Car Car,Voetnootverwijzing,text pozn. pod čarou,fr"/>
    <w:basedOn w:val="Standardnpsmoodstavce"/>
    <w:link w:val="SUPERSCharChar"/>
    <w:uiPriority w:val="99"/>
    <w:qFormat/>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6"/>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aliases w:val="EEIP_Citát"/>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d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7"/>
    <w:rsid w:val="00243636"/>
    <w:rPr>
      <w:rFonts w:eastAsia="Times New Roman"/>
      <w:b/>
      <w:bCs/>
      <w:i/>
      <w:iCs/>
      <w:sz w:val="26"/>
      <w:szCs w:val="26"/>
      <w:lang w:eastAsia="en-US"/>
    </w:rPr>
  </w:style>
  <w:style w:type="character" w:customStyle="1" w:styleId="Nadpis6Char">
    <w:name w:val="Nadpis 6 Char"/>
    <w:basedOn w:val="Standardnpsmoodstavce"/>
    <w:uiPriority w:val="7"/>
    <w:rsid w:val="00243636"/>
    <w:rPr>
      <w:rFonts w:eastAsia="Times New Roman"/>
      <w:b/>
      <w:bCs/>
      <w:sz w:val="24"/>
      <w:szCs w:val="22"/>
      <w:lang w:eastAsia="en-US"/>
    </w:rPr>
  </w:style>
  <w:style w:type="character" w:customStyle="1" w:styleId="Nadpis7Char">
    <w:name w:val="Nadpis 7 Char"/>
    <w:basedOn w:val="Standardnpsmoodstavce"/>
    <w:uiPriority w:val="7"/>
    <w:rsid w:val="00243636"/>
    <w:rPr>
      <w:rFonts w:eastAsia="Times New Roman"/>
      <w:sz w:val="24"/>
      <w:szCs w:val="24"/>
      <w:lang w:eastAsia="en-US"/>
    </w:rPr>
  </w:style>
  <w:style w:type="character" w:customStyle="1" w:styleId="Nadpis8Char">
    <w:name w:val="Nadpis 8 Char"/>
    <w:basedOn w:val="Standardnpsmoodstavce"/>
    <w:uiPriority w:val="7"/>
    <w:rsid w:val="00243636"/>
    <w:rPr>
      <w:rFonts w:eastAsia="Times New Roman"/>
      <w:i/>
      <w:iCs/>
      <w:sz w:val="24"/>
      <w:szCs w:val="24"/>
      <w:lang w:eastAsia="en-US"/>
    </w:rPr>
  </w:style>
  <w:style w:type="character" w:customStyle="1" w:styleId="Nadpis9Char">
    <w:name w:val="Nadpis 9 Char"/>
    <w:basedOn w:val="Standardnpsmoodstavce"/>
    <w:uiPriority w:val="7"/>
    <w:rsid w:val="00243636"/>
    <w:rPr>
      <w:rFonts w:ascii="Cambria" w:eastAsia="Times New Roman" w:hAnsi="Cambria"/>
      <w:sz w:val="24"/>
      <w:szCs w:val="22"/>
      <w:lang w:eastAsia="en-US"/>
    </w:rPr>
  </w:style>
  <w:style w:type="paragraph" w:styleId="Normlnweb">
    <w:name w:val="Normal (Web)"/>
    <w:basedOn w:val="Normln-tun"/>
    <w:link w:val="NormlnwebChar"/>
    <w:uiPriority w:val="99"/>
    <w:qFormat/>
    <w:rsid w:val="00022391"/>
  </w:style>
  <w:style w:type="table" w:customStyle="1" w:styleId="Svtlstnovn1">
    <w:name w:val="Světlé stínování1"/>
    <w:basedOn w:val="Normlntabulka"/>
    <w:uiPriority w:val="60"/>
    <w:rsid w:val="00916D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nhideWhenUsed/>
    <w:rsid w:val="00A34BC8"/>
  </w:style>
  <w:style w:type="character" w:customStyle="1" w:styleId="ZkladntextChar">
    <w:name w:val="Základní text Char"/>
    <w:basedOn w:val="Standardnpsmoodstavce"/>
    <w:link w:val="Zkladntext"/>
    <w:rsid w:val="00A34BC8"/>
    <w:rPr>
      <w:rFonts w:ascii="Garamond" w:hAnsi="Garamond"/>
      <w:sz w:val="24"/>
      <w:szCs w:val="22"/>
      <w:lang w:eastAsia="en-US"/>
    </w:rPr>
  </w:style>
  <w:style w:type="paragraph" w:customStyle="1" w:styleId="Citace1">
    <w:name w:val="Citace1"/>
    <w:aliases w:val="Quote,Quote2"/>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Text poznámky pod čiarou 007 Char1,_Poznámka pod čiarou Char1,Poznámka Char1,Footnote text Char1,Fußnotentextf Char1,Char1 Char1,Schriftart: 9 pt Char1,Schriftart: 10 pt Char1,Schriftart: 8 pt Char1,Geneva 9 Char1,f Char"/>
    <w:basedOn w:val="Standardnpsmoodstavce"/>
    <w:link w:val="Textpoznpodarou"/>
    <w:uiPriority w:val="99"/>
    <w:qFormat/>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numbering" w:customStyle="1" w:styleId="NoList1">
    <w:name w:val="No List1"/>
    <w:next w:val="Bezseznamu"/>
    <w:semiHidden/>
    <w:rsid w:val="00D8660D"/>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nadpis">
    <w:name w:val="Subtitle"/>
    <w:aliases w:val="Heading5,NADPES00"/>
    <w:basedOn w:val="Normln"/>
    <w:link w:val="PodnadpisChar"/>
    <w:uiPriority w:val="5"/>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nadpisChar">
    <w:name w:val="Podnadpis Char"/>
    <w:aliases w:val="Heading5 Char,NADPES00 Char"/>
    <w:basedOn w:val="Standardnpsmoodstavce"/>
    <w:link w:val="Podnadpis"/>
    <w:uiPriority w:val="5"/>
    <w:rsid w:val="00D8660D"/>
    <w:rPr>
      <w:rFonts w:ascii="AT*Switzerland" w:eastAsia="Times New Roman" w:hAnsi="AT*Switzerland"/>
      <w:b/>
      <w:sz w:val="24"/>
      <w:lang w:val="sk-SK"/>
    </w:rPr>
  </w:style>
  <w:style w:type="table" w:styleId="Mkatabulky">
    <w:name w:val="Table Grid"/>
    <w:aliases w:val="Deloitte,CV table,CV1"/>
    <w:basedOn w:val="Normlntabulka"/>
    <w:uiPriority w:val="39"/>
    <w:rsid w:val="00D8660D"/>
    <w:rPr>
      <w:rFonts w:ascii="Times New Roman" w:eastAsia="MS Mincho"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Heading 2 Firm Char,Heading 2 Firm1 Char,nadpis 2 Char1,Nadpis 2 Z Char1,Dipl2 Char1,Heading 2 Firm11 Char,h2 Char1,l2 Char1,list + change bar Char1,??? Char1,heading 2 Char1,h21 Char1,ASAPHeading 2 Char1,Headline 2 Char1,2 Char1,21 Char1"/>
    <w:basedOn w:val="Standardnpsmoodstavce"/>
    <w:link w:val="Nadpis2"/>
    <w:rsid w:val="0015726B"/>
    <w:rPr>
      <w:rFonts w:ascii="Cambria" w:eastAsia="Times New Roman" w:hAnsi="Cambria"/>
      <w:b/>
      <w:bCs/>
      <w:color w:val="B6B002"/>
      <w:sz w:val="26"/>
      <w:szCs w:val="26"/>
    </w:rPr>
  </w:style>
  <w:style w:type="character" w:customStyle="1" w:styleId="Nadpis1Char1">
    <w:name w:val="Nadpis 1 Char1"/>
    <w:aliases w:val="nadpis 1 Char1,N 1 Char1,Dipl 1 Char1,título 1 Char,H1 Char,h1 Char,h11 Char,h12 Char,h13 Char,h14 Char,h15 Char,h16 Char,h17 Char,h111 Char,h121 Char,h131 Char,h141 Char,h151 Char,h161 Char,h18 Char,h112 Char,h122 Char,h132 Char,h19 Char"/>
    <w:basedOn w:val="Standardnpsmoodstavce"/>
    <w:link w:val="Nadpis1"/>
    <w:uiPriority w:val="9"/>
    <w:rsid w:val="009679AD"/>
    <w:rPr>
      <w:rFonts w:ascii="Cambria" w:eastAsia="Times New Roman" w:hAnsi="Cambria"/>
      <w:b/>
      <w:bCs/>
      <w:color w:val="B6B002"/>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uiPriority w:val="59"/>
    <w:rsid w:val="00D866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numbering" w:customStyle="1" w:styleId="NoList2">
    <w:name w:val="No List2"/>
    <w:next w:val="Bezseznamu"/>
    <w:uiPriority w:val="99"/>
    <w:semiHidden/>
    <w:unhideWhenUsed/>
    <w:rsid w:val="003C606D"/>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uiPriority w:val="99"/>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uiPriority w:val="31"/>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uiPriority w:val="31"/>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link w:val="SourceCar"/>
    <w:qFormat/>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uiPriority w:val="1"/>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uiPriority w:val="1"/>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aliases w:val="EEIP_Citát Char"/>
    <w:basedOn w:val="Standardnpsmoodstavce"/>
    <w:link w:val="Citt"/>
    <w:uiPriority w:val="29"/>
    <w:qFormat/>
    <w:rsid w:val="00B80ACE"/>
    <w:rPr>
      <w:rFonts w:ascii="Garamond" w:eastAsia="Times New Roman" w:hAnsi="Garamond"/>
      <w:i/>
      <w:iCs/>
      <w:color w:val="000000"/>
      <w:sz w:val="22"/>
      <w:lang w:eastAsia="cs-CZ"/>
    </w:rPr>
  </w:style>
  <w:style w:type="numbering" w:customStyle="1" w:styleId="NoList3">
    <w:name w:val="No List3"/>
    <w:next w:val="Bezseznamu"/>
    <w:uiPriority w:val="99"/>
    <w:semiHidden/>
    <w:unhideWhenUsed/>
    <w:rsid w:val="00FA7752"/>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uiPriority w:val="99"/>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uiPriority w:val="99"/>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465CC5"/>
    <w:rPr>
      <w:i/>
    </w:rPr>
  </w:style>
  <w:style w:type="numbering" w:customStyle="1" w:styleId="NoList4">
    <w:name w:val="No List4"/>
    <w:next w:val="Bezseznamu"/>
    <w:uiPriority w:val="99"/>
    <w:semiHidden/>
    <w:unhideWhenUsed/>
    <w:rsid w:val="008D11FE"/>
  </w:style>
  <w:style w:type="paragraph" w:styleId="Nzev">
    <w:name w:val="Title"/>
    <w:aliases w:val="Heading4"/>
    <w:basedOn w:val="Normln"/>
    <w:link w:val="NzevChar"/>
    <w:uiPriority w:val="4"/>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4"/>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uiPriority w:val="99"/>
    <w:rsid w:val="00E4652C"/>
    <w:rPr>
      <w:rFonts w:ascii="Garamond" w:hAnsi="Garamond"/>
      <w:sz w:val="24"/>
      <w:szCs w:val="22"/>
      <w:lang w:val="en-GB"/>
    </w:rPr>
  </w:style>
  <w:style w:type="character" w:customStyle="1" w:styleId="Nadpis3Char1">
    <w:name w:val="Nadpis 3 Char1"/>
    <w:aliases w:val="nadpis 3 Char1,Nadpis 3 Z Char1,Dipl3 Char1,h31 Char1,h3 Char1,3 Char1,heading 3 Char1,H31 Char1,Headline 3 Char1,h32 Char1,H3 Char1,Heading 3 Char Char Char1,Heading 3 - old Char1,ASAPHeading 3 Char1,Mi Char1,Minor Char1,Headline Char1"/>
    <w:basedOn w:val="Standardnpsmoodstavce"/>
    <w:link w:val="Nadpis3"/>
    <w:rsid w:val="00B71A8C"/>
    <w:rPr>
      <w:rFonts w:ascii="Cambria" w:eastAsia="Times New Roman" w:hAnsi="Cambria"/>
      <w:b/>
      <w:bCs/>
      <w:color w:val="B6B002"/>
      <w:sz w:val="24"/>
      <w:szCs w:val="22"/>
    </w:rPr>
  </w:style>
  <w:style w:type="character" w:customStyle="1" w:styleId="Nadpis4Char1">
    <w:name w:val="Nadpis 4 Char1"/>
    <w:aliases w:val="nadpis 4 Char1,Nadpis 4 Z Char1,1-1 Char,h41 Char1,h4 Char1,Figures Only Char1,Heading 4 CFMU Char1,Header 4 Char1,Numbered 4 (SBC) Char1,Heading 4 - SBC Char1,dash Char1,Map Title Char1,H4 Char1,Topic Major Char1,RFQ3 Char1,4 Char1"/>
    <w:basedOn w:val="Standardnpsmoodstavce"/>
    <w:link w:val="Nadpis4"/>
    <w:uiPriority w:val="99"/>
    <w:rsid w:val="00F52A18"/>
    <w:rPr>
      <w:rFonts w:ascii="Cambria" w:eastAsia="Times New Roman" w:hAnsi="Cambria"/>
      <w:b/>
      <w:bCs/>
      <w:i/>
      <w:iCs/>
      <w:color w:val="AC9B02"/>
      <w:sz w:val="22"/>
      <w:szCs w:val="22"/>
    </w:rPr>
  </w:style>
  <w:style w:type="paragraph" w:customStyle="1" w:styleId="Note">
    <w:name w:val="Note"/>
    <w:basedOn w:val="Titulek"/>
    <w:link w:val="NoteChar"/>
    <w:qFormat/>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Titulek tabulky Char,Title for table Char,picture Char,graph Char,formula Char,Zdroj_moje Char,titulek tabulka Char,Tabulka-PK Char,Tabulka Char,Tabulka_nadpis Char,Figure Caption Char, Char Char Char,Figure Caption + Avant : 14 pt Char"/>
    <w:basedOn w:val="Standardnpsmoodstavce"/>
    <w:link w:val="Titulek"/>
    <w:uiPriority w:val="35"/>
    <w:qFormat/>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F52A18"/>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_Odstavec se seznamem Char,Seznam - odrážky Char,Tučné Char,Odstavec cíl se seznamem Char,A-Odrážky1 Char,Odstavec_muj Char,Nad Char,Odstavec_muj1 Char,Odstavec_muj2 Char,Odstavec_muj3 Char,Nad1 Char,Odstavec_muj4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022391"/>
    <w:rPr>
      <w:rFonts w:ascii="Garamond" w:hAnsi="Garamond"/>
      <w:sz w:val="24"/>
      <w:szCs w:val="22"/>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semiHidden/>
    <w:rsid w:val="00E4652C"/>
    <w:rPr>
      <w:rFonts w:ascii="Times New Roman" w:eastAsia="Times New Roman" w:hAnsi="Times New Roman"/>
    </w:rPr>
  </w:style>
  <w:style w:type="character" w:styleId="Odkaznavysvtlivky">
    <w:name w:val="endnote reference"/>
    <w:basedOn w:val="Standardnpsmoodstavce"/>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numbering" w:customStyle="1" w:styleId="NoList5">
    <w:name w:val="No List5"/>
    <w:next w:val="Bezseznamu"/>
    <w:uiPriority w:val="99"/>
    <w:semiHidden/>
    <w:unhideWhenUsed/>
    <w:rsid w:val="00F1317B"/>
  </w:style>
  <w:style w:type="table" w:customStyle="1" w:styleId="TableGrid4">
    <w:name w:val="Table Grid4"/>
    <w:basedOn w:val="Normlntabulka"/>
    <w:next w:val="Mkatabulky"/>
    <w:uiPriority w:val="59"/>
    <w:rsid w:val="00F13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qFormat/>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numbering" w:customStyle="1" w:styleId="NoList6">
    <w:name w:val="No List6"/>
    <w:next w:val="Bezseznamu"/>
    <w:uiPriority w:val="99"/>
    <w:semiHidden/>
    <w:unhideWhenUsed/>
    <w:rsid w:val="006C6681"/>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link w:val="TypedudocumentChar"/>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BD6BD3"/>
    <w:pPr>
      <w:numPr>
        <w:numId w:val="67"/>
      </w:numPr>
      <w:ind w:left="357" w:hanging="357"/>
    </w:pPr>
  </w:style>
  <w:style w:type="paragraph" w:customStyle="1" w:styleId="Nadpis20">
    <w:name w:val="Nadpis (2)"/>
    <w:basedOn w:val="Odstavecseseznamem"/>
    <w:link w:val="Nadpis2Char0"/>
    <w:qFormat/>
    <w:rsid w:val="007D2FF3"/>
    <w:pPr>
      <w:keepNext/>
      <w:numPr>
        <w:ilvl w:val="1"/>
        <w:numId w:val="1"/>
      </w:numPr>
      <w:contextualSpacing w:val="0"/>
      <w:outlineLvl w:val="2"/>
    </w:pPr>
    <w:rPr>
      <w:rFonts w:ascii="Cambria" w:eastAsia="Times New Roman" w:hAnsi="Cambria"/>
      <w:b/>
      <w:bCs/>
      <w:vanish/>
      <w:color w:val="B6B002"/>
      <w:sz w:val="26"/>
    </w:rPr>
  </w:style>
  <w:style w:type="character" w:customStyle="1" w:styleId="Nadpis1Char0">
    <w:name w:val="Nadpis (1) Char"/>
    <w:basedOn w:val="Nadpis1Char1"/>
    <w:link w:val="Nadpis10"/>
    <w:rsid w:val="00BD6BD3"/>
    <w:rPr>
      <w:rFonts w:ascii="Cambria" w:eastAsia="Times New Roman" w:hAnsi="Cambria"/>
      <w:b/>
      <w:bCs/>
      <w:color w:val="B6B002"/>
      <w:sz w:val="28"/>
      <w:szCs w:val="28"/>
    </w:rPr>
  </w:style>
  <w:style w:type="paragraph" w:customStyle="1" w:styleId="Nadpis30">
    <w:name w:val="Nadpis (3)"/>
    <w:basedOn w:val="Nadpis3"/>
    <w:link w:val="Nadpis3Char0"/>
    <w:qFormat/>
    <w:rsid w:val="0092040A"/>
  </w:style>
  <w:style w:type="character" w:customStyle="1" w:styleId="Nadpis2Char0">
    <w:name w:val="Nadpis (2) Char"/>
    <w:basedOn w:val="Nadpis2Char1"/>
    <w:link w:val="Nadpis20"/>
    <w:rsid w:val="007D2FF3"/>
    <w:rPr>
      <w:rFonts w:ascii="Cambria" w:eastAsia="Times New Roman" w:hAnsi="Cambria"/>
      <w:b/>
      <w:bCs/>
      <w:vanish/>
      <w:color w:val="B6B002"/>
      <w:sz w:val="26"/>
      <w:szCs w:val="22"/>
    </w:rPr>
  </w:style>
  <w:style w:type="paragraph" w:customStyle="1" w:styleId="Text-Normaln">
    <w:name w:val="Text - Normalní"/>
    <w:basedOn w:val="Normln"/>
    <w:link w:val="Text-NormalnChar"/>
    <w:qFormat/>
    <w:rsid w:val="009679AD"/>
  </w:style>
  <w:style w:type="character" w:customStyle="1" w:styleId="Nadpis3Char0">
    <w:name w:val="Nadpis (3) Char"/>
    <w:basedOn w:val="Nadpis3Char1"/>
    <w:link w:val="Nadpis30"/>
    <w:rsid w:val="0092040A"/>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9679AD"/>
    <w:rPr>
      <w:rFonts w:ascii="Garamond" w:hAnsi="Garamond"/>
      <w:sz w:val="24"/>
      <w:szCs w:val="22"/>
      <w:lang w:val="cs-CZ"/>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3918D9"/>
    <w:pPr>
      <w:widowControl w:val="0"/>
      <w:spacing w:before="0" w:after="0"/>
    </w:pPr>
    <w:rPr>
      <w:rFonts w:eastAsia="Times New Roman"/>
      <w:i/>
      <w:iCs/>
      <w:color w:val="000000"/>
      <w:sz w:val="20"/>
      <w:szCs w:val="20"/>
      <w:lang w:eastAsia="cs-CZ"/>
    </w:rPr>
  </w:style>
  <w:style w:type="paragraph" w:customStyle="1" w:styleId="Nadpis2a">
    <w:name w:val="Nadpis (2a)"/>
    <w:basedOn w:val="Nadpis2"/>
    <w:link w:val="Nadpis2aChar"/>
    <w:qFormat/>
    <w:rsid w:val="00956066"/>
    <w:pPr>
      <w:keepNext w:val="0"/>
      <w:numPr>
        <w:numId w:val="14"/>
      </w:numPr>
    </w:pPr>
    <w:rPr>
      <w:rFonts w:eastAsia="Calibri"/>
      <w:smallCaps/>
      <w:color w:val="auto"/>
      <w:sz w:val="24"/>
      <w:szCs w:val="24"/>
      <w:u w:val="single"/>
    </w:rPr>
  </w:style>
  <w:style w:type="character" w:customStyle="1" w:styleId="Zdroj1Char">
    <w:name w:val="Zdroj (1) Char"/>
    <w:basedOn w:val="Standardnpsmoodstavce"/>
    <w:link w:val="Zdroj1"/>
    <w:qFormat/>
    <w:rsid w:val="003918D9"/>
    <w:rPr>
      <w:rFonts w:ascii="Garamond" w:eastAsia="Times New Roman" w:hAnsi="Garamond"/>
      <w:i/>
      <w:iCs/>
      <w:color w:val="000000"/>
      <w:lang w:eastAsia="cs-CZ"/>
    </w:rPr>
  </w:style>
  <w:style w:type="character" w:customStyle="1" w:styleId="Nadpis2aChar">
    <w:name w:val="Nadpis (2a) Char"/>
    <w:basedOn w:val="Nadpis2Char1"/>
    <w:link w:val="Nadpis2a"/>
    <w:rsid w:val="00956066"/>
    <w:rPr>
      <w:rFonts w:ascii="Cambria" w:eastAsia="Times New Roman" w:hAnsi="Cambria"/>
      <w:b/>
      <w:bCs/>
      <w:smallCaps/>
      <w:color w:val="B6B002"/>
      <w:sz w:val="24"/>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ind w:left="720"/>
    </w:pPr>
    <w:rPr>
      <w:b/>
    </w:rPr>
  </w:style>
  <w:style w:type="character" w:customStyle="1" w:styleId="Nadpis3aChar">
    <w:name w:val="Nadpis (3a) Char"/>
    <w:basedOn w:val="Text-NormalnChar"/>
    <w:link w:val="Nadpis3a"/>
    <w:rsid w:val="00F8483B"/>
    <w:rPr>
      <w:rFonts w:ascii="Garamond" w:hAnsi="Garamond"/>
      <w:b/>
      <w:sz w:val="24"/>
      <w:szCs w:val="22"/>
      <w:lang w:val="cs-CZ"/>
    </w:rPr>
  </w:style>
  <w:style w:type="paragraph" w:customStyle="1" w:styleId="Normln-tun">
    <w:name w:val="Normální - tučné"/>
    <w:basedOn w:val="Normln"/>
    <w:uiPriority w:val="99"/>
    <w:qFormat/>
    <w:rsid w:val="00022391"/>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uiPriority w:val="99"/>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24"/>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2,Číslovaný seznam A 2"/>
    <w:basedOn w:val="odsazentext2"/>
    <w:uiPriority w:val="15"/>
    <w:qFormat/>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1,Číslovaný seznam A"/>
    <w:basedOn w:val="odsazentext1"/>
    <w:uiPriority w:val="15"/>
    <w:qFormat/>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5"/>
      </w:numPr>
    </w:pPr>
    <w:rPr>
      <w:b/>
    </w:rPr>
  </w:style>
  <w:style w:type="character" w:customStyle="1" w:styleId="zelenChar">
    <w:name w:val="zelená Char"/>
    <w:basedOn w:val="Nadpis1Char"/>
    <w:link w:val="zelen"/>
    <w:rsid w:val="00CB7505"/>
    <w:rPr>
      <w:rFonts w:ascii="Garamond" w:eastAsia="Times New Roman" w:hAnsi="Garamond"/>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
    <w:name w:val="Table Normal"/>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aliases w:val="Seznam s odrážkami A"/>
    <w:basedOn w:val="Normln"/>
    <w:autoRedefine/>
    <w:uiPriority w:val="10"/>
    <w:qFormat/>
    <w:rsid w:val="00271B14"/>
    <w:pPr>
      <w:numPr>
        <w:numId w:val="26"/>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Borders>
        <w:top w:val="single" w:sz="8" w:space="0" w:color="7F7F7F" w:themeColor="accent2"/>
        <w:left w:val="single" w:sz="8" w:space="0" w:color="7F7F7F" w:themeColor="accent2"/>
        <w:bottom w:val="single" w:sz="8" w:space="0" w:color="7F7F7F" w:themeColor="accent2"/>
        <w:right w:val="single" w:sz="8" w:space="0" w:color="7F7F7F" w:themeColor="accent2"/>
      </w:tblBorders>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Borders>
        <w:top w:val="single" w:sz="8" w:space="0" w:color="7F7F7F" w:themeColor="accent2"/>
        <w:bottom w:val="single" w:sz="8" w:space="0" w:color="7F7F7F" w:themeColor="accent2"/>
      </w:tblBorders>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0">
    <w:name w:val="podnadpis"/>
    <w:basedOn w:val="N6normln"/>
    <w:link w:val="podnadpisChar0"/>
    <w:rsid w:val="0050396A"/>
    <w:pPr>
      <w:keepNext/>
      <w:ind w:firstLine="0"/>
    </w:pPr>
    <w:rPr>
      <w:rFonts w:ascii="Segoe UI" w:hAnsi="Segoe UI" w:cs="Segoe UI"/>
      <w:b/>
      <w:szCs w:val="24"/>
    </w:rPr>
  </w:style>
  <w:style w:type="character" w:customStyle="1" w:styleId="podnadpisChar0">
    <w:name w:val="podnadpis Char"/>
    <w:basedOn w:val="N6normlnChar"/>
    <w:link w:val="podnadpis0"/>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aliases w:val="Číslovaný seznam A 3"/>
    <w:basedOn w:val="Normln"/>
    <w:uiPriority w:val="15"/>
    <w:qFormat/>
    <w:rsid w:val="0050396A"/>
    <w:pPr>
      <w:numPr>
        <w:numId w:val="27"/>
      </w:numPr>
      <w:autoSpaceDE w:val="0"/>
      <w:autoSpaceDN w:val="0"/>
    </w:pPr>
    <w:rPr>
      <w:rFonts w:ascii="Times New Roman" w:eastAsia="Times New Roman" w:hAnsi="Times New Roman"/>
      <w:szCs w:val="24"/>
      <w:lang w:eastAsia="cs-CZ"/>
    </w:rPr>
  </w:style>
  <w:style w:type="numbering" w:customStyle="1" w:styleId="Bezseznamu1">
    <w:name w:val="Bez seznamu1"/>
    <w:next w:val="Bezseznamu"/>
    <w:uiPriority w:val="99"/>
    <w:semiHidden/>
    <w:unhideWhenUsed/>
    <w:rsid w:val="0050396A"/>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aliases w:val="Číslovaný seznam A 4"/>
    <w:basedOn w:val="Normln"/>
    <w:uiPriority w:val="15"/>
    <w:qFormat/>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aliases w:val="Číslovaný seznam A 5"/>
    <w:basedOn w:val="Normln"/>
    <w:uiPriority w:val="15"/>
    <w:qFormat/>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uiPriority w:val="99"/>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aliases w:val="Seznam s odrážkami A 2"/>
    <w:basedOn w:val="Normln"/>
    <w:uiPriority w:val="10"/>
    <w:qFormat/>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28"/>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aliases w:val="Seznam s odrážkami A 3"/>
    <w:basedOn w:val="Normln"/>
    <w:uiPriority w:val="10"/>
    <w:unhideWhenUsed/>
    <w:qFormat/>
    <w:rsid w:val="0050396A"/>
    <w:pPr>
      <w:numPr>
        <w:numId w:val="29"/>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30"/>
      </w:numPr>
    </w:pPr>
  </w:style>
  <w:style w:type="paragraph" w:customStyle="1" w:styleId="Literatura">
    <w:name w:val="Literatura"/>
    <w:basedOn w:val="Normln"/>
    <w:rsid w:val="0050396A"/>
    <w:pPr>
      <w:numPr>
        <w:numId w:val="31"/>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uiPriority w:val="29"/>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Borders>
        <w:top w:val="single" w:sz="8" w:space="0" w:color="800000" w:themeColor="accent4"/>
        <w:bottom w:val="single" w:sz="8" w:space="0" w:color="800000" w:themeColor="accent4"/>
      </w:tblBorders>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Borders>
        <w:top w:val="single" w:sz="8" w:space="0" w:color="CC7B38" w:themeColor="accent6"/>
        <w:bottom w:val="single" w:sz="8" w:space="0" w:color="CC7B38" w:themeColor="accent6"/>
      </w:tblBorders>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Borders>
        <w:top w:val="single" w:sz="4" w:space="0" w:color="FCEECC"/>
        <w:bottom w:val="single" w:sz="4" w:space="0" w:color="FCEECC"/>
      </w:tblBorders>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uiPriority w:val="99"/>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uiPriority w:val="99"/>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32"/>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33"/>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Borders>
        <w:top w:val="single" w:sz="8" w:space="0" w:color="B6B002" w:themeColor="accent1"/>
        <w:bottom w:val="single" w:sz="8" w:space="0" w:color="B6B002" w:themeColor="accent1"/>
      </w:tblBorders>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23"/>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color w:val="auto"/>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color w:val="auto"/>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numId w:val="0"/>
      </w:numPr>
      <w:tabs>
        <w:tab w:val="num" w:pos="1843"/>
      </w:tabs>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tabs>
        <w:tab w:val="num" w:pos="1843"/>
      </w:tabs>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34"/>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 w:type="character" w:customStyle="1" w:styleId="Nevyeenzmnka6">
    <w:name w:val="Nevyřešená zmínka6"/>
    <w:basedOn w:val="Standardnpsmoodstavce"/>
    <w:uiPriority w:val="99"/>
    <w:semiHidden/>
    <w:unhideWhenUsed/>
    <w:rsid w:val="003A3AD8"/>
    <w:rPr>
      <w:color w:val="605E5C"/>
      <w:shd w:val="clear" w:color="auto" w:fill="E1DFDD"/>
    </w:rPr>
  </w:style>
  <w:style w:type="character" w:customStyle="1" w:styleId="rs-person">
    <w:name w:val="rs-person"/>
    <w:basedOn w:val="Standardnpsmoodstavce"/>
    <w:rsid w:val="00127226"/>
  </w:style>
  <w:style w:type="character" w:customStyle="1" w:styleId="author">
    <w:name w:val="author"/>
    <w:basedOn w:val="Standardnpsmoodstavce"/>
    <w:rsid w:val="00127226"/>
  </w:style>
  <w:style w:type="character" w:customStyle="1" w:styleId="Marker">
    <w:name w:val="Marker"/>
    <w:basedOn w:val="Standardnpsmoodstavce"/>
    <w:rsid w:val="004A55DB"/>
    <w:rPr>
      <w:color w:val="0000FF"/>
      <w:shd w:val="clear" w:color="auto" w:fill="auto"/>
    </w:rPr>
  </w:style>
  <w:style w:type="paragraph" w:customStyle="1" w:styleId="Pagedecouverture">
    <w:name w:val="Page de couverture"/>
    <w:basedOn w:val="Normln"/>
    <w:next w:val="Normln"/>
    <w:rsid w:val="004A55DB"/>
    <w:pPr>
      <w:spacing w:before="0" w:after="0"/>
    </w:pPr>
    <w:rPr>
      <w:rFonts w:ascii="Times New Roman" w:eastAsiaTheme="minorHAnsi" w:hAnsi="Times New Roman"/>
      <w:lang w:val="en-GB"/>
    </w:rPr>
  </w:style>
  <w:style w:type="paragraph" w:customStyle="1" w:styleId="FooterCoverPage">
    <w:name w:val="Footer Cover Page"/>
    <w:basedOn w:val="Normln"/>
    <w:link w:val="FooterCoverPageChar"/>
    <w:rsid w:val="004A55DB"/>
    <w:pPr>
      <w:tabs>
        <w:tab w:val="center" w:pos="4535"/>
        <w:tab w:val="right" w:pos="9071"/>
        <w:tab w:val="right" w:pos="9921"/>
      </w:tabs>
      <w:spacing w:before="360" w:after="0"/>
      <w:ind w:left="-850" w:right="-850"/>
      <w:jc w:val="left"/>
    </w:pPr>
    <w:rPr>
      <w:rFonts w:ascii="Times New Roman" w:eastAsiaTheme="minorHAnsi" w:hAnsi="Times New Roman"/>
      <w:lang w:val="en-GB"/>
    </w:rPr>
  </w:style>
  <w:style w:type="character" w:customStyle="1" w:styleId="FooterCoverPageChar">
    <w:name w:val="Footer Cover Page Char"/>
    <w:basedOn w:val="Standardnpsmoodstavce"/>
    <w:link w:val="FooterCoverPage"/>
    <w:rsid w:val="004A55DB"/>
    <w:rPr>
      <w:rFonts w:ascii="Times New Roman" w:eastAsiaTheme="minorHAnsi" w:hAnsi="Times New Roman"/>
      <w:sz w:val="24"/>
      <w:szCs w:val="22"/>
      <w:lang w:val="en-GB"/>
    </w:rPr>
  </w:style>
  <w:style w:type="paragraph" w:customStyle="1" w:styleId="HeaderCoverPage">
    <w:name w:val="Header Cover Page"/>
    <w:basedOn w:val="Normln"/>
    <w:link w:val="HeaderCoverPageChar"/>
    <w:rsid w:val="004A55DB"/>
    <w:pPr>
      <w:tabs>
        <w:tab w:val="center" w:pos="4535"/>
        <w:tab w:val="right" w:pos="9071"/>
      </w:tabs>
      <w:spacing w:before="0"/>
    </w:pPr>
    <w:rPr>
      <w:rFonts w:ascii="Times New Roman" w:eastAsiaTheme="minorHAnsi" w:hAnsi="Times New Roman"/>
      <w:lang w:val="en-GB"/>
    </w:rPr>
  </w:style>
  <w:style w:type="character" w:customStyle="1" w:styleId="HeaderCoverPageChar">
    <w:name w:val="Header Cover Page Char"/>
    <w:basedOn w:val="Standardnpsmoodstavce"/>
    <w:link w:val="HeaderCoverPage"/>
    <w:rsid w:val="004A55DB"/>
    <w:rPr>
      <w:rFonts w:ascii="Times New Roman" w:eastAsiaTheme="minorHAnsi" w:hAnsi="Times New Roman"/>
      <w:sz w:val="24"/>
      <w:szCs w:val="22"/>
      <w:lang w:val="en-GB"/>
    </w:rPr>
  </w:style>
  <w:style w:type="paragraph" w:customStyle="1" w:styleId="HeaderLandscape">
    <w:name w:val="HeaderLandscape"/>
    <w:basedOn w:val="Normln"/>
    <w:rsid w:val="004A55DB"/>
    <w:pPr>
      <w:tabs>
        <w:tab w:val="center" w:pos="7285"/>
        <w:tab w:val="right" w:pos="14003"/>
      </w:tabs>
      <w:spacing w:before="0"/>
    </w:pPr>
    <w:rPr>
      <w:rFonts w:ascii="Times New Roman" w:eastAsiaTheme="minorHAnsi" w:hAnsi="Times New Roman"/>
      <w:lang w:val="en-GB"/>
    </w:rPr>
  </w:style>
  <w:style w:type="paragraph" w:customStyle="1" w:styleId="FooterLandscape">
    <w:name w:val="FooterLandscape"/>
    <w:basedOn w:val="Normln"/>
    <w:rsid w:val="004A55DB"/>
    <w:pPr>
      <w:tabs>
        <w:tab w:val="center" w:pos="7285"/>
        <w:tab w:val="center" w:pos="10913"/>
        <w:tab w:val="right" w:pos="15137"/>
      </w:tabs>
      <w:spacing w:before="360" w:after="0"/>
      <w:ind w:left="-567" w:right="-567"/>
      <w:jc w:val="left"/>
    </w:pPr>
    <w:rPr>
      <w:rFonts w:ascii="Times New Roman" w:eastAsiaTheme="minorHAnsi" w:hAnsi="Times New Roman"/>
      <w:lang w:val="en-GB"/>
    </w:rPr>
  </w:style>
  <w:style w:type="paragraph" w:customStyle="1" w:styleId="Text2">
    <w:name w:val="Text 2"/>
    <w:basedOn w:val="Normln"/>
    <w:rsid w:val="004A55DB"/>
    <w:pPr>
      <w:ind w:left="1417"/>
    </w:pPr>
    <w:rPr>
      <w:rFonts w:ascii="Times New Roman" w:eastAsiaTheme="minorHAnsi" w:hAnsi="Times New Roman"/>
      <w:lang w:val="en-GB"/>
    </w:rPr>
  </w:style>
  <w:style w:type="paragraph" w:customStyle="1" w:styleId="Text3">
    <w:name w:val="Text 3"/>
    <w:basedOn w:val="Normln"/>
    <w:rsid w:val="004A55DB"/>
    <w:pPr>
      <w:ind w:left="1984"/>
    </w:pPr>
    <w:rPr>
      <w:rFonts w:ascii="Times New Roman" w:eastAsiaTheme="minorHAnsi" w:hAnsi="Times New Roman"/>
      <w:lang w:val="en-GB"/>
    </w:rPr>
  </w:style>
  <w:style w:type="paragraph" w:customStyle="1" w:styleId="Text4">
    <w:name w:val="Text 4"/>
    <w:basedOn w:val="Normln"/>
    <w:uiPriority w:val="99"/>
    <w:rsid w:val="004A55DB"/>
    <w:pPr>
      <w:ind w:left="2551"/>
    </w:pPr>
    <w:rPr>
      <w:rFonts w:ascii="Times New Roman" w:eastAsiaTheme="minorHAnsi" w:hAnsi="Times New Roman"/>
      <w:lang w:val="en-GB"/>
    </w:rPr>
  </w:style>
  <w:style w:type="paragraph" w:customStyle="1" w:styleId="NormalCentered">
    <w:name w:val="Normal Centered"/>
    <w:basedOn w:val="Normln"/>
    <w:uiPriority w:val="99"/>
    <w:rsid w:val="004A55DB"/>
    <w:pPr>
      <w:jc w:val="center"/>
    </w:pPr>
    <w:rPr>
      <w:rFonts w:ascii="Times New Roman" w:eastAsiaTheme="minorHAnsi" w:hAnsi="Times New Roman"/>
      <w:lang w:val="en-GB"/>
    </w:rPr>
  </w:style>
  <w:style w:type="paragraph" w:customStyle="1" w:styleId="NormalLeft">
    <w:name w:val="Normal Left"/>
    <w:basedOn w:val="Normln"/>
    <w:rsid w:val="004A55DB"/>
    <w:pPr>
      <w:jc w:val="left"/>
    </w:pPr>
    <w:rPr>
      <w:rFonts w:ascii="Times New Roman" w:eastAsiaTheme="minorHAnsi" w:hAnsi="Times New Roman"/>
      <w:lang w:val="en-GB"/>
    </w:rPr>
  </w:style>
  <w:style w:type="paragraph" w:customStyle="1" w:styleId="NormalRight">
    <w:name w:val="Normal Right"/>
    <w:basedOn w:val="Normln"/>
    <w:rsid w:val="004A55DB"/>
    <w:pPr>
      <w:jc w:val="right"/>
    </w:pPr>
    <w:rPr>
      <w:rFonts w:ascii="Times New Roman" w:eastAsiaTheme="minorHAnsi" w:hAnsi="Times New Roman"/>
      <w:lang w:val="en-GB"/>
    </w:rPr>
  </w:style>
  <w:style w:type="paragraph" w:customStyle="1" w:styleId="QuotedText">
    <w:name w:val="Quoted Text"/>
    <w:basedOn w:val="Normln"/>
    <w:rsid w:val="004A55DB"/>
    <w:pPr>
      <w:ind w:left="1417"/>
    </w:pPr>
    <w:rPr>
      <w:rFonts w:ascii="Times New Roman" w:eastAsiaTheme="minorHAnsi" w:hAnsi="Times New Roman"/>
      <w:lang w:val="en-GB"/>
    </w:rPr>
  </w:style>
  <w:style w:type="paragraph" w:customStyle="1" w:styleId="Point0">
    <w:name w:val="Point 0"/>
    <w:basedOn w:val="Normln"/>
    <w:uiPriority w:val="99"/>
    <w:rsid w:val="004A55DB"/>
    <w:pPr>
      <w:ind w:left="850" w:hanging="850"/>
    </w:pPr>
    <w:rPr>
      <w:rFonts w:ascii="Times New Roman" w:eastAsiaTheme="minorHAnsi" w:hAnsi="Times New Roman"/>
      <w:lang w:val="en-GB"/>
    </w:rPr>
  </w:style>
  <w:style w:type="paragraph" w:customStyle="1" w:styleId="Point4">
    <w:name w:val="Point 4"/>
    <w:basedOn w:val="Normln"/>
    <w:rsid w:val="004A55DB"/>
    <w:pPr>
      <w:ind w:left="3118" w:hanging="567"/>
    </w:pPr>
    <w:rPr>
      <w:rFonts w:ascii="Times New Roman" w:eastAsiaTheme="minorHAnsi" w:hAnsi="Times New Roman"/>
      <w:lang w:val="en-GB"/>
    </w:rPr>
  </w:style>
  <w:style w:type="paragraph" w:customStyle="1" w:styleId="Tiret0">
    <w:name w:val="Tiret 0"/>
    <w:basedOn w:val="Point0"/>
    <w:uiPriority w:val="99"/>
    <w:rsid w:val="004A55DB"/>
    <w:pPr>
      <w:numPr>
        <w:numId w:val="35"/>
      </w:numPr>
    </w:pPr>
  </w:style>
  <w:style w:type="paragraph" w:customStyle="1" w:styleId="Tiret1">
    <w:name w:val="Tiret 1"/>
    <w:basedOn w:val="Point1"/>
    <w:uiPriority w:val="99"/>
    <w:rsid w:val="004A55DB"/>
    <w:pPr>
      <w:widowControl/>
      <w:numPr>
        <w:numId w:val="36"/>
      </w:numPr>
    </w:pPr>
    <w:rPr>
      <w:rFonts w:eastAsiaTheme="minorHAnsi"/>
      <w:szCs w:val="22"/>
      <w:lang w:val="en-GB" w:eastAsia="en-US"/>
    </w:rPr>
  </w:style>
  <w:style w:type="paragraph" w:customStyle="1" w:styleId="Tiret2">
    <w:name w:val="Tiret 2"/>
    <w:basedOn w:val="Point2"/>
    <w:rsid w:val="004A55DB"/>
    <w:pPr>
      <w:numPr>
        <w:numId w:val="37"/>
      </w:numPr>
      <w:spacing w:line="240" w:lineRule="auto"/>
      <w:jc w:val="both"/>
    </w:pPr>
    <w:rPr>
      <w:rFonts w:eastAsiaTheme="minorHAnsi"/>
      <w:szCs w:val="22"/>
      <w:lang w:val="en-GB"/>
    </w:rPr>
  </w:style>
  <w:style w:type="paragraph" w:customStyle="1" w:styleId="Tiret3">
    <w:name w:val="Tiret 3"/>
    <w:basedOn w:val="Point3"/>
    <w:rsid w:val="004A55DB"/>
    <w:pPr>
      <w:numPr>
        <w:numId w:val="38"/>
      </w:numPr>
      <w:spacing w:line="240" w:lineRule="auto"/>
      <w:jc w:val="both"/>
    </w:pPr>
    <w:rPr>
      <w:rFonts w:eastAsiaTheme="minorHAnsi"/>
      <w:szCs w:val="22"/>
      <w:lang w:val="en-GB"/>
    </w:rPr>
  </w:style>
  <w:style w:type="paragraph" w:customStyle="1" w:styleId="Tiret4">
    <w:name w:val="Tiret 4"/>
    <w:basedOn w:val="Point4"/>
    <w:rsid w:val="004A55DB"/>
    <w:pPr>
      <w:numPr>
        <w:numId w:val="39"/>
      </w:numPr>
    </w:pPr>
  </w:style>
  <w:style w:type="paragraph" w:customStyle="1" w:styleId="PointDouble0">
    <w:name w:val="PointDouble 0"/>
    <w:basedOn w:val="Normln"/>
    <w:rsid w:val="004A55DB"/>
    <w:pPr>
      <w:tabs>
        <w:tab w:val="left" w:pos="850"/>
      </w:tabs>
      <w:ind w:left="1417" w:hanging="1417"/>
    </w:pPr>
    <w:rPr>
      <w:rFonts w:ascii="Times New Roman" w:eastAsiaTheme="minorHAnsi" w:hAnsi="Times New Roman"/>
      <w:lang w:val="en-GB"/>
    </w:rPr>
  </w:style>
  <w:style w:type="paragraph" w:customStyle="1" w:styleId="PointDouble1">
    <w:name w:val="PointDouble 1"/>
    <w:basedOn w:val="Normln"/>
    <w:rsid w:val="004A55DB"/>
    <w:pPr>
      <w:tabs>
        <w:tab w:val="left" w:pos="1417"/>
      </w:tabs>
      <w:ind w:left="1984" w:hanging="1134"/>
    </w:pPr>
    <w:rPr>
      <w:rFonts w:ascii="Times New Roman" w:eastAsiaTheme="minorHAnsi" w:hAnsi="Times New Roman"/>
      <w:lang w:val="en-GB"/>
    </w:rPr>
  </w:style>
  <w:style w:type="paragraph" w:customStyle="1" w:styleId="PointDouble2">
    <w:name w:val="PointDouble 2"/>
    <w:basedOn w:val="Normln"/>
    <w:rsid w:val="004A55DB"/>
    <w:pPr>
      <w:tabs>
        <w:tab w:val="left" w:pos="1984"/>
      </w:tabs>
      <w:ind w:left="2551" w:hanging="1134"/>
    </w:pPr>
    <w:rPr>
      <w:rFonts w:ascii="Times New Roman" w:eastAsiaTheme="minorHAnsi" w:hAnsi="Times New Roman"/>
      <w:lang w:val="en-GB"/>
    </w:rPr>
  </w:style>
  <w:style w:type="paragraph" w:customStyle="1" w:styleId="PointDouble3">
    <w:name w:val="PointDouble 3"/>
    <w:basedOn w:val="Normln"/>
    <w:rsid w:val="004A55DB"/>
    <w:pPr>
      <w:tabs>
        <w:tab w:val="left" w:pos="2551"/>
      </w:tabs>
      <w:ind w:left="3118" w:hanging="1134"/>
    </w:pPr>
    <w:rPr>
      <w:rFonts w:ascii="Times New Roman" w:eastAsiaTheme="minorHAnsi" w:hAnsi="Times New Roman"/>
      <w:lang w:val="en-GB"/>
    </w:rPr>
  </w:style>
  <w:style w:type="paragraph" w:customStyle="1" w:styleId="PointDouble4">
    <w:name w:val="PointDouble 4"/>
    <w:basedOn w:val="Normln"/>
    <w:rsid w:val="004A55DB"/>
    <w:pPr>
      <w:tabs>
        <w:tab w:val="left" w:pos="3118"/>
      </w:tabs>
      <w:ind w:left="3685" w:hanging="1134"/>
    </w:pPr>
    <w:rPr>
      <w:rFonts w:ascii="Times New Roman" w:eastAsiaTheme="minorHAnsi" w:hAnsi="Times New Roman"/>
      <w:lang w:val="en-GB"/>
    </w:rPr>
  </w:style>
  <w:style w:type="paragraph" w:customStyle="1" w:styleId="PointTriple0">
    <w:name w:val="PointTriple 0"/>
    <w:basedOn w:val="Normln"/>
    <w:rsid w:val="004A55DB"/>
    <w:pPr>
      <w:tabs>
        <w:tab w:val="left" w:pos="850"/>
        <w:tab w:val="left" w:pos="1417"/>
      </w:tabs>
      <w:ind w:left="1984" w:hanging="1984"/>
    </w:pPr>
    <w:rPr>
      <w:rFonts w:ascii="Times New Roman" w:eastAsiaTheme="minorHAnsi" w:hAnsi="Times New Roman"/>
      <w:lang w:val="en-GB"/>
    </w:rPr>
  </w:style>
  <w:style w:type="paragraph" w:customStyle="1" w:styleId="PointTriple1">
    <w:name w:val="PointTriple 1"/>
    <w:basedOn w:val="Normln"/>
    <w:rsid w:val="004A55DB"/>
    <w:pPr>
      <w:tabs>
        <w:tab w:val="left" w:pos="1417"/>
        <w:tab w:val="left" w:pos="1984"/>
      </w:tabs>
      <w:ind w:left="2551" w:hanging="1701"/>
    </w:pPr>
    <w:rPr>
      <w:rFonts w:ascii="Times New Roman" w:eastAsiaTheme="minorHAnsi" w:hAnsi="Times New Roman"/>
      <w:lang w:val="en-GB"/>
    </w:rPr>
  </w:style>
  <w:style w:type="paragraph" w:customStyle="1" w:styleId="PointTriple2">
    <w:name w:val="PointTriple 2"/>
    <w:basedOn w:val="Normln"/>
    <w:rsid w:val="004A55DB"/>
    <w:pPr>
      <w:tabs>
        <w:tab w:val="left" w:pos="1984"/>
        <w:tab w:val="left" w:pos="2551"/>
      </w:tabs>
      <w:ind w:left="3118" w:hanging="1701"/>
    </w:pPr>
    <w:rPr>
      <w:rFonts w:ascii="Times New Roman" w:eastAsiaTheme="minorHAnsi" w:hAnsi="Times New Roman"/>
      <w:lang w:val="en-GB"/>
    </w:rPr>
  </w:style>
  <w:style w:type="paragraph" w:customStyle="1" w:styleId="PointTriple3">
    <w:name w:val="PointTriple 3"/>
    <w:basedOn w:val="Normln"/>
    <w:rsid w:val="004A55DB"/>
    <w:pPr>
      <w:tabs>
        <w:tab w:val="left" w:pos="2551"/>
        <w:tab w:val="left" w:pos="3118"/>
      </w:tabs>
      <w:ind w:left="3685" w:hanging="1701"/>
    </w:pPr>
    <w:rPr>
      <w:rFonts w:ascii="Times New Roman" w:eastAsiaTheme="minorHAnsi" w:hAnsi="Times New Roman"/>
      <w:lang w:val="en-GB"/>
    </w:rPr>
  </w:style>
  <w:style w:type="paragraph" w:customStyle="1" w:styleId="PointTriple4">
    <w:name w:val="PointTriple 4"/>
    <w:basedOn w:val="Normln"/>
    <w:rsid w:val="004A55DB"/>
    <w:pPr>
      <w:tabs>
        <w:tab w:val="left" w:pos="3118"/>
        <w:tab w:val="left" w:pos="3685"/>
      </w:tabs>
      <w:ind w:left="4252" w:hanging="1701"/>
    </w:pPr>
    <w:rPr>
      <w:rFonts w:ascii="Times New Roman" w:eastAsiaTheme="minorHAnsi" w:hAnsi="Times New Roman"/>
      <w:lang w:val="en-GB"/>
    </w:rPr>
  </w:style>
  <w:style w:type="paragraph" w:customStyle="1" w:styleId="NumPar1">
    <w:name w:val="NumPar 1"/>
    <w:basedOn w:val="Normln"/>
    <w:next w:val="Text1"/>
    <w:rsid w:val="004A55DB"/>
    <w:pPr>
      <w:numPr>
        <w:numId w:val="40"/>
      </w:numPr>
    </w:pPr>
    <w:rPr>
      <w:rFonts w:ascii="Times New Roman" w:eastAsiaTheme="minorHAnsi" w:hAnsi="Times New Roman"/>
      <w:lang w:val="en-GB"/>
    </w:rPr>
  </w:style>
  <w:style w:type="paragraph" w:customStyle="1" w:styleId="NumPar2">
    <w:name w:val="NumPar 2"/>
    <w:basedOn w:val="Normln"/>
    <w:next w:val="Text1"/>
    <w:rsid w:val="004A55DB"/>
    <w:pPr>
      <w:numPr>
        <w:ilvl w:val="1"/>
        <w:numId w:val="40"/>
      </w:numPr>
    </w:pPr>
    <w:rPr>
      <w:rFonts w:ascii="Times New Roman" w:eastAsiaTheme="minorHAnsi" w:hAnsi="Times New Roman"/>
      <w:lang w:val="en-GB"/>
    </w:rPr>
  </w:style>
  <w:style w:type="paragraph" w:customStyle="1" w:styleId="NumPar3">
    <w:name w:val="NumPar 3"/>
    <w:basedOn w:val="Normln"/>
    <w:next w:val="Text1"/>
    <w:rsid w:val="004A55DB"/>
    <w:pPr>
      <w:numPr>
        <w:ilvl w:val="2"/>
        <w:numId w:val="40"/>
      </w:numPr>
    </w:pPr>
    <w:rPr>
      <w:rFonts w:ascii="Times New Roman" w:eastAsiaTheme="minorHAnsi" w:hAnsi="Times New Roman"/>
      <w:lang w:val="en-GB"/>
    </w:rPr>
  </w:style>
  <w:style w:type="paragraph" w:customStyle="1" w:styleId="NumPar4">
    <w:name w:val="NumPar 4"/>
    <w:basedOn w:val="Normln"/>
    <w:next w:val="Text1"/>
    <w:rsid w:val="004A55DB"/>
    <w:pPr>
      <w:numPr>
        <w:ilvl w:val="3"/>
        <w:numId w:val="40"/>
      </w:numPr>
    </w:pPr>
    <w:rPr>
      <w:rFonts w:ascii="Times New Roman" w:eastAsiaTheme="minorHAnsi" w:hAnsi="Times New Roman"/>
      <w:lang w:val="en-GB"/>
    </w:rPr>
  </w:style>
  <w:style w:type="paragraph" w:customStyle="1" w:styleId="ManualNumPar1">
    <w:name w:val="Manual NumPar 1"/>
    <w:basedOn w:val="Normln"/>
    <w:next w:val="Text1"/>
    <w:rsid w:val="004A55DB"/>
    <w:pPr>
      <w:ind w:left="850" w:hanging="850"/>
    </w:pPr>
    <w:rPr>
      <w:rFonts w:ascii="Times New Roman" w:eastAsiaTheme="minorHAnsi" w:hAnsi="Times New Roman"/>
      <w:lang w:val="en-GB"/>
    </w:rPr>
  </w:style>
  <w:style w:type="paragraph" w:customStyle="1" w:styleId="ManualNumPar2">
    <w:name w:val="Manual NumPar 2"/>
    <w:basedOn w:val="Normln"/>
    <w:next w:val="Text1"/>
    <w:rsid w:val="004A55DB"/>
    <w:pPr>
      <w:ind w:left="850" w:hanging="850"/>
    </w:pPr>
    <w:rPr>
      <w:rFonts w:ascii="Times New Roman" w:eastAsiaTheme="minorHAnsi" w:hAnsi="Times New Roman"/>
      <w:lang w:val="en-GB"/>
    </w:rPr>
  </w:style>
  <w:style w:type="paragraph" w:customStyle="1" w:styleId="ManualNumPar3">
    <w:name w:val="Manual NumPar 3"/>
    <w:basedOn w:val="Normln"/>
    <w:next w:val="Text1"/>
    <w:rsid w:val="004A55DB"/>
    <w:pPr>
      <w:ind w:left="850" w:hanging="850"/>
    </w:pPr>
    <w:rPr>
      <w:rFonts w:ascii="Times New Roman" w:eastAsiaTheme="minorHAnsi" w:hAnsi="Times New Roman"/>
      <w:lang w:val="en-GB"/>
    </w:rPr>
  </w:style>
  <w:style w:type="paragraph" w:customStyle="1" w:styleId="ManualNumPar4">
    <w:name w:val="Manual NumPar 4"/>
    <w:basedOn w:val="Normln"/>
    <w:next w:val="Text1"/>
    <w:rsid w:val="004A55DB"/>
    <w:pPr>
      <w:ind w:left="850" w:hanging="850"/>
    </w:pPr>
    <w:rPr>
      <w:rFonts w:ascii="Times New Roman" w:eastAsiaTheme="minorHAnsi" w:hAnsi="Times New Roman"/>
      <w:lang w:val="en-GB"/>
    </w:rPr>
  </w:style>
  <w:style w:type="paragraph" w:customStyle="1" w:styleId="QuotedNumPar">
    <w:name w:val="Quoted NumPar"/>
    <w:basedOn w:val="Normln"/>
    <w:rsid w:val="004A55DB"/>
    <w:pPr>
      <w:ind w:left="1417" w:hanging="567"/>
    </w:pPr>
    <w:rPr>
      <w:rFonts w:ascii="Times New Roman" w:eastAsiaTheme="minorHAnsi" w:hAnsi="Times New Roman"/>
      <w:lang w:val="en-GB"/>
    </w:rPr>
  </w:style>
  <w:style w:type="paragraph" w:customStyle="1" w:styleId="ManualHeading1">
    <w:name w:val="Manual Heading 1"/>
    <w:basedOn w:val="Normln"/>
    <w:next w:val="Text1"/>
    <w:rsid w:val="004A55DB"/>
    <w:pPr>
      <w:keepNext/>
      <w:tabs>
        <w:tab w:val="left" w:pos="850"/>
      </w:tabs>
      <w:spacing w:before="360"/>
      <w:ind w:left="850" w:hanging="850"/>
      <w:outlineLvl w:val="0"/>
    </w:pPr>
    <w:rPr>
      <w:rFonts w:ascii="Times New Roman" w:eastAsiaTheme="minorHAnsi" w:hAnsi="Times New Roman"/>
      <w:b/>
      <w:smallCaps/>
      <w:lang w:val="en-GB"/>
    </w:rPr>
  </w:style>
  <w:style w:type="paragraph" w:customStyle="1" w:styleId="ManualHeading2">
    <w:name w:val="Manual Heading 2"/>
    <w:basedOn w:val="Normln"/>
    <w:next w:val="Text1"/>
    <w:rsid w:val="004A55DB"/>
    <w:pPr>
      <w:keepNext/>
      <w:tabs>
        <w:tab w:val="left" w:pos="850"/>
      </w:tabs>
      <w:ind w:left="850" w:hanging="850"/>
      <w:outlineLvl w:val="1"/>
    </w:pPr>
    <w:rPr>
      <w:rFonts w:ascii="Times New Roman" w:eastAsiaTheme="minorHAnsi" w:hAnsi="Times New Roman"/>
      <w:b/>
      <w:lang w:val="en-GB"/>
    </w:rPr>
  </w:style>
  <w:style w:type="paragraph" w:customStyle="1" w:styleId="ManualHeading3">
    <w:name w:val="Manual Heading 3"/>
    <w:basedOn w:val="Normln"/>
    <w:next w:val="Text1"/>
    <w:rsid w:val="004A55DB"/>
    <w:pPr>
      <w:keepNext/>
      <w:tabs>
        <w:tab w:val="left" w:pos="850"/>
      </w:tabs>
      <w:ind w:left="850" w:hanging="850"/>
      <w:outlineLvl w:val="2"/>
    </w:pPr>
    <w:rPr>
      <w:rFonts w:ascii="Times New Roman" w:eastAsiaTheme="minorHAnsi" w:hAnsi="Times New Roman"/>
      <w:i/>
      <w:lang w:val="en-GB"/>
    </w:rPr>
  </w:style>
  <w:style w:type="paragraph" w:customStyle="1" w:styleId="ManualHeading4">
    <w:name w:val="Manual Heading 4"/>
    <w:basedOn w:val="Normln"/>
    <w:next w:val="Text1"/>
    <w:rsid w:val="004A55DB"/>
    <w:pPr>
      <w:keepNext/>
      <w:tabs>
        <w:tab w:val="left" w:pos="850"/>
      </w:tabs>
      <w:ind w:left="850" w:hanging="850"/>
      <w:outlineLvl w:val="3"/>
    </w:pPr>
    <w:rPr>
      <w:rFonts w:ascii="Times New Roman" w:eastAsiaTheme="minorHAnsi" w:hAnsi="Times New Roman"/>
      <w:lang w:val="en-GB"/>
    </w:rPr>
  </w:style>
  <w:style w:type="paragraph" w:customStyle="1" w:styleId="ChapterTitle">
    <w:name w:val="ChapterTitle"/>
    <w:basedOn w:val="Normln"/>
    <w:next w:val="Normln"/>
    <w:rsid w:val="004A55DB"/>
    <w:pPr>
      <w:keepNext/>
      <w:spacing w:after="360"/>
      <w:jc w:val="center"/>
    </w:pPr>
    <w:rPr>
      <w:rFonts w:ascii="Times New Roman" w:eastAsiaTheme="minorHAnsi" w:hAnsi="Times New Roman"/>
      <w:b/>
      <w:sz w:val="32"/>
      <w:lang w:val="en-GB"/>
    </w:rPr>
  </w:style>
  <w:style w:type="paragraph" w:customStyle="1" w:styleId="PartTitle">
    <w:name w:val="PartTitle"/>
    <w:basedOn w:val="Normln"/>
    <w:next w:val="ChapterTitle"/>
    <w:rsid w:val="004A55DB"/>
    <w:pPr>
      <w:keepNext/>
      <w:pageBreakBefore/>
      <w:spacing w:after="360"/>
      <w:jc w:val="center"/>
    </w:pPr>
    <w:rPr>
      <w:rFonts w:ascii="Times New Roman" w:eastAsiaTheme="minorHAnsi" w:hAnsi="Times New Roman"/>
      <w:b/>
      <w:sz w:val="36"/>
      <w:lang w:val="en-GB"/>
    </w:rPr>
  </w:style>
  <w:style w:type="paragraph" w:customStyle="1" w:styleId="SectionTitle">
    <w:name w:val="SectionTitle"/>
    <w:basedOn w:val="Normln"/>
    <w:next w:val="Nadpis1"/>
    <w:uiPriority w:val="99"/>
    <w:rsid w:val="004A55DB"/>
    <w:pPr>
      <w:keepNext/>
      <w:spacing w:after="360"/>
      <w:jc w:val="center"/>
    </w:pPr>
    <w:rPr>
      <w:rFonts w:ascii="Times New Roman" w:eastAsiaTheme="minorHAnsi" w:hAnsi="Times New Roman"/>
      <w:b/>
      <w:smallCaps/>
      <w:sz w:val="28"/>
      <w:lang w:val="en-GB"/>
    </w:rPr>
  </w:style>
  <w:style w:type="paragraph" w:customStyle="1" w:styleId="TableTitle">
    <w:name w:val="Table Title"/>
    <w:basedOn w:val="Normln"/>
    <w:next w:val="Normln"/>
    <w:rsid w:val="004A55DB"/>
    <w:pPr>
      <w:jc w:val="center"/>
    </w:pPr>
    <w:rPr>
      <w:rFonts w:ascii="Times New Roman" w:eastAsiaTheme="minorHAnsi" w:hAnsi="Times New Roman"/>
      <w:b/>
      <w:lang w:val="en-GB"/>
    </w:rPr>
  </w:style>
  <w:style w:type="character" w:customStyle="1" w:styleId="Marker1">
    <w:name w:val="Marker1"/>
    <w:basedOn w:val="Standardnpsmoodstavce"/>
    <w:rsid w:val="004A55DB"/>
    <w:rPr>
      <w:color w:val="008000"/>
      <w:shd w:val="clear" w:color="auto" w:fill="auto"/>
    </w:rPr>
  </w:style>
  <w:style w:type="character" w:customStyle="1" w:styleId="Marker2">
    <w:name w:val="Marker2"/>
    <w:basedOn w:val="Standardnpsmoodstavce"/>
    <w:rsid w:val="004A55DB"/>
    <w:rPr>
      <w:color w:val="FF0000"/>
      <w:shd w:val="clear" w:color="auto" w:fill="auto"/>
    </w:rPr>
  </w:style>
  <w:style w:type="paragraph" w:customStyle="1" w:styleId="Point0number">
    <w:name w:val="Point 0 (number)"/>
    <w:basedOn w:val="Normln"/>
    <w:rsid w:val="004A55DB"/>
    <w:pPr>
      <w:numPr>
        <w:numId w:val="41"/>
      </w:numPr>
    </w:pPr>
    <w:rPr>
      <w:rFonts w:ascii="Times New Roman" w:eastAsiaTheme="minorHAnsi" w:hAnsi="Times New Roman"/>
      <w:lang w:val="en-GB"/>
    </w:rPr>
  </w:style>
  <w:style w:type="paragraph" w:customStyle="1" w:styleId="Point1number">
    <w:name w:val="Point 1 (number)"/>
    <w:basedOn w:val="Normln"/>
    <w:rsid w:val="004A55DB"/>
    <w:pPr>
      <w:numPr>
        <w:ilvl w:val="2"/>
        <w:numId w:val="41"/>
      </w:numPr>
    </w:pPr>
    <w:rPr>
      <w:rFonts w:ascii="Times New Roman" w:eastAsiaTheme="minorHAnsi" w:hAnsi="Times New Roman"/>
      <w:lang w:val="en-GB"/>
    </w:rPr>
  </w:style>
  <w:style w:type="paragraph" w:customStyle="1" w:styleId="Point2number">
    <w:name w:val="Point 2 (number)"/>
    <w:basedOn w:val="Normln"/>
    <w:rsid w:val="004A55DB"/>
    <w:pPr>
      <w:numPr>
        <w:ilvl w:val="4"/>
        <w:numId w:val="41"/>
      </w:numPr>
    </w:pPr>
    <w:rPr>
      <w:rFonts w:ascii="Times New Roman" w:eastAsiaTheme="minorHAnsi" w:hAnsi="Times New Roman"/>
      <w:lang w:val="en-GB"/>
    </w:rPr>
  </w:style>
  <w:style w:type="paragraph" w:customStyle="1" w:styleId="Point3number">
    <w:name w:val="Point 3 (number)"/>
    <w:basedOn w:val="Normln"/>
    <w:rsid w:val="004A55DB"/>
    <w:pPr>
      <w:numPr>
        <w:ilvl w:val="6"/>
        <w:numId w:val="41"/>
      </w:numPr>
    </w:pPr>
    <w:rPr>
      <w:rFonts w:ascii="Times New Roman" w:eastAsiaTheme="minorHAnsi" w:hAnsi="Times New Roman"/>
      <w:lang w:val="en-GB"/>
    </w:rPr>
  </w:style>
  <w:style w:type="paragraph" w:customStyle="1" w:styleId="Point0letter">
    <w:name w:val="Point 0 (letter)"/>
    <w:basedOn w:val="Normln"/>
    <w:rsid w:val="004A55DB"/>
    <w:pPr>
      <w:numPr>
        <w:ilvl w:val="1"/>
        <w:numId w:val="41"/>
      </w:numPr>
    </w:pPr>
    <w:rPr>
      <w:rFonts w:ascii="Times New Roman" w:eastAsiaTheme="minorHAnsi" w:hAnsi="Times New Roman"/>
      <w:lang w:val="en-GB"/>
    </w:rPr>
  </w:style>
  <w:style w:type="paragraph" w:customStyle="1" w:styleId="Point1letter">
    <w:name w:val="Point 1 (letter)"/>
    <w:basedOn w:val="Normln"/>
    <w:rsid w:val="004A55DB"/>
    <w:pPr>
      <w:numPr>
        <w:ilvl w:val="3"/>
        <w:numId w:val="41"/>
      </w:numPr>
    </w:pPr>
    <w:rPr>
      <w:rFonts w:ascii="Times New Roman" w:eastAsiaTheme="minorHAnsi" w:hAnsi="Times New Roman"/>
      <w:lang w:val="en-GB"/>
    </w:rPr>
  </w:style>
  <w:style w:type="paragraph" w:customStyle="1" w:styleId="Point2letter">
    <w:name w:val="Point 2 (letter)"/>
    <w:basedOn w:val="Normln"/>
    <w:rsid w:val="004A55DB"/>
    <w:pPr>
      <w:numPr>
        <w:ilvl w:val="5"/>
        <w:numId w:val="41"/>
      </w:numPr>
    </w:pPr>
    <w:rPr>
      <w:rFonts w:ascii="Times New Roman" w:eastAsiaTheme="minorHAnsi" w:hAnsi="Times New Roman"/>
      <w:lang w:val="en-GB"/>
    </w:rPr>
  </w:style>
  <w:style w:type="paragraph" w:customStyle="1" w:styleId="Point3letter">
    <w:name w:val="Point 3 (letter)"/>
    <w:basedOn w:val="Normln"/>
    <w:rsid w:val="004A55DB"/>
    <w:pPr>
      <w:numPr>
        <w:ilvl w:val="7"/>
        <w:numId w:val="41"/>
      </w:numPr>
    </w:pPr>
    <w:rPr>
      <w:rFonts w:ascii="Times New Roman" w:eastAsiaTheme="minorHAnsi" w:hAnsi="Times New Roman"/>
      <w:lang w:val="en-GB"/>
    </w:rPr>
  </w:style>
  <w:style w:type="paragraph" w:customStyle="1" w:styleId="Point4letter">
    <w:name w:val="Point 4 (letter)"/>
    <w:basedOn w:val="Normln"/>
    <w:rsid w:val="004A55DB"/>
    <w:pPr>
      <w:numPr>
        <w:ilvl w:val="8"/>
        <w:numId w:val="41"/>
      </w:numPr>
    </w:pPr>
    <w:rPr>
      <w:rFonts w:ascii="Times New Roman" w:eastAsiaTheme="minorHAnsi" w:hAnsi="Times New Roman"/>
      <w:lang w:val="en-GB"/>
    </w:rPr>
  </w:style>
  <w:style w:type="paragraph" w:customStyle="1" w:styleId="Bullet0">
    <w:name w:val="Bullet 0"/>
    <w:basedOn w:val="Normln"/>
    <w:uiPriority w:val="99"/>
    <w:rsid w:val="004A55DB"/>
    <w:pPr>
      <w:numPr>
        <w:numId w:val="42"/>
      </w:numPr>
    </w:pPr>
    <w:rPr>
      <w:rFonts w:ascii="Times New Roman" w:eastAsiaTheme="minorHAnsi" w:hAnsi="Times New Roman"/>
      <w:lang w:val="en-GB"/>
    </w:rPr>
  </w:style>
  <w:style w:type="paragraph" w:customStyle="1" w:styleId="Bullet3">
    <w:name w:val="Bullet 3"/>
    <w:basedOn w:val="Normln"/>
    <w:rsid w:val="004A55DB"/>
    <w:pPr>
      <w:numPr>
        <w:numId w:val="43"/>
      </w:numPr>
    </w:pPr>
    <w:rPr>
      <w:rFonts w:ascii="Times New Roman" w:eastAsiaTheme="minorHAnsi" w:hAnsi="Times New Roman"/>
      <w:lang w:val="en-GB"/>
    </w:rPr>
  </w:style>
  <w:style w:type="paragraph" w:customStyle="1" w:styleId="Bullet4">
    <w:name w:val="Bullet 4"/>
    <w:basedOn w:val="Normln"/>
    <w:rsid w:val="004A55DB"/>
    <w:pPr>
      <w:numPr>
        <w:numId w:val="44"/>
      </w:numPr>
    </w:pPr>
    <w:rPr>
      <w:rFonts w:ascii="Times New Roman" w:eastAsiaTheme="minorHAnsi" w:hAnsi="Times New Roman"/>
      <w:lang w:val="en-GB"/>
    </w:rPr>
  </w:style>
  <w:style w:type="paragraph" w:customStyle="1" w:styleId="Annexetitreexpos">
    <w:name w:val="Annexe titre (exposé)"/>
    <w:basedOn w:val="Normln"/>
    <w:next w:val="Normln"/>
    <w:rsid w:val="004A55DB"/>
    <w:pPr>
      <w:jc w:val="center"/>
    </w:pPr>
    <w:rPr>
      <w:rFonts w:ascii="Times New Roman" w:eastAsiaTheme="minorHAnsi" w:hAnsi="Times New Roman"/>
      <w:b/>
      <w:u w:val="single"/>
      <w:lang w:val="en-GB"/>
    </w:rPr>
  </w:style>
  <w:style w:type="paragraph" w:customStyle="1" w:styleId="Annexetitre">
    <w:name w:val="Annexe titre"/>
    <w:basedOn w:val="Normln"/>
    <w:next w:val="Normln"/>
    <w:rsid w:val="004A55DB"/>
    <w:pPr>
      <w:jc w:val="center"/>
    </w:pPr>
    <w:rPr>
      <w:rFonts w:ascii="Times New Roman" w:eastAsiaTheme="minorHAnsi" w:hAnsi="Times New Roman"/>
      <w:b/>
      <w:u w:val="single"/>
      <w:lang w:val="en-GB"/>
    </w:rPr>
  </w:style>
  <w:style w:type="paragraph" w:customStyle="1" w:styleId="Annexetitrefichefinancire">
    <w:name w:val="Annexe titre (fiche financière)"/>
    <w:basedOn w:val="Normln"/>
    <w:next w:val="Normln"/>
    <w:rsid w:val="004A55DB"/>
    <w:pPr>
      <w:jc w:val="center"/>
    </w:pPr>
    <w:rPr>
      <w:rFonts w:ascii="Times New Roman" w:eastAsiaTheme="minorHAnsi" w:hAnsi="Times New Roman"/>
      <w:b/>
      <w:u w:val="single"/>
      <w:lang w:val="en-GB"/>
    </w:rPr>
  </w:style>
  <w:style w:type="paragraph" w:customStyle="1" w:styleId="Applicationdirecte">
    <w:name w:val="Application directe"/>
    <w:basedOn w:val="Normln"/>
    <w:next w:val="Fait"/>
    <w:rsid w:val="004A55DB"/>
    <w:pPr>
      <w:spacing w:before="480"/>
    </w:pPr>
    <w:rPr>
      <w:rFonts w:ascii="Times New Roman" w:eastAsiaTheme="minorHAnsi" w:hAnsi="Times New Roman"/>
      <w:lang w:val="en-GB"/>
    </w:rPr>
  </w:style>
  <w:style w:type="paragraph" w:customStyle="1" w:styleId="Avertissementtitre">
    <w:name w:val="Avertissement titre"/>
    <w:basedOn w:val="Normln"/>
    <w:next w:val="Normln"/>
    <w:rsid w:val="004A55DB"/>
    <w:pPr>
      <w:keepNext/>
      <w:spacing w:before="480"/>
    </w:pPr>
    <w:rPr>
      <w:rFonts w:ascii="Times New Roman" w:eastAsiaTheme="minorHAnsi" w:hAnsi="Times New Roman"/>
      <w:u w:val="single"/>
      <w:lang w:val="en-GB"/>
    </w:rPr>
  </w:style>
  <w:style w:type="paragraph" w:customStyle="1" w:styleId="Confidence">
    <w:name w:val="Confidence"/>
    <w:basedOn w:val="Normln"/>
    <w:next w:val="Normln"/>
    <w:rsid w:val="004A55DB"/>
    <w:pPr>
      <w:spacing w:before="360"/>
      <w:jc w:val="center"/>
    </w:pPr>
    <w:rPr>
      <w:rFonts w:ascii="Times New Roman" w:eastAsiaTheme="minorHAnsi" w:hAnsi="Times New Roman"/>
      <w:lang w:val="en-GB"/>
    </w:rPr>
  </w:style>
  <w:style w:type="paragraph" w:customStyle="1" w:styleId="Considrant">
    <w:name w:val="Considérant"/>
    <w:basedOn w:val="Normln"/>
    <w:rsid w:val="004A55DB"/>
    <w:pPr>
      <w:numPr>
        <w:numId w:val="45"/>
      </w:numPr>
    </w:pPr>
    <w:rPr>
      <w:rFonts w:ascii="Times New Roman" w:eastAsiaTheme="minorHAnsi" w:hAnsi="Times New Roman"/>
      <w:lang w:val="en-GB"/>
    </w:rPr>
  </w:style>
  <w:style w:type="paragraph" w:customStyle="1" w:styleId="Corrigendum">
    <w:name w:val="Corrigendum"/>
    <w:basedOn w:val="Normln"/>
    <w:next w:val="Normln"/>
    <w:rsid w:val="004A55DB"/>
    <w:pPr>
      <w:spacing w:before="0" w:after="240"/>
      <w:jc w:val="left"/>
    </w:pPr>
    <w:rPr>
      <w:rFonts w:ascii="Times New Roman" w:eastAsiaTheme="minorHAnsi" w:hAnsi="Times New Roman"/>
      <w:lang w:val="en-GB"/>
    </w:rPr>
  </w:style>
  <w:style w:type="paragraph" w:customStyle="1" w:styleId="Datedadoption">
    <w:name w:val="Date d'adoption"/>
    <w:basedOn w:val="Normln"/>
    <w:next w:val="Titreobjet"/>
    <w:rsid w:val="004A55DB"/>
    <w:pPr>
      <w:spacing w:before="360" w:after="0"/>
      <w:jc w:val="center"/>
    </w:pPr>
    <w:rPr>
      <w:rFonts w:ascii="Times New Roman" w:eastAsiaTheme="minorHAnsi" w:hAnsi="Times New Roman"/>
      <w:b/>
      <w:lang w:val="en-GB"/>
    </w:rPr>
  </w:style>
  <w:style w:type="paragraph" w:customStyle="1" w:styleId="Emission">
    <w:name w:val="Emission"/>
    <w:basedOn w:val="Normln"/>
    <w:next w:val="Rfrenceinstitutionnelle"/>
    <w:rsid w:val="004A55DB"/>
    <w:pPr>
      <w:spacing w:before="0" w:after="0"/>
      <w:ind w:left="5103"/>
      <w:jc w:val="left"/>
    </w:pPr>
    <w:rPr>
      <w:rFonts w:ascii="Times New Roman" w:eastAsiaTheme="minorHAnsi" w:hAnsi="Times New Roman"/>
      <w:lang w:val="en-GB"/>
    </w:rPr>
  </w:style>
  <w:style w:type="paragraph" w:customStyle="1" w:styleId="Exposdesmotifstitre">
    <w:name w:val="Exposé des motifs titre"/>
    <w:basedOn w:val="Normln"/>
    <w:next w:val="Normln"/>
    <w:rsid w:val="004A55DB"/>
    <w:pPr>
      <w:jc w:val="center"/>
    </w:pPr>
    <w:rPr>
      <w:rFonts w:ascii="Times New Roman" w:eastAsiaTheme="minorHAnsi" w:hAnsi="Times New Roman"/>
      <w:b/>
      <w:u w:val="single"/>
      <w:lang w:val="en-GB"/>
    </w:rPr>
  </w:style>
  <w:style w:type="paragraph" w:customStyle="1" w:styleId="Fait">
    <w:name w:val="Fait à"/>
    <w:basedOn w:val="Normln"/>
    <w:next w:val="Institutionquisigne"/>
    <w:rsid w:val="004A55DB"/>
    <w:pPr>
      <w:keepNext/>
      <w:spacing w:after="0"/>
    </w:pPr>
    <w:rPr>
      <w:rFonts w:ascii="Times New Roman" w:eastAsiaTheme="minorHAnsi" w:hAnsi="Times New Roman"/>
      <w:lang w:val="en-GB"/>
    </w:rPr>
  </w:style>
  <w:style w:type="paragraph" w:customStyle="1" w:styleId="Formuledadoption">
    <w:name w:val="Formule d'adoption"/>
    <w:basedOn w:val="Normln"/>
    <w:next w:val="Titrearticle"/>
    <w:rsid w:val="004A55DB"/>
    <w:pPr>
      <w:keepNext/>
    </w:pPr>
    <w:rPr>
      <w:rFonts w:ascii="Times New Roman" w:eastAsiaTheme="minorHAnsi" w:hAnsi="Times New Roman"/>
      <w:lang w:val="en-GB"/>
    </w:rPr>
  </w:style>
  <w:style w:type="paragraph" w:customStyle="1" w:styleId="Institutionquiagit">
    <w:name w:val="Institution qui agit"/>
    <w:basedOn w:val="Normln"/>
    <w:next w:val="Normln"/>
    <w:rsid w:val="004A55DB"/>
    <w:pPr>
      <w:keepNext/>
      <w:spacing w:before="600"/>
    </w:pPr>
    <w:rPr>
      <w:rFonts w:ascii="Times New Roman" w:eastAsiaTheme="minorHAnsi" w:hAnsi="Times New Roman"/>
      <w:lang w:val="en-GB"/>
    </w:rPr>
  </w:style>
  <w:style w:type="paragraph" w:customStyle="1" w:styleId="Institutionquisigne">
    <w:name w:val="Institution qui signe"/>
    <w:basedOn w:val="Normln"/>
    <w:next w:val="Personnequisigne"/>
    <w:rsid w:val="004A55DB"/>
    <w:pPr>
      <w:keepNext/>
      <w:tabs>
        <w:tab w:val="left" w:pos="4252"/>
      </w:tabs>
      <w:spacing w:before="720" w:after="0"/>
    </w:pPr>
    <w:rPr>
      <w:rFonts w:ascii="Times New Roman" w:eastAsiaTheme="minorHAnsi" w:hAnsi="Times New Roman"/>
      <w:i/>
      <w:lang w:val="en-GB"/>
    </w:rPr>
  </w:style>
  <w:style w:type="paragraph" w:customStyle="1" w:styleId="Langue">
    <w:name w:val="Langue"/>
    <w:basedOn w:val="Normln"/>
    <w:next w:val="Rfrenceinterne"/>
    <w:rsid w:val="004A55DB"/>
    <w:pPr>
      <w:framePr w:wrap="around" w:vAnchor="page" w:hAnchor="text" w:xAlign="center" w:y="14741"/>
      <w:spacing w:before="0" w:after="600"/>
      <w:jc w:val="center"/>
    </w:pPr>
    <w:rPr>
      <w:rFonts w:ascii="Times New Roman" w:eastAsiaTheme="minorHAnsi" w:hAnsi="Times New Roman"/>
      <w:b/>
      <w:caps/>
      <w:lang w:val="en-GB"/>
    </w:rPr>
  </w:style>
  <w:style w:type="paragraph" w:customStyle="1" w:styleId="Nomdelinstitution">
    <w:name w:val="Nom de l'institution"/>
    <w:basedOn w:val="Normln"/>
    <w:next w:val="Emission"/>
    <w:rsid w:val="004A55DB"/>
    <w:pPr>
      <w:spacing w:before="0" w:after="0"/>
      <w:jc w:val="left"/>
    </w:pPr>
    <w:rPr>
      <w:rFonts w:ascii="Arial" w:eastAsiaTheme="minorHAnsi" w:hAnsi="Arial" w:cs="Arial"/>
      <w:lang w:val="en-GB"/>
    </w:rPr>
  </w:style>
  <w:style w:type="paragraph" w:customStyle="1" w:styleId="Personnequisigne">
    <w:name w:val="Personne qui signe"/>
    <w:basedOn w:val="Normln"/>
    <w:next w:val="Institutionquisigne"/>
    <w:rsid w:val="004A55DB"/>
    <w:pPr>
      <w:tabs>
        <w:tab w:val="left" w:pos="4252"/>
      </w:tabs>
      <w:spacing w:before="0" w:after="0"/>
      <w:jc w:val="left"/>
    </w:pPr>
    <w:rPr>
      <w:rFonts w:ascii="Times New Roman" w:eastAsiaTheme="minorHAnsi" w:hAnsi="Times New Roman"/>
      <w:i/>
      <w:lang w:val="en-GB"/>
    </w:rPr>
  </w:style>
  <w:style w:type="paragraph" w:customStyle="1" w:styleId="Rfrenceinstitutionnelle">
    <w:name w:val="Référence institutionnelle"/>
    <w:basedOn w:val="Normln"/>
    <w:next w:val="Confidentialit"/>
    <w:rsid w:val="004A55DB"/>
    <w:pPr>
      <w:spacing w:before="0" w:after="240"/>
      <w:ind w:left="5103"/>
      <w:jc w:val="left"/>
    </w:pPr>
    <w:rPr>
      <w:rFonts w:ascii="Times New Roman" w:eastAsiaTheme="minorHAnsi" w:hAnsi="Times New Roman"/>
      <w:lang w:val="en-GB"/>
    </w:rPr>
  </w:style>
  <w:style w:type="paragraph" w:customStyle="1" w:styleId="Rfrenceinterinstitutionnelle">
    <w:name w:val="Référence interinstitutionnelle"/>
    <w:basedOn w:val="Normln"/>
    <w:next w:val="Statut"/>
    <w:rsid w:val="004A55DB"/>
    <w:pPr>
      <w:spacing w:before="0" w:after="0"/>
      <w:ind w:left="5103"/>
      <w:jc w:val="left"/>
    </w:pPr>
    <w:rPr>
      <w:rFonts w:ascii="Times New Roman" w:eastAsiaTheme="minorHAnsi" w:hAnsi="Times New Roman"/>
      <w:lang w:val="en-GB"/>
    </w:rPr>
  </w:style>
  <w:style w:type="paragraph" w:customStyle="1" w:styleId="Rfrenceinterne">
    <w:name w:val="Référence interne"/>
    <w:basedOn w:val="Normln"/>
    <w:next w:val="Rfrenceinterinstitutionnelle"/>
    <w:rsid w:val="004A55DB"/>
    <w:pPr>
      <w:spacing w:before="0" w:after="0"/>
      <w:ind w:left="5103"/>
      <w:jc w:val="left"/>
    </w:pPr>
    <w:rPr>
      <w:rFonts w:ascii="Times New Roman" w:eastAsiaTheme="minorHAnsi" w:hAnsi="Times New Roman"/>
      <w:lang w:val="en-GB"/>
    </w:rPr>
  </w:style>
  <w:style w:type="paragraph" w:customStyle="1" w:styleId="Sous-titreobjet">
    <w:name w:val="Sous-titre objet"/>
    <w:basedOn w:val="Normln"/>
    <w:rsid w:val="004A55DB"/>
    <w:pPr>
      <w:spacing w:before="0" w:after="0"/>
      <w:jc w:val="center"/>
    </w:pPr>
    <w:rPr>
      <w:rFonts w:ascii="Times New Roman" w:eastAsiaTheme="minorHAnsi" w:hAnsi="Times New Roman"/>
      <w:b/>
      <w:lang w:val="en-GB"/>
    </w:rPr>
  </w:style>
  <w:style w:type="paragraph" w:customStyle="1" w:styleId="Statut">
    <w:name w:val="Statut"/>
    <w:basedOn w:val="Normln"/>
    <w:next w:val="Typedudocument"/>
    <w:rsid w:val="004A55DB"/>
    <w:pPr>
      <w:spacing w:before="360" w:after="0"/>
      <w:jc w:val="center"/>
    </w:pPr>
    <w:rPr>
      <w:rFonts w:ascii="Times New Roman" w:eastAsiaTheme="minorHAnsi" w:hAnsi="Times New Roman"/>
      <w:lang w:val="en-GB"/>
    </w:rPr>
  </w:style>
  <w:style w:type="paragraph" w:customStyle="1" w:styleId="Titrearticle">
    <w:name w:val="Titre article"/>
    <w:basedOn w:val="Normln"/>
    <w:next w:val="Normln"/>
    <w:rsid w:val="004A55DB"/>
    <w:pPr>
      <w:keepNext/>
      <w:spacing w:before="360"/>
      <w:jc w:val="center"/>
    </w:pPr>
    <w:rPr>
      <w:rFonts w:ascii="Times New Roman" w:eastAsiaTheme="minorHAnsi" w:hAnsi="Times New Roman"/>
      <w:i/>
      <w:lang w:val="en-GB"/>
    </w:rPr>
  </w:style>
  <w:style w:type="paragraph" w:customStyle="1" w:styleId="Titreobjet">
    <w:name w:val="Titre objet"/>
    <w:basedOn w:val="Normln"/>
    <w:next w:val="Sous-titreobjet"/>
    <w:rsid w:val="004A55DB"/>
    <w:pPr>
      <w:spacing w:before="180" w:after="180"/>
      <w:jc w:val="center"/>
    </w:pPr>
    <w:rPr>
      <w:rFonts w:ascii="Times New Roman" w:eastAsiaTheme="minorHAnsi" w:hAnsi="Times New Roman"/>
      <w:b/>
      <w:lang w:val="en-GB"/>
    </w:rPr>
  </w:style>
  <w:style w:type="character" w:customStyle="1" w:styleId="Added">
    <w:name w:val="Added"/>
    <w:basedOn w:val="Standardnpsmoodstavce"/>
    <w:rsid w:val="004A55DB"/>
    <w:rPr>
      <w:b/>
      <w:u w:val="single"/>
      <w:shd w:val="clear" w:color="auto" w:fill="auto"/>
    </w:rPr>
  </w:style>
  <w:style w:type="character" w:customStyle="1" w:styleId="Deleted">
    <w:name w:val="Deleted"/>
    <w:basedOn w:val="Standardnpsmoodstavce"/>
    <w:rsid w:val="004A55DB"/>
    <w:rPr>
      <w:strike/>
      <w:dstrike w:val="0"/>
      <w:shd w:val="clear" w:color="auto" w:fill="auto"/>
    </w:rPr>
  </w:style>
  <w:style w:type="paragraph" w:customStyle="1" w:styleId="Address0">
    <w:name w:val="Address"/>
    <w:basedOn w:val="Normln"/>
    <w:next w:val="Normln"/>
    <w:rsid w:val="004A55DB"/>
    <w:pPr>
      <w:keepLines/>
      <w:spacing w:line="360" w:lineRule="auto"/>
      <w:ind w:left="3402"/>
      <w:jc w:val="left"/>
    </w:pPr>
    <w:rPr>
      <w:rFonts w:ascii="Times New Roman" w:eastAsiaTheme="minorHAnsi" w:hAnsi="Times New Roman"/>
      <w:lang w:val="en-GB"/>
    </w:rPr>
  </w:style>
  <w:style w:type="paragraph" w:customStyle="1" w:styleId="Objetexterne">
    <w:name w:val="Objet externe"/>
    <w:basedOn w:val="Normln"/>
    <w:next w:val="Normln"/>
    <w:rsid w:val="004A55DB"/>
    <w:rPr>
      <w:rFonts w:ascii="Times New Roman" w:eastAsiaTheme="minorHAnsi" w:hAnsi="Times New Roman"/>
      <w:i/>
      <w:caps/>
      <w:lang w:val="en-GB"/>
    </w:rPr>
  </w:style>
  <w:style w:type="paragraph" w:customStyle="1" w:styleId="Supertitre">
    <w:name w:val="Supertitre"/>
    <w:basedOn w:val="Normln"/>
    <w:next w:val="Normln"/>
    <w:rsid w:val="004A55DB"/>
    <w:pPr>
      <w:spacing w:before="0" w:after="600"/>
      <w:jc w:val="center"/>
    </w:pPr>
    <w:rPr>
      <w:rFonts w:ascii="Times New Roman" w:eastAsiaTheme="minorHAnsi" w:hAnsi="Times New Roman"/>
      <w:b/>
      <w:lang w:val="en-GB"/>
    </w:rPr>
  </w:style>
  <w:style w:type="paragraph" w:customStyle="1" w:styleId="Languesfaisantfoi">
    <w:name w:val="Langues faisant foi"/>
    <w:basedOn w:val="Normln"/>
    <w:next w:val="Normln"/>
    <w:rsid w:val="004A55DB"/>
    <w:pPr>
      <w:spacing w:before="360" w:after="0"/>
      <w:jc w:val="center"/>
    </w:pPr>
    <w:rPr>
      <w:rFonts w:ascii="Times New Roman" w:eastAsiaTheme="minorHAnsi" w:hAnsi="Times New Roman"/>
      <w:lang w:val="en-GB"/>
    </w:rPr>
  </w:style>
  <w:style w:type="paragraph" w:customStyle="1" w:styleId="Rfrencecroise">
    <w:name w:val="Référence croisée"/>
    <w:basedOn w:val="Normln"/>
    <w:rsid w:val="004A55DB"/>
    <w:pPr>
      <w:spacing w:before="0" w:after="0"/>
      <w:jc w:val="center"/>
    </w:pPr>
    <w:rPr>
      <w:rFonts w:ascii="Times New Roman" w:eastAsiaTheme="minorHAnsi" w:hAnsi="Times New Roman"/>
      <w:lang w:val="en-GB"/>
    </w:rPr>
  </w:style>
  <w:style w:type="paragraph" w:customStyle="1" w:styleId="Fichefinanciretitre">
    <w:name w:val="Fiche financière titre"/>
    <w:basedOn w:val="Normln"/>
    <w:next w:val="Normln"/>
    <w:rsid w:val="004A55DB"/>
    <w:pPr>
      <w:jc w:val="center"/>
    </w:pPr>
    <w:rPr>
      <w:rFonts w:ascii="Times New Roman" w:eastAsiaTheme="minorHAnsi" w:hAnsi="Times New Roman"/>
      <w:b/>
      <w:u w:val="single"/>
      <w:lang w:val="en-GB"/>
    </w:rPr>
  </w:style>
  <w:style w:type="paragraph" w:customStyle="1" w:styleId="DatedadoptionPagedecouverture">
    <w:name w:val="Date d'adoption (Page de couverture)"/>
    <w:basedOn w:val="Datedadoption"/>
    <w:next w:val="TitreobjetPagedecouverture"/>
    <w:rsid w:val="004A55DB"/>
  </w:style>
  <w:style w:type="paragraph" w:customStyle="1" w:styleId="RfrenceinterinstitutionnellePagedecouverture">
    <w:name w:val="Référence interinstitutionnelle (Page de couverture)"/>
    <w:basedOn w:val="Rfrenceinterinstitutionnelle"/>
    <w:next w:val="Confidentialit"/>
    <w:rsid w:val="004A55DB"/>
  </w:style>
  <w:style w:type="paragraph" w:customStyle="1" w:styleId="Sous-titreobjetPagedecouverture">
    <w:name w:val="Sous-titre objet (Page de couverture)"/>
    <w:basedOn w:val="Sous-titreobjet"/>
    <w:rsid w:val="004A55DB"/>
  </w:style>
  <w:style w:type="paragraph" w:customStyle="1" w:styleId="StatutPagedecouverture">
    <w:name w:val="Statut (Page de couverture)"/>
    <w:basedOn w:val="Statut"/>
    <w:next w:val="TypedudocumentPagedecouverture"/>
    <w:rsid w:val="004A55DB"/>
  </w:style>
  <w:style w:type="paragraph" w:customStyle="1" w:styleId="TitreobjetPagedecouverture">
    <w:name w:val="Titre objet (Page de couverture)"/>
    <w:basedOn w:val="Titreobjet"/>
    <w:next w:val="Sous-titreobjetPagedecouverture"/>
    <w:rsid w:val="004A55DB"/>
  </w:style>
  <w:style w:type="paragraph" w:customStyle="1" w:styleId="TypedudocumentPagedecouverture">
    <w:name w:val="Type du document (Page de couverture)"/>
    <w:basedOn w:val="Typedudocument"/>
    <w:next w:val="TitreobjetPagedecouverture"/>
    <w:rsid w:val="004A55DB"/>
    <w:pPr>
      <w:spacing w:after="180"/>
    </w:pPr>
    <w:rPr>
      <w:rFonts w:eastAsiaTheme="minorHAnsi"/>
      <w:szCs w:val="22"/>
      <w:lang w:val="en-GB" w:eastAsia="en-US"/>
    </w:rPr>
  </w:style>
  <w:style w:type="paragraph" w:customStyle="1" w:styleId="Volume">
    <w:name w:val="Volume"/>
    <w:basedOn w:val="Normln"/>
    <w:next w:val="Confidentialit"/>
    <w:rsid w:val="004A55DB"/>
    <w:pPr>
      <w:spacing w:before="0" w:after="240"/>
      <w:ind w:left="5103"/>
      <w:jc w:val="left"/>
    </w:pPr>
    <w:rPr>
      <w:rFonts w:ascii="Times New Roman" w:eastAsiaTheme="minorHAnsi" w:hAnsi="Times New Roman"/>
      <w:lang w:val="en-GB"/>
    </w:rPr>
  </w:style>
  <w:style w:type="paragraph" w:customStyle="1" w:styleId="IntrtEEE">
    <w:name w:val="Intérêt EEE"/>
    <w:basedOn w:val="Languesfaisantfoi"/>
    <w:next w:val="Normln"/>
    <w:rsid w:val="004A55DB"/>
    <w:pPr>
      <w:spacing w:after="240"/>
    </w:pPr>
  </w:style>
  <w:style w:type="paragraph" w:customStyle="1" w:styleId="Accompagnant">
    <w:name w:val="Accompagnant"/>
    <w:basedOn w:val="Normln"/>
    <w:next w:val="Typeacteprincipal"/>
    <w:rsid w:val="004A55DB"/>
    <w:pPr>
      <w:spacing w:before="180" w:after="240"/>
      <w:jc w:val="center"/>
    </w:pPr>
    <w:rPr>
      <w:rFonts w:ascii="Times New Roman" w:eastAsiaTheme="minorHAnsi" w:hAnsi="Times New Roman"/>
      <w:b/>
      <w:lang w:val="en-GB"/>
    </w:rPr>
  </w:style>
  <w:style w:type="paragraph" w:customStyle="1" w:styleId="Typeacteprincipal">
    <w:name w:val="Type acte principal"/>
    <w:basedOn w:val="Normln"/>
    <w:next w:val="Objetacteprincipal"/>
    <w:rsid w:val="004A55DB"/>
    <w:pPr>
      <w:spacing w:before="0" w:after="240"/>
      <w:jc w:val="center"/>
    </w:pPr>
    <w:rPr>
      <w:rFonts w:ascii="Times New Roman" w:eastAsiaTheme="minorHAnsi" w:hAnsi="Times New Roman"/>
      <w:b/>
      <w:lang w:val="en-GB"/>
    </w:rPr>
  </w:style>
  <w:style w:type="paragraph" w:customStyle="1" w:styleId="Objetacteprincipal">
    <w:name w:val="Objet acte principal"/>
    <w:basedOn w:val="Normln"/>
    <w:next w:val="Titrearticle"/>
    <w:rsid w:val="004A55DB"/>
    <w:pPr>
      <w:spacing w:before="0" w:after="360"/>
      <w:jc w:val="center"/>
    </w:pPr>
    <w:rPr>
      <w:rFonts w:ascii="Times New Roman" w:eastAsiaTheme="minorHAnsi" w:hAnsi="Times New Roman"/>
      <w:b/>
      <w:lang w:val="en-GB"/>
    </w:rPr>
  </w:style>
  <w:style w:type="paragraph" w:customStyle="1" w:styleId="IntrtEEEPagedecouverture">
    <w:name w:val="Intérêt EEE (Page de couverture)"/>
    <w:basedOn w:val="IntrtEEE"/>
    <w:next w:val="Rfrencecroise"/>
    <w:rsid w:val="004A55DB"/>
  </w:style>
  <w:style w:type="paragraph" w:customStyle="1" w:styleId="AccompagnantPagedecouverture">
    <w:name w:val="Accompagnant (Page de couverture)"/>
    <w:basedOn w:val="Accompagnant"/>
    <w:next w:val="TypeacteprincipalPagedecouverture"/>
    <w:rsid w:val="004A55DB"/>
  </w:style>
  <w:style w:type="paragraph" w:customStyle="1" w:styleId="TypeacteprincipalPagedecouverture">
    <w:name w:val="Type acte principal (Page de couverture)"/>
    <w:basedOn w:val="Typeacteprincipal"/>
    <w:next w:val="ObjetacteprincipalPagedecouverture"/>
    <w:rsid w:val="004A55DB"/>
  </w:style>
  <w:style w:type="paragraph" w:customStyle="1" w:styleId="ObjetacteprincipalPagedecouverture">
    <w:name w:val="Objet acte principal (Page de couverture)"/>
    <w:basedOn w:val="Objetacteprincipal"/>
    <w:next w:val="Rfrencecroise"/>
    <w:rsid w:val="004A55DB"/>
  </w:style>
  <w:style w:type="paragraph" w:customStyle="1" w:styleId="LanguesfaisantfoiPagedecouverture">
    <w:name w:val="Langues faisant foi (Page de couverture)"/>
    <w:basedOn w:val="Normln"/>
    <w:next w:val="Normln"/>
    <w:rsid w:val="004A55DB"/>
    <w:pPr>
      <w:spacing w:before="360" w:after="0"/>
      <w:jc w:val="center"/>
    </w:pPr>
    <w:rPr>
      <w:rFonts w:ascii="Times New Roman" w:eastAsiaTheme="minorHAnsi" w:hAnsi="Times New Roman"/>
      <w:lang w:val="en-GB"/>
    </w:rPr>
  </w:style>
  <w:style w:type="character" w:customStyle="1" w:styleId="Corpsdutexte3">
    <w:name w:val="Corps du texte (3)_"/>
    <w:basedOn w:val="Standardnpsmoodstavce"/>
    <w:link w:val="Corpsdutexte30"/>
    <w:rsid w:val="004A55DB"/>
    <w:rPr>
      <w:sz w:val="23"/>
      <w:szCs w:val="23"/>
      <w:shd w:val="clear" w:color="auto" w:fill="FFFFFF"/>
    </w:rPr>
  </w:style>
  <w:style w:type="character" w:customStyle="1" w:styleId="Corpsdutexte">
    <w:name w:val="Corps du texte_"/>
    <w:basedOn w:val="Standardnpsmoodstavce"/>
    <w:rsid w:val="004A55DB"/>
    <w:rPr>
      <w:b w:val="0"/>
      <w:bCs w:val="0"/>
      <w:i w:val="0"/>
      <w:iCs w:val="0"/>
      <w:smallCaps w:val="0"/>
      <w:strike w:val="0"/>
      <w:sz w:val="23"/>
      <w:szCs w:val="23"/>
      <w:u w:val="none"/>
    </w:rPr>
  </w:style>
  <w:style w:type="character" w:customStyle="1" w:styleId="En-tteoupieddepage">
    <w:name w:val="En-tête ou pied de page_"/>
    <w:basedOn w:val="Standardnpsmoodstavce"/>
    <w:link w:val="En-tteoupieddepage0"/>
    <w:rsid w:val="004A55DB"/>
    <w:rPr>
      <w:shd w:val="clear" w:color="auto" w:fill="FFFFFF"/>
    </w:rPr>
  </w:style>
  <w:style w:type="character" w:customStyle="1" w:styleId="En-tte2">
    <w:name w:val="En-tête #2_"/>
    <w:basedOn w:val="Standardnpsmoodstavce"/>
    <w:rsid w:val="004A55DB"/>
    <w:rPr>
      <w:b w:val="0"/>
      <w:bCs w:val="0"/>
      <w:i w:val="0"/>
      <w:iCs w:val="0"/>
      <w:smallCaps w:val="0"/>
      <w:strike w:val="0"/>
      <w:sz w:val="23"/>
      <w:szCs w:val="23"/>
      <w:u w:val="none"/>
    </w:rPr>
  </w:style>
  <w:style w:type="character" w:customStyle="1" w:styleId="Corpsdutexte4">
    <w:name w:val="Corps du texte (4)_"/>
    <w:basedOn w:val="Standardnpsmoodstavce"/>
    <w:link w:val="Corpsdutexte40"/>
    <w:rsid w:val="004A55DB"/>
    <w:rPr>
      <w:rFonts w:ascii="Arial" w:eastAsia="Arial" w:hAnsi="Arial" w:cs="Arial"/>
      <w:sz w:val="16"/>
      <w:szCs w:val="16"/>
      <w:shd w:val="clear" w:color="auto" w:fill="FFFFFF"/>
    </w:rPr>
  </w:style>
  <w:style w:type="character" w:customStyle="1" w:styleId="En-tteoupieddepageArial">
    <w:name w:val="En-tête ou pied de page + Arial"/>
    <w:aliases w:val="8 pt"/>
    <w:basedOn w:val="En-tteoupieddepage"/>
    <w:rsid w:val="004A55DB"/>
    <w:rPr>
      <w:rFonts w:ascii="Arial" w:eastAsia="Arial" w:hAnsi="Arial" w:cs="Arial"/>
      <w:color w:val="000000"/>
      <w:spacing w:val="0"/>
      <w:w w:val="100"/>
      <w:position w:val="0"/>
      <w:sz w:val="16"/>
      <w:szCs w:val="16"/>
      <w:shd w:val="clear" w:color="auto" w:fill="FFFFFF"/>
      <w:lang w:val="bg"/>
    </w:rPr>
  </w:style>
  <w:style w:type="character" w:customStyle="1" w:styleId="En-tte1">
    <w:name w:val="En-tête #1_"/>
    <w:basedOn w:val="Standardnpsmoodstavce"/>
    <w:rsid w:val="004A55DB"/>
    <w:rPr>
      <w:b w:val="0"/>
      <w:bCs w:val="0"/>
      <w:i w:val="0"/>
      <w:iCs w:val="0"/>
      <w:smallCaps w:val="0"/>
      <w:strike w:val="0"/>
      <w:sz w:val="26"/>
      <w:szCs w:val="26"/>
      <w:u w:val="none"/>
    </w:rPr>
  </w:style>
  <w:style w:type="character" w:customStyle="1" w:styleId="Corpsdutexte8">
    <w:name w:val="Corps du texte (8)_"/>
    <w:basedOn w:val="Standardnpsmoodstavce"/>
    <w:link w:val="Corpsdutexte80"/>
    <w:rsid w:val="004A55DB"/>
    <w:rPr>
      <w:sz w:val="23"/>
      <w:szCs w:val="23"/>
      <w:shd w:val="clear" w:color="auto" w:fill="FFFFFF"/>
    </w:rPr>
  </w:style>
  <w:style w:type="character" w:customStyle="1" w:styleId="Corpsdutexte7">
    <w:name w:val="Corps du texte (7)_"/>
    <w:basedOn w:val="Standardnpsmoodstavce"/>
    <w:link w:val="Corpsdutexte70"/>
    <w:rsid w:val="004A55DB"/>
    <w:rPr>
      <w:sz w:val="23"/>
      <w:szCs w:val="23"/>
      <w:shd w:val="clear" w:color="auto" w:fill="FFFFFF"/>
    </w:rPr>
  </w:style>
  <w:style w:type="character" w:customStyle="1" w:styleId="Corpsdutexte8NonPetitesmajuscules">
    <w:name w:val="Corps du texte (8) + Non Petites majuscules"/>
    <w:basedOn w:val="Corpsdutexte8"/>
    <w:rsid w:val="004A55DB"/>
    <w:rPr>
      <w:rFonts w:ascii="Times New Roman" w:eastAsia="Times New Roman" w:hAnsi="Times New Roman" w:cs="Times New Roman"/>
      <w:smallCaps/>
      <w:color w:val="000000"/>
      <w:spacing w:val="0"/>
      <w:w w:val="100"/>
      <w:position w:val="0"/>
      <w:sz w:val="23"/>
      <w:szCs w:val="23"/>
      <w:shd w:val="clear" w:color="auto" w:fill="FFFFFF"/>
      <w:lang w:val="en-US"/>
    </w:rPr>
  </w:style>
  <w:style w:type="character" w:customStyle="1" w:styleId="Corpsdutexte0">
    <w:name w:val="Corps du texte"/>
    <w:basedOn w:val="Corpsdutexte"/>
    <w:rsid w:val="004A55D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CorpsdutexteGras">
    <w:name w:val="Corps du texte + Gras"/>
    <w:aliases w:val="Italique,En-tête #1 + 13.5 pt,Non Petites majuscules,Espacement 1 pt"/>
    <w:basedOn w:val="Corpsdutexte"/>
    <w:rsid w:val="004A55DB"/>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En-tte20">
    <w:name w:val="En-tête #2"/>
    <w:basedOn w:val="En-tte2"/>
    <w:rsid w:val="004A55D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En-tte2Italique">
    <w:name w:val="En-tête #2 + Italique"/>
    <w:basedOn w:val="En-tte2"/>
    <w:rsid w:val="004A55DB"/>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En-tte23">
    <w:name w:val="En-tête #2 (3)_"/>
    <w:basedOn w:val="Standardnpsmoodstavce"/>
    <w:link w:val="En-tte230"/>
    <w:rsid w:val="004A55DB"/>
    <w:rPr>
      <w:sz w:val="23"/>
      <w:szCs w:val="23"/>
      <w:shd w:val="clear" w:color="auto" w:fill="FFFFFF"/>
    </w:rPr>
  </w:style>
  <w:style w:type="character" w:customStyle="1" w:styleId="En-tte23Italique">
    <w:name w:val="En-tête #2 (3) + Italique"/>
    <w:basedOn w:val="En-tte23"/>
    <w:rsid w:val="004A55DB"/>
    <w:rPr>
      <w:rFonts w:ascii="Times New Roman" w:eastAsia="Times New Roman" w:hAnsi="Times New Roman" w:cs="Times New Roman"/>
      <w:i/>
      <w:iCs/>
      <w:color w:val="000000"/>
      <w:spacing w:val="0"/>
      <w:w w:val="100"/>
      <w:position w:val="0"/>
      <w:sz w:val="23"/>
      <w:szCs w:val="23"/>
      <w:shd w:val="clear" w:color="auto" w:fill="FFFFFF"/>
      <w:lang w:val="en-US"/>
    </w:rPr>
  </w:style>
  <w:style w:type="character" w:customStyle="1" w:styleId="En-tte23Gras">
    <w:name w:val="En-tête #2 (3) + Gras"/>
    <w:basedOn w:val="En-tte23"/>
    <w:rsid w:val="004A55DB"/>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Corpsdutexte3NonItalique">
    <w:name w:val="Corps du texte (3) + Non Italique"/>
    <w:basedOn w:val="Corpsdutexte3"/>
    <w:rsid w:val="004A55DB"/>
    <w:rPr>
      <w:rFonts w:ascii="Times New Roman" w:eastAsia="Times New Roman" w:hAnsi="Times New Roman" w:cs="Times New Roman"/>
      <w:i/>
      <w:iCs/>
      <w:color w:val="000000"/>
      <w:spacing w:val="0"/>
      <w:w w:val="100"/>
      <w:position w:val="0"/>
      <w:sz w:val="23"/>
      <w:szCs w:val="23"/>
      <w:shd w:val="clear" w:color="auto" w:fill="FFFFFF"/>
      <w:lang w:val="en-US"/>
    </w:rPr>
  </w:style>
  <w:style w:type="character" w:customStyle="1" w:styleId="En-tte10">
    <w:name w:val="En-tête #1"/>
    <w:basedOn w:val="En-tte1"/>
    <w:rsid w:val="004A55DB"/>
    <w:rPr>
      <w:rFonts w:ascii="Times New Roman" w:eastAsia="Times New Roman" w:hAnsi="Times New Roman" w:cs="Times New Roman"/>
      <w:b w:val="0"/>
      <w:bCs w:val="0"/>
      <w:i w:val="0"/>
      <w:iCs w:val="0"/>
      <w:smallCaps w:val="0"/>
      <w:strike w:val="0"/>
      <w:color w:val="548DD4"/>
      <w:spacing w:val="0"/>
      <w:w w:val="100"/>
      <w:position w:val="0"/>
      <w:sz w:val="26"/>
      <w:szCs w:val="26"/>
      <w:u w:val="none"/>
      <w:lang w:val="en-US"/>
    </w:rPr>
  </w:style>
  <w:style w:type="character" w:customStyle="1" w:styleId="CorpsdutexteItalique">
    <w:name w:val="Corps du texte + Italique"/>
    <w:basedOn w:val="Corpsdutexte"/>
    <w:rsid w:val="004A55DB"/>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paragraph" w:customStyle="1" w:styleId="Corpsdutexte30">
    <w:name w:val="Corps du texte (3)"/>
    <w:basedOn w:val="Normln"/>
    <w:link w:val="Corpsdutexte3"/>
    <w:rsid w:val="004A55DB"/>
    <w:pPr>
      <w:widowControl w:val="0"/>
      <w:shd w:val="clear" w:color="auto" w:fill="FFFFFF"/>
      <w:spacing w:before="300" w:after="180" w:line="274" w:lineRule="exact"/>
      <w:ind w:hanging="280"/>
    </w:pPr>
    <w:rPr>
      <w:rFonts w:ascii="Calibri" w:hAnsi="Calibri"/>
      <w:sz w:val="23"/>
      <w:szCs w:val="23"/>
    </w:rPr>
  </w:style>
  <w:style w:type="paragraph" w:customStyle="1" w:styleId="En-tteoupieddepage0">
    <w:name w:val="En-tête ou pied de page"/>
    <w:basedOn w:val="Normln"/>
    <w:link w:val="En-tteoupieddepage"/>
    <w:rsid w:val="004A55DB"/>
    <w:pPr>
      <w:widowControl w:val="0"/>
      <w:shd w:val="clear" w:color="auto" w:fill="FFFFFF"/>
      <w:spacing w:before="0" w:after="0"/>
      <w:jc w:val="left"/>
    </w:pPr>
    <w:rPr>
      <w:rFonts w:ascii="Calibri" w:hAnsi="Calibri"/>
      <w:sz w:val="20"/>
      <w:szCs w:val="20"/>
    </w:rPr>
  </w:style>
  <w:style w:type="paragraph" w:customStyle="1" w:styleId="Corpsdutexte40">
    <w:name w:val="Corps du texte (4)"/>
    <w:basedOn w:val="Normln"/>
    <w:link w:val="Corpsdutexte4"/>
    <w:rsid w:val="004A55DB"/>
    <w:pPr>
      <w:widowControl w:val="0"/>
      <w:shd w:val="clear" w:color="auto" w:fill="FFFFFF"/>
      <w:spacing w:before="0" w:after="0" w:line="0" w:lineRule="atLeast"/>
      <w:jc w:val="left"/>
    </w:pPr>
    <w:rPr>
      <w:rFonts w:ascii="Arial" w:eastAsia="Arial" w:hAnsi="Arial" w:cs="Arial"/>
      <w:sz w:val="16"/>
      <w:szCs w:val="16"/>
    </w:rPr>
  </w:style>
  <w:style w:type="paragraph" w:customStyle="1" w:styleId="Corpsdutexte80">
    <w:name w:val="Corps du texte (8)"/>
    <w:basedOn w:val="Normln"/>
    <w:link w:val="Corpsdutexte8"/>
    <w:rsid w:val="004A55DB"/>
    <w:pPr>
      <w:widowControl w:val="0"/>
      <w:shd w:val="clear" w:color="auto" w:fill="FFFFFF"/>
      <w:spacing w:before="540" w:after="300" w:line="0" w:lineRule="atLeast"/>
      <w:ind w:hanging="700"/>
    </w:pPr>
    <w:rPr>
      <w:rFonts w:ascii="Calibri" w:hAnsi="Calibri"/>
      <w:sz w:val="23"/>
      <w:szCs w:val="23"/>
    </w:rPr>
  </w:style>
  <w:style w:type="paragraph" w:customStyle="1" w:styleId="Corpsdutexte70">
    <w:name w:val="Corps du texte (7)"/>
    <w:basedOn w:val="Normln"/>
    <w:link w:val="Corpsdutexte7"/>
    <w:rsid w:val="004A55DB"/>
    <w:pPr>
      <w:widowControl w:val="0"/>
      <w:shd w:val="clear" w:color="auto" w:fill="FFFFFF"/>
      <w:spacing w:before="0" w:after="0" w:line="274" w:lineRule="exact"/>
      <w:ind w:hanging="280"/>
      <w:jc w:val="left"/>
    </w:pPr>
    <w:rPr>
      <w:rFonts w:ascii="Calibri" w:hAnsi="Calibri"/>
      <w:sz w:val="23"/>
      <w:szCs w:val="23"/>
    </w:rPr>
  </w:style>
  <w:style w:type="paragraph" w:customStyle="1" w:styleId="En-tte230">
    <w:name w:val="En-tête #2 (3)"/>
    <w:basedOn w:val="Normln"/>
    <w:link w:val="En-tte23"/>
    <w:rsid w:val="004A55DB"/>
    <w:pPr>
      <w:widowControl w:val="0"/>
      <w:shd w:val="clear" w:color="auto" w:fill="FFFFFF"/>
      <w:spacing w:before="0" w:after="0" w:line="523" w:lineRule="exact"/>
      <w:jc w:val="left"/>
      <w:outlineLvl w:val="1"/>
    </w:pPr>
    <w:rPr>
      <w:rFonts w:ascii="Calibri" w:hAnsi="Calibri"/>
      <w:sz w:val="23"/>
      <w:szCs w:val="23"/>
    </w:rPr>
  </w:style>
  <w:style w:type="paragraph" w:styleId="Seznamsodrkami4">
    <w:name w:val="List Bullet 4"/>
    <w:aliases w:val="Seznam s odrážkami A 4"/>
    <w:basedOn w:val="Text4"/>
    <w:uiPriority w:val="10"/>
    <w:qFormat/>
    <w:rsid w:val="004A55DB"/>
    <w:pPr>
      <w:numPr>
        <w:numId w:val="54"/>
      </w:numPr>
      <w:spacing w:before="0" w:after="240"/>
    </w:pPr>
    <w:rPr>
      <w:rFonts w:eastAsia="Times New Roman"/>
      <w:szCs w:val="20"/>
    </w:rPr>
  </w:style>
  <w:style w:type="paragraph" w:customStyle="1" w:styleId="Contact">
    <w:name w:val="Contact"/>
    <w:basedOn w:val="Normln"/>
    <w:next w:val="Normln"/>
    <w:rsid w:val="004A55DB"/>
    <w:pPr>
      <w:spacing w:before="480" w:after="0"/>
      <w:ind w:left="567" w:hanging="567"/>
      <w:jc w:val="left"/>
    </w:pPr>
    <w:rPr>
      <w:rFonts w:ascii="Times New Roman" w:eastAsia="Times New Roman" w:hAnsi="Times New Roman"/>
      <w:szCs w:val="20"/>
      <w:lang w:val="en-GB"/>
    </w:rPr>
  </w:style>
  <w:style w:type="paragraph" w:customStyle="1" w:styleId="ListBullet1">
    <w:name w:val="List Bullet 1"/>
    <w:basedOn w:val="Text1"/>
    <w:rsid w:val="004A55DB"/>
    <w:pPr>
      <w:numPr>
        <w:numId w:val="53"/>
      </w:numPr>
      <w:spacing w:before="0" w:after="240"/>
    </w:pPr>
    <w:rPr>
      <w:lang w:val="en-GB"/>
    </w:rPr>
  </w:style>
  <w:style w:type="paragraph" w:customStyle="1" w:styleId="ListDash">
    <w:name w:val="List Dash"/>
    <w:basedOn w:val="Normln"/>
    <w:rsid w:val="004A55DB"/>
    <w:pPr>
      <w:numPr>
        <w:numId w:val="55"/>
      </w:numPr>
      <w:spacing w:before="0" w:after="240"/>
    </w:pPr>
    <w:rPr>
      <w:rFonts w:ascii="Times New Roman" w:eastAsia="Times New Roman" w:hAnsi="Times New Roman"/>
      <w:szCs w:val="20"/>
      <w:lang w:val="en-GB"/>
    </w:rPr>
  </w:style>
  <w:style w:type="paragraph" w:customStyle="1" w:styleId="ListDash1">
    <w:name w:val="List Dash 1"/>
    <w:basedOn w:val="Text1"/>
    <w:rsid w:val="004A55DB"/>
    <w:pPr>
      <w:numPr>
        <w:numId w:val="56"/>
      </w:numPr>
      <w:spacing w:before="0" w:after="240"/>
    </w:pPr>
    <w:rPr>
      <w:lang w:val="en-GB"/>
    </w:rPr>
  </w:style>
  <w:style w:type="paragraph" w:customStyle="1" w:styleId="ListDash2">
    <w:name w:val="List Dash 2"/>
    <w:basedOn w:val="Text2"/>
    <w:rsid w:val="004A55DB"/>
    <w:pPr>
      <w:numPr>
        <w:numId w:val="57"/>
      </w:numPr>
      <w:spacing w:before="0" w:after="240"/>
    </w:pPr>
    <w:rPr>
      <w:rFonts w:eastAsia="Times New Roman"/>
      <w:szCs w:val="20"/>
    </w:rPr>
  </w:style>
  <w:style w:type="paragraph" w:customStyle="1" w:styleId="ListDash3">
    <w:name w:val="List Dash 3"/>
    <w:basedOn w:val="Text3"/>
    <w:rsid w:val="004A55DB"/>
    <w:pPr>
      <w:numPr>
        <w:numId w:val="58"/>
      </w:numPr>
      <w:spacing w:before="0" w:after="240"/>
    </w:pPr>
    <w:rPr>
      <w:rFonts w:eastAsia="Times New Roman"/>
      <w:szCs w:val="20"/>
    </w:rPr>
  </w:style>
  <w:style w:type="paragraph" w:customStyle="1" w:styleId="ListDash4">
    <w:name w:val="List Dash 4"/>
    <w:basedOn w:val="Text4"/>
    <w:rsid w:val="004A55DB"/>
    <w:pPr>
      <w:numPr>
        <w:numId w:val="59"/>
      </w:numPr>
      <w:spacing w:before="0" w:after="240"/>
    </w:pPr>
    <w:rPr>
      <w:rFonts w:eastAsia="Times New Roman"/>
      <w:szCs w:val="20"/>
    </w:rPr>
  </w:style>
  <w:style w:type="paragraph" w:customStyle="1" w:styleId="ListNumber1">
    <w:name w:val="List Number 1"/>
    <w:basedOn w:val="Text1"/>
    <w:rsid w:val="004A55DB"/>
    <w:pPr>
      <w:numPr>
        <w:numId w:val="60"/>
      </w:numPr>
      <w:spacing w:before="0" w:after="240"/>
    </w:pPr>
    <w:rPr>
      <w:lang w:val="en-GB"/>
    </w:rPr>
  </w:style>
  <w:style w:type="paragraph" w:customStyle="1" w:styleId="ListNumberLevel2">
    <w:name w:val="List Number (Level 2)"/>
    <w:basedOn w:val="Normln"/>
    <w:rsid w:val="004A55DB"/>
    <w:pPr>
      <w:tabs>
        <w:tab w:val="num" w:pos="1417"/>
      </w:tabs>
      <w:spacing w:before="0" w:after="240"/>
      <w:ind w:left="1417" w:hanging="708"/>
    </w:pPr>
    <w:rPr>
      <w:rFonts w:ascii="Times New Roman" w:eastAsia="Times New Roman" w:hAnsi="Times New Roman"/>
      <w:szCs w:val="20"/>
      <w:lang w:val="en-GB"/>
    </w:rPr>
  </w:style>
  <w:style w:type="paragraph" w:customStyle="1" w:styleId="ListNumber1Level2">
    <w:name w:val="List Number 1 (Level 2)"/>
    <w:basedOn w:val="Text1"/>
    <w:rsid w:val="004A55DB"/>
    <w:pPr>
      <w:numPr>
        <w:ilvl w:val="1"/>
        <w:numId w:val="60"/>
      </w:numPr>
      <w:spacing w:before="0" w:after="240"/>
    </w:pPr>
    <w:rPr>
      <w:lang w:val="en-GB"/>
    </w:rPr>
  </w:style>
  <w:style w:type="paragraph" w:customStyle="1" w:styleId="ListNumber2Level2">
    <w:name w:val="List Number 2 (Level 2)"/>
    <w:basedOn w:val="Text2"/>
    <w:rsid w:val="004A55DB"/>
    <w:pPr>
      <w:tabs>
        <w:tab w:val="num" w:pos="2494"/>
      </w:tabs>
      <w:spacing w:before="0" w:after="240"/>
      <w:ind w:left="2494" w:hanging="708"/>
    </w:pPr>
    <w:rPr>
      <w:rFonts w:eastAsia="Times New Roman"/>
      <w:szCs w:val="20"/>
    </w:rPr>
  </w:style>
  <w:style w:type="paragraph" w:customStyle="1" w:styleId="ListNumber3Level2">
    <w:name w:val="List Number 3 (Level 2)"/>
    <w:basedOn w:val="Text3"/>
    <w:rsid w:val="004A55DB"/>
    <w:pPr>
      <w:tabs>
        <w:tab w:val="num" w:pos="3333"/>
      </w:tabs>
      <w:spacing w:before="0" w:after="240"/>
      <w:ind w:left="3333" w:hanging="708"/>
    </w:pPr>
    <w:rPr>
      <w:rFonts w:eastAsia="Times New Roman"/>
      <w:szCs w:val="20"/>
    </w:rPr>
  </w:style>
  <w:style w:type="paragraph" w:customStyle="1" w:styleId="ListNumber4Level2">
    <w:name w:val="List Number 4 (Level 2)"/>
    <w:basedOn w:val="Text4"/>
    <w:rsid w:val="004A55DB"/>
    <w:pPr>
      <w:tabs>
        <w:tab w:val="num" w:pos="4297"/>
      </w:tabs>
      <w:spacing w:before="0" w:after="240"/>
      <w:ind w:left="4297" w:hanging="708"/>
    </w:pPr>
    <w:rPr>
      <w:rFonts w:eastAsia="Times New Roman"/>
      <w:szCs w:val="20"/>
    </w:rPr>
  </w:style>
  <w:style w:type="paragraph" w:customStyle="1" w:styleId="ListNumberLevel3">
    <w:name w:val="List Number (Level 3)"/>
    <w:basedOn w:val="Normln"/>
    <w:rsid w:val="004A55DB"/>
    <w:pPr>
      <w:tabs>
        <w:tab w:val="num" w:pos="2126"/>
      </w:tabs>
      <w:spacing w:before="0" w:after="240"/>
      <w:ind w:left="2126" w:hanging="709"/>
    </w:pPr>
    <w:rPr>
      <w:rFonts w:ascii="Times New Roman" w:eastAsia="Times New Roman" w:hAnsi="Times New Roman"/>
      <w:szCs w:val="20"/>
      <w:lang w:val="en-GB"/>
    </w:rPr>
  </w:style>
  <w:style w:type="paragraph" w:customStyle="1" w:styleId="ListNumber1Level3">
    <w:name w:val="List Number 1 (Level 3)"/>
    <w:basedOn w:val="Text1"/>
    <w:rsid w:val="004A55DB"/>
    <w:pPr>
      <w:numPr>
        <w:ilvl w:val="2"/>
        <w:numId w:val="60"/>
      </w:numPr>
      <w:spacing w:before="0" w:after="240"/>
    </w:pPr>
    <w:rPr>
      <w:lang w:val="en-GB"/>
    </w:rPr>
  </w:style>
  <w:style w:type="paragraph" w:customStyle="1" w:styleId="ListNumber2Level3">
    <w:name w:val="List Number 2 (Level 3)"/>
    <w:basedOn w:val="Text2"/>
    <w:rsid w:val="004A55DB"/>
    <w:pPr>
      <w:tabs>
        <w:tab w:val="num" w:pos="3203"/>
      </w:tabs>
      <w:spacing w:before="0" w:after="240"/>
      <w:ind w:left="3203" w:hanging="709"/>
    </w:pPr>
    <w:rPr>
      <w:rFonts w:eastAsia="Times New Roman"/>
      <w:szCs w:val="20"/>
    </w:rPr>
  </w:style>
  <w:style w:type="paragraph" w:customStyle="1" w:styleId="ListNumber3Level3">
    <w:name w:val="List Number 3 (Level 3)"/>
    <w:basedOn w:val="Text3"/>
    <w:rsid w:val="004A55DB"/>
    <w:pPr>
      <w:tabs>
        <w:tab w:val="num" w:pos="4042"/>
      </w:tabs>
      <w:spacing w:before="0" w:after="240"/>
      <w:ind w:left="4042" w:hanging="709"/>
    </w:pPr>
    <w:rPr>
      <w:rFonts w:eastAsia="Times New Roman"/>
      <w:szCs w:val="20"/>
    </w:rPr>
  </w:style>
  <w:style w:type="paragraph" w:customStyle="1" w:styleId="ListNumber4Level3">
    <w:name w:val="List Number 4 (Level 3)"/>
    <w:basedOn w:val="Text4"/>
    <w:rsid w:val="004A55DB"/>
    <w:pPr>
      <w:tabs>
        <w:tab w:val="num" w:pos="5006"/>
      </w:tabs>
      <w:spacing w:before="0" w:after="240"/>
      <w:ind w:left="5006" w:hanging="709"/>
    </w:pPr>
    <w:rPr>
      <w:rFonts w:eastAsia="Times New Roman"/>
      <w:szCs w:val="20"/>
    </w:rPr>
  </w:style>
  <w:style w:type="paragraph" w:customStyle="1" w:styleId="ListNumberLevel4">
    <w:name w:val="List Number (Level 4)"/>
    <w:basedOn w:val="Normln"/>
    <w:rsid w:val="004A55DB"/>
    <w:pPr>
      <w:tabs>
        <w:tab w:val="num" w:pos="2835"/>
      </w:tabs>
      <w:spacing w:before="0" w:after="240"/>
      <w:ind w:left="2835" w:hanging="709"/>
    </w:pPr>
    <w:rPr>
      <w:rFonts w:ascii="Times New Roman" w:eastAsia="Times New Roman" w:hAnsi="Times New Roman"/>
      <w:szCs w:val="20"/>
      <w:lang w:val="en-GB"/>
    </w:rPr>
  </w:style>
  <w:style w:type="paragraph" w:customStyle="1" w:styleId="ListNumber1Level4">
    <w:name w:val="List Number 1 (Level 4)"/>
    <w:basedOn w:val="Text1"/>
    <w:rsid w:val="004A55DB"/>
    <w:pPr>
      <w:numPr>
        <w:ilvl w:val="3"/>
        <w:numId w:val="60"/>
      </w:numPr>
      <w:spacing w:before="0" w:after="240"/>
    </w:pPr>
    <w:rPr>
      <w:lang w:val="en-GB"/>
    </w:rPr>
  </w:style>
  <w:style w:type="paragraph" w:customStyle="1" w:styleId="ListNumber2Level4">
    <w:name w:val="List Number 2 (Level 4)"/>
    <w:basedOn w:val="Text2"/>
    <w:rsid w:val="004A55DB"/>
    <w:pPr>
      <w:tabs>
        <w:tab w:val="num" w:pos="3912"/>
      </w:tabs>
      <w:spacing w:before="0" w:after="240"/>
      <w:ind w:left="3912" w:hanging="709"/>
    </w:pPr>
    <w:rPr>
      <w:rFonts w:eastAsia="Times New Roman"/>
      <w:szCs w:val="20"/>
    </w:rPr>
  </w:style>
  <w:style w:type="paragraph" w:customStyle="1" w:styleId="ListNumber3Level4">
    <w:name w:val="List Number 3 (Level 4)"/>
    <w:basedOn w:val="Text3"/>
    <w:rsid w:val="004A55DB"/>
    <w:pPr>
      <w:tabs>
        <w:tab w:val="num" w:pos="4751"/>
      </w:tabs>
      <w:spacing w:before="0" w:after="240"/>
      <w:ind w:left="4751" w:hanging="709"/>
    </w:pPr>
    <w:rPr>
      <w:rFonts w:eastAsia="Times New Roman"/>
      <w:szCs w:val="20"/>
    </w:rPr>
  </w:style>
  <w:style w:type="paragraph" w:customStyle="1" w:styleId="ListNumber4Level4">
    <w:name w:val="List Number 4 (Level 4)"/>
    <w:basedOn w:val="Text4"/>
    <w:rsid w:val="004A55DB"/>
    <w:pPr>
      <w:tabs>
        <w:tab w:val="num" w:pos="5715"/>
      </w:tabs>
      <w:spacing w:before="0" w:after="240"/>
      <w:ind w:left="5715" w:hanging="709"/>
    </w:pPr>
    <w:rPr>
      <w:rFonts w:eastAsia="Times New Roman"/>
      <w:szCs w:val="20"/>
    </w:rPr>
  </w:style>
  <w:style w:type="paragraph" w:customStyle="1" w:styleId="Tabberschrift">
    <w:name w:val="Tab_Überschrift"/>
    <w:basedOn w:val="Normln"/>
    <w:next w:val="Normln"/>
    <w:rsid w:val="004A55DB"/>
    <w:pPr>
      <w:keepNext/>
      <w:spacing w:after="240" w:line="312" w:lineRule="atLeast"/>
      <w:ind w:left="1843" w:hanging="1843"/>
      <w:jc w:val="left"/>
    </w:pPr>
    <w:rPr>
      <w:rFonts w:ascii="Arial" w:eastAsia="Times New Roman" w:hAnsi="Arial"/>
      <w:szCs w:val="20"/>
      <w:lang w:val="en-GB" w:eastAsia="de-DE"/>
    </w:rPr>
  </w:style>
  <w:style w:type="paragraph" w:customStyle="1" w:styleId="SUPERSCharChar">
    <w:name w:val="SUPERS Char Char"/>
    <w:aliases w:val="Footnote number Char Char,Footnote Char Char,Footnote symbol Char Char,Ref Char Char,de nota al pie Char Char,de nota al pi... Char Char Char Char Char Char Char Char,Voetnootverwijzing Char Char"/>
    <w:basedOn w:val="Normln"/>
    <w:link w:val="Znakapoznpodarou"/>
    <w:uiPriority w:val="99"/>
    <w:rsid w:val="004A55DB"/>
    <w:pPr>
      <w:spacing w:before="0" w:after="160" w:line="240" w:lineRule="exact"/>
      <w:jc w:val="left"/>
    </w:pPr>
    <w:rPr>
      <w:rFonts w:ascii="Calibri" w:hAnsi="Calibri"/>
      <w:sz w:val="20"/>
      <w:szCs w:val="20"/>
      <w:vertAlign w:val="superscript"/>
    </w:rPr>
  </w:style>
  <w:style w:type="character" w:customStyle="1" w:styleId="SourceCar">
    <w:name w:val="Source Car"/>
    <w:basedOn w:val="Standardnpsmoodstavce"/>
    <w:link w:val="Source"/>
    <w:rsid w:val="004A55DB"/>
    <w:rPr>
      <w:rFonts w:ascii="Times New Roman" w:eastAsia="Times New Roman" w:hAnsi="Times New Roman"/>
      <w:sz w:val="16"/>
      <w:lang w:eastAsia="cs-CZ"/>
    </w:rPr>
  </w:style>
  <w:style w:type="paragraph" w:customStyle="1" w:styleId="Corps">
    <w:name w:val="Corps"/>
    <w:uiPriority w:val="99"/>
    <w:rsid w:val="004A55DB"/>
    <w:pPr>
      <w:pBdr>
        <w:top w:val="nil"/>
        <w:left w:val="nil"/>
        <w:bottom w:val="nil"/>
        <w:right w:val="nil"/>
        <w:between w:val="nil"/>
        <w:bar w:val="nil"/>
      </w:pBdr>
      <w:spacing w:after="240"/>
      <w:jc w:val="both"/>
    </w:pPr>
    <w:rPr>
      <w:rFonts w:ascii="Times New Roman" w:eastAsia="Arial Unicode MS" w:hAnsi="Times New Roman" w:cs="Arial Unicode MS"/>
      <w:color w:val="000000"/>
      <w:sz w:val="24"/>
      <w:szCs w:val="24"/>
      <w:u w:color="000000"/>
      <w:bdr w:val="nil"/>
      <w:lang w:val="fr-FR" w:eastAsia="en-GB"/>
    </w:rPr>
  </w:style>
  <w:style w:type="numbering" w:customStyle="1" w:styleId="Style3import">
    <w:name w:val="Style 3 importé"/>
    <w:rsid w:val="004A55DB"/>
    <w:pPr>
      <w:numPr>
        <w:numId w:val="46"/>
      </w:numPr>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
    <w:uiPriority w:val="99"/>
    <w:rsid w:val="004A55DB"/>
    <w:pPr>
      <w:spacing w:before="0" w:after="160" w:line="240" w:lineRule="exact"/>
    </w:pPr>
    <w:rPr>
      <w:rFonts w:asciiTheme="minorHAnsi" w:eastAsiaTheme="minorHAnsi" w:hAnsiTheme="minorHAnsi" w:cstheme="minorBidi"/>
      <w:vertAlign w:val="superscript"/>
      <w:lang w:val="en-GB"/>
    </w:rPr>
  </w:style>
  <w:style w:type="table" w:styleId="Stednmka3zvraznn4">
    <w:name w:val="Medium Grid 3 Accent 4"/>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0A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0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0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0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0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04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040" w:themeFill="accent4" w:themeFillTint="7F"/>
      </w:tcPr>
    </w:tblStylePr>
  </w:style>
  <w:style w:type="table" w:customStyle="1" w:styleId="TableGrid12">
    <w:name w:val="Table Grid12"/>
    <w:basedOn w:val="Normlntabulka"/>
    <w:next w:val="Mkatabulky"/>
    <w:uiPriority w:val="59"/>
    <w:rsid w:val="004A55D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1">
    <w:name w:val="Light List Accent 1"/>
    <w:basedOn w:val="Normlntabulka"/>
    <w:uiPriority w:val="61"/>
    <w:rsid w:val="004A55DB"/>
    <w:rPr>
      <w:rFonts w:asciiTheme="minorHAnsi" w:eastAsiaTheme="minorHAnsi" w:hAnsiTheme="minorHAnsi" w:cstheme="minorBidi"/>
      <w:sz w:val="22"/>
      <w:szCs w:val="22"/>
      <w:lang w:val="en-US"/>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Footnotes">
    <w:name w:val="Footnotes"/>
    <w:basedOn w:val="Textpoznpodarou"/>
    <w:link w:val="FootnotesChar"/>
    <w:qFormat/>
    <w:rsid w:val="004A55DB"/>
    <w:pPr>
      <w:ind w:left="284" w:hanging="284"/>
    </w:pPr>
    <w:rPr>
      <w:rFonts w:ascii="Arial" w:eastAsia="Calibri" w:hAnsi="Arial" w:cs="Arial"/>
      <w:lang w:val="en-GB" w:eastAsia="en-US"/>
    </w:rPr>
  </w:style>
  <w:style w:type="character" w:customStyle="1" w:styleId="FootnotesChar">
    <w:name w:val="Footnotes Char"/>
    <w:link w:val="Footnotes"/>
    <w:rsid w:val="004A55DB"/>
    <w:rPr>
      <w:rFonts w:ascii="Arial" w:hAnsi="Arial" w:cs="Arial"/>
      <w:sz w:val="18"/>
      <w:lang w:val="en-GB"/>
    </w:rPr>
  </w:style>
  <w:style w:type="table" w:styleId="Stednmka3zvraznn1">
    <w:name w:val="Medium Grid 3 Accent 1"/>
    <w:basedOn w:val="Normlntabulka"/>
    <w:uiPriority w:val="69"/>
    <w:rsid w:val="004A55DB"/>
    <w:rPr>
      <w:rFonts w:asciiTheme="minorHAnsi" w:eastAsiaTheme="minorHAnsi"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BA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B0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B0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B0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B0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75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75E" w:themeFill="accent1" w:themeFillTint="7F"/>
      </w:tcPr>
    </w:tblStylePr>
  </w:style>
  <w:style w:type="paragraph" w:customStyle="1" w:styleId="Briefingtext">
    <w:name w:val="Briefing text"/>
    <w:basedOn w:val="Normln"/>
    <w:link w:val="BriefingtextChar"/>
    <w:rsid w:val="004A55DB"/>
    <w:pPr>
      <w:spacing w:before="0" w:after="240"/>
    </w:pPr>
    <w:rPr>
      <w:rFonts w:ascii="Arial" w:eastAsia="Times New Roman" w:hAnsi="Arial" w:cs="Arial"/>
      <w:szCs w:val="24"/>
      <w:lang w:val="en-GB"/>
    </w:rPr>
  </w:style>
  <w:style w:type="character" w:customStyle="1" w:styleId="BriefingtextChar">
    <w:name w:val="Briefing text Char"/>
    <w:link w:val="Briefingtext"/>
    <w:rsid w:val="004A55DB"/>
    <w:rPr>
      <w:rFonts w:ascii="Arial" w:eastAsia="Times New Roman" w:hAnsi="Arial" w:cs="Arial"/>
      <w:sz w:val="24"/>
      <w:szCs w:val="24"/>
      <w:lang w:val="en-GB"/>
    </w:rPr>
  </w:style>
  <w:style w:type="paragraph" w:customStyle="1" w:styleId="Puce2">
    <w:name w:val="Puce 2"/>
    <w:basedOn w:val="Normln"/>
    <w:qFormat/>
    <w:rsid w:val="004A55DB"/>
    <w:pPr>
      <w:numPr>
        <w:ilvl w:val="1"/>
        <w:numId w:val="47"/>
      </w:numPr>
      <w:spacing w:before="60" w:after="60"/>
    </w:pPr>
    <w:rPr>
      <w:rFonts w:asciiTheme="minorHAnsi" w:eastAsiaTheme="minorHAnsi" w:hAnsiTheme="minorHAnsi" w:cstheme="minorBidi"/>
      <w:sz w:val="20"/>
      <w:szCs w:val="20"/>
      <w:lang w:val="fr-FR"/>
    </w:rPr>
  </w:style>
  <w:style w:type="paragraph" w:customStyle="1" w:styleId="Puce3">
    <w:name w:val="Puce 3"/>
    <w:basedOn w:val="Normln"/>
    <w:qFormat/>
    <w:rsid w:val="004A55DB"/>
    <w:pPr>
      <w:numPr>
        <w:ilvl w:val="2"/>
        <w:numId w:val="47"/>
      </w:numPr>
      <w:spacing w:before="60" w:after="60"/>
    </w:pPr>
    <w:rPr>
      <w:rFonts w:asciiTheme="minorHAnsi" w:eastAsiaTheme="minorHAnsi" w:hAnsiTheme="minorHAnsi" w:cstheme="minorBidi"/>
      <w:sz w:val="20"/>
      <w:szCs w:val="20"/>
      <w:lang w:val="fr-FR"/>
    </w:rPr>
  </w:style>
  <w:style w:type="paragraph" w:customStyle="1" w:styleId="ungerKopfzeile">
    <w:name w:val="unger. Kopfzeile"/>
    <w:basedOn w:val="Normln"/>
    <w:rsid w:val="004A55DB"/>
    <w:pPr>
      <w:tabs>
        <w:tab w:val="center" w:pos="4253"/>
        <w:tab w:val="right" w:pos="8505"/>
      </w:tabs>
      <w:spacing w:before="0" w:after="480" w:line="312" w:lineRule="atLeast"/>
    </w:pPr>
    <w:rPr>
      <w:rFonts w:ascii="Arial" w:eastAsia="Times New Roman" w:hAnsi="Arial"/>
      <w:szCs w:val="20"/>
      <w:lang w:val="en-GB" w:eastAsia="de-DE"/>
    </w:rPr>
  </w:style>
  <w:style w:type="numbering" w:customStyle="1" w:styleId="IA">
    <w:name w:val="IA"/>
    <w:uiPriority w:val="99"/>
    <w:rsid w:val="004A55DB"/>
    <w:pPr>
      <w:numPr>
        <w:numId w:val="48"/>
      </w:numPr>
    </w:pPr>
  </w:style>
  <w:style w:type="paragraph" w:customStyle="1" w:styleId="Kopzonder">
    <w:name w:val="Kop zonder"/>
    <w:basedOn w:val="Normln"/>
    <w:link w:val="KopzonderChar"/>
    <w:qFormat/>
    <w:rsid w:val="004A55DB"/>
    <w:pPr>
      <w:keepNext/>
      <w:spacing w:before="0" w:after="0" w:line="312" w:lineRule="atLeast"/>
    </w:pPr>
    <w:rPr>
      <w:rFonts w:ascii="Arial" w:eastAsia="Times New Roman" w:hAnsi="Arial"/>
      <w:b/>
      <w:szCs w:val="20"/>
      <w:lang w:val="en-GB" w:eastAsia="de-DE"/>
    </w:rPr>
  </w:style>
  <w:style w:type="character" w:customStyle="1" w:styleId="KopzonderChar">
    <w:name w:val="Kop zonder Char"/>
    <w:basedOn w:val="Standardnpsmoodstavce"/>
    <w:link w:val="Kopzonder"/>
    <w:rsid w:val="004A55DB"/>
    <w:rPr>
      <w:rFonts w:ascii="Arial" w:eastAsia="Times New Roman" w:hAnsi="Arial"/>
      <w:b/>
      <w:sz w:val="24"/>
      <w:lang w:val="en-GB" w:eastAsia="de-DE"/>
    </w:rPr>
  </w:style>
  <w:style w:type="table" w:customStyle="1" w:styleId="CV11">
    <w:name w:val="CV11"/>
    <w:basedOn w:val="Normlntabulka"/>
    <w:next w:val="Mkatabulky"/>
    <w:uiPriority w:val="59"/>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Normlntabulka"/>
    <w:next w:val="Stednstnovn1zvraznn1"/>
    <w:uiPriority w:val="63"/>
    <w:rsid w:val="004A55DB"/>
    <w:rPr>
      <w:rFonts w:ascii="Times New Roman" w:eastAsia="Times New Roman" w:hAnsi="Times New Roman"/>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3-Accent11">
    <w:name w:val="Grid Table 3 - Accent 11"/>
    <w:basedOn w:val="Normlntabulka"/>
    <w:uiPriority w:val="48"/>
    <w:rsid w:val="004A55DB"/>
    <w:rPr>
      <w:rFonts w:asciiTheme="minorHAnsi" w:eastAsiaTheme="minorHAnsi" w:hAnsiTheme="minorHAnsi" w:cstheme="minorBidi"/>
      <w:sz w:val="22"/>
      <w:szCs w:val="22"/>
      <w:lang w:val="en-US"/>
    </w:rPr>
    <w:tblPr>
      <w:tblStyleRowBandSize w:val="1"/>
      <w:tblStyleColBandSize w:val="1"/>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CBE" w:themeFill="accent1" w:themeFillTint="33"/>
      </w:tcPr>
    </w:tblStylePr>
    <w:tblStylePr w:type="band1Horz">
      <w:tblPr/>
      <w:tcPr>
        <w:shd w:val="clear" w:color="auto" w:fill="FEFCBE" w:themeFill="accent1" w:themeFillTint="33"/>
      </w:tcPr>
    </w:tblStylePr>
    <w:tblStylePr w:type="neCell">
      <w:tblPr/>
      <w:tcPr>
        <w:tcBorders>
          <w:bottom w:val="single" w:sz="4" w:space="0" w:color="FCF63D" w:themeColor="accent1" w:themeTint="99"/>
        </w:tcBorders>
      </w:tcPr>
    </w:tblStylePr>
    <w:tblStylePr w:type="nwCell">
      <w:tblPr/>
      <w:tcPr>
        <w:tcBorders>
          <w:bottom w:val="single" w:sz="4" w:space="0" w:color="FCF63D" w:themeColor="accent1" w:themeTint="99"/>
        </w:tcBorders>
      </w:tcPr>
    </w:tblStylePr>
    <w:tblStylePr w:type="seCell">
      <w:tblPr/>
      <w:tcPr>
        <w:tcBorders>
          <w:top w:val="single" w:sz="4" w:space="0" w:color="FCF63D" w:themeColor="accent1" w:themeTint="99"/>
        </w:tcBorders>
      </w:tcPr>
    </w:tblStylePr>
    <w:tblStylePr w:type="swCell">
      <w:tblPr/>
      <w:tcPr>
        <w:tcBorders>
          <w:top w:val="single" w:sz="4" w:space="0" w:color="FCF63D" w:themeColor="accent1" w:themeTint="99"/>
        </w:tcBorders>
      </w:tcPr>
    </w:tblStylePr>
  </w:style>
  <w:style w:type="table" w:styleId="Stednstnovn1zvraznn1">
    <w:name w:val="Medium Shading 1 Accent 1"/>
    <w:basedOn w:val="Normlntabulka"/>
    <w:uiPriority w:val="63"/>
    <w:rsid w:val="004A55DB"/>
    <w:rPr>
      <w:rFonts w:asciiTheme="minorHAnsi" w:eastAsiaTheme="minorHAnsi" w:hAnsiTheme="minorHAnsi" w:cstheme="minorBidi"/>
      <w:sz w:val="22"/>
      <w:szCs w:val="22"/>
      <w:lang w:val="en-US"/>
    </w:rPr>
    <w:tblPr>
      <w:tblStyleRowBandSize w:val="1"/>
      <w:tblStyleColBandSize w:val="1"/>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table" w:customStyle="1" w:styleId="TableGrid311">
    <w:name w:val="Table Grid311"/>
    <w:basedOn w:val="Normlntabulka"/>
    <w:next w:val="Mkatabulky"/>
    <w:uiPriority w:val="59"/>
    <w:rsid w:val="004A55D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berschrift">
    <w:name w:val="Abb_Überschrift"/>
    <w:basedOn w:val="Normln"/>
    <w:next w:val="Normln"/>
    <w:rsid w:val="004A55DB"/>
    <w:pPr>
      <w:keepNext/>
      <w:spacing w:line="312" w:lineRule="atLeast"/>
      <w:ind w:left="1418" w:hanging="1418"/>
      <w:jc w:val="left"/>
    </w:pPr>
    <w:rPr>
      <w:rFonts w:ascii="Arial" w:eastAsia="Times New Roman" w:hAnsi="Arial"/>
      <w:szCs w:val="20"/>
      <w:lang w:val="en-GB" w:eastAsia="de-DE"/>
    </w:rPr>
  </w:style>
  <w:style w:type="paragraph" w:customStyle="1" w:styleId="Quelle">
    <w:name w:val="Quelle"/>
    <w:basedOn w:val="Normln"/>
    <w:rsid w:val="004A55DB"/>
    <w:pPr>
      <w:spacing w:after="480"/>
      <w:ind w:left="709" w:hanging="709"/>
    </w:pPr>
    <w:rPr>
      <w:rFonts w:ascii="Arial" w:eastAsia="Times New Roman" w:hAnsi="Arial"/>
      <w:sz w:val="18"/>
      <w:szCs w:val="20"/>
      <w:lang w:val="en-GB" w:eastAsia="de-DE"/>
    </w:rPr>
  </w:style>
  <w:style w:type="table" w:customStyle="1" w:styleId="MittleresRaster3-Akzent42">
    <w:name w:val="Mittleres Raster 3 - Akzent 42"/>
    <w:basedOn w:val="Normlntabulka"/>
    <w:next w:val="Stednmka3zvraznn4"/>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Svtlseznamzvraznn3">
    <w:name w:val="Light List Accent 3"/>
    <w:basedOn w:val="Normlntabulka"/>
    <w:uiPriority w:val="61"/>
    <w:rsid w:val="004A55DB"/>
    <w:rPr>
      <w:rFonts w:asciiTheme="minorHAnsi" w:eastAsiaTheme="minorEastAsia" w:hAnsiTheme="minorHAnsi" w:cstheme="minorBidi"/>
      <w:sz w:val="22"/>
      <w:szCs w:val="22"/>
      <w:lang w:val="en-US" w:eastAsia="ja-JP"/>
    </w:rPr>
    <w:tblPr>
      <w:tblStyleRowBandSize w:val="1"/>
      <w:tblStyleColBandSize w:val="1"/>
      <w:tblBorders>
        <w:top w:val="single" w:sz="8" w:space="0" w:color="FFFF99" w:themeColor="accent3"/>
        <w:left w:val="single" w:sz="8" w:space="0" w:color="FFFF99" w:themeColor="accent3"/>
        <w:bottom w:val="single" w:sz="8" w:space="0" w:color="FFFF99" w:themeColor="accent3"/>
        <w:right w:val="single" w:sz="8" w:space="0" w:color="FFFF99" w:themeColor="accent3"/>
      </w:tblBorders>
    </w:tblPr>
    <w:tblStylePr w:type="firstRow">
      <w:pPr>
        <w:spacing w:before="0" w:after="0" w:line="240" w:lineRule="auto"/>
      </w:pPr>
      <w:rPr>
        <w:b/>
        <w:bCs/>
        <w:color w:val="FFFFFF" w:themeColor="background1"/>
      </w:rPr>
      <w:tblPr/>
      <w:tcPr>
        <w:shd w:val="clear" w:color="auto" w:fill="FFFF99" w:themeFill="accent3"/>
      </w:tcPr>
    </w:tblStylePr>
    <w:tblStylePr w:type="lastRow">
      <w:pPr>
        <w:spacing w:before="0" w:after="0" w:line="240" w:lineRule="auto"/>
      </w:pPr>
      <w:rPr>
        <w:b/>
        <w:bCs/>
      </w:rPr>
      <w:tblPr/>
      <w:tcPr>
        <w:tcBorders>
          <w:top w:val="double" w:sz="6" w:space="0" w:color="FFFF99" w:themeColor="accent3"/>
          <w:left w:val="single" w:sz="8" w:space="0" w:color="FFFF99" w:themeColor="accent3"/>
          <w:bottom w:val="single" w:sz="8" w:space="0" w:color="FFFF99" w:themeColor="accent3"/>
          <w:right w:val="single" w:sz="8" w:space="0" w:color="FFFF99" w:themeColor="accent3"/>
        </w:tcBorders>
      </w:tcPr>
    </w:tblStylePr>
    <w:tblStylePr w:type="firstCol">
      <w:rPr>
        <w:b/>
        <w:bCs/>
      </w:rPr>
    </w:tblStylePr>
    <w:tblStylePr w:type="lastCol">
      <w:rPr>
        <w:b/>
        <w:bCs/>
      </w:rPr>
    </w:tblStylePr>
    <w:tblStylePr w:type="band1Vert">
      <w:tblPr/>
      <w:tcPr>
        <w:tcBorders>
          <w:top w:val="single" w:sz="8" w:space="0" w:color="FFFF99" w:themeColor="accent3"/>
          <w:left w:val="single" w:sz="8" w:space="0" w:color="FFFF99" w:themeColor="accent3"/>
          <w:bottom w:val="single" w:sz="8" w:space="0" w:color="FFFF99" w:themeColor="accent3"/>
          <w:right w:val="single" w:sz="8" w:space="0" w:color="FFFF99" w:themeColor="accent3"/>
        </w:tcBorders>
      </w:tcPr>
    </w:tblStylePr>
    <w:tblStylePr w:type="band1Horz">
      <w:tblPr/>
      <w:tcPr>
        <w:tcBorders>
          <w:top w:val="single" w:sz="8" w:space="0" w:color="FFFF99" w:themeColor="accent3"/>
          <w:left w:val="single" w:sz="8" w:space="0" w:color="FFFF99" w:themeColor="accent3"/>
          <w:bottom w:val="single" w:sz="8" w:space="0" w:color="FFFF99" w:themeColor="accent3"/>
          <w:right w:val="single" w:sz="8" w:space="0" w:color="FFFF99" w:themeColor="accent3"/>
        </w:tcBorders>
      </w:tcPr>
    </w:tblStylePr>
  </w:style>
  <w:style w:type="table" w:customStyle="1" w:styleId="GridTable4-Accent11">
    <w:name w:val="Grid Table 4 - Accent 11"/>
    <w:basedOn w:val="Normlntabulka"/>
    <w:uiPriority w:val="49"/>
    <w:rsid w:val="004A55DB"/>
    <w:rPr>
      <w:sz w:val="22"/>
      <w:szCs w:val="22"/>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ellenverzeichnis">
    <w:name w:val="Tabellenverzeichnis"/>
    <w:basedOn w:val="Seznamobrzk"/>
    <w:rsid w:val="004A55DB"/>
    <w:pPr>
      <w:tabs>
        <w:tab w:val="right" w:pos="8505"/>
      </w:tabs>
      <w:spacing w:before="0" w:after="120" w:line="312" w:lineRule="atLeast"/>
      <w:ind w:left="1559" w:hanging="1559"/>
      <w:jc w:val="left"/>
    </w:pPr>
    <w:rPr>
      <w:rFonts w:ascii="Arial" w:eastAsia="Times New Roman" w:hAnsi="Arial"/>
      <w:sz w:val="22"/>
      <w:szCs w:val="20"/>
      <w:lang w:val="en-GB" w:eastAsia="de-DE"/>
    </w:rPr>
  </w:style>
  <w:style w:type="paragraph" w:customStyle="1" w:styleId="DefaultText">
    <w:name w:val="Default Text"/>
    <w:basedOn w:val="Normln"/>
    <w:link w:val="DefaultTextChar"/>
    <w:qFormat/>
    <w:rsid w:val="004A55DB"/>
    <w:pPr>
      <w:spacing w:before="0" w:after="240" w:line="312" w:lineRule="atLeast"/>
    </w:pPr>
    <w:rPr>
      <w:rFonts w:ascii="Arial" w:eastAsia="Times New Roman" w:hAnsi="Arial"/>
      <w:szCs w:val="20"/>
      <w:lang w:val="en-GB" w:eastAsia="de-DE"/>
    </w:rPr>
  </w:style>
  <w:style w:type="character" w:customStyle="1" w:styleId="DefaultTextChar">
    <w:name w:val="Default Text Char"/>
    <w:basedOn w:val="Standardnpsmoodstavce"/>
    <w:link w:val="DefaultText"/>
    <w:rsid w:val="004A55DB"/>
    <w:rPr>
      <w:rFonts w:ascii="Arial" w:eastAsia="Times New Roman" w:hAnsi="Arial"/>
      <w:sz w:val="24"/>
      <w:lang w:val="en-GB" w:eastAsia="de-DE"/>
    </w:rPr>
  </w:style>
  <w:style w:type="paragraph" w:customStyle="1" w:styleId="En-tte">
    <w:name w:val="En-tête"/>
    <w:next w:val="Corps"/>
    <w:rsid w:val="004A55DB"/>
    <w:pPr>
      <w:keepNext/>
      <w:pBdr>
        <w:top w:val="nil"/>
        <w:left w:val="nil"/>
        <w:bottom w:val="nil"/>
        <w:right w:val="nil"/>
        <w:between w:val="nil"/>
        <w:bar w:val="nil"/>
      </w:pBdr>
      <w:tabs>
        <w:tab w:val="left" w:pos="480"/>
      </w:tabs>
      <w:spacing w:before="240" w:after="240"/>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Spiegelstrich">
    <w:name w:val="Spiegelstrich"/>
    <w:basedOn w:val="Normln"/>
    <w:uiPriority w:val="99"/>
    <w:rsid w:val="004A55DB"/>
    <w:pPr>
      <w:numPr>
        <w:numId w:val="49"/>
      </w:numPr>
      <w:tabs>
        <w:tab w:val="left" w:pos="357"/>
      </w:tabs>
      <w:spacing w:before="0" w:after="240" w:line="312" w:lineRule="atLeast"/>
    </w:pPr>
    <w:rPr>
      <w:rFonts w:ascii="Arial" w:eastAsia="Times New Roman" w:hAnsi="Arial"/>
      <w:szCs w:val="20"/>
      <w:lang w:val="en-GB" w:eastAsia="de-DE"/>
    </w:rPr>
  </w:style>
  <w:style w:type="numbering" w:styleId="lnekoddl">
    <w:name w:val="Outline List 3"/>
    <w:basedOn w:val="Bezseznamu"/>
    <w:uiPriority w:val="99"/>
    <w:semiHidden/>
    <w:unhideWhenUsed/>
    <w:rsid w:val="004A55DB"/>
    <w:pPr>
      <w:numPr>
        <w:numId w:val="61"/>
      </w:numPr>
    </w:pPr>
  </w:style>
  <w:style w:type="table" w:customStyle="1" w:styleId="GridTable1Light-Accent11">
    <w:name w:val="Grid Table 1 Light - Accent 11"/>
    <w:basedOn w:val="Normlntabulka"/>
    <w:uiPriority w:val="46"/>
    <w:rsid w:val="004A55DB"/>
    <w:rPr>
      <w:rFonts w:asciiTheme="minorHAnsi" w:eastAsia="Times New Roman" w:hAnsiTheme="minorHAnsi"/>
      <w:sz w:val="22"/>
      <w:szCs w:val="22"/>
      <w:lang w:val="en-US"/>
    </w:rPr>
    <w:tblPr>
      <w:tblStyleRowBandSize w:val="1"/>
      <w:tblStyleColBandSize w:val="1"/>
      <w:tblBorders>
        <w:top w:val="single" w:sz="4" w:space="0" w:color="FDF97D" w:themeColor="accent1" w:themeTint="66"/>
        <w:left w:val="single" w:sz="4" w:space="0" w:color="FDF97D" w:themeColor="accent1" w:themeTint="66"/>
        <w:bottom w:val="single" w:sz="4" w:space="0" w:color="FDF97D" w:themeColor="accent1" w:themeTint="66"/>
        <w:right w:val="single" w:sz="4" w:space="0" w:color="FDF97D" w:themeColor="accent1" w:themeTint="66"/>
        <w:insideH w:val="single" w:sz="4" w:space="0" w:color="FDF97D" w:themeColor="accent1" w:themeTint="66"/>
        <w:insideV w:val="single" w:sz="4" w:space="0" w:color="FDF97D" w:themeColor="accent1" w:themeTint="66"/>
      </w:tblBorders>
    </w:tblPr>
    <w:tblStylePr w:type="firstRow">
      <w:rPr>
        <w:rFonts w:cs="Times New Roman"/>
        <w:b/>
        <w:bCs/>
      </w:rPr>
      <w:tblPr/>
      <w:tcPr>
        <w:tcBorders>
          <w:bottom w:val="single" w:sz="12" w:space="0" w:color="FCF63D" w:themeColor="accent1" w:themeTint="99"/>
        </w:tcBorders>
      </w:tcPr>
    </w:tblStylePr>
    <w:tblStylePr w:type="lastRow">
      <w:rPr>
        <w:rFonts w:cs="Times New Roman"/>
        <w:b/>
        <w:bCs/>
      </w:rPr>
      <w:tblPr/>
      <w:tcPr>
        <w:tcBorders>
          <w:top w:val="double" w:sz="2" w:space="0" w:color="FCF63D" w:themeColor="accent1" w:themeTint="99"/>
        </w:tcBorders>
      </w:tcPr>
    </w:tblStylePr>
    <w:tblStylePr w:type="firstCol">
      <w:rPr>
        <w:rFonts w:cs="Times New Roman"/>
        <w:b/>
        <w:bCs/>
      </w:rPr>
    </w:tblStylePr>
    <w:tblStylePr w:type="lastCol">
      <w:rPr>
        <w:rFonts w:cs="Times New Roman"/>
        <w:b/>
        <w:bCs/>
      </w:rPr>
    </w:tblStylePr>
  </w:style>
  <w:style w:type="table" w:customStyle="1" w:styleId="PlainTable31">
    <w:name w:val="Plain Table 31"/>
    <w:basedOn w:val="Normlntabulka"/>
    <w:uiPriority w:val="43"/>
    <w:rsid w:val="004A55DB"/>
    <w:rPr>
      <w:rFonts w:asciiTheme="minorHAnsi" w:eastAsiaTheme="minorHAnsi" w:hAnsiTheme="minorHAnsi" w:cstheme="minorBidi"/>
      <w:sz w:val="22"/>
      <w:szCs w:val="22"/>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ka4-normal">
    <w:name w:val="Ika4-normal"/>
    <w:basedOn w:val="Normln"/>
    <w:rsid w:val="004A55DB"/>
    <w:pPr>
      <w:overflowPunct w:val="0"/>
      <w:autoSpaceDE w:val="0"/>
      <w:autoSpaceDN w:val="0"/>
      <w:adjustRightInd w:val="0"/>
      <w:spacing w:before="0" w:after="0" w:line="360" w:lineRule="auto"/>
      <w:ind w:firstLine="720"/>
      <w:textAlignment w:val="baseline"/>
    </w:pPr>
    <w:rPr>
      <w:rFonts w:ascii="Times New Roman" w:eastAsia="Times New Roman" w:hAnsi="Times New Roman"/>
      <w:sz w:val="26"/>
      <w:szCs w:val="20"/>
      <w:lang w:val="bg-BG"/>
    </w:rPr>
  </w:style>
  <w:style w:type="table" w:styleId="Stednseznam2zvraznn1">
    <w:name w:val="Medium List 2 Accent 1"/>
    <w:basedOn w:val="Normlntabulka"/>
    <w:uiPriority w:val="66"/>
    <w:rsid w:val="004A55DB"/>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rPr>
        <w:sz w:val="24"/>
        <w:szCs w:val="24"/>
      </w:rPr>
      <w:tblPr/>
      <w:tcPr>
        <w:tcBorders>
          <w:top w:val="nil"/>
          <w:left w:val="nil"/>
          <w:bottom w:val="single" w:sz="24" w:space="0" w:color="B6B002" w:themeColor="accent1"/>
          <w:right w:val="nil"/>
          <w:insideH w:val="nil"/>
          <w:insideV w:val="nil"/>
        </w:tcBorders>
        <w:shd w:val="clear" w:color="auto" w:fill="FFFFFF" w:themeFill="background1"/>
      </w:tcPr>
    </w:tblStylePr>
    <w:tblStylePr w:type="lastRow">
      <w:tblPr/>
      <w:tcPr>
        <w:tcBorders>
          <w:top w:val="single" w:sz="8" w:space="0" w:color="B6B0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B002" w:themeColor="accent1"/>
          <w:insideH w:val="nil"/>
          <w:insideV w:val="nil"/>
        </w:tcBorders>
        <w:shd w:val="clear" w:color="auto" w:fill="FFFFFF" w:themeFill="background1"/>
      </w:tcPr>
    </w:tblStylePr>
    <w:tblStylePr w:type="lastCol">
      <w:tblPr/>
      <w:tcPr>
        <w:tcBorders>
          <w:top w:val="nil"/>
          <w:left w:val="single" w:sz="8" w:space="0" w:color="B6B0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top w:val="nil"/>
          <w:bottom w:val="nil"/>
          <w:insideH w:val="nil"/>
          <w:insideV w:val="nil"/>
        </w:tcBorders>
        <w:shd w:val="clear" w:color="auto" w:fill="FEFBA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Zahlen">
    <w:name w:val="Zahlen"/>
    <w:basedOn w:val="Spiegelstrich"/>
    <w:rsid w:val="004A55DB"/>
    <w:pPr>
      <w:numPr>
        <w:numId w:val="0"/>
      </w:numPr>
      <w:tabs>
        <w:tab w:val="num" w:pos="765"/>
      </w:tabs>
      <w:ind w:left="432" w:hanging="432"/>
    </w:pPr>
  </w:style>
  <w:style w:type="paragraph" w:styleId="Bibliografie">
    <w:name w:val="Bibliography"/>
    <w:basedOn w:val="Normln"/>
    <w:rsid w:val="004A55DB"/>
    <w:pPr>
      <w:spacing w:before="0" w:after="240" w:line="240" w:lineRule="atLeast"/>
      <w:ind w:left="720" w:hanging="720"/>
    </w:pPr>
    <w:rPr>
      <w:rFonts w:ascii="Arial" w:eastAsia="Times New Roman" w:hAnsi="Arial"/>
      <w:sz w:val="20"/>
      <w:szCs w:val="20"/>
      <w:lang w:val="en-GB" w:eastAsia="de-DE"/>
    </w:rPr>
  </w:style>
  <w:style w:type="numbering" w:customStyle="1" w:styleId="KeineListe1">
    <w:name w:val="Keine Liste1"/>
    <w:next w:val="Bezseznamu"/>
    <w:uiPriority w:val="99"/>
    <w:semiHidden/>
    <w:unhideWhenUsed/>
    <w:rsid w:val="004A55DB"/>
  </w:style>
  <w:style w:type="table" w:customStyle="1" w:styleId="Deloitte1">
    <w:name w:val="Deloitte1"/>
    <w:basedOn w:val="Normlntabulka"/>
    <w:next w:val="Mkatabulky"/>
    <w:uiPriority w:val="59"/>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Bezseznamu"/>
    <w:uiPriority w:val="99"/>
    <w:semiHidden/>
    <w:unhideWhenUsed/>
    <w:rsid w:val="004A55DB"/>
  </w:style>
  <w:style w:type="table" w:customStyle="1" w:styleId="Tabellenraster1">
    <w:name w:val="Tabellenraster1"/>
    <w:basedOn w:val="Normlntabulka"/>
    <w:next w:val="Mkatabulky"/>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ln"/>
    <w:rsid w:val="004A55DB"/>
    <w:pPr>
      <w:tabs>
        <w:tab w:val="left" w:pos="-720"/>
        <w:tab w:val="left" w:pos="0"/>
        <w:tab w:val="left" w:pos="720"/>
        <w:tab w:val="left" w:pos="1441"/>
        <w:tab w:val="left" w:pos="2161"/>
        <w:tab w:val="left" w:pos="2881"/>
        <w:tab w:val="left" w:pos="3601"/>
        <w:tab w:val="left" w:pos="4320"/>
        <w:tab w:val="left" w:pos="5041"/>
        <w:tab w:val="left" w:pos="5761"/>
        <w:tab w:val="left" w:pos="6481"/>
        <w:tab w:val="left" w:pos="7201"/>
        <w:tab w:val="left" w:pos="7921"/>
        <w:tab w:val="left" w:pos="8641"/>
      </w:tabs>
      <w:spacing w:before="0" w:after="0" w:line="200" w:lineRule="atLeast"/>
      <w:ind w:left="720" w:hanging="720"/>
    </w:pPr>
    <w:rPr>
      <w:rFonts w:ascii="Times New Roman" w:eastAsia="Times New Roman" w:hAnsi="Times New Roman"/>
      <w:noProof/>
      <w:szCs w:val="20"/>
      <w:lang w:val="en-GB" w:eastAsia="de-DE"/>
    </w:rPr>
  </w:style>
  <w:style w:type="paragraph" w:customStyle="1" w:styleId="Nextrow">
    <w:name w:val="Nextrow"/>
    <w:rsid w:val="004A55DB"/>
    <w:pPr>
      <w:spacing w:before="40" w:after="40"/>
    </w:pPr>
    <w:rPr>
      <w:rFonts w:ascii="Times New Roman" w:eastAsia="Times New Roman" w:hAnsi="Times New Roman"/>
      <w:lang w:val="en-GB" w:eastAsia="de-DE"/>
    </w:rPr>
  </w:style>
  <w:style w:type="paragraph" w:customStyle="1" w:styleId="AltBase">
    <w:name w:val="_AltBase"/>
    <w:rsid w:val="004A55DB"/>
    <w:pPr>
      <w:jc w:val="both"/>
    </w:pPr>
    <w:rPr>
      <w:rFonts w:ascii="Helvetica" w:eastAsia="Times New Roman" w:hAnsi="Helvetica"/>
      <w:lang w:val="en-GB" w:eastAsia="de-DE"/>
    </w:rPr>
  </w:style>
  <w:style w:type="table" w:customStyle="1" w:styleId="Tabellengitternetz1">
    <w:name w:val="Tabellengitternetz1"/>
    <w:basedOn w:val="Normlntabulka"/>
    <w:next w:val="Mkatabulky"/>
    <w:rsid w:val="004A55DB"/>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lntabulka"/>
    <w:next w:val="Mkatabulky"/>
    <w:rsid w:val="004A55DB"/>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11">
    <w:name w:val="Mittleres Raster 3 - Akzent 11"/>
    <w:basedOn w:val="Normlntabulka"/>
    <w:next w:val="Stednmka3zvraznn1"/>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FarbigeListe-Akzent11">
    <w:name w:val="Farbige Liste - Akzent 11"/>
    <w:basedOn w:val="Normlntabulka"/>
    <w:next w:val="Barevnseznamzvraznn1"/>
    <w:uiPriority w:val="72"/>
    <w:rsid w:val="004A55DB"/>
    <w:rPr>
      <w:rFonts w:ascii="Times" w:eastAsia="Times New Roman" w:hAnsi="Times"/>
      <w:color w:val="000000"/>
      <w:lang w:val="de-DE"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HelleListe-Akzent11">
    <w:name w:val="Helle Liste - Akzent 11"/>
    <w:basedOn w:val="Normlntabulka"/>
    <w:next w:val="Svtlseznamzvraznn1"/>
    <w:uiPriority w:val="61"/>
    <w:rsid w:val="004A55DB"/>
    <w:rPr>
      <w:rFonts w:ascii="Times" w:eastAsia="Times New Roman" w:hAnsi="Times"/>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Standardnpsmoodstavce"/>
    <w:rsid w:val="004A55DB"/>
  </w:style>
  <w:style w:type="character" w:customStyle="1" w:styleId="clickable">
    <w:name w:val="clickable"/>
    <w:basedOn w:val="Standardnpsmoodstavce"/>
    <w:rsid w:val="004A55DB"/>
  </w:style>
  <w:style w:type="paragraph" w:customStyle="1" w:styleId="Puce10">
    <w:name w:val="Puce 1"/>
    <w:basedOn w:val="Normln"/>
    <w:qFormat/>
    <w:rsid w:val="004A55DB"/>
    <w:pPr>
      <w:spacing w:before="60" w:after="60"/>
      <w:ind w:left="142" w:hanging="142"/>
    </w:pPr>
    <w:rPr>
      <w:rFonts w:ascii="Calibri" w:hAnsi="Calibri"/>
      <w:sz w:val="20"/>
      <w:szCs w:val="20"/>
      <w:lang w:val="fr-FR"/>
    </w:rPr>
  </w:style>
  <w:style w:type="paragraph" w:customStyle="1" w:styleId="CVTitle">
    <w:name w:val="CV Title"/>
    <w:basedOn w:val="Normln"/>
    <w:rsid w:val="004A55DB"/>
    <w:pPr>
      <w:suppressAutoHyphens/>
      <w:spacing w:before="0" w:after="0"/>
      <w:ind w:left="113" w:right="113"/>
      <w:jc w:val="right"/>
    </w:pPr>
    <w:rPr>
      <w:rFonts w:ascii="Arial Narrow" w:eastAsia="Times New Roman" w:hAnsi="Arial Narrow"/>
      <w:b/>
      <w:bCs/>
      <w:spacing w:val="10"/>
      <w:sz w:val="28"/>
      <w:szCs w:val="20"/>
      <w:lang w:val="en-GB" w:eastAsia="ar-SA"/>
    </w:rPr>
  </w:style>
  <w:style w:type="paragraph" w:customStyle="1" w:styleId="CVHeading1">
    <w:name w:val="CV Heading 1"/>
    <w:basedOn w:val="Normln"/>
    <w:next w:val="Normln"/>
    <w:rsid w:val="004A55DB"/>
    <w:pPr>
      <w:suppressAutoHyphens/>
      <w:spacing w:before="74" w:after="0"/>
      <w:ind w:left="113" w:right="113"/>
      <w:jc w:val="right"/>
    </w:pPr>
    <w:rPr>
      <w:rFonts w:ascii="Arial Narrow" w:eastAsia="Times New Roman" w:hAnsi="Arial Narrow"/>
      <w:b/>
      <w:szCs w:val="20"/>
      <w:lang w:val="en-US" w:eastAsia="ar-SA"/>
    </w:rPr>
  </w:style>
  <w:style w:type="paragraph" w:customStyle="1" w:styleId="CVHeading2-FirstLine">
    <w:name w:val="CV Heading 2 - First Line"/>
    <w:basedOn w:val="Normln"/>
    <w:next w:val="Normln"/>
    <w:rsid w:val="004A55DB"/>
    <w:pPr>
      <w:suppressAutoHyphens/>
      <w:spacing w:before="74" w:after="0"/>
      <w:ind w:left="113" w:right="113"/>
      <w:jc w:val="right"/>
    </w:pPr>
    <w:rPr>
      <w:rFonts w:ascii="Arial Narrow" w:eastAsia="Times New Roman" w:hAnsi="Arial Narrow"/>
      <w:szCs w:val="20"/>
      <w:lang w:val="en-US" w:eastAsia="ar-SA"/>
    </w:rPr>
  </w:style>
  <w:style w:type="paragraph" w:customStyle="1" w:styleId="CVHeading3">
    <w:name w:val="CV Heading 3"/>
    <w:basedOn w:val="Normln"/>
    <w:next w:val="Normln"/>
    <w:rsid w:val="004A55DB"/>
    <w:pPr>
      <w:suppressAutoHyphens/>
      <w:spacing w:before="0" w:after="0"/>
      <w:ind w:left="113" w:right="113"/>
      <w:jc w:val="right"/>
      <w:textAlignment w:val="center"/>
    </w:pPr>
    <w:rPr>
      <w:rFonts w:ascii="Arial Narrow" w:eastAsia="Times New Roman" w:hAnsi="Arial Narrow"/>
      <w:sz w:val="20"/>
      <w:szCs w:val="20"/>
      <w:lang w:val="en-US" w:eastAsia="ar-SA"/>
    </w:rPr>
  </w:style>
  <w:style w:type="paragraph" w:customStyle="1" w:styleId="CVHeading3-FirstLine">
    <w:name w:val="CV Heading 3 - First Line"/>
    <w:basedOn w:val="CVHeading3"/>
    <w:next w:val="CVHeading3"/>
    <w:rsid w:val="004A55DB"/>
    <w:pPr>
      <w:spacing w:before="74"/>
    </w:pPr>
  </w:style>
  <w:style w:type="paragraph" w:customStyle="1" w:styleId="CVMajor-FirstLine">
    <w:name w:val="CV Major - First Line"/>
    <w:basedOn w:val="Normln"/>
    <w:next w:val="Normln"/>
    <w:rsid w:val="004A55DB"/>
    <w:pPr>
      <w:suppressAutoHyphens/>
      <w:spacing w:before="74" w:after="0"/>
      <w:ind w:left="113" w:right="113"/>
      <w:jc w:val="left"/>
    </w:pPr>
    <w:rPr>
      <w:rFonts w:ascii="Arial Narrow" w:eastAsia="Times New Roman" w:hAnsi="Arial Narrow"/>
      <w:b/>
      <w:szCs w:val="20"/>
      <w:lang w:val="en-US" w:eastAsia="ar-SA"/>
    </w:rPr>
  </w:style>
  <w:style w:type="paragraph" w:customStyle="1" w:styleId="CVMedium-FirstLine">
    <w:name w:val="CV Medium - First Line"/>
    <w:basedOn w:val="Normln"/>
    <w:next w:val="Normln"/>
    <w:rsid w:val="004A55DB"/>
    <w:pPr>
      <w:suppressAutoHyphens/>
      <w:spacing w:before="74" w:after="0"/>
      <w:ind w:left="113" w:right="113"/>
      <w:jc w:val="left"/>
    </w:pPr>
    <w:rPr>
      <w:rFonts w:ascii="Arial Narrow" w:eastAsia="Times New Roman" w:hAnsi="Arial Narrow"/>
      <w:b/>
      <w:szCs w:val="20"/>
      <w:lang w:val="en-US" w:eastAsia="ar-SA"/>
    </w:rPr>
  </w:style>
  <w:style w:type="paragraph" w:customStyle="1" w:styleId="CVNormal">
    <w:name w:val="CV Normal"/>
    <w:basedOn w:val="Normln"/>
    <w:rsid w:val="004A55DB"/>
    <w:pPr>
      <w:suppressAutoHyphens/>
      <w:spacing w:before="0" w:after="0"/>
      <w:ind w:left="113" w:right="113"/>
      <w:jc w:val="left"/>
    </w:pPr>
    <w:rPr>
      <w:rFonts w:ascii="Arial Narrow" w:eastAsia="Times New Roman" w:hAnsi="Arial Narrow"/>
      <w:sz w:val="20"/>
      <w:szCs w:val="20"/>
      <w:lang w:val="en-US" w:eastAsia="ar-SA"/>
    </w:rPr>
  </w:style>
  <w:style w:type="paragraph" w:customStyle="1" w:styleId="CVSpacer">
    <w:name w:val="CV Spacer"/>
    <w:basedOn w:val="CVNormal"/>
    <w:rsid w:val="004A55DB"/>
    <w:rPr>
      <w:sz w:val="4"/>
    </w:rPr>
  </w:style>
  <w:style w:type="paragraph" w:customStyle="1" w:styleId="CVNormal-FirstLine">
    <w:name w:val="CV Normal - First Line"/>
    <w:basedOn w:val="CVNormal"/>
    <w:next w:val="CVNormal"/>
    <w:rsid w:val="004A55DB"/>
    <w:pPr>
      <w:spacing w:before="74"/>
    </w:pPr>
  </w:style>
  <w:style w:type="paragraph" w:customStyle="1" w:styleId="CVHeading2">
    <w:name w:val="CV Heading 2"/>
    <w:basedOn w:val="CVHeading1"/>
    <w:next w:val="Normln"/>
    <w:rsid w:val="004A55DB"/>
    <w:pPr>
      <w:spacing w:before="0"/>
    </w:pPr>
    <w:rPr>
      <w:b w:val="0"/>
      <w:sz w:val="22"/>
    </w:rPr>
  </w:style>
  <w:style w:type="paragraph" w:customStyle="1" w:styleId="CVHeadingLanguage">
    <w:name w:val="CV Heading Language"/>
    <w:basedOn w:val="CVHeading2"/>
    <w:next w:val="LevelAssessment-Code"/>
    <w:rsid w:val="004A55DB"/>
    <w:rPr>
      <w:b/>
    </w:rPr>
  </w:style>
  <w:style w:type="paragraph" w:customStyle="1" w:styleId="LevelAssessment-Code">
    <w:name w:val="Level Assessment - Code"/>
    <w:basedOn w:val="Normln"/>
    <w:next w:val="LevelAssessment-Description"/>
    <w:rsid w:val="004A55DB"/>
    <w:pPr>
      <w:suppressAutoHyphens/>
      <w:spacing w:before="0" w:after="0"/>
      <w:ind w:left="28"/>
      <w:jc w:val="center"/>
    </w:pPr>
    <w:rPr>
      <w:rFonts w:ascii="Arial Narrow" w:eastAsia="Times New Roman" w:hAnsi="Arial Narrow"/>
      <w:sz w:val="18"/>
      <w:szCs w:val="20"/>
      <w:lang w:val="en-US" w:eastAsia="ar-SA"/>
    </w:rPr>
  </w:style>
  <w:style w:type="paragraph" w:customStyle="1" w:styleId="LevelAssessment-Description">
    <w:name w:val="Level Assessment - Description"/>
    <w:basedOn w:val="LevelAssessment-Code"/>
    <w:next w:val="LevelAssessment-Code"/>
    <w:rsid w:val="004A55DB"/>
    <w:pPr>
      <w:textAlignment w:val="bottom"/>
    </w:pPr>
  </w:style>
  <w:style w:type="paragraph" w:customStyle="1" w:styleId="CVHeadingLevel">
    <w:name w:val="CV Heading Level"/>
    <w:basedOn w:val="CVHeading3"/>
    <w:next w:val="Normln"/>
    <w:rsid w:val="004A55DB"/>
    <w:rPr>
      <w:i/>
    </w:rPr>
  </w:style>
  <w:style w:type="paragraph" w:customStyle="1" w:styleId="LevelAssessment-Heading1">
    <w:name w:val="Level Assessment - Heading 1"/>
    <w:basedOn w:val="LevelAssessment-Code"/>
    <w:rsid w:val="004A55DB"/>
    <w:pPr>
      <w:ind w:left="57" w:right="57"/>
    </w:pPr>
    <w:rPr>
      <w:b/>
      <w:sz w:val="22"/>
    </w:rPr>
  </w:style>
  <w:style w:type="paragraph" w:customStyle="1" w:styleId="LevelAssessment-Heading2">
    <w:name w:val="Level Assessment - Heading 2"/>
    <w:basedOn w:val="Normln"/>
    <w:rsid w:val="004A55DB"/>
    <w:pPr>
      <w:suppressAutoHyphens/>
      <w:spacing w:before="0" w:after="0"/>
      <w:ind w:left="57" w:right="57"/>
      <w:jc w:val="center"/>
    </w:pPr>
    <w:rPr>
      <w:rFonts w:ascii="Arial Narrow" w:eastAsia="Times New Roman" w:hAnsi="Arial Narrow"/>
      <w:sz w:val="18"/>
      <w:szCs w:val="20"/>
      <w:lang w:val="en-US" w:eastAsia="ar-SA"/>
    </w:rPr>
  </w:style>
  <w:style w:type="paragraph" w:customStyle="1" w:styleId="LevelAssessment-Note">
    <w:name w:val="Level Assessment - Note"/>
    <w:basedOn w:val="LevelAssessment-Code"/>
    <w:rsid w:val="004A55DB"/>
    <w:pPr>
      <w:ind w:left="113"/>
      <w:jc w:val="left"/>
    </w:pPr>
    <w:rPr>
      <w:i/>
    </w:rPr>
  </w:style>
  <w:style w:type="paragraph" w:customStyle="1" w:styleId="Puce1">
    <w:name w:val="Puce1"/>
    <w:basedOn w:val="Normln"/>
    <w:link w:val="Puce1Car"/>
    <w:rsid w:val="004A55DB"/>
    <w:pPr>
      <w:numPr>
        <w:numId w:val="50"/>
      </w:numPr>
      <w:spacing w:before="60" w:after="60"/>
    </w:pPr>
    <w:rPr>
      <w:rFonts w:ascii="Arial" w:eastAsia="Times New Roman" w:hAnsi="Arial"/>
      <w:sz w:val="20"/>
      <w:szCs w:val="24"/>
      <w:lang w:val="en-GB" w:eastAsia="fr-FR"/>
    </w:rPr>
  </w:style>
  <w:style w:type="character" w:customStyle="1" w:styleId="Puce1Car">
    <w:name w:val="Puce1 Car"/>
    <w:link w:val="Puce1"/>
    <w:rsid w:val="004A55DB"/>
    <w:rPr>
      <w:rFonts w:ascii="Arial" w:eastAsia="Times New Roman" w:hAnsi="Arial"/>
      <w:szCs w:val="24"/>
      <w:lang w:val="en-GB" w:eastAsia="fr-FR"/>
    </w:rPr>
  </w:style>
  <w:style w:type="paragraph" w:customStyle="1" w:styleId="CVMedium">
    <w:name w:val="CV Medium"/>
    <w:basedOn w:val="Normln"/>
    <w:rsid w:val="004A55DB"/>
    <w:pPr>
      <w:suppressAutoHyphens/>
      <w:spacing w:before="0" w:after="0"/>
      <w:ind w:left="113" w:right="113"/>
      <w:jc w:val="left"/>
    </w:pPr>
    <w:rPr>
      <w:rFonts w:ascii="Arial Narrow" w:eastAsia="Times New Roman" w:hAnsi="Arial Narrow"/>
      <w:b/>
      <w:szCs w:val="20"/>
      <w:lang w:val="en-US" w:eastAsia="ar-SA"/>
    </w:rPr>
  </w:style>
  <w:style w:type="table" w:customStyle="1" w:styleId="Tabellenraster2">
    <w:name w:val="Tabellenraster2"/>
    <w:basedOn w:val="Normlntabulka"/>
    <w:next w:val="Mkatabulky"/>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1 Char1,Footnote Text Char Char Char1,Footnote Text Char2 Char Char Char1,Footnote Text Char3 Char1 Char Char Char1,Footnote Text Char2 Char1 Char1 Char Char Char1,Footnote Text Char3 Char1 Char Char Char Char Char1"/>
    <w:uiPriority w:val="99"/>
    <w:locked/>
    <w:rsid w:val="004A55DB"/>
    <w:rPr>
      <w:rFonts w:ascii="Arial" w:hAnsi="Arial"/>
      <w:sz w:val="18"/>
      <w:lang w:val="en-GB"/>
    </w:rPr>
  </w:style>
  <w:style w:type="table" w:customStyle="1" w:styleId="MittlereSchattierung1-Akzent11">
    <w:name w:val="Mittlere Schattierung 1 - Akzent 11"/>
    <w:basedOn w:val="Normlntabulka"/>
    <w:next w:val="Stednstnovn1zvraznn1"/>
    <w:uiPriority w:val="63"/>
    <w:rsid w:val="004A55DB"/>
    <w:rPr>
      <w:rFonts w:ascii="Times" w:eastAsia="Times New Roman" w:hAnsi="Times"/>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Inhaltsverzeichnisberschrift1">
    <w:name w:val="Inhaltsverzeichnisüberschrift1"/>
    <w:basedOn w:val="Nadpis1"/>
    <w:next w:val="Normln"/>
    <w:uiPriority w:val="39"/>
    <w:unhideWhenUsed/>
    <w:qFormat/>
    <w:rsid w:val="004A55DB"/>
    <w:pPr>
      <w:keepNext/>
      <w:keepLines/>
      <w:widowControl/>
      <w:spacing w:before="480" w:after="0" w:line="276" w:lineRule="auto"/>
      <w:jc w:val="left"/>
      <w:outlineLvl w:val="9"/>
    </w:pPr>
    <w:rPr>
      <w:color w:val="365F91"/>
      <w:lang w:val="en-US" w:eastAsia="ja-JP"/>
    </w:rPr>
  </w:style>
  <w:style w:type="paragraph" w:customStyle="1" w:styleId="table-text">
    <w:name w:val="table-text"/>
    <w:basedOn w:val="Normln"/>
    <w:link w:val="table-textChar"/>
    <w:rsid w:val="004A55DB"/>
    <w:pPr>
      <w:spacing w:before="0" w:after="0" w:line="280" w:lineRule="atLeast"/>
    </w:pPr>
    <w:rPr>
      <w:rFonts w:ascii="Arial" w:eastAsia="Times New Roman" w:hAnsi="Arial"/>
      <w:sz w:val="16"/>
      <w:szCs w:val="24"/>
      <w:lang w:val="en-GB" w:eastAsia="nl-NL"/>
    </w:rPr>
  </w:style>
  <w:style w:type="paragraph" w:customStyle="1" w:styleId="list-bullet-black-table">
    <w:name w:val="list-bullet-black-table"/>
    <w:basedOn w:val="Normln"/>
    <w:link w:val="list-bullet-black-tableChar"/>
    <w:rsid w:val="004A55DB"/>
    <w:pPr>
      <w:numPr>
        <w:numId w:val="51"/>
      </w:numPr>
      <w:spacing w:before="0" w:after="0" w:line="280" w:lineRule="atLeast"/>
    </w:pPr>
    <w:rPr>
      <w:rFonts w:ascii="Arial" w:eastAsia="Times New Roman" w:hAnsi="Arial"/>
      <w:sz w:val="16"/>
      <w:szCs w:val="24"/>
      <w:lang w:val="en-GB" w:eastAsia="nl-NL"/>
    </w:rPr>
  </w:style>
  <w:style w:type="character" w:customStyle="1" w:styleId="list-bullet-black-tableChar">
    <w:name w:val="list-bullet-black-table Char"/>
    <w:basedOn w:val="Standardnpsmoodstavce"/>
    <w:link w:val="list-bullet-black-table"/>
    <w:rsid w:val="004A55DB"/>
    <w:rPr>
      <w:rFonts w:ascii="Arial" w:eastAsia="Times New Roman" w:hAnsi="Arial"/>
      <w:sz w:val="16"/>
      <w:szCs w:val="24"/>
      <w:lang w:val="en-GB" w:eastAsia="nl-NL"/>
    </w:rPr>
  </w:style>
  <w:style w:type="character" w:customStyle="1" w:styleId="table-textChar">
    <w:name w:val="table-text Char"/>
    <w:link w:val="table-text"/>
    <w:rsid w:val="004A55DB"/>
    <w:rPr>
      <w:rFonts w:ascii="Arial" w:eastAsia="Times New Roman" w:hAnsi="Arial"/>
      <w:sz w:val="16"/>
      <w:szCs w:val="24"/>
      <w:lang w:val="en-GB" w:eastAsia="nl-NL"/>
    </w:rPr>
  </w:style>
  <w:style w:type="table" w:customStyle="1" w:styleId="HelleListe-Akzent31">
    <w:name w:val="Helle Liste - Akzent 31"/>
    <w:basedOn w:val="Normlntabulka"/>
    <w:next w:val="Svtlseznamzvraznn3"/>
    <w:uiPriority w:val="61"/>
    <w:rsid w:val="004A55DB"/>
    <w:rPr>
      <w:rFonts w:ascii="Times" w:eastAsia="Times New Roman" w:hAnsi="Times"/>
      <w:lang w:val="de-DE"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unotenzeichen1">
    <w:name w:val="Fußnotenzeichen1"/>
    <w:rsid w:val="004A55DB"/>
    <w:rPr>
      <w:vertAlign w:val="superscript"/>
    </w:rPr>
  </w:style>
  <w:style w:type="character" w:customStyle="1" w:styleId="WW-Funotenzeichen">
    <w:name w:val="WW-Fußnotenzeichen"/>
    <w:rsid w:val="004A55DB"/>
    <w:rPr>
      <w:vertAlign w:val="superscript"/>
    </w:rPr>
  </w:style>
  <w:style w:type="table" w:customStyle="1" w:styleId="MittleresRaster3-Akzent21">
    <w:name w:val="Mittleres Raster 3 - Akzent 21"/>
    <w:basedOn w:val="Normlntabulka"/>
    <w:next w:val="Stednmka3zvraznn2"/>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FarbigeListe-Akzent21">
    <w:name w:val="Farbige Liste - Akzent 21"/>
    <w:basedOn w:val="Normlntabulka"/>
    <w:next w:val="Barevnseznamzvraznn2"/>
    <w:uiPriority w:val="72"/>
    <w:rsid w:val="004A55DB"/>
    <w:rPr>
      <w:rFonts w:ascii="Times" w:eastAsia="Times New Roman" w:hAnsi="Times"/>
      <w:color w:val="000000"/>
      <w:lang w:val="de-DE"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esuchterHyperlink1">
    <w:name w:val="BesuchterHyperlink1"/>
    <w:basedOn w:val="Standardnpsmoodstavce"/>
    <w:uiPriority w:val="99"/>
    <w:semiHidden/>
    <w:unhideWhenUsed/>
    <w:rsid w:val="004A55DB"/>
    <w:rPr>
      <w:color w:val="800080"/>
      <w:u w:val="single"/>
    </w:rPr>
  </w:style>
  <w:style w:type="paragraph" w:customStyle="1" w:styleId="Tabletext">
    <w:name w:val="Tabletext"/>
    <w:basedOn w:val="Normln"/>
    <w:rsid w:val="004A55DB"/>
    <w:pPr>
      <w:spacing w:before="60" w:after="60"/>
    </w:pPr>
    <w:rPr>
      <w:rFonts w:ascii="Arial" w:eastAsia="Times New Roman" w:hAnsi="Arial"/>
      <w:szCs w:val="24"/>
      <w:lang w:val="en-GB"/>
    </w:rPr>
  </w:style>
  <w:style w:type="paragraph" w:customStyle="1" w:styleId="IntensivesZitat1">
    <w:name w:val="Intensives Zitat1"/>
    <w:basedOn w:val="Normln"/>
    <w:next w:val="Normln"/>
    <w:uiPriority w:val="30"/>
    <w:qFormat/>
    <w:rsid w:val="004A55DB"/>
    <w:pPr>
      <w:pBdr>
        <w:top w:val="single" w:sz="4" w:space="10" w:color="4F81BD"/>
        <w:bottom w:val="single" w:sz="4" w:space="10" w:color="4F81BD"/>
      </w:pBdr>
      <w:spacing w:before="360" w:after="360" w:line="312" w:lineRule="atLeast"/>
      <w:ind w:left="864" w:right="864"/>
      <w:jc w:val="center"/>
    </w:pPr>
    <w:rPr>
      <w:rFonts w:ascii="Arial" w:eastAsia="Times New Roman" w:hAnsi="Arial"/>
      <w:i/>
      <w:iCs/>
      <w:color w:val="4F81BD"/>
      <w:szCs w:val="20"/>
      <w:lang w:val="en-GB" w:eastAsia="de-DE"/>
    </w:rPr>
  </w:style>
  <w:style w:type="character" w:customStyle="1" w:styleId="VrazncittChar">
    <w:name w:val="Výrazný citát Char"/>
    <w:basedOn w:val="Standardnpsmoodstavce"/>
    <w:link w:val="Vrazncitt"/>
    <w:uiPriority w:val="28"/>
    <w:rsid w:val="004A55DB"/>
    <w:rPr>
      <w:rFonts w:ascii="Arial" w:eastAsia="Times New Roman" w:hAnsi="Arial"/>
      <w:i/>
      <w:iCs/>
      <w:color w:val="4F81BD"/>
      <w:lang w:eastAsia="de-DE"/>
    </w:rPr>
  </w:style>
  <w:style w:type="character" w:customStyle="1" w:styleId="IntensiveHervorhebung1">
    <w:name w:val="Intensive Hervorhebung1"/>
    <w:basedOn w:val="Standardnpsmoodstavce"/>
    <w:uiPriority w:val="21"/>
    <w:qFormat/>
    <w:rsid w:val="004A55DB"/>
    <w:rPr>
      <w:i/>
      <w:iCs/>
      <w:color w:val="4F81BD"/>
    </w:rPr>
  </w:style>
  <w:style w:type="table" w:customStyle="1" w:styleId="GridTable5Dark-Accent11">
    <w:name w:val="Grid Table 5 Dark - Accent 1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
    <w:name w:val="Grid Table 5 Dark - Accent 5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ittlereSchattierung2-Akzent41">
    <w:name w:val="Mittlere Schattierung 2 - Akzent 41"/>
    <w:basedOn w:val="Normlntabulka"/>
    <w:next w:val="Stednstnovn2zvraznn4"/>
    <w:uiPriority w:val="64"/>
    <w:rsid w:val="004A55DB"/>
    <w:rPr>
      <w:rFonts w:ascii="Times" w:eastAsia="Times New Roman" w:hAnsi="Times"/>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Liste2-Akzent11">
    <w:name w:val="Mittlere Liste 2 - Akzent 11"/>
    <w:basedOn w:val="Normlntabulka"/>
    <w:next w:val="Stednseznam2zvraznn1"/>
    <w:uiPriority w:val="66"/>
    <w:rsid w:val="004A55DB"/>
    <w:rPr>
      <w:rFonts w:ascii="Cambria" w:eastAsia="Times New Roman" w:hAnsi="Cambria"/>
      <w:color w:val="000000"/>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sRaster3-Akzent51">
    <w:name w:val="Mittleres Raster 3 - Akzent 51"/>
    <w:basedOn w:val="Normlntabulka"/>
    <w:next w:val="Stednmka3zvraznn5"/>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41">
    <w:name w:val="Mittleres Raster 3 - Akzent 41"/>
    <w:basedOn w:val="Normlntabulka"/>
    <w:next w:val="Stednmka3zvraznn4"/>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astertabel5donker-Accent11">
    <w:name w:val="Rastertabel 5 donker - Accent 1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Barevnseznamzvraznn1">
    <w:name w:val="Colorful List Accent 1"/>
    <w:basedOn w:val="Normlntabulka"/>
    <w:uiPriority w:val="72"/>
    <w:rsid w:val="004A55DB"/>
    <w:rPr>
      <w:rFonts w:ascii="Times" w:eastAsia="Times New Roman" w:hAnsi="Times"/>
      <w:color w:val="000000" w:themeColor="text1"/>
      <w:lang w:val="de-DE" w:eastAsia="de-DE"/>
    </w:rPr>
    <w:tblPr>
      <w:tblStyleRowBandSize w:val="1"/>
      <w:tblStyleColBandSize w:val="1"/>
    </w:tblPr>
    <w:tcPr>
      <w:shd w:val="clear" w:color="auto" w:fill="FEFDDF" w:themeFill="accent1" w:themeFillTint="19"/>
    </w:tcPr>
    <w:tblStylePr w:type="firstRow">
      <w:rPr>
        <w:b/>
        <w:bCs/>
        <w:color w:val="FFFFFF" w:themeColor="background1"/>
      </w:rPr>
      <w:tblPr/>
      <w:tcPr>
        <w:tcBorders>
          <w:bottom w:val="single" w:sz="12" w:space="0" w:color="FFFFFF" w:themeColor="background1"/>
        </w:tcBorders>
        <w:shd w:val="clear" w:color="auto" w:fill="656565" w:themeFill="accent2" w:themeFillShade="CC"/>
      </w:tcPr>
    </w:tblStylePr>
    <w:tblStylePr w:type="lastRow">
      <w:rPr>
        <w:b/>
        <w:bCs/>
        <w:color w:val="6565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BAF" w:themeFill="accent1" w:themeFillTint="3F"/>
      </w:tcPr>
    </w:tblStylePr>
    <w:tblStylePr w:type="band1Horz">
      <w:tblPr/>
      <w:tcPr>
        <w:shd w:val="clear" w:color="auto" w:fill="FEFCBE" w:themeFill="accent1" w:themeFillTint="33"/>
      </w:tcPr>
    </w:tblStylePr>
  </w:style>
  <w:style w:type="table" w:styleId="Stednmka3zvraznn2">
    <w:name w:val="Medium Grid 3 Accent 2"/>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7F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7F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7F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7F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2" w:themeFillTint="7F"/>
      </w:tcPr>
    </w:tblStylePr>
  </w:style>
  <w:style w:type="table" w:styleId="Barevnseznamzvraznn2">
    <w:name w:val="Colorful List Accent 2"/>
    <w:basedOn w:val="Normlntabulka"/>
    <w:uiPriority w:val="72"/>
    <w:rsid w:val="004A55DB"/>
    <w:rPr>
      <w:rFonts w:ascii="Times" w:eastAsia="Times New Roman" w:hAnsi="Times"/>
      <w:color w:val="000000" w:themeColor="text1"/>
      <w:lang w:val="de-DE" w:eastAsia="de-DE"/>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56565" w:themeFill="accent2" w:themeFillShade="CC"/>
      </w:tcPr>
    </w:tblStylePr>
    <w:tblStylePr w:type="lastRow">
      <w:rPr>
        <w:b/>
        <w:bCs/>
        <w:color w:val="6565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2" w:themeFillTint="3F"/>
      </w:tcPr>
    </w:tblStylePr>
    <w:tblStylePr w:type="band1Horz">
      <w:tblPr/>
      <w:tcPr>
        <w:shd w:val="clear" w:color="auto" w:fill="E5E5E5" w:themeFill="accent2" w:themeFillTint="33"/>
      </w:tcPr>
    </w:tblStylePr>
  </w:style>
  <w:style w:type="paragraph" w:styleId="Vrazncitt">
    <w:name w:val="Intense Quote"/>
    <w:basedOn w:val="Normln"/>
    <w:next w:val="Normln"/>
    <w:link w:val="VrazncittChar"/>
    <w:uiPriority w:val="28"/>
    <w:qFormat/>
    <w:rsid w:val="004A55DB"/>
    <w:pPr>
      <w:pBdr>
        <w:bottom w:val="single" w:sz="4" w:space="4" w:color="B6B002" w:themeColor="accent1"/>
      </w:pBdr>
      <w:spacing w:before="200" w:after="280" w:line="312" w:lineRule="atLeast"/>
      <w:ind w:left="936" w:right="936"/>
    </w:pPr>
    <w:rPr>
      <w:rFonts w:ascii="Arial" w:eastAsia="Times New Roman" w:hAnsi="Arial"/>
      <w:i/>
      <w:iCs/>
      <w:color w:val="4F81BD"/>
      <w:sz w:val="20"/>
      <w:szCs w:val="20"/>
      <w:lang w:eastAsia="de-DE"/>
    </w:rPr>
  </w:style>
  <w:style w:type="character" w:customStyle="1" w:styleId="VrazncittChar1">
    <w:name w:val="Výrazný citát Char1"/>
    <w:basedOn w:val="Standardnpsmoodstavce"/>
    <w:uiPriority w:val="30"/>
    <w:rsid w:val="004A55DB"/>
    <w:rPr>
      <w:rFonts w:ascii="Garamond" w:hAnsi="Garamond"/>
      <w:i/>
      <w:iCs/>
      <w:color w:val="B6B002" w:themeColor="accent1"/>
      <w:sz w:val="24"/>
      <w:szCs w:val="22"/>
    </w:rPr>
  </w:style>
  <w:style w:type="character" w:customStyle="1" w:styleId="IntenseQuoteChar1">
    <w:name w:val="Intense Quote Char1"/>
    <w:basedOn w:val="Standardnpsmoodstavce"/>
    <w:uiPriority w:val="30"/>
    <w:rsid w:val="004A55DB"/>
    <w:rPr>
      <w:b/>
      <w:bCs/>
      <w:i/>
      <w:iCs/>
      <w:color w:val="B6B002" w:themeColor="accent1"/>
    </w:rPr>
  </w:style>
  <w:style w:type="character" w:customStyle="1" w:styleId="IntensivesZitatZchn1">
    <w:name w:val="Intensives Zitat Zchn1"/>
    <w:basedOn w:val="Standardnpsmoodstavce"/>
    <w:uiPriority w:val="30"/>
    <w:rsid w:val="004A55DB"/>
    <w:rPr>
      <w:rFonts w:ascii="Arial" w:hAnsi="Arial"/>
      <w:b/>
      <w:bCs/>
      <w:i/>
      <w:iCs/>
      <w:color w:val="B6B002" w:themeColor="accent1"/>
      <w:sz w:val="22"/>
      <w:lang w:val="en-GB"/>
    </w:rPr>
  </w:style>
  <w:style w:type="table" w:styleId="Stednstnovn2zvraznn4">
    <w:name w:val="Medium Shading 2 Accent 4"/>
    <w:basedOn w:val="Normlntabulka"/>
    <w:uiPriority w:val="64"/>
    <w:rsid w:val="004A55DB"/>
    <w:rPr>
      <w:rFonts w:ascii="Times" w:eastAsia="Times New Roman" w:hAnsi="Times"/>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0000" w:themeFill="accent4"/>
      </w:tcPr>
    </w:tblStylePr>
    <w:tblStylePr w:type="lastCol">
      <w:rPr>
        <w:b/>
        <w:bCs/>
        <w:color w:val="FFFFFF" w:themeColor="background1"/>
      </w:rPr>
      <w:tblPr/>
      <w:tcPr>
        <w:tcBorders>
          <w:left w:val="nil"/>
          <w:right w:val="nil"/>
          <w:insideH w:val="nil"/>
          <w:insideV w:val="nil"/>
        </w:tcBorders>
        <w:shd w:val="clear" w:color="auto" w:fill="8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3zvraznn5">
    <w:name w:val="Medium Grid 3 Accent 5"/>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accent5" w:themeFillTint="7F"/>
      </w:tcPr>
    </w:tblStylePr>
  </w:style>
  <w:style w:type="numbering" w:customStyle="1" w:styleId="KeineListe2">
    <w:name w:val="Keine Liste2"/>
    <w:next w:val="Bezseznamu"/>
    <w:uiPriority w:val="99"/>
    <w:semiHidden/>
    <w:unhideWhenUsed/>
    <w:rsid w:val="004A55DB"/>
  </w:style>
  <w:style w:type="table" w:customStyle="1" w:styleId="MittleresRaster3-Akzent22">
    <w:name w:val="Mittleres Raster 3 - Akzent 22"/>
    <w:basedOn w:val="Normlntabulka"/>
    <w:next w:val="Stednmka3zvraznn2"/>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FarbigeListe-Akzent22">
    <w:name w:val="Farbige Liste - Akzent 22"/>
    <w:basedOn w:val="Normlntabulka"/>
    <w:next w:val="Barevnseznamzvraznn2"/>
    <w:uiPriority w:val="72"/>
    <w:rsid w:val="004A55DB"/>
    <w:rPr>
      <w:rFonts w:ascii="Times" w:eastAsia="Times New Roman" w:hAnsi="Times"/>
      <w:color w:val="000000"/>
      <w:lang w:val="de-DE" w:eastAsia="de-D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FootnoteReference1">
    <w:name w:val="Footnote Reference1"/>
    <w:rsid w:val="004A55DB"/>
    <w:rPr>
      <w:vertAlign w:val="superscript"/>
    </w:rPr>
  </w:style>
  <w:style w:type="character" w:customStyle="1" w:styleId="FootnoteCharacters">
    <w:name w:val="Footnote Characters"/>
    <w:rsid w:val="004A55DB"/>
  </w:style>
  <w:style w:type="paragraph" w:customStyle="1" w:styleId="default0">
    <w:name w:val="default"/>
    <w:basedOn w:val="Normln"/>
    <w:rsid w:val="004A55DB"/>
    <w:pPr>
      <w:spacing w:before="100" w:beforeAutospacing="1" w:after="100" w:afterAutospacing="1"/>
      <w:jc w:val="left"/>
    </w:pPr>
    <w:rPr>
      <w:rFonts w:ascii="Times New Roman" w:eastAsia="Times New Roman" w:hAnsi="Times New Roman"/>
      <w:szCs w:val="24"/>
      <w:lang w:val="en-GB" w:eastAsia="en-GB"/>
    </w:rPr>
  </w:style>
  <w:style w:type="table" w:customStyle="1" w:styleId="TableGrid121">
    <w:name w:val="Table Grid121"/>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3">
    <w:name w:val="Keine Liste3"/>
    <w:next w:val="Bezseznamu"/>
    <w:uiPriority w:val="99"/>
    <w:semiHidden/>
    <w:unhideWhenUsed/>
    <w:rsid w:val="004A55DB"/>
  </w:style>
  <w:style w:type="paragraph" w:customStyle="1" w:styleId="LegislativeText">
    <w:name w:val="Legislative Text"/>
    <w:basedOn w:val="Bezmezer"/>
    <w:qFormat/>
    <w:rsid w:val="004A55DB"/>
    <w:pPr>
      <w:jc w:val="left"/>
    </w:pPr>
    <w:rPr>
      <w:rFonts w:ascii="Times New Roman" w:hAnsi="Times New Roman"/>
      <w:sz w:val="22"/>
      <w:lang w:val="en-GB"/>
    </w:rPr>
  </w:style>
  <w:style w:type="table" w:customStyle="1" w:styleId="TableGrid122">
    <w:name w:val="Table Grid122"/>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Normlntabulka"/>
    <w:uiPriority w:val="50"/>
    <w:rsid w:val="004A55DB"/>
    <w:rPr>
      <w:rFonts w:asciiTheme="minorHAnsi" w:eastAsiaTheme="minorHAnsi" w:hAnsiTheme="minorHAnsi" w:cstheme="minorBid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62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62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62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626" w:themeFill="accent5"/>
      </w:tcPr>
    </w:tblStylePr>
    <w:tblStylePr w:type="band1Vert">
      <w:tblPr/>
      <w:tcPr>
        <w:shd w:val="clear" w:color="auto" w:fill="A8A8A8" w:themeFill="accent5" w:themeFillTint="66"/>
      </w:tcPr>
    </w:tblStylePr>
    <w:tblStylePr w:type="band1Horz">
      <w:tblPr/>
      <w:tcPr>
        <w:shd w:val="clear" w:color="auto" w:fill="A8A8A8" w:themeFill="accent5" w:themeFillTint="66"/>
      </w:tcPr>
    </w:tblStylePr>
  </w:style>
  <w:style w:type="character" w:customStyle="1" w:styleId="berschrift1Zchn1">
    <w:name w:val="Überschrift 1 Zchn1"/>
    <w:aliases w:val="h1 Zchn1"/>
    <w:basedOn w:val="Standardnpsmoodstavce"/>
    <w:rsid w:val="004A55DB"/>
    <w:rPr>
      <w:rFonts w:asciiTheme="majorHAnsi" w:eastAsiaTheme="majorEastAsia" w:hAnsiTheme="majorHAnsi" w:cstheme="majorBidi"/>
      <w:b/>
      <w:bCs/>
      <w:color w:val="888301" w:themeColor="accent1" w:themeShade="BF"/>
      <w:sz w:val="28"/>
      <w:szCs w:val="28"/>
      <w:lang w:eastAsia="de-DE"/>
    </w:rPr>
  </w:style>
  <w:style w:type="character" w:customStyle="1" w:styleId="berschrift2Zchn1">
    <w:name w:val="Überschrift 2 Zchn1"/>
    <w:aliases w:val="h2 Zchn1,Titre 2 Zchn1,l2 Zchn1,list + change bar Zchn1,??? Zchn1,heading 2 Zchn1,h21 Zchn1"/>
    <w:basedOn w:val="Standardnpsmoodstavce"/>
    <w:semiHidden/>
    <w:rsid w:val="004A55DB"/>
    <w:rPr>
      <w:rFonts w:asciiTheme="majorHAnsi" w:eastAsiaTheme="majorEastAsia" w:hAnsiTheme="majorHAnsi" w:cstheme="majorBidi"/>
      <w:b/>
      <w:bCs/>
      <w:color w:val="B6B002" w:themeColor="accent1"/>
      <w:sz w:val="26"/>
      <w:szCs w:val="26"/>
      <w:lang w:eastAsia="de-DE"/>
    </w:rPr>
  </w:style>
  <w:style w:type="character" w:customStyle="1" w:styleId="berschrift3Zchn1">
    <w:name w:val="Überschrift 3 Zchn1"/>
    <w:aliases w:val="h31 Zchn1,h3 Zchn1,3 Zchn1,Titre 3 Zchn1,heading 3 Zchn1"/>
    <w:basedOn w:val="Standardnpsmoodstavce"/>
    <w:semiHidden/>
    <w:rsid w:val="004A55DB"/>
    <w:rPr>
      <w:rFonts w:asciiTheme="majorHAnsi" w:eastAsiaTheme="majorEastAsia" w:hAnsiTheme="majorHAnsi" w:cstheme="majorBidi"/>
      <w:b/>
      <w:bCs/>
      <w:color w:val="B6B002" w:themeColor="accent1"/>
      <w:sz w:val="22"/>
      <w:lang w:eastAsia="de-DE"/>
    </w:rPr>
  </w:style>
  <w:style w:type="character" w:customStyle="1" w:styleId="berschrift4Zchn1">
    <w:name w:val="Überschrift 4 Zchn1"/>
    <w:aliases w:val="h41 Zchn1,h4 Zchn1"/>
    <w:basedOn w:val="Standardnpsmoodstavce"/>
    <w:semiHidden/>
    <w:rsid w:val="004A55DB"/>
    <w:rPr>
      <w:rFonts w:asciiTheme="majorHAnsi" w:eastAsiaTheme="majorEastAsia" w:hAnsiTheme="majorHAnsi" w:cstheme="majorBidi"/>
      <w:b/>
      <w:bCs/>
      <w:i/>
      <w:iCs/>
      <w:color w:val="B6B002" w:themeColor="accent1"/>
      <w:sz w:val="22"/>
      <w:lang w:eastAsia="de-DE"/>
    </w:rPr>
  </w:style>
  <w:style w:type="character" w:customStyle="1" w:styleId="FunotentextZchn1">
    <w:name w:val="Fußnotentext Zchn1"/>
    <w:aliases w:val="Footnote Text Char1 Zchn1,Footnote Text Char Char Zchn1,Footnote Text Char2 Char Char Zchn1,Footnote Text Char3 Char1 Char Char Zchn1,Footnote Text Char2 Char1 Char1 Char Char Zchn1,Footnote Text Char3 Char1 Char Char Char Char Zchn1"/>
    <w:basedOn w:val="Standardnpsmoodstavce"/>
    <w:uiPriority w:val="99"/>
    <w:semiHidden/>
    <w:rsid w:val="004A55DB"/>
    <w:rPr>
      <w:rFonts w:ascii="Arial" w:hAnsi="Arial"/>
      <w:lang w:val="en-GB"/>
    </w:rPr>
  </w:style>
  <w:style w:type="character" w:customStyle="1" w:styleId="list-bullet-colorChar">
    <w:name w:val="list-bullet-color Char"/>
    <w:basedOn w:val="DefaultTextChar"/>
    <w:link w:val="list-bullet-color"/>
    <w:locked/>
    <w:rsid w:val="004A55DB"/>
    <w:rPr>
      <w:rFonts w:ascii="Arial" w:eastAsia="Times New Roman" w:hAnsi="Arial"/>
      <w:sz w:val="24"/>
      <w:lang w:val="en-GB" w:eastAsia="de-DE"/>
    </w:rPr>
  </w:style>
  <w:style w:type="paragraph" w:customStyle="1" w:styleId="list-bullet-color">
    <w:name w:val="list-bullet-color"/>
    <w:basedOn w:val="DefaultText"/>
    <w:link w:val="list-bullet-colorChar"/>
    <w:rsid w:val="004A55DB"/>
    <w:pPr>
      <w:numPr>
        <w:numId w:val="52"/>
      </w:numPr>
    </w:pPr>
  </w:style>
  <w:style w:type="paragraph" w:customStyle="1" w:styleId="copymainlg">
    <w:name w:val="copy_main_lg"/>
    <w:basedOn w:val="Normln"/>
    <w:rsid w:val="004A55DB"/>
    <w:pPr>
      <w:spacing w:before="100" w:beforeAutospacing="1" w:after="100" w:afterAutospacing="1"/>
      <w:jc w:val="left"/>
    </w:pPr>
    <w:rPr>
      <w:rFonts w:ascii="Times New Roman" w:eastAsia="Times New Roman" w:hAnsi="Times New Roman"/>
      <w:szCs w:val="24"/>
      <w:lang w:val="en-GB" w:eastAsia="en-GB"/>
    </w:rPr>
  </w:style>
  <w:style w:type="paragraph" w:customStyle="1" w:styleId="bronvermelding">
    <w:name w:val="bronvermelding"/>
    <w:basedOn w:val="DefaultText"/>
    <w:next w:val="DefaultText"/>
    <w:rsid w:val="004A55DB"/>
    <w:pPr>
      <w:spacing w:line="200" w:lineRule="atLeast"/>
    </w:pPr>
    <w:rPr>
      <w:sz w:val="14"/>
      <w:lang w:val="de-DE"/>
    </w:rPr>
  </w:style>
  <w:style w:type="character" w:customStyle="1" w:styleId="SourcesandNotesChar">
    <w:name w:val="Sources and Notes Char"/>
    <w:basedOn w:val="DefaultTextChar"/>
    <w:link w:val="SourcesandNotes"/>
    <w:locked/>
    <w:rsid w:val="004A55DB"/>
    <w:rPr>
      <w:rFonts w:ascii="Arial" w:eastAsia="Times New Roman" w:hAnsi="Arial"/>
      <w:sz w:val="14"/>
      <w:szCs w:val="16"/>
      <w:lang w:val="en-GB" w:eastAsia="de-DE"/>
    </w:rPr>
  </w:style>
  <w:style w:type="paragraph" w:customStyle="1" w:styleId="SourcesandNotes">
    <w:name w:val="Sources and Notes"/>
    <w:basedOn w:val="DefaultText"/>
    <w:link w:val="SourcesandNotesChar"/>
    <w:qFormat/>
    <w:rsid w:val="004A55DB"/>
    <w:rPr>
      <w:sz w:val="14"/>
      <w:szCs w:val="16"/>
    </w:rPr>
  </w:style>
  <w:style w:type="paragraph" w:customStyle="1" w:styleId="no-heading-blue-3">
    <w:name w:val="no-heading-blue-3"/>
    <w:basedOn w:val="DefaultText"/>
    <w:next w:val="DefaultText"/>
    <w:rsid w:val="004A55DB"/>
    <w:pPr>
      <w:keepNext/>
      <w:keepLines/>
      <w:outlineLvl w:val="2"/>
    </w:pPr>
    <w:rPr>
      <w:b/>
      <w:color w:val="006DB6"/>
      <w:sz w:val="20"/>
      <w:lang w:val="de-DE"/>
    </w:rPr>
  </w:style>
  <w:style w:type="table" w:customStyle="1" w:styleId="Rastertabel4-Accent51">
    <w:name w:val="Rastertabel 4 - Accent 51"/>
    <w:basedOn w:val="Normlntabulka"/>
    <w:uiPriority w:val="49"/>
    <w:rsid w:val="004A55DB"/>
    <w:rPr>
      <w:rFonts w:asciiTheme="minorHAnsi" w:eastAsiaTheme="minorHAnsi" w:hAnsiTheme="minorHAnsi" w:cstheme="minorBidi"/>
      <w:sz w:val="22"/>
      <w:szCs w:val="22"/>
      <w:lang w:val="nl-NL"/>
    </w:rPr>
    <w:tblPr>
      <w:tblStyleRowBandSize w:val="1"/>
      <w:tblStyleColBandSize w:val="1"/>
      <w:tblInd w:w="0" w:type="nil"/>
      <w:tblBorders>
        <w:top w:val="single" w:sz="4" w:space="0" w:color="7C7C7C" w:themeColor="accent5" w:themeTint="99"/>
        <w:left w:val="single" w:sz="4" w:space="0" w:color="7C7C7C" w:themeColor="accent5" w:themeTint="99"/>
        <w:bottom w:val="single" w:sz="4" w:space="0" w:color="7C7C7C" w:themeColor="accent5" w:themeTint="99"/>
        <w:right w:val="single" w:sz="4" w:space="0" w:color="7C7C7C" w:themeColor="accent5" w:themeTint="99"/>
        <w:insideH w:val="single" w:sz="4" w:space="0" w:color="7C7C7C" w:themeColor="accent5" w:themeTint="99"/>
        <w:insideV w:val="single" w:sz="4" w:space="0" w:color="7C7C7C" w:themeColor="accent5" w:themeTint="99"/>
      </w:tblBorders>
    </w:tblPr>
    <w:tblStylePr w:type="firstRow">
      <w:rPr>
        <w:b/>
        <w:bCs/>
        <w:color w:val="FFFFFF" w:themeColor="background1"/>
      </w:rPr>
      <w:tblPr/>
      <w:tcPr>
        <w:tcBorders>
          <w:top w:val="single" w:sz="4" w:space="0" w:color="262626" w:themeColor="accent5"/>
          <w:left w:val="single" w:sz="4" w:space="0" w:color="262626" w:themeColor="accent5"/>
          <w:bottom w:val="single" w:sz="4" w:space="0" w:color="262626" w:themeColor="accent5"/>
          <w:right w:val="single" w:sz="4" w:space="0" w:color="262626" w:themeColor="accent5"/>
          <w:insideH w:val="nil"/>
          <w:insideV w:val="nil"/>
        </w:tcBorders>
        <w:shd w:val="clear" w:color="auto" w:fill="262626" w:themeFill="accent5"/>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broodtekst">
    <w:name w:val="broodtekst"/>
    <w:basedOn w:val="Normln"/>
    <w:uiPriority w:val="99"/>
    <w:semiHidden/>
    <w:rsid w:val="004A55DB"/>
    <w:pPr>
      <w:spacing w:before="0" w:after="0" w:line="280" w:lineRule="atLeast"/>
      <w:jc w:val="left"/>
    </w:pPr>
    <w:rPr>
      <w:rFonts w:ascii="Arial" w:eastAsia="Times New Roman" w:hAnsi="Arial"/>
      <w:sz w:val="18"/>
      <w:szCs w:val="24"/>
      <w:lang w:val="en-GB" w:eastAsia="nl-NL"/>
    </w:rPr>
  </w:style>
  <w:style w:type="character" w:customStyle="1" w:styleId="tgc">
    <w:name w:val="_tgc"/>
    <w:basedOn w:val="Standardnpsmoodstavce"/>
    <w:rsid w:val="004A55DB"/>
  </w:style>
  <w:style w:type="character" w:customStyle="1" w:styleId="st1">
    <w:name w:val="st1"/>
    <w:basedOn w:val="Standardnpsmoodstavce"/>
    <w:rsid w:val="004A55DB"/>
  </w:style>
  <w:style w:type="table" w:customStyle="1" w:styleId="GridTable1Light-Accent12">
    <w:name w:val="Grid Table 1 Light - Accent 12"/>
    <w:basedOn w:val="Normlntabulka"/>
    <w:uiPriority w:val="46"/>
    <w:rsid w:val="004A55DB"/>
    <w:rPr>
      <w:rFonts w:asciiTheme="minorHAnsi" w:eastAsiaTheme="minorHAnsi" w:hAnsiTheme="minorHAnsi" w:cstheme="minorBidi"/>
      <w:sz w:val="22"/>
      <w:szCs w:val="22"/>
      <w:lang w:val="en-GB"/>
    </w:rPr>
    <w:tblPr>
      <w:tblStyleRowBandSize w:val="1"/>
      <w:tblStyleColBandSize w:val="1"/>
      <w:tblBorders>
        <w:top w:val="single" w:sz="4" w:space="0" w:color="FDF97D" w:themeColor="accent1" w:themeTint="66"/>
        <w:left w:val="single" w:sz="4" w:space="0" w:color="FDF97D" w:themeColor="accent1" w:themeTint="66"/>
        <w:bottom w:val="single" w:sz="4" w:space="0" w:color="FDF97D" w:themeColor="accent1" w:themeTint="66"/>
        <w:right w:val="single" w:sz="4" w:space="0" w:color="FDF97D" w:themeColor="accent1" w:themeTint="66"/>
        <w:insideH w:val="single" w:sz="4" w:space="0" w:color="FDF97D" w:themeColor="accent1" w:themeTint="66"/>
        <w:insideV w:val="single" w:sz="4" w:space="0" w:color="FDF97D" w:themeColor="accent1" w:themeTint="66"/>
      </w:tblBorders>
    </w:tblPr>
    <w:tblStylePr w:type="firstRow">
      <w:rPr>
        <w:b/>
        <w:bCs/>
      </w:rPr>
      <w:tblPr/>
      <w:tcPr>
        <w:tcBorders>
          <w:bottom w:val="single" w:sz="12" w:space="0" w:color="FCF63D" w:themeColor="accent1" w:themeTint="99"/>
        </w:tcBorders>
      </w:tcPr>
    </w:tblStylePr>
    <w:tblStylePr w:type="lastRow">
      <w:rPr>
        <w:b/>
        <w:bCs/>
      </w:rPr>
      <w:tblPr/>
      <w:tcPr>
        <w:tcBorders>
          <w:top w:val="double" w:sz="2" w:space="0" w:color="FCF63D" w:themeColor="accent1" w:themeTint="99"/>
        </w:tcBorders>
      </w:tcPr>
    </w:tblStylePr>
    <w:tblStylePr w:type="firstCol">
      <w:rPr>
        <w:b/>
        <w:bCs/>
      </w:rPr>
    </w:tblStylePr>
    <w:tblStylePr w:type="lastCol">
      <w:rPr>
        <w:b/>
        <w:bCs/>
      </w:rPr>
    </w:tblStylePr>
  </w:style>
  <w:style w:type="table" w:styleId="Svtlstnovnzvraznn1">
    <w:name w:val="Light Shading Accent 1"/>
    <w:basedOn w:val="Normlntabulka"/>
    <w:uiPriority w:val="60"/>
    <w:rsid w:val="004A55DB"/>
    <w:rPr>
      <w:rFonts w:asciiTheme="minorHAnsi" w:eastAsiaTheme="minorHAnsi" w:hAnsiTheme="minorHAnsi" w:cstheme="minorBidi"/>
      <w:color w:val="888301" w:themeColor="accent1" w:themeShade="BF"/>
      <w:sz w:val="22"/>
      <w:szCs w:val="22"/>
      <w:lang w:val="en-GB"/>
    </w:rPr>
    <w:tblPr>
      <w:tblStyleRowBandSize w:val="1"/>
      <w:tblStyleColBandSize w:val="1"/>
      <w:tblBorders>
        <w:top w:val="single" w:sz="8" w:space="0" w:color="B6B002" w:themeColor="accent1"/>
        <w:bottom w:val="single" w:sz="8" w:space="0" w:color="B6B002" w:themeColor="accent1"/>
      </w:tblBorders>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character" w:customStyle="1" w:styleId="None">
    <w:name w:val="None"/>
    <w:rsid w:val="004A55DB"/>
  </w:style>
  <w:style w:type="character" w:customStyle="1" w:styleId="Hyperlink0">
    <w:name w:val="Hyperlink.0"/>
    <w:basedOn w:val="None"/>
    <w:rsid w:val="004A55DB"/>
    <w:rPr>
      <w:rFonts w:ascii="Times New Roman" w:eastAsia="Times New Roman" w:hAnsi="Times New Roman" w:cs="Times New Roman"/>
      <w:sz w:val="24"/>
      <w:szCs w:val="24"/>
    </w:rPr>
  </w:style>
  <w:style w:type="character" w:customStyle="1" w:styleId="Hyperlink1">
    <w:name w:val="Hyperlink.1"/>
    <w:basedOn w:val="Standardnpsmoodstavce"/>
    <w:rsid w:val="004A55DB"/>
    <w:rPr>
      <w:rFonts w:ascii="Times New Roman" w:eastAsia="Times New Roman" w:hAnsi="Times New Roman" w:cs="Times New Roman"/>
      <w:strike w:val="0"/>
      <w:dstrike w:val="0"/>
      <w:color w:val="000000"/>
      <w:u w:val="none" w:color="000000"/>
    </w:rPr>
  </w:style>
  <w:style w:type="character" w:customStyle="1" w:styleId="questionparenttitle">
    <w:name w:val="questionparenttitle"/>
    <w:basedOn w:val="Standardnpsmoodstavce"/>
    <w:rsid w:val="004A55DB"/>
  </w:style>
  <w:style w:type="paragraph" w:customStyle="1" w:styleId="BodyA">
    <w:name w:val="Body A"/>
    <w:rsid w:val="004A55DB"/>
    <w:pPr>
      <w:pBdr>
        <w:top w:val="nil"/>
        <w:left w:val="nil"/>
        <w:bottom w:val="nil"/>
        <w:right w:val="nil"/>
        <w:between w:val="nil"/>
        <w:bar w:val="nil"/>
      </w:pBdr>
      <w:spacing w:after="200" w:line="276" w:lineRule="auto"/>
    </w:pPr>
    <w:rPr>
      <w:rFonts w:cs="Calibri"/>
      <w:color w:val="000000"/>
      <w:sz w:val="22"/>
      <w:szCs w:val="22"/>
      <w:u w:color="000000"/>
      <w:bdr w:val="nil"/>
      <w:lang w:val="en-US" w:eastAsia="en-GB"/>
    </w:rPr>
  </w:style>
  <w:style w:type="character" w:customStyle="1" w:styleId="s2">
    <w:name w:val="s2"/>
    <w:basedOn w:val="Standardnpsmoodstavce"/>
    <w:rsid w:val="004A55DB"/>
  </w:style>
  <w:style w:type="table" w:customStyle="1" w:styleId="Svtltabulkasmkou1zvraznn51">
    <w:name w:val="Světlá tabulka s mřížkou 1 – zvýraznění 51"/>
    <w:basedOn w:val="Normlntabulka"/>
    <w:uiPriority w:val="46"/>
    <w:rsid w:val="004A55DB"/>
    <w:rPr>
      <w:rFonts w:asciiTheme="minorHAnsi" w:eastAsiaTheme="minorHAnsi" w:hAnsiTheme="minorHAnsi" w:cstheme="minorBidi"/>
      <w:sz w:val="22"/>
      <w:szCs w:val="22"/>
      <w:lang w:val="nl-NL"/>
    </w:rPr>
    <w:tblPr>
      <w:tblStyleRowBandSize w:val="1"/>
      <w:tblStyleColBandSize w:val="1"/>
      <w:tblBorders>
        <w:top w:val="single" w:sz="4" w:space="0" w:color="A8A8A8" w:themeColor="accent5" w:themeTint="66"/>
        <w:left w:val="single" w:sz="4" w:space="0" w:color="A8A8A8" w:themeColor="accent5" w:themeTint="66"/>
        <w:bottom w:val="single" w:sz="4" w:space="0" w:color="A8A8A8" w:themeColor="accent5" w:themeTint="66"/>
        <w:right w:val="single" w:sz="4" w:space="0" w:color="A8A8A8" w:themeColor="accent5" w:themeTint="66"/>
        <w:insideH w:val="single" w:sz="4" w:space="0" w:color="A8A8A8" w:themeColor="accent5" w:themeTint="66"/>
        <w:insideV w:val="single" w:sz="4" w:space="0" w:color="A8A8A8" w:themeColor="accent5" w:themeTint="66"/>
      </w:tblBorders>
    </w:tblPr>
    <w:tblStylePr w:type="firstRow">
      <w:rPr>
        <w:b/>
        <w:bCs/>
      </w:rPr>
      <w:tblPr/>
      <w:tcPr>
        <w:tcBorders>
          <w:bottom w:val="single" w:sz="12" w:space="0" w:color="7C7C7C" w:themeColor="accent5" w:themeTint="99"/>
        </w:tcBorders>
      </w:tcPr>
    </w:tblStylePr>
    <w:tblStylePr w:type="lastRow">
      <w:rPr>
        <w:b/>
        <w:bCs/>
      </w:rPr>
      <w:tblPr/>
      <w:tcPr>
        <w:tcBorders>
          <w:top w:val="double" w:sz="2" w:space="0" w:color="7C7C7C" w:themeColor="accent5" w:themeTint="99"/>
        </w:tcBorders>
      </w:tcPr>
    </w:tblStylePr>
    <w:tblStylePr w:type="firstCol">
      <w:rPr>
        <w:b/>
        <w:bCs/>
      </w:rPr>
    </w:tblStylePr>
    <w:tblStylePr w:type="lastCol">
      <w:rPr>
        <w:b/>
        <w:bCs/>
      </w:rPr>
    </w:tblStylePr>
  </w:style>
  <w:style w:type="table" w:customStyle="1" w:styleId="Tabulkasmkou4zvraznn51">
    <w:name w:val="Tabulka s mřížkou 4 – zvýraznění 51"/>
    <w:basedOn w:val="Normlntabulka"/>
    <w:uiPriority w:val="49"/>
    <w:rsid w:val="004A55DB"/>
    <w:rPr>
      <w:rFonts w:asciiTheme="minorHAnsi" w:eastAsiaTheme="minorHAnsi" w:hAnsiTheme="minorHAnsi" w:cstheme="minorBidi"/>
      <w:sz w:val="22"/>
      <w:szCs w:val="22"/>
      <w:lang w:val="nl-NL"/>
    </w:rPr>
    <w:tblPr>
      <w:tblStyleRowBandSize w:val="1"/>
      <w:tblStyleColBandSize w:val="1"/>
      <w:tblBorders>
        <w:top w:val="single" w:sz="4" w:space="0" w:color="7C7C7C" w:themeColor="accent5" w:themeTint="99"/>
        <w:left w:val="single" w:sz="4" w:space="0" w:color="7C7C7C" w:themeColor="accent5" w:themeTint="99"/>
        <w:bottom w:val="single" w:sz="4" w:space="0" w:color="7C7C7C" w:themeColor="accent5" w:themeTint="99"/>
        <w:right w:val="single" w:sz="4" w:space="0" w:color="7C7C7C" w:themeColor="accent5" w:themeTint="99"/>
        <w:insideH w:val="single" w:sz="4" w:space="0" w:color="7C7C7C" w:themeColor="accent5" w:themeTint="99"/>
        <w:insideV w:val="single" w:sz="4" w:space="0" w:color="7C7C7C" w:themeColor="accent5" w:themeTint="99"/>
      </w:tblBorders>
    </w:tblPr>
    <w:tblStylePr w:type="firstRow">
      <w:rPr>
        <w:b/>
        <w:bCs/>
        <w:color w:val="FFFFFF" w:themeColor="background1"/>
      </w:rPr>
      <w:tblPr/>
      <w:tcPr>
        <w:tcBorders>
          <w:top w:val="single" w:sz="4" w:space="0" w:color="262626" w:themeColor="accent5"/>
          <w:left w:val="single" w:sz="4" w:space="0" w:color="262626" w:themeColor="accent5"/>
          <w:bottom w:val="single" w:sz="4" w:space="0" w:color="262626" w:themeColor="accent5"/>
          <w:right w:val="single" w:sz="4" w:space="0" w:color="262626" w:themeColor="accent5"/>
          <w:insideH w:val="nil"/>
          <w:insideV w:val="nil"/>
        </w:tcBorders>
        <w:shd w:val="clear" w:color="auto" w:fill="262626" w:themeFill="accent5"/>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uiPriority w:val="99"/>
    <w:rsid w:val="004A55DB"/>
    <w:pPr>
      <w:spacing w:before="0" w:after="160" w:line="240" w:lineRule="exact"/>
    </w:pPr>
    <w:rPr>
      <w:rFonts w:ascii="Times New Roman" w:eastAsia="Times New Roman" w:hAnsi="Times New Roman"/>
      <w:sz w:val="20"/>
      <w:szCs w:val="20"/>
      <w:vertAlign w:val="superscript"/>
      <w:lang w:val="fr-BE" w:eastAsia="zh-TW"/>
    </w:rPr>
  </w:style>
  <w:style w:type="character" w:customStyle="1" w:styleId="TypedudocumentChar">
    <w:name w:val="Type du document Char"/>
    <w:link w:val="Typedudocument"/>
    <w:locked/>
    <w:rsid w:val="004A55DB"/>
    <w:rPr>
      <w:rFonts w:ascii="Times New Roman" w:eastAsia="Times New Roman" w:hAnsi="Times New Roman"/>
      <w:b/>
      <w:sz w:val="24"/>
      <w:lang w:eastAsia="en-GB"/>
    </w:rPr>
  </w:style>
  <w:style w:type="character" w:customStyle="1" w:styleId="tlid-translation">
    <w:name w:val="tlid-translation"/>
    <w:basedOn w:val="Standardnpsmoodstavce"/>
    <w:rsid w:val="004A55DB"/>
  </w:style>
  <w:style w:type="character" w:customStyle="1" w:styleId="Nevyeenzmnka7">
    <w:name w:val="Nevyřešená zmínka7"/>
    <w:basedOn w:val="Standardnpsmoodstavce"/>
    <w:uiPriority w:val="99"/>
    <w:semiHidden/>
    <w:unhideWhenUsed/>
    <w:rsid w:val="00AE57BF"/>
    <w:rPr>
      <w:color w:val="605E5C"/>
      <w:shd w:val="clear" w:color="auto" w:fill="E1DFDD"/>
    </w:rPr>
  </w:style>
  <w:style w:type="paragraph" w:customStyle="1" w:styleId="l3">
    <w:name w:val="l3"/>
    <w:basedOn w:val="Normln"/>
    <w:rsid w:val="003A644D"/>
    <w:pPr>
      <w:spacing w:before="100" w:beforeAutospacing="1" w:after="100" w:afterAutospacing="1"/>
      <w:jc w:val="left"/>
    </w:pPr>
    <w:rPr>
      <w:rFonts w:ascii="Times New Roman" w:eastAsia="Times New Roman" w:hAnsi="Times New Roman"/>
      <w:szCs w:val="24"/>
      <w:lang w:eastAsia="cs-CZ"/>
    </w:rPr>
  </w:style>
  <w:style w:type="table" w:customStyle="1" w:styleId="Prosttabulka31">
    <w:name w:val="Prostá tabulka 31"/>
    <w:basedOn w:val="Normlntabulka"/>
    <w:uiPriority w:val="43"/>
    <w:rsid w:val="00CE09A4"/>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ulkasmkou4zvraznn11">
    <w:name w:val="Tabulka s mřížkou 4 – zvýraznění 11"/>
    <w:basedOn w:val="Normlntabulka"/>
    <w:uiPriority w:val="49"/>
    <w:rsid w:val="000619CB"/>
    <w:rPr>
      <w:rFonts w:asciiTheme="minorHAnsi" w:eastAsiaTheme="minorHAnsi" w:hAnsiTheme="minorHAnsi" w:cstheme="minorBidi"/>
      <w:sz w:val="22"/>
      <w:szCs w:val="22"/>
    </w:rPr>
    <w:tblPr>
      <w:tblStyleRowBandSize w:val="1"/>
      <w:tblStyleColBandSize w:val="1"/>
      <w:tblInd w:w="0" w:type="nil"/>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color w:val="FFFFFF" w:themeColor="background1"/>
      </w:rPr>
      <w:tblPr/>
      <w:tcPr>
        <w:tcBorders>
          <w:top w:val="single" w:sz="4" w:space="0" w:color="B6B002" w:themeColor="accent1"/>
          <w:left w:val="single" w:sz="4" w:space="0" w:color="B6B002" w:themeColor="accent1"/>
          <w:bottom w:val="single" w:sz="4" w:space="0" w:color="B6B002" w:themeColor="accent1"/>
          <w:right w:val="single" w:sz="4" w:space="0" w:color="B6B002" w:themeColor="accent1"/>
          <w:insideH w:val="nil"/>
          <w:insideV w:val="nil"/>
        </w:tcBorders>
        <w:shd w:val="clear" w:color="auto" w:fill="B6B002" w:themeFill="accent1"/>
      </w:tcPr>
    </w:tblStylePr>
    <w:tblStylePr w:type="lastRow">
      <w:rPr>
        <w:b/>
        <w:bCs/>
      </w:rPr>
      <w:tblPr/>
      <w:tcPr>
        <w:tcBorders>
          <w:top w:val="double" w:sz="4" w:space="0" w:color="B6B002" w:themeColor="accent1"/>
        </w:tcBorders>
      </w:tcPr>
    </w:tblStylePr>
    <w:tblStylePr w:type="firstCol">
      <w:rPr>
        <w:b/>
        <w:bCs/>
      </w:rPr>
    </w:tblStylePr>
    <w:tblStylePr w:type="lastCol">
      <w:rPr>
        <w:b/>
        <w:bCs/>
      </w:rPr>
    </w:tblStylePr>
    <w:tblStylePr w:type="band1Vert">
      <w:tblPr/>
      <w:tcPr>
        <w:shd w:val="clear" w:color="auto" w:fill="FEFCBE" w:themeFill="accent1" w:themeFillTint="33"/>
      </w:tcPr>
    </w:tblStylePr>
    <w:tblStylePr w:type="band1Horz">
      <w:tblPr/>
      <w:tcPr>
        <w:shd w:val="clear" w:color="auto" w:fill="FEFCBE" w:themeFill="accent1" w:themeFillTint="33"/>
      </w:tcPr>
    </w:tblStylePr>
  </w:style>
  <w:style w:type="paragraph" w:styleId="Seznamsodrkami5">
    <w:name w:val="List Bullet 5"/>
    <w:aliases w:val="Seznam s odrážkami A 5"/>
    <w:basedOn w:val="Normln"/>
    <w:uiPriority w:val="10"/>
    <w:semiHidden/>
    <w:unhideWhenUsed/>
    <w:qFormat/>
    <w:rsid w:val="006F588A"/>
    <w:pPr>
      <w:spacing w:before="0" w:after="0" w:line="276" w:lineRule="auto"/>
      <w:ind w:left="1785" w:hanging="357"/>
      <w:jc w:val="left"/>
    </w:pPr>
    <w:rPr>
      <w:rFonts w:asciiTheme="minorHAnsi" w:eastAsiaTheme="minorHAnsi" w:hAnsiTheme="minorHAnsi" w:cstheme="minorBidi"/>
      <w:sz w:val="22"/>
    </w:rPr>
  </w:style>
  <w:style w:type="paragraph" w:styleId="Zkladntext-prvnodsazen">
    <w:name w:val="Body Text First Indent"/>
    <w:basedOn w:val="Zkladntext"/>
    <w:link w:val="Zkladntext-prvnodsazenChar"/>
    <w:uiPriority w:val="1"/>
    <w:semiHidden/>
    <w:unhideWhenUsed/>
    <w:rsid w:val="006F588A"/>
    <w:pPr>
      <w:spacing w:before="0" w:after="200" w:line="276" w:lineRule="auto"/>
      <w:ind w:firstLine="357"/>
      <w:jc w:val="left"/>
    </w:pPr>
    <w:rPr>
      <w:rFonts w:asciiTheme="minorHAnsi" w:eastAsiaTheme="minorHAnsi" w:hAnsiTheme="minorHAnsi" w:cstheme="minorBidi"/>
      <w:sz w:val="22"/>
    </w:rPr>
  </w:style>
  <w:style w:type="character" w:customStyle="1" w:styleId="Zkladntext-prvnodsazenChar">
    <w:name w:val="Základní text - první odsazený Char"/>
    <w:basedOn w:val="ZkladntextChar"/>
    <w:link w:val="Zkladntext-prvnodsazen"/>
    <w:uiPriority w:val="1"/>
    <w:semiHidden/>
    <w:rsid w:val="006F588A"/>
    <w:rPr>
      <w:rFonts w:asciiTheme="minorHAnsi" w:eastAsiaTheme="minorHAnsi" w:hAnsiTheme="minorHAnsi" w:cstheme="minorBidi"/>
      <w:sz w:val="22"/>
      <w:szCs w:val="22"/>
      <w:lang w:eastAsia="en-US"/>
    </w:rPr>
  </w:style>
  <w:style w:type="paragraph" w:customStyle="1" w:styleId="slovanseznamB">
    <w:name w:val="Číslovaný seznam B"/>
    <w:basedOn w:val="Normln"/>
    <w:uiPriority w:val="16"/>
    <w:semiHidden/>
    <w:qFormat/>
    <w:rsid w:val="006F588A"/>
    <w:pPr>
      <w:numPr>
        <w:numId w:val="64"/>
      </w:numPr>
      <w:spacing w:before="0" w:after="0" w:line="276" w:lineRule="auto"/>
      <w:jc w:val="left"/>
    </w:pPr>
    <w:rPr>
      <w:rFonts w:asciiTheme="minorHAnsi" w:eastAsiaTheme="minorHAnsi" w:hAnsiTheme="minorHAnsi" w:cstheme="minorBidi"/>
      <w:sz w:val="22"/>
    </w:rPr>
  </w:style>
  <w:style w:type="paragraph" w:customStyle="1" w:styleId="slovanseznamB2">
    <w:name w:val="Číslovaný seznam B 2"/>
    <w:basedOn w:val="Normln"/>
    <w:uiPriority w:val="16"/>
    <w:semiHidden/>
    <w:qFormat/>
    <w:rsid w:val="006F588A"/>
    <w:pPr>
      <w:numPr>
        <w:ilvl w:val="1"/>
        <w:numId w:val="64"/>
      </w:numPr>
      <w:spacing w:before="0" w:after="0" w:line="276" w:lineRule="auto"/>
      <w:jc w:val="left"/>
    </w:pPr>
    <w:rPr>
      <w:rFonts w:asciiTheme="minorHAnsi" w:eastAsiaTheme="minorHAnsi" w:hAnsiTheme="minorHAnsi" w:cstheme="minorBidi"/>
      <w:sz w:val="22"/>
    </w:rPr>
  </w:style>
  <w:style w:type="paragraph" w:customStyle="1" w:styleId="slovanseznamB3">
    <w:name w:val="Číslovaný seznam B 3"/>
    <w:basedOn w:val="Normln"/>
    <w:uiPriority w:val="16"/>
    <w:semiHidden/>
    <w:qFormat/>
    <w:rsid w:val="006F588A"/>
    <w:pPr>
      <w:numPr>
        <w:ilvl w:val="2"/>
        <w:numId w:val="64"/>
      </w:numPr>
      <w:spacing w:before="0" w:after="0" w:line="276" w:lineRule="auto"/>
      <w:jc w:val="left"/>
    </w:pPr>
    <w:rPr>
      <w:rFonts w:asciiTheme="minorHAnsi" w:eastAsiaTheme="minorHAnsi" w:hAnsiTheme="minorHAnsi" w:cstheme="minorBidi"/>
      <w:sz w:val="22"/>
    </w:rPr>
  </w:style>
  <w:style w:type="paragraph" w:customStyle="1" w:styleId="slovanseznamB4">
    <w:name w:val="Číslovaný seznam B 4"/>
    <w:basedOn w:val="Normln"/>
    <w:uiPriority w:val="16"/>
    <w:semiHidden/>
    <w:qFormat/>
    <w:rsid w:val="006F588A"/>
    <w:pPr>
      <w:numPr>
        <w:ilvl w:val="3"/>
        <w:numId w:val="64"/>
      </w:numPr>
      <w:spacing w:before="0" w:after="0" w:line="276" w:lineRule="auto"/>
      <w:jc w:val="left"/>
    </w:pPr>
    <w:rPr>
      <w:rFonts w:asciiTheme="minorHAnsi" w:eastAsiaTheme="minorHAnsi" w:hAnsiTheme="minorHAnsi" w:cstheme="minorBidi"/>
      <w:sz w:val="22"/>
    </w:rPr>
  </w:style>
  <w:style w:type="paragraph" w:customStyle="1" w:styleId="slovanseznamB5">
    <w:name w:val="Číslovaný seznam B 5"/>
    <w:basedOn w:val="Normln"/>
    <w:uiPriority w:val="16"/>
    <w:semiHidden/>
    <w:qFormat/>
    <w:rsid w:val="006F588A"/>
    <w:pPr>
      <w:numPr>
        <w:ilvl w:val="4"/>
        <w:numId w:val="64"/>
      </w:numPr>
      <w:spacing w:before="0" w:after="0" w:line="276" w:lineRule="auto"/>
      <w:jc w:val="left"/>
    </w:pPr>
    <w:rPr>
      <w:rFonts w:asciiTheme="minorHAnsi" w:eastAsiaTheme="minorHAnsi" w:hAnsiTheme="minorHAnsi" w:cstheme="minorBidi"/>
      <w:sz w:val="22"/>
    </w:rPr>
  </w:style>
  <w:style w:type="paragraph" w:customStyle="1" w:styleId="Nadpis1-mimoobsah">
    <w:name w:val="Nadpis 1 - mimo obsah"/>
    <w:basedOn w:val="Normln"/>
    <w:next w:val="Normln"/>
    <w:uiPriority w:val="8"/>
    <w:semiHidden/>
    <w:qFormat/>
    <w:rsid w:val="006F588A"/>
    <w:pPr>
      <w:keepNext/>
      <w:keepLines/>
      <w:spacing w:before="160" w:after="0" w:line="276" w:lineRule="auto"/>
      <w:jc w:val="left"/>
    </w:pPr>
    <w:rPr>
      <w:rFonts w:asciiTheme="majorHAnsi" w:eastAsiaTheme="minorHAnsi" w:hAnsiTheme="majorHAnsi" w:cstheme="minorBidi"/>
      <w:b/>
      <w:sz w:val="28"/>
    </w:rPr>
  </w:style>
  <w:style w:type="paragraph" w:customStyle="1" w:styleId="Nadpis2-mimoobsah">
    <w:name w:val="Nadpis 2 - mimo obsah"/>
    <w:basedOn w:val="Normln"/>
    <w:next w:val="Normln"/>
    <w:uiPriority w:val="8"/>
    <w:semiHidden/>
    <w:qFormat/>
    <w:rsid w:val="006F588A"/>
    <w:pPr>
      <w:keepNext/>
      <w:keepLines/>
      <w:spacing w:before="80" w:after="0" w:line="276" w:lineRule="auto"/>
      <w:jc w:val="left"/>
    </w:pPr>
    <w:rPr>
      <w:rFonts w:asciiTheme="majorHAnsi" w:eastAsiaTheme="minorHAnsi" w:hAnsiTheme="majorHAnsi" w:cstheme="minorBidi"/>
      <w:b/>
      <w:sz w:val="26"/>
    </w:rPr>
  </w:style>
  <w:style w:type="paragraph" w:customStyle="1" w:styleId="Nadpis3-mimoobsah">
    <w:name w:val="Nadpis 3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rPr>
  </w:style>
  <w:style w:type="paragraph" w:customStyle="1" w:styleId="Nadpis4-mimoobsah">
    <w:name w:val="Nadpis 4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rPr>
  </w:style>
  <w:style w:type="paragraph" w:customStyle="1" w:styleId="Nadpis5-mimoobsah">
    <w:name w:val="Nadpis 5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sz w:val="22"/>
    </w:rPr>
  </w:style>
  <w:style w:type="paragraph" w:customStyle="1" w:styleId="Nadpis7mimoobsah">
    <w:name w:val="Nadpis 7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sz w:val="22"/>
    </w:rPr>
  </w:style>
  <w:style w:type="paragraph" w:customStyle="1" w:styleId="Nadpis6mimoobsah">
    <w:name w:val="Nadpis 6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sz w:val="22"/>
    </w:rPr>
  </w:style>
  <w:style w:type="paragraph" w:customStyle="1" w:styleId="Nadpis8mimoobsah">
    <w:name w:val="Nadpis 8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sz w:val="21"/>
      <w:szCs w:val="21"/>
    </w:rPr>
  </w:style>
  <w:style w:type="paragraph" w:customStyle="1" w:styleId="Nadpis9mimoobsah">
    <w:name w:val="Nadpis 9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sz w:val="21"/>
      <w:szCs w:val="21"/>
    </w:rPr>
  </w:style>
  <w:style w:type="paragraph" w:customStyle="1" w:styleId="SeznamsodrkamiB">
    <w:name w:val="Seznam s odrážkami B"/>
    <w:basedOn w:val="Normln"/>
    <w:uiPriority w:val="11"/>
    <w:semiHidden/>
    <w:qFormat/>
    <w:rsid w:val="006F588A"/>
    <w:pPr>
      <w:numPr>
        <w:numId w:val="63"/>
      </w:numPr>
      <w:spacing w:before="0" w:after="0" w:line="276" w:lineRule="auto"/>
      <w:jc w:val="left"/>
    </w:pPr>
    <w:rPr>
      <w:rFonts w:asciiTheme="minorHAnsi" w:eastAsiaTheme="minorHAnsi" w:hAnsiTheme="minorHAnsi" w:cstheme="minorBidi"/>
      <w:sz w:val="22"/>
    </w:rPr>
  </w:style>
  <w:style w:type="paragraph" w:customStyle="1" w:styleId="SeznamsodrkamiB2">
    <w:name w:val="Seznam s odrážkami B 2"/>
    <w:basedOn w:val="Normln"/>
    <w:uiPriority w:val="11"/>
    <w:semiHidden/>
    <w:qFormat/>
    <w:rsid w:val="006F588A"/>
    <w:pPr>
      <w:numPr>
        <w:ilvl w:val="1"/>
        <w:numId w:val="63"/>
      </w:numPr>
      <w:spacing w:before="0" w:after="0" w:line="276" w:lineRule="auto"/>
      <w:jc w:val="left"/>
    </w:pPr>
    <w:rPr>
      <w:rFonts w:asciiTheme="minorHAnsi" w:eastAsiaTheme="minorHAnsi" w:hAnsiTheme="minorHAnsi" w:cstheme="minorBidi"/>
      <w:sz w:val="22"/>
    </w:rPr>
  </w:style>
  <w:style w:type="paragraph" w:customStyle="1" w:styleId="SeznamsodrkamiB3">
    <w:name w:val="Seznam s odrážkami B 3"/>
    <w:basedOn w:val="Normln"/>
    <w:uiPriority w:val="11"/>
    <w:semiHidden/>
    <w:qFormat/>
    <w:rsid w:val="006F588A"/>
    <w:pPr>
      <w:numPr>
        <w:ilvl w:val="2"/>
        <w:numId w:val="63"/>
      </w:numPr>
      <w:spacing w:before="0" w:after="0" w:line="276" w:lineRule="auto"/>
      <w:jc w:val="left"/>
    </w:pPr>
    <w:rPr>
      <w:rFonts w:asciiTheme="minorHAnsi" w:eastAsiaTheme="minorHAnsi" w:hAnsiTheme="minorHAnsi" w:cstheme="minorBidi"/>
      <w:sz w:val="22"/>
    </w:rPr>
  </w:style>
  <w:style w:type="paragraph" w:customStyle="1" w:styleId="SeznamsodrkamiB4">
    <w:name w:val="Seznam s odrážkami B 4"/>
    <w:basedOn w:val="Normln"/>
    <w:uiPriority w:val="11"/>
    <w:semiHidden/>
    <w:qFormat/>
    <w:rsid w:val="006F588A"/>
    <w:pPr>
      <w:numPr>
        <w:ilvl w:val="3"/>
        <w:numId w:val="63"/>
      </w:numPr>
      <w:spacing w:before="0" w:after="0" w:line="276" w:lineRule="auto"/>
      <w:jc w:val="left"/>
    </w:pPr>
    <w:rPr>
      <w:rFonts w:asciiTheme="minorHAnsi" w:eastAsiaTheme="minorHAnsi" w:hAnsiTheme="minorHAnsi" w:cstheme="minorBidi"/>
      <w:sz w:val="22"/>
    </w:rPr>
  </w:style>
  <w:style w:type="paragraph" w:customStyle="1" w:styleId="SeznamsodrkamiB5">
    <w:name w:val="Seznam s odrážkami B 5"/>
    <w:basedOn w:val="Normln"/>
    <w:uiPriority w:val="11"/>
    <w:semiHidden/>
    <w:qFormat/>
    <w:rsid w:val="006F588A"/>
    <w:pPr>
      <w:numPr>
        <w:ilvl w:val="4"/>
        <w:numId w:val="63"/>
      </w:numPr>
      <w:spacing w:before="0" w:after="0" w:line="276" w:lineRule="auto"/>
      <w:jc w:val="left"/>
    </w:pPr>
    <w:rPr>
      <w:rFonts w:asciiTheme="minorHAnsi" w:eastAsiaTheme="minorHAnsi" w:hAnsiTheme="minorHAnsi" w:cstheme="minorBidi"/>
      <w:sz w:val="22"/>
    </w:rPr>
  </w:style>
  <w:style w:type="paragraph" w:customStyle="1" w:styleId="normal1">
    <w:name w:val="normal1"/>
    <w:basedOn w:val="Normln"/>
    <w:uiPriority w:val="99"/>
    <w:semiHidden/>
    <w:rsid w:val="006F588A"/>
    <w:pPr>
      <w:spacing w:after="0" w:line="312" w:lineRule="atLeast"/>
    </w:pPr>
    <w:rPr>
      <w:rFonts w:ascii="Times New Roman" w:eastAsia="Times New Roman" w:hAnsi="Times New Roman"/>
      <w:szCs w:val="24"/>
      <w:lang w:eastAsia="cs-CZ"/>
    </w:rPr>
  </w:style>
  <w:style w:type="paragraph" w:customStyle="1" w:styleId="sti-art1">
    <w:name w:val="sti-art1"/>
    <w:basedOn w:val="Normln"/>
    <w:uiPriority w:val="99"/>
    <w:semiHidden/>
    <w:rsid w:val="006F588A"/>
    <w:pPr>
      <w:spacing w:before="60" w:line="312" w:lineRule="atLeast"/>
      <w:jc w:val="center"/>
    </w:pPr>
    <w:rPr>
      <w:rFonts w:ascii="Times New Roman" w:eastAsia="Times New Roman" w:hAnsi="Times New Roman"/>
      <w:b/>
      <w:bCs/>
      <w:szCs w:val="24"/>
      <w:lang w:eastAsia="cs-CZ"/>
    </w:rPr>
  </w:style>
  <w:style w:type="paragraph" w:customStyle="1" w:styleId="ti-art1">
    <w:name w:val="ti-art1"/>
    <w:basedOn w:val="Normln"/>
    <w:uiPriority w:val="99"/>
    <w:semiHidden/>
    <w:rsid w:val="006F588A"/>
    <w:pPr>
      <w:spacing w:before="360" w:line="312" w:lineRule="atLeast"/>
      <w:jc w:val="center"/>
    </w:pPr>
    <w:rPr>
      <w:rFonts w:ascii="Times New Roman" w:eastAsia="Times New Roman" w:hAnsi="Times New Roman"/>
      <w:i/>
      <w:iCs/>
      <w:szCs w:val="24"/>
      <w:lang w:eastAsia="cs-CZ"/>
    </w:rPr>
  </w:style>
  <w:style w:type="paragraph" w:customStyle="1" w:styleId="l41">
    <w:name w:val="l41"/>
    <w:basedOn w:val="Normln"/>
    <w:uiPriority w:val="99"/>
    <w:semiHidden/>
    <w:rsid w:val="006F588A"/>
    <w:pPr>
      <w:spacing w:before="144" w:after="144"/>
    </w:pPr>
    <w:rPr>
      <w:rFonts w:ascii="Times New Roman" w:eastAsia="Times New Roman" w:hAnsi="Times New Roman"/>
      <w:szCs w:val="24"/>
      <w:lang w:eastAsia="cs-CZ"/>
    </w:rPr>
  </w:style>
  <w:style w:type="paragraph" w:customStyle="1" w:styleId="l51">
    <w:name w:val="l51"/>
    <w:basedOn w:val="Normln"/>
    <w:uiPriority w:val="99"/>
    <w:semiHidden/>
    <w:rsid w:val="006F588A"/>
    <w:pPr>
      <w:spacing w:before="144" w:after="144"/>
    </w:pPr>
    <w:rPr>
      <w:rFonts w:ascii="Times New Roman" w:eastAsia="Times New Roman" w:hAnsi="Times New Roman"/>
      <w:szCs w:val="24"/>
      <w:lang w:eastAsia="cs-CZ"/>
    </w:rPr>
  </w:style>
  <w:style w:type="character" w:customStyle="1" w:styleId="CRMinorChangeAdded">
    <w:name w:val="CR Minor Change Added"/>
    <w:uiPriority w:val="99"/>
    <w:rsid w:val="006F588A"/>
    <w:rPr>
      <w:u w:val="double"/>
    </w:rPr>
  </w:style>
  <w:style w:type="character" w:customStyle="1" w:styleId="CRDeleted">
    <w:name w:val="CR Deleted"/>
    <w:uiPriority w:val="99"/>
    <w:rsid w:val="006F588A"/>
    <w:rPr>
      <w:dstrike/>
    </w:rPr>
  </w:style>
  <w:style w:type="character" w:customStyle="1" w:styleId="CRMinorChangeDeleted">
    <w:name w:val="CR Minor Change Deleted"/>
    <w:uiPriority w:val="99"/>
    <w:rsid w:val="006F588A"/>
    <w:rPr>
      <w:dstrike/>
      <w:u w:val="double"/>
    </w:rPr>
  </w:style>
  <w:style w:type="character" w:customStyle="1" w:styleId="CRMarker">
    <w:name w:val="CR Marker"/>
    <w:uiPriority w:val="99"/>
    <w:rsid w:val="006F588A"/>
    <w:rPr>
      <w:rFonts w:ascii="Wingdings" w:hAnsi="Wingdings" w:hint="default"/>
    </w:rPr>
  </w:style>
  <w:style w:type="character" w:customStyle="1" w:styleId="CRRefonteDeleted">
    <w:name w:val="CR Refonte Deleted"/>
    <w:rsid w:val="006F588A"/>
    <w:rPr>
      <w:dstrike/>
    </w:rPr>
  </w:style>
  <w:style w:type="character" w:customStyle="1" w:styleId="CRRefNum">
    <w:name w:val="CR RefNum"/>
    <w:uiPriority w:val="99"/>
    <w:rsid w:val="006F588A"/>
    <w:rPr>
      <w:vertAlign w:val="subscript"/>
    </w:rPr>
  </w:style>
  <w:style w:type="character" w:customStyle="1" w:styleId="shorttext">
    <w:name w:val="short_text"/>
    <w:basedOn w:val="Standardnpsmoodstavce"/>
    <w:rsid w:val="006F588A"/>
  </w:style>
  <w:style w:type="character" w:customStyle="1" w:styleId="tlid-placeholder">
    <w:name w:val="tlid-placeholder"/>
    <w:basedOn w:val="Standardnpsmoodstavce"/>
    <w:rsid w:val="006F588A"/>
  </w:style>
  <w:style w:type="character" w:customStyle="1" w:styleId="h1a6">
    <w:name w:val="h1a6"/>
    <w:basedOn w:val="Standardnpsmoodstavce"/>
    <w:rsid w:val="006F588A"/>
    <w:rPr>
      <w:rFonts w:ascii="Arial" w:hAnsi="Arial" w:cs="Arial" w:hint="default"/>
      <w:i/>
      <w:iCs/>
      <w:vanish/>
      <w:webHidden w:val="0"/>
      <w:sz w:val="26"/>
      <w:szCs w:val="26"/>
      <w:specVanish/>
    </w:rPr>
  </w:style>
  <w:style w:type="character" w:customStyle="1" w:styleId="DeltaViewInsertion">
    <w:name w:val="DeltaView Insertion"/>
    <w:uiPriority w:val="99"/>
    <w:rsid w:val="006F588A"/>
    <w:rPr>
      <w:b/>
      <w:bCs w:val="0"/>
      <w:i/>
      <w:iCs w:val="0"/>
      <w:color w:val="000000"/>
    </w:rPr>
  </w:style>
  <w:style w:type="character" w:customStyle="1" w:styleId="DeltaViewDeletion">
    <w:name w:val="DeltaView Deletion"/>
    <w:uiPriority w:val="99"/>
    <w:rsid w:val="006F588A"/>
    <w:rPr>
      <w:strike/>
      <w:color w:val="000000"/>
    </w:rPr>
  </w:style>
  <w:style w:type="numbering" w:customStyle="1" w:styleId="VariantaA-sla">
    <w:name w:val="Varianta A - čísla"/>
    <w:uiPriority w:val="99"/>
    <w:rsid w:val="006F588A"/>
    <w:pPr>
      <w:numPr>
        <w:numId w:val="62"/>
      </w:numPr>
    </w:pPr>
  </w:style>
  <w:style w:type="numbering" w:customStyle="1" w:styleId="VariantaB-odrky">
    <w:name w:val="Varianta B - odrážky"/>
    <w:uiPriority w:val="99"/>
    <w:rsid w:val="006F588A"/>
    <w:pPr>
      <w:numPr>
        <w:numId w:val="63"/>
      </w:numPr>
    </w:pPr>
  </w:style>
  <w:style w:type="numbering" w:customStyle="1" w:styleId="VariantaB-sla">
    <w:name w:val="Varianta B - čísla"/>
    <w:uiPriority w:val="99"/>
    <w:rsid w:val="006F588A"/>
    <w:pPr>
      <w:numPr>
        <w:numId w:val="64"/>
      </w:numPr>
    </w:pPr>
  </w:style>
  <w:style w:type="numbering" w:customStyle="1" w:styleId="VariantaA-odrky">
    <w:name w:val="Varianta A - odrážky"/>
    <w:uiPriority w:val="99"/>
    <w:rsid w:val="006F588A"/>
    <w:pPr>
      <w:numPr>
        <w:numId w:val="65"/>
      </w:numPr>
    </w:pPr>
  </w:style>
  <w:style w:type="paragraph" w:customStyle="1" w:styleId="title-grseq-4">
    <w:name w:val="title-grseq-4"/>
    <w:basedOn w:val="Normln"/>
    <w:rsid w:val="00761791"/>
    <w:pPr>
      <w:spacing w:before="100" w:beforeAutospacing="1" w:after="100" w:afterAutospacing="1"/>
      <w:jc w:val="left"/>
    </w:pPr>
    <w:rPr>
      <w:rFonts w:ascii="Times New Roman" w:eastAsia="Times New Roman" w:hAnsi="Times New Roman"/>
      <w:szCs w:val="24"/>
      <w:lang w:eastAsia="cs-CZ"/>
    </w:rPr>
  </w:style>
  <w:style w:type="character" w:customStyle="1" w:styleId="italic">
    <w:name w:val="italic"/>
    <w:basedOn w:val="Standardnpsmoodstavce"/>
    <w:rsid w:val="00761791"/>
  </w:style>
  <w:style w:type="paragraph" w:customStyle="1" w:styleId="count">
    <w:name w:val="count"/>
    <w:basedOn w:val="Normln"/>
    <w:rsid w:val="00761791"/>
    <w:pPr>
      <w:spacing w:before="100" w:beforeAutospacing="1" w:after="100" w:afterAutospacing="1"/>
      <w:jc w:val="left"/>
    </w:pPr>
    <w:rPr>
      <w:rFonts w:ascii="Times New Roman" w:eastAsia="Times New Roman" w:hAnsi="Times New Roman"/>
      <w:szCs w:val="24"/>
      <w:lang w:eastAsia="cs-CZ"/>
    </w:rPr>
  </w:style>
  <w:style w:type="paragraph" w:customStyle="1" w:styleId="Normln3">
    <w:name w:val="Normální3"/>
    <w:basedOn w:val="Normln"/>
    <w:rsid w:val="00761791"/>
    <w:pPr>
      <w:spacing w:before="100" w:beforeAutospacing="1" w:after="100" w:afterAutospacing="1"/>
      <w:jc w:val="left"/>
    </w:pPr>
    <w:rPr>
      <w:rFonts w:ascii="Times New Roman" w:eastAsia="Times New Roman" w:hAnsi="Times New Roman"/>
      <w:szCs w:val="24"/>
      <w:lang w:eastAsia="cs-CZ"/>
    </w:rPr>
  </w:style>
  <w:style w:type="character" w:customStyle="1" w:styleId="Nevyeenzmnka8">
    <w:name w:val="Nevyřešená zmínka8"/>
    <w:basedOn w:val="Standardnpsmoodstavce"/>
    <w:uiPriority w:val="99"/>
    <w:semiHidden/>
    <w:unhideWhenUsed/>
    <w:rsid w:val="00E85709"/>
    <w:rPr>
      <w:color w:val="605E5C"/>
      <w:shd w:val="clear" w:color="auto" w:fill="E1DFDD"/>
    </w:rPr>
  </w:style>
  <w:style w:type="character" w:customStyle="1" w:styleId="Nevyeenzmnka9">
    <w:name w:val="Nevyřešená zmínka9"/>
    <w:basedOn w:val="Standardnpsmoodstavce"/>
    <w:uiPriority w:val="99"/>
    <w:semiHidden/>
    <w:unhideWhenUsed/>
    <w:rsid w:val="00F94A0C"/>
    <w:rPr>
      <w:color w:val="605E5C"/>
      <w:shd w:val="clear" w:color="auto" w:fill="E1DFDD"/>
    </w:rPr>
  </w:style>
  <w:style w:type="table" w:customStyle="1" w:styleId="Prosttabulka32">
    <w:name w:val="Prostá tabulka 32"/>
    <w:basedOn w:val="Normlntabulka"/>
    <w:uiPriority w:val="43"/>
    <w:rsid w:val="00F7578B"/>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ulkasmkou4zvraznn12">
    <w:name w:val="Tabulka s mřížkou 4 – zvýraznění 12"/>
    <w:basedOn w:val="Normlntabulka"/>
    <w:uiPriority w:val="49"/>
    <w:rsid w:val="00F7578B"/>
    <w:rPr>
      <w:rFonts w:asciiTheme="minorHAnsi" w:eastAsiaTheme="minorHAnsi" w:hAnsiTheme="minorHAnsi" w:cstheme="minorBidi"/>
      <w:sz w:val="22"/>
      <w:szCs w:val="22"/>
    </w:rPr>
    <w:tblPr>
      <w:tblStyleRowBandSize w:val="1"/>
      <w:tblStyleColBandSize w:val="1"/>
      <w:tblInd w:w="0" w:type="nil"/>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color w:val="FFFFFF" w:themeColor="background1"/>
      </w:rPr>
      <w:tblPr/>
      <w:tcPr>
        <w:tcBorders>
          <w:top w:val="single" w:sz="4" w:space="0" w:color="B6B002" w:themeColor="accent1"/>
          <w:left w:val="single" w:sz="4" w:space="0" w:color="B6B002" w:themeColor="accent1"/>
          <w:bottom w:val="single" w:sz="4" w:space="0" w:color="B6B002" w:themeColor="accent1"/>
          <w:right w:val="single" w:sz="4" w:space="0" w:color="B6B002" w:themeColor="accent1"/>
          <w:insideH w:val="nil"/>
          <w:insideV w:val="nil"/>
        </w:tcBorders>
        <w:shd w:val="clear" w:color="auto" w:fill="B6B002" w:themeFill="accent1"/>
      </w:tcPr>
    </w:tblStylePr>
    <w:tblStylePr w:type="lastRow">
      <w:rPr>
        <w:b/>
        <w:bCs/>
      </w:rPr>
      <w:tblPr/>
      <w:tcPr>
        <w:tcBorders>
          <w:top w:val="double" w:sz="4" w:space="0" w:color="B6B002" w:themeColor="accent1"/>
        </w:tcBorders>
      </w:tcPr>
    </w:tblStylePr>
    <w:tblStylePr w:type="firstCol">
      <w:rPr>
        <w:b/>
        <w:bCs/>
      </w:rPr>
    </w:tblStylePr>
    <w:tblStylePr w:type="lastCol">
      <w:rPr>
        <w:b/>
        <w:bCs/>
      </w:rPr>
    </w:tblStylePr>
    <w:tblStylePr w:type="band1Vert">
      <w:tblPr/>
      <w:tcPr>
        <w:shd w:val="clear" w:color="auto" w:fill="FEFCBE" w:themeFill="accent1" w:themeFillTint="33"/>
      </w:tcPr>
    </w:tblStylePr>
    <w:tblStylePr w:type="band1Horz">
      <w:tblPr/>
      <w:tcPr>
        <w:shd w:val="clear" w:color="auto" w:fill="FEFCBE" w:themeFill="accent1" w:themeFillTint="33"/>
      </w:tcPr>
    </w:tblStylePr>
  </w:style>
  <w:style w:type="paragraph" w:customStyle="1" w:styleId="xl20590">
    <w:name w:val="xl20590"/>
    <w:basedOn w:val="Normln"/>
    <w:rsid w:val="006B23E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1">
    <w:name w:val="xl20591"/>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592">
    <w:name w:val="xl20592"/>
    <w:basedOn w:val="Normln"/>
    <w:rsid w:val="006B23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3">
    <w:name w:val="xl20593"/>
    <w:basedOn w:val="Normln"/>
    <w:rsid w:val="006B23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4">
    <w:name w:val="xl20594"/>
    <w:basedOn w:val="Normln"/>
    <w:rsid w:val="006B23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5">
    <w:name w:val="xl20595"/>
    <w:basedOn w:val="Normln"/>
    <w:rsid w:val="006B23E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596">
    <w:name w:val="xl20596"/>
    <w:basedOn w:val="Normln"/>
    <w:rsid w:val="006B23E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eastAsia="Times New Roman" w:hAnsi="Arial Narrow"/>
      <w:b/>
      <w:bCs/>
      <w:szCs w:val="24"/>
      <w:lang w:eastAsia="cs-CZ"/>
    </w:rPr>
  </w:style>
  <w:style w:type="paragraph" w:customStyle="1" w:styleId="xl20597">
    <w:name w:val="xl20597"/>
    <w:basedOn w:val="Normln"/>
    <w:rsid w:val="006B23E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8">
    <w:name w:val="xl20598"/>
    <w:basedOn w:val="Normln"/>
    <w:rsid w:val="006B23E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599">
    <w:name w:val="xl20599"/>
    <w:basedOn w:val="Normln"/>
    <w:rsid w:val="006B23EE"/>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0">
    <w:name w:val="xl20600"/>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1">
    <w:name w:val="xl20601"/>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2">
    <w:name w:val="xl20602"/>
    <w:basedOn w:val="Normln"/>
    <w:rsid w:val="006B23EE"/>
    <w:pP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603">
    <w:name w:val="xl20603"/>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4">
    <w:name w:val="xl20604"/>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5">
    <w:name w:val="xl20605"/>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06">
    <w:name w:val="xl20606"/>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7">
    <w:name w:val="xl2060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8">
    <w:name w:val="xl20608"/>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9">
    <w:name w:val="xl20609"/>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0">
    <w:name w:val="xl20610"/>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20611">
    <w:name w:val="xl20611"/>
    <w:basedOn w:val="Normln"/>
    <w:rsid w:val="006B23EE"/>
    <w:pP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2">
    <w:name w:val="xl20612"/>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13">
    <w:name w:val="xl20613"/>
    <w:basedOn w:val="Normln"/>
    <w:rsid w:val="006B23E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4">
    <w:name w:val="xl20614"/>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5">
    <w:name w:val="xl20615"/>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6">
    <w:name w:val="xl20616"/>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17">
    <w:name w:val="xl2061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8">
    <w:name w:val="xl20618"/>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9">
    <w:name w:val="xl20619"/>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0">
    <w:name w:val="xl20620"/>
    <w:basedOn w:val="Normln"/>
    <w:rsid w:val="006B23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21">
    <w:name w:val="xl20621"/>
    <w:basedOn w:val="Normln"/>
    <w:rsid w:val="006B23EE"/>
    <w:pPr>
      <w:pBdr>
        <w:top w:val="single" w:sz="4" w:space="0" w:color="auto"/>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2">
    <w:name w:val="xl20622"/>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23">
    <w:name w:val="xl20623"/>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4">
    <w:name w:val="xl20624"/>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5">
    <w:name w:val="xl20625"/>
    <w:basedOn w:val="Normln"/>
    <w:rsid w:val="006B23E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6">
    <w:name w:val="xl20626"/>
    <w:basedOn w:val="Normln"/>
    <w:rsid w:val="006B23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27">
    <w:name w:val="xl20627"/>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Cs w:val="24"/>
      <w:lang w:eastAsia="cs-CZ"/>
    </w:rPr>
  </w:style>
  <w:style w:type="paragraph" w:customStyle="1" w:styleId="xl20628">
    <w:name w:val="xl20628"/>
    <w:basedOn w:val="Normln"/>
    <w:rsid w:val="006B23EE"/>
    <w:pPr>
      <w:shd w:val="clear" w:color="000000" w:fill="FF00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9">
    <w:name w:val="xl20629"/>
    <w:basedOn w:val="Normln"/>
    <w:rsid w:val="006B23EE"/>
    <w:pPr>
      <w:shd w:val="clear" w:color="000000" w:fill="FF00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0">
    <w:name w:val="xl20630"/>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1">
    <w:name w:val="xl20631"/>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32">
    <w:name w:val="xl20632"/>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3">
    <w:name w:val="xl20633"/>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Narrow" w:eastAsia="Times New Roman" w:hAnsi="Arial Narrow"/>
      <w:szCs w:val="24"/>
      <w:lang w:eastAsia="cs-CZ"/>
    </w:rPr>
  </w:style>
  <w:style w:type="paragraph" w:customStyle="1" w:styleId="xl20634">
    <w:name w:val="xl20634"/>
    <w:basedOn w:val="Normln"/>
    <w:rsid w:val="006B23EE"/>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5">
    <w:name w:val="xl20635"/>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36">
    <w:name w:val="xl20636"/>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7">
    <w:name w:val="xl20637"/>
    <w:basedOn w:val="Normln"/>
    <w:rsid w:val="006B23EE"/>
    <w:pP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8">
    <w:name w:val="xl20638"/>
    <w:basedOn w:val="Normln"/>
    <w:rsid w:val="006B23EE"/>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9">
    <w:name w:val="xl20639"/>
    <w:basedOn w:val="Normln"/>
    <w:rsid w:val="006B23EE"/>
    <w:pP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0">
    <w:name w:val="xl20640"/>
    <w:basedOn w:val="Normln"/>
    <w:rsid w:val="006B23EE"/>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1">
    <w:name w:val="xl20641"/>
    <w:basedOn w:val="Normln"/>
    <w:rsid w:val="006B23E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42">
    <w:name w:val="xl20642"/>
    <w:basedOn w:val="Normln"/>
    <w:rsid w:val="006B23EE"/>
    <w:pPr>
      <w:pBdr>
        <w:top w:val="single" w:sz="4" w:space="0" w:color="auto"/>
        <w:lef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3">
    <w:name w:val="xl20643"/>
    <w:basedOn w:val="Normln"/>
    <w:rsid w:val="006B23EE"/>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44">
    <w:name w:val="xl20644"/>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45">
    <w:name w:val="xl20645"/>
    <w:basedOn w:val="Normln"/>
    <w:rsid w:val="006B23EE"/>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6">
    <w:name w:val="xl20646"/>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47">
    <w:name w:val="xl2064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20648">
    <w:name w:val="xl20648"/>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49">
    <w:name w:val="xl20649"/>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8212">
    <w:name w:val="xl8212"/>
    <w:basedOn w:val="Normln"/>
    <w:rsid w:val="009C239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3">
    <w:name w:val="xl8213"/>
    <w:basedOn w:val="Normln"/>
    <w:rsid w:val="009C239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4">
    <w:name w:val="xl8214"/>
    <w:basedOn w:val="Normln"/>
    <w:rsid w:val="009C239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5">
    <w:name w:val="xl8215"/>
    <w:basedOn w:val="Normln"/>
    <w:rsid w:val="009C239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6">
    <w:name w:val="xl8216"/>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7">
    <w:name w:val="xl8217"/>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8">
    <w:name w:val="xl8218"/>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9">
    <w:name w:val="xl8219"/>
    <w:basedOn w:val="Normln"/>
    <w:rsid w:val="009C239B"/>
    <w:pPr>
      <w:pBdr>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20">
    <w:name w:val="xl8220"/>
    <w:basedOn w:val="Normln"/>
    <w:rsid w:val="009C239B"/>
    <w:pPr>
      <w:spacing w:before="100" w:beforeAutospacing="1" w:after="100" w:afterAutospacing="1"/>
      <w:jc w:val="left"/>
    </w:pPr>
    <w:rPr>
      <w:rFonts w:ascii="Times New Roman" w:eastAsia="Times New Roman" w:hAnsi="Times New Roman"/>
      <w:szCs w:val="24"/>
      <w:lang w:eastAsia="cs-CZ"/>
    </w:rPr>
  </w:style>
  <w:style w:type="character" w:customStyle="1" w:styleId="Nevyeenzmnka10">
    <w:name w:val="Nevyřešená zmínka10"/>
    <w:basedOn w:val="Standardnpsmoodstavce"/>
    <w:uiPriority w:val="99"/>
    <w:semiHidden/>
    <w:unhideWhenUsed/>
    <w:rsid w:val="004D5532"/>
    <w:rPr>
      <w:color w:val="605E5C"/>
      <w:shd w:val="clear" w:color="auto" w:fill="E1DFDD"/>
    </w:rPr>
  </w:style>
  <w:style w:type="character" w:customStyle="1" w:styleId="Nevyeenzmnka11">
    <w:name w:val="Nevyřešená zmínka11"/>
    <w:basedOn w:val="Standardnpsmoodstavce"/>
    <w:uiPriority w:val="99"/>
    <w:semiHidden/>
    <w:unhideWhenUsed/>
    <w:rsid w:val="0061355C"/>
    <w:rPr>
      <w:color w:val="605E5C"/>
      <w:shd w:val="clear" w:color="auto" w:fill="E1DFDD"/>
    </w:rPr>
  </w:style>
  <w:style w:type="paragraph" w:customStyle="1" w:styleId="kicker">
    <w:name w:val="kicker"/>
    <w:basedOn w:val="Normln"/>
    <w:uiPriority w:val="99"/>
    <w:semiHidden/>
    <w:rsid w:val="00806377"/>
    <w:pPr>
      <w:spacing w:before="100" w:beforeAutospacing="1" w:after="100" w:afterAutospacing="1"/>
      <w:jc w:val="left"/>
    </w:pPr>
    <w:rPr>
      <w:rFonts w:ascii="Calibri" w:eastAsiaTheme="minorHAnsi" w:hAnsi="Calibri" w:cs="Calibri"/>
      <w:sz w:val="22"/>
      <w:lang w:eastAsia="cs-CZ"/>
    </w:rPr>
  </w:style>
  <w:style w:type="character" w:customStyle="1" w:styleId="vr15s">
    <w:name w:val="vr15s"/>
    <w:basedOn w:val="Standardnpsmoodstavce"/>
    <w:rsid w:val="00806377"/>
  </w:style>
  <w:style w:type="character" w:customStyle="1" w:styleId="mediarights">
    <w:name w:val="mediarights"/>
    <w:basedOn w:val="Standardnpsmoodstavce"/>
    <w:rsid w:val="00806377"/>
  </w:style>
  <w:style w:type="table" w:customStyle="1" w:styleId="Barevntabulkaseznamu6zvraznn52">
    <w:name w:val="Barevná tabulka seznamu 6 – zvýraznění 52"/>
    <w:basedOn w:val="Normlntabulka"/>
    <w:uiPriority w:val="51"/>
    <w:rsid w:val="00D5031C"/>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Standard">
    <w:name w:val="Standard"/>
    <w:link w:val="StandardChar"/>
    <w:qFormat/>
    <w:rsid w:val="00032A5F"/>
    <w:pPr>
      <w:widowControl w:val="0"/>
      <w:suppressAutoHyphens/>
      <w:autoSpaceDN w:val="0"/>
      <w:textAlignment w:val="baseline"/>
    </w:pPr>
    <w:rPr>
      <w:rFonts w:eastAsia="Segoe UI" w:cs="Tahoma"/>
      <w:color w:val="000000"/>
      <w:kern w:val="3"/>
      <w:sz w:val="24"/>
      <w:szCs w:val="24"/>
      <w:lang w:eastAsia="cs-CZ"/>
    </w:rPr>
  </w:style>
  <w:style w:type="character" w:customStyle="1" w:styleId="StandardChar">
    <w:name w:val="Standard Char"/>
    <w:basedOn w:val="Standardnpsmoodstavce"/>
    <w:link w:val="Standard"/>
    <w:qFormat/>
    <w:rsid w:val="00032A5F"/>
    <w:rPr>
      <w:rFonts w:eastAsia="Segoe UI" w:cs="Tahoma"/>
      <w:color w:val="000000"/>
      <w:kern w:val="3"/>
      <w:sz w:val="24"/>
      <w:szCs w:val="24"/>
      <w:lang w:eastAsia="cs-CZ"/>
    </w:rPr>
  </w:style>
  <w:style w:type="character" w:customStyle="1" w:styleId="Nevyeenzmnka12">
    <w:name w:val="Nevyřešená zmínka12"/>
    <w:basedOn w:val="Standardnpsmoodstavce"/>
    <w:uiPriority w:val="99"/>
    <w:semiHidden/>
    <w:unhideWhenUsed/>
    <w:rsid w:val="00C30AA2"/>
    <w:rPr>
      <w:color w:val="605E5C"/>
      <w:shd w:val="clear" w:color="auto" w:fill="E1DFDD"/>
    </w:rPr>
  </w:style>
  <w:style w:type="table" w:styleId="Tmavtabulkasmkou5zvraznn1">
    <w:name w:val="Grid Table 5 Dark Accent 1"/>
    <w:basedOn w:val="Normlntabulka"/>
    <w:uiPriority w:val="50"/>
    <w:rsid w:val="0060033D"/>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CB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B0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B0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B0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B002" w:themeFill="accent1"/>
      </w:tcPr>
    </w:tblStylePr>
    <w:tblStylePr w:type="band1Vert">
      <w:tblPr/>
      <w:tcPr>
        <w:shd w:val="clear" w:color="auto" w:fill="FDF97D" w:themeFill="accent1" w:themeFillTint="66"/>
      </w:tcPr>
    </w:tblStylePr>
    <w:tblStylePr w:type="band1Horz">
      <w:tblPr/>
      <w:tcPr>
        <w:shd w:val="clear" w:color="auto" w:fill="FDF97D" w:themeFill="accent1" w:themeFillTint="66"/>
      </w:tcPr>
    </w:tblStylePr>
  </w:style>
  <w:style w:type="table" w:styleId="Barevntabulkaseznamu6zvraznn5">
    <w:name w:val="List Table 6 Colorful Accent 5"/>
    <w:basedOn w:val="Normlntabulka"/>
    <w:uiPriority w:val="51"/>
    <w:rsid w:val="0060033D"/>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styleId="Barevntabulkaseznamu6">
    <w:name w:val="List Table 6 Colorful"/>
    <w:basedOn w:val="Normlntabulka"/>
    <w:uiPriority w:val="51"/>
    <w:rsid w:val="0064415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g">
    <w:name w:val="lag"/>
    <w:basedOn w:val="Normln"/>
    <w:rsid w:val="00A20008"/>
    <w:pPr>
      <w:spacing w:before="100" w:beforeAutospacing="1" w:after="100" w:afterAutospacing="1"/>
      <w:jc w:val="left"/>
    </w:pPr>
    <w:rPr>
      <w:rFonts w:ascii="Times New Roman" w:eastAsia="Times New Roman" w:hAnsi="Times New Roman"/>
      <w:szCs w:val="24"/>
      <w:lang w:eastAsia="cs-CZ"/>
    </w:rPr>
  </w:style>
  <w:style w:type="character" w:customStyle="1" w:styleId="UnresolvedMention">
    <w:name w:val="Unresolved Mention"/>
    <w:basedOn w:val="Standardnpsmoodstavce"/>
    <w:uiPriority w:val="99"/>
    <w:semiHidden/>
    <w:unhideWhenUsed/>
    <w:rsid w:val="007778C9"/>
    <w:rPr>
      <w:color w:val="605E5C"/>
      <w:shd w:val="clear" w:color="auto" w:fill="E1DFDD"/>
    </w:rPr>
  </w:style>
  <w:style w:type="character" w:customStyle="1" w:styleId="cf01">
    <w:name w:val="cf01"/>
    <w:basedOn w:val="Standardnpsmoodstavce"/>
    <w:rsid w:val="004545FC"/>
    <w:rPr>
      <w:rFonts w:ascii="Segoe UI" w:hAnsi="Segoe UI" w:cs="Segoe UI" w:hint="default"/>
      <w:sz w:val="18"/>
      <w:szCs w:val="18"/>
    </w:rPr>
  </w:style>
  <w:style w:type="paragraph" w:customStyle="1" w:styleId="pf0">
    <w:name w:val="pf0"/>
    <w:basedOn w:val="Normln"/>
    <w:rsid w:val="0010021A"/>
    <w:pPr>
      <w:spacing w:before="100" w:beforeAutospacing="1" w:after="100" w:afterAutospacing="1"/>
      <w:jc w:val="left"/>
    </w:pPr>
    <w:rPr>
      <w:rFonts w:ascii="Times New Roman" w:eastAsia="Times New Roman" w:hAnsi="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5044">
      <w:bodyDiv w:val="1"/>
      <w:marLeft w:val="0"/>
      <w:marRight w:val="0"/>
      <w:marTop w:val="0"/>
      <w:marBottom w:val="0"/>
      <w:divBdr>
        <w:top w:val="none" w:sz="0" w:space="0" w:color="auto"/>
        <w:left w:val="none" w:sz="0" w:space="0" w:color="auto"/>
        <w:bottom w:val="none" w:sz="0" w:space="0" w:color="auto"/>
        <w:right w:val="none" w:sz="0" w:space="0" w:color="auto"/>
      </w:divBdr>
    </w:div>
    <w:div w:id="10961927">
      <w:bodyDiv w:val="1"/>
      <w:marLeft w:val="0"/>
      <w:marRight w:val="0"/>
      <w:marTop w:val="0"/>
      <w:marBottom w:val="0"/>
      <w:divBdr>
        <w:top w:val="none" w:sz="0" w:space="0" w:color="auto"/>
        <w:left w:val="none" w:sz="0" w:space="0" w:color="auto"/>
        <w:bottom w:val="none" w:sz="0" w:space="0" w:color="auto"/>
        <w:right w:val="none" w:sz="0" w:space="0" w:color="auto"/>
      </w:divBdr>
    </w:div>
    <w:div w:id="22050179">
      <w:bodyDiv w:val="1"/>
      <w:marLeft w:val="0"/>
      <w:marRight w:val="0"/>
      <w:marTop w:val="0"/>
      <w:marBottom w:val="0"/>
      <w:divBdr>
        <w:top w:val="none" w:sz="0" w:space="0" w:color="auto"/>
        <w:left w:val="none" w:sz="0" w:space="0" w:color="auto"/>
        <w:bottom w:val="none" w:sz="0" w:space="0" w:color="auto"/>
        <w:right w:val="none" w:sz="0" w:space="0" w:color="auto"/>
      </w:divBdr>
      <w:divsChild>
        <w:div w:id="519127644">
          <w:marLeft w:val="475"/>
          <w:marRight w:val="0"/>
          <w:marTop w:val="168"/>
          <w:marBottom w:val="0"/>
          <w:divBdr>
            <w:top w:val="none" w:sz="0" w:space="0" w:color="auto"/>
            <w:left w:val="none" w:sz="0" w:space="0" w:color="auto"/>
            <w:bottom w:val="none" w:sz="0" w:space="0" w:color="auto"/>
            <w:right w:val="none" w:sz="0" w:space="0" w:color="auto"/>
          </w:divBdr>
        </w:div>
        <w:div w:id="537593191">
          <w:marLeft w:val="475"/>
          <w:marRight w:val="0"/>
          <w:marTop w:val="168"/>
          <w:marBottom w:val="0"/>
          <w:divBdr>
            <w:top w:val="none" w:sz="0" w:space="0" w:color="auto"/>
            <w:left w:val="none" w:sz="0" w:space="0" w:color="auto"/>
            <w:bottom w:val="none" w:sz="0" w:space="0" w:color="auto"/>
            <w:right w:val="none" w:sz="0" w:space="0" w:color="auto"/>
          </w:divBdr>
        </w:div>
        <w:div w:id="540484739">
          <w:marLeft w:val="1181"/>
          <w:marRight w:val="0"/>
          <w:marTop w:val="168"/>
          <w:marBottom w:val="0"/>
          <w:divBdr>
            <w:top w:val="none" w:sz="0" w:space="0" w:color="auto"/>
            <w:left w:val="none" w:sz="0" w:space="0" w:color="auto"/>
            <w:bottom w:val="none" w:sz="0" w:space="0" w:color="auto"/>
            <w:right w:val="none" w:sz="0" w:space="0" w:color="auto"/>
          </w:divBdr>
        </w:div>
        <w:div w:id="595746670">
          <w:marLeft w:val="1181"/>
          <w:marRight w:val="0"/>
          <w:marTop w:val="168"/>
          <w:marBottom w:val="0"/>
          <w:divBdr>
            <w:top w:val="none" w:sz="0" w:space="0" w:color="auto"/>
            <w:left w:val="none" w:sz="0" w:space="0" w:color="auto"/>
            <w:bottom w:val="none" w:sz="0" w:space="0" w:color="auto"/>
            <w:right w:val="none" w:sz="0" w:space="0" w:color="auto"/>
          </w:divBdr>
        </w:div>
        <w:div w:id="720401287">
          <w:marLeft w:val="475"/>
          <w:marRight w:val="0"/>
          <w:marTop w:val="168"/>
          <w:marBottom w:val="0"/>
          <w:divBdr>
            <w:top w:val="none" w:sz="0" w:space="0" w:color="auto"/>
            <w:left w:val="none" w:sz="0" w:space="0" w:color="auto"/>
            <w:bottom w:val="none" w:sz="0" w:space="0" w:color="auto"/>
            <w:right w:val="none" w:sz="0" w:space="0" w:color="auto"/>
          </w:divBdr>
        </w:div>
        <w:div w:id="976028945">
          <w:marLeft w:val="475"/>
          <w:marRight w:val="0"/>
          <w:marTop w:val="168"/>
          <w:marBottom w:val="0"/>
          <w:divBdr>
            <w:top w:val="none" w:sz="0" w:space="0" w:color="auto"/>
            <w:left w:val="none" w:sz="0" w:space="0" w:color="auto"/>
            <w:bottom w:val="none" w:sz="0" w:space="0" w:color="auto"/>
            <w:right w:val="none" w:sz="0" w:space="0" w:color="auto"/>
          </w:divBdr>
        </w:div>
        <w:div w:id="1289239323">
          <w:marLeft w:val="1181"/>
          <w:marRight w:val="0"/>
          <w:marTop w:val="168"/>
          <w:marBottom w:val="0"/>
          <w:divBdr>
            <w:top w:val="none" w:sz="0" w:space="0" w:color="auto"/>
            <w:left w:val="none" w:sz="0" w:space="0" w:color="auto"/>
            <w:bottom w:val="none" w:sz="0" w:space="0" w:color="auto"/>
            <w:right w:val="none" w:sz="0" w:space="0" w:color="auto"/>
          </w:divBdr>
        </w:div>
        <w:div w:id="1297568985">
          <w:marLeft w:val="475"/>
          <w:marRight w:val="0"/>
          <w:marTop w:val="168"/>
          <w:marBottom w:val="0"/>
          <w:divBdr>
            <w:top w:val="none" w:sz="0" w:space="0" w:color="auto"/>
            <w:left w:val="none" w:sz="0" w:space="0" w:color="auto"/>
            <w:bottom w:val="none" w:sz="0" w:space="0" w:color="auto"/>
            <w:right w:val="none" w:sz="0" w:space="0" w:color="auto"/>
          </w:divBdr>
        </w:div>
        <w:div w:id="1438603952">
          <w:marLeft w:val="1181"/>
          <w:marRight w:val="0"/>
          <w:marTop w:val="168"/>
          <w:marBottom w:val="0"/>
          <w:divBdr>
            <w:top w:val="none" w:sz="0" w:space="0" w:color="auto"/>
            <w:left w:val="none" w:sz="0" w:space="0" w:color="auto"/>
            <w:bottom w:val="none" w:sz="0" w:space="0" w:color="auto"/>
            <w:right w:val="none" w:sz="0" w:space="0" w:color="auto"/>
          </w:divBdr>
        </w:div>
        <w:div w:id="1464499034">
          <w:marLeft w:val="475"/>
          <w:marRight w:val="0"/>
          <w:marTop w:val="168"/>
          <w:marBottom w:val="0"/>
          <w:divBdr>
            <w:top w:val="none" w:sz="0" w:space="0" w:color="auto"/>
            <w:left w:val="none" w:sz="0" w:space="0" w:color="auto"/>
            <w:bottom w:val="none" w:sz="0" w:space="0" w:color="auto"/>
            <w:right w:val="none" w:sz="0" w:space="0" w:color="auto"/>
          </w:divBdr>
        </w:div>
        <w:div w:id="1538158024">
          <w:marLeft w:val="475"/>
          <w:marRight w:val="0"/>
          <w:marTop w:val="168"/>
          <w:marBottom w:val="0"/>
          <w:divBdr>
            <w:top w:val="none" w:sz="0" w:space="0" w:color="auto"/>
            <w:left w:val="none" w:sz="0" w:space="0" w:color="auto"/>
            <w:bottom w:val="none" w:sz="0" w:space="0" w:color="auto"/>
            <w:right w:val="none" w:sz="0" w:space="0" w:color="auto"/>
          </w:divBdr>
        </w:div>
        <w:div w:id="1815681702">
          <w:marLeft w:val="1181"/>
          <w:marRight w:val="0"/>
          <w:marTop w:val="168"/>
          <w:marBottom w:val="0"/>
          <w:divBdr>
            <w:top w:val="none" w:sz="0" w:space="0" w:color="auto"/>
            <w:left w:val="none" w:sz="0" w:space="0" w:color="auto"/>
            <w:bottom w:val="none" w:sz="0" w:space="0" w:color="auto"/>
            <w:right w:val="none" w:sz="0" w:space="0" w:color="auto"/>
          </w:divBdr>
        </w:div>
      </w:divsChild>
    </w:div>
    <w:div w:id="22482221">
      <w:bodyDiv w:val="1"/>
      <w:marLeft w:val="0"/>
      <w:marRight w:val="0"/>
      <w:marTop w:val="0"/>
      <w:marBottom w:val="0"/>
      <w:divBdr>
        <w:top w:val="none" w:sz="0" w:space="0" w:color="auto"/>
        <w:left w:val="none" w:sz="0" w:space="0" w:color="auto"/>
        <w:bottom w:val="none" w:sz="0" w:space="0" w:color="auto"/>
        <w:right w:val="none" w:sz="0" w:space="0" w:color="auto"/>
      </w:divBdr>
    </w:div>
    <w:div w:id="25178917">
      <w:bodyDiv w:val="1"/>
      <w:marLeft w:val="0"/>
      <w:marRight w:val="0"/>
      <w:marTop w:val="0"/>
      <w:marBottom w:val="0"/>
      <w:divBdr>
        <w:top w:val="none" w:sz="0" w:space="0" w:color="auto"/>
        <w:left w:val="none" w:sz="0" w:space="0" w:color="auto"/>
        <w:bottom w:val="none" w:sz="0" w:space="0" w:color="auto"/>
        <w:right w:val="none" w:sz="0" w:space="0" w:color="auto"/>
      </w:divBdr>
    </w:div>
    <w:div w:id="26490653">
      <w:bodyDiv w:val="1"/>
      <w:marLeft w:val="0"/>
      <w:marRight w:val="0"/>
      <w:marTop w:val="0"/>
      <w:marBottom w:val="0"/>
      <w:divBdr>
        <w:top w:val="none" w:sz="0" w:space="0" w:color="auto"/>
        <w:left w:val="none" w:sz="0" w:space="0" w:color="auto"/>
        <w:bottom w:val="none" w:sz="0" w:space="0" w:color="auto"/>
        <w:right w:val="none" w:sz="0" w:space="0" w:color="auto"/>
      </w:divBdr>
    </w:div>
    <w:div w:id="27532925">
      <w:bodyDiv w:val="1"/>
      <w:marLeft w:val="0"/>
      <w:marRight w:val="0"/>
      <w:marTop w:val="0"/>
      <w:marBottom w:val="0"/>
      <w:divBdr>
        <w:top w:val="none" w:sz="0" w:space="0" w:color="auto"/>
        <w:left w:val="none" w:sz="0" w:space="0" w:color="auto"/>
        <w:bottom w:val="none" w:sz="0" w:space="0" w:color="auto"/>
        <w:right w:val="none" w:sz="0" w:space="0" w:color="auto"/>
      </w:divBdr>
    </w:div>
    <w:div w:id="43526892">
      <w:bodyDiv w:val="1"/>
      <w:marLeft w:val="0"/>
      <w:marRight w:val="0"/>
      <w:marTop w:val="0"/>
      <w:marBottom w:val="0"/>
      <w:divBdr>
        <w:top w:val="none" w:sz="0" w:space="0" w:color="auto"/>
        <w:left w:val="none" w:sz="0" w:space="0" w:color="auto"/>
        <w:bottom w:val="none" w:sz="0" w:space="0" w:color="auto"/>
        <w:right w:val="none" w:sz="0" w:space="0" w:color="auto"/>
      </w:divBdr>
    </w:div>
    <w:div w:id="49380537">
      <w:bodyDiv w:val="1"/>
      <w:marLeft w:val="0"/>
      <w:marRight w:val="0"/>
      <w:marTop w:val="0"/>
      <w:marBottom w:val="0"/>
      <w:divBdr>
        <w:top w:val="none" w:sz="0" w:space="0" w:color="auto"/>
        <w:left w:val="none" w:sz="0" w:space="0" w:color="auto"/>
        <w:bottom w:val="none" w:sz="0" w:space="0" w:color="auto"/>
        <w:right w:val="none" w:sz="0" w:space="0" w:color="auto"/>
      </w:divBdr>
    </w:div>
    <w:div w:id="51122483">
      <w:bodyDiv w:val="1"/>
      <w:marLeft w:val="0"/>
      <w:marRight w:val="0"/>
      <w:marTop w:val="0"/>
      <w:marBottom w:val="0"/>
      <w:divBdr>
        <w:top w:val="none" w:sz="0" w:space="0" w:color="auto"/>
        <w:left w:val="none" w:sz="0" w:space="0" w:color="auto"/>
        <w:bottom w:val="none" w:sz="0" w:space="0" w:color="auto"/>
        <w:right w:val="none" w:sz="0" w:space="0" w:color="auto"/>
      </w:divBdr>
      <w:divsChild>
        <w:div w:id="117066248">
          <w:marLeft w:val="1829"/>
          <w:marRight w:val="0"/>
          <w:marTop w:val="144"/>
          <w:marBottom w:val="0"/>
          <w:divBdr>
            <w:top w:val="none" w:sz="0" w:space="0" w:color="auto"/>
            <w:left w:val="none" w:sz="0" w:space="0" w:color="auto"/>
            <w:bottom w:val="none" w:sz="0" w:space="0" w:color="auto"/>
            <w:right w:val="none" w:sz="0" w:space="0" w:color="auto"/>
          </w:divBdr>
        </w:div>
        <w:div w:id="190998781">
          <w:marLeft w:val="1181"/>
          <w:marRight w:val="0"/>
          <w:marTop w:val="168"/>
          <w:marBottom w:val="0"/>
          <w:divBdr>
            <w:top w:val="none" w:sz="0" w:space="0" w:color="auto"/>
            <w:left w:val="none" w:sz="0" w:space="0" w:color="auto"/>
            <w:bottom w:val="none" w:sz="0" w:space="0" w:color="auto"/>
            <w:right w:val="none" w:sz="0" w:space="0" w:color="auto"/>
          </w:divBdr>
        </w:div>
        <w:div w:id="290748698">
          <w:marLeft w:val="1181"/>
          <w:marRight w:val="0"/>
          <w:marTop w:val="168"/>
          <w:marBottom w:val="0"/>
          <w:divBdr>
            <w:top w:val="none" w:sz="0" w:space="0" w:color="auto"/>
            <w:left w:val="none" w:sz="0" w:space="0" w:color="auto"/>
            <w:bottom w:val="none" w:sz="0" w:space="0" w:color="auto"/>
            <w:right w:val="none" w:sz="0" w:space="0" w:color="auto"/>
          </w:divBdr>
        </w:div>
        <w:div w:id="496578643">
          <w:marLeft w:val="1829"/>
          <w:marRight w:val="0"/>
          <w:marTop w:val="144"/>
          <w:marBottom w:val="0"/>
          <w:divBdr>
            <w:top w:val="none" w:sz="0" w:space="0" w:color="auto"/>
            <w:left w:val="none" w:sz="0" w:space="0" w:color="auto"/>
            <w:bottom w:val="none" w:sz="0" w:space="0" w:color="auto"/>
            <w:right w:val="none" w:sz="0" w:space="0" w:color="auto"/>
          </w:divBdr>
        </w:div>
        <w:div w:id="578489154">
          <w:marLeft w:val="1181"/>
          <w:marRight w:val="0"/>
          <w:marTop w:val="168"/>
          <w:marBottom w:val="0"/>
          <w:divBdr>
            <w:top w:val="none" w:sz="0" w:space="0" w:color="auto"/>
            <w:left w:val="none" w:sz="0" w:space="0" w:color="auto"/>
            <w:bottom w:val="none" w:sz="0" w:space="0" w:color="auto"/>
            <w:right w:val="none" w:sz="0" w:space="0" w:color="auto"/>
          </w:divBdr>
        </w:div>
        <w:div w:id="808787917">
          <w:marLeft w:val="1829"/>
          <w:marRight w:val="0"/>
          <w:marTop w:val="144"/>
          <w:marBottom w:val="0"/>
          <w:divBdr>
            <w:top w:val="none" w:sz="0" w:space="0" w:color="auto"/>
            <w:left w:val="none" w:sz="0" w:space="0" w:color="auto"/>
            <w:bottom w:val="none" w:sz="0" w:space="0" w:color="auto"/>
            <w:right w:val="none" w:sz="0" w:space="0" w:color="auto"/>
          </w:divBdr>
        </w:div>
        <w:div w:id="1581718149">
          <w:marLeft w:val="1829"/>
          <w:marRight w:val="0"/>
          <w:marTop w:val="144"/>
          <w:marBottom w:val="0"/>
          <w:divBdr>
            <w:top w:val="none" w:sz="0" w:space="0" w:color="auto"/>
            <w:left w:val="none" w:sz="0" w:space="0" w:color="auto"/>
            <w:bottom w:val="none" w:sz="0" w:space="0" w:color="auto"/>
            <w:right w:val="none" w:sz="0" w:space="0" w:color="auto"/>
          </w:divBdr>
        </w:div>
        <w:div w:id="1725829919">
          <w:marLeft w:val="1181"/>
          <w:marRight w:val="0"/>
          <w:marTop w:val="168"/>
          <w:marBottom w:val="0"/>
          <w:divBdr>
            <w:top w:val="none" w:sz="0" w:space="0" w:color="auto"/>
            <w:left w:val="none" w:sz="0" w:space="0" w:color="auto"/>
            <w:bottom w:val="none" w:sz="0" w:space="0" w:color="auto"/>
            <w:right w:val="none" w:sz="0" w:space="0" w:color="auto"/>
          </w:divBdr>
        </w:div>
        <w:div w:id="1813251851">
          <w:marLeft w:val="1829"/>
          <w:marRight w:val="0"/>
          <w:marTop w:val="144"/>
          <w:marBottom w:val="0"/>
          <w:divBdr>
            <w:top w:val="none" w:sz="0" w:space="0" w:color="auto"/>
            <w:left w:val="none" w:sz="0" w:space="0" w:color="auto"/>
            <w:bottom w:val="none" w:sz="0" w:space="0" w:color="auto"/>
            <w:right w:val="none" w:sz="0" w:space="0" w:color="auto"/>
          </w:divBdr>
        </w:div>
        <w:div w:id="1888294092">
          <w:marLeft w:val="475"/>
          <w:marRight w:val="0"/>
          <w:marTop w:val="168"/>
          <w:marBottom w:val="0"/>
          <w:divBdr>
            <w:top w:val="none" w:sz="0" w:space="0" w:color="auto"/>
            <w:left w:val="none" w:sz="0" w:space="0" w:color="auto"/>
            <w:bottom w:val="none" w:sz="0" w:space="0" w:color="auto"/>
            <w:right w:val="none" w:sz="0" w:space="0" w:color="auto"/>
          </w:divBdr>
        </w:div>
        <w:div w:id="1965381654">
          <w:marLeft w:val="1829"/>
          <w:marRight w:val="0"/>
          <w:marTop w:val="144"/>
          <w:marBottom w:val="0"/>
          <w:divBdr>
            <w:top w:val="none" w:sz="0" w:space="0" w:color="auto"/>
            <w:left w:val="none" w:sz="0" w:space="0" w:color="auto"/>
            <w:bottom w:val="none" w:sz="0" w:space="0" w:color="auto"/>
            <w:right w:val="none" w:sz="0" w:space="0" w:color="auto"/>
          </w:divBdr>
        </w:div>
        <w:div w:id="2060543180">
          <w:marLeft w:val="1829"/>
          <w:marRight w:val="0"/>
          <w:marTop w:val="144"/>
          <w:marBottom w:val="0"/>
          <w:divBdr>
            <w:top w:val="none" w:sz="0" w:space="0" w:color="auto"/>
            <w:left w:val="none" w:sz="0" w:space="0" w:color="auto"/>
            <w:bottom w:val="none" w:sz="0" w:space="0" w:color="auto"/>
            <w:right w:val="none" w:sz="0" w:space="0" w:color="auto"/>
          </w:divBdr>
        </w:div>
      </w:divsChild>
    </w:div>
    <w:div w:id="54133276">
      <w:bodyDiv w:val="1"/>
      <w:marLeft w:val="0"/>
      <w:marRight w:val="0"/>
      <w:marTop w:val="0"/>
      <w:marBottom w:val="0"/>
      <w:divBdr>
        <w:top w:val="none" w:sz="0" w:space="0" w:color="auto"/>
        <w:left w:val="none" w:sz="0" w:space="0" w:color="auto"/>
        <w:bottom w:val="none" w:sz="0" w:space="0" w:color="auto"/>
        <w:right w:val="none" w:sz="0" w:space="0" w:color="auto"/>
      </w:divBdr>
    </w:div>
    <w:div w:id="67309381">
      <w:bodyDiv w:val="1"/>
      <w:marLeft w:val="0"/>
      <w:marRight w:val="0"/>
      <w:marTop w:val="0"/>
      <w:marBottom w:val="0"/>
      <w:divBdr>
        <w:top w:val="none" w:sz="0" w:space="0" w:color="auto"/>
        <w:left w:val="none" w:sz="0" w:space="0" w:color="auto"/>
        <w:bottom w:val="none" w:sz="0" w:space="0" w:color="auto"/>
        <w:right w:val="none" w:sz="0" w:space="0" w:color="auto"/>
      </w:divBdr>
    </w:div>
    <w:div w:id="74523692">
      <w:bodyDiv w:val="1"/>
      <w:marLeft w:val="0"/>
      <w:marRight w:val="0"/>
      <w:marTop w:val="0"/>
      <w:marBottom w:val="0"/>
      <w:divBdr>
        <w:top w:val="none" w:sz="0" w:space="0" w:color="auto"/>
        <w:left w:val="none" w:sz="0" w:space="0" w:color="auto"/>
        <w:bottom w:val="none" w:sz="0" w:space="0" w:color="auto"/>
        <w:right w:val="none" w:sz="0" w:space="0" w:color="auto"/>
      </w:divBdr>
    </w:div>
    <w:div w:id="79915201">
      <w:bodyDiv w:val="1"/>
      <w:marLeft w:val="0"/>
      <w:marRight w:val="0"/>
      <w:marTop w:val="0"/>
      <w:marBottom w:val="0"/>
      <w:divBdr>
        <w:top w:val="none" w:sz="0" w:space="0" w:color="auto"/>
        <w:left w:val="none" w:sz="0" w:space="0" w:color="auto"/>
        <w:bottom w:val="none" w:sz="0" w:space="0" w:color="auto"/>
        <w:right w:val="none" w:sz="0" w:space="0" w:color="auto"/>
      </w:divBdr>
    </w:div>
    <w:div w:id="83696470">
      <w:bodyDiv w:val="1"/>
      <w:marLeft w:val="0"/>
      <w:marRight w:val="0"/>
      <w:marTop w:val="0"/>
      <w:marBottom w:val="0"/>
      <w:divBdr>
        <w:top w:val="none" w:sz="0" w:space="0" w:color="auto"/>
        <w:left w:val="none" w:sz="0" w:space="0" w:color="auto"/>
        <w:bottom w:val="none" w:sz="0" w:space="0" w:color="auto"/>
        <w:right w:val="none" w:sz="0" w:space="0" w:color="auto"/>
      </w:divBdr>
    </w:div>
    <w:div w:id="84498368">
      <w:bodyDiv w:val="1"/>
      <w:marLeft w:val="0"/>
      <w:marRight w:val="0"/>
      <w:marTop w:val="0"/>
      <w:marBottom w:val="0"/>
      <w:divBdr>
        <w:top w:val="none" w:sz="0" w:space="0" w:color="auto"/>
        <w:left w:val="none" w:sz="0" w:space="0" w:color="auto"/>
        <w:bottom w:val="none" w:sz="0" w:space="0" w:color="auto"/>
        <w:right w:val="none" w:sz="0" w:space="0" w:color="auto"/>
      </w:divBdr>
    </w:div>
    <w:div w:id="86276256">
      <w:bodyDiv w:val="1"/>
      <w:marLeft w:val="0"/>
      <w:marRight w:val="0"/>
      <w:marTop w:val="0"/>
      <w:marBottom w:val="0"/>
      <w:divBdr>
        <w:top w:val="none" w:sz="0" w:space="0" w:color="auto"/>
        <w:left w:val="none" w:sz="0" w:space="0" w:color="auto"/>
        <w:bottom w:val="none" w:sz="0" w:space="0" w:color="auto"/>
        <w:right w:val="none" w:sz="0" w:space="0" w:color="auto"/>
      </w:divBdr>
    </w:div>
    <w:div w:id="86780143">
      <w:bodyDiv w:val="1"/>
      <w:marLeft w:val="0"/>
      <w:marRight w:val="0"/>
      <w:marTop w:val="0"/>
      <w:marBottom w:val="0"/>
      <w:divBdr>
        <w:top w:val="none" w:sz="0" w:space="0" w:color="auto"/>
        <w:left w:val="none" w:sz="0" w:space="0" w:color="auto"/>
        <w:bottom w:val="none" w:sz="0" w:space="0" w:color="auto"/>
        <w:right w:val="none" w:sz="0" w:space="0" w:color="auto"/>
      </w:divBdr>
    </w:div>
    <w:div w:id="88160967">
      <w:bodyDiv w:val="1"/>
      <w:marLeft w:val="0"/>
      <w:marRight w:val="0"/>
      <w:marTop w:val="0"/>
      <w:marBottom w:val="0"/>
      <w:divBdr>
        <w:top w:val="none" w:sz="0" w:space="0" w:color="auto"/>
        <w:left w:val="none" w:sz="0" w:space="0" w:color="auto"/>
        <w:bottom w:val="none" w:sz="0" w:space="0" w:color="auto"/>
        <w:right w:val="none" w:sz="0" w:space="0" w:color="auto"/>
      </w:divBdr>
    </w:div>
    <w:div w:id="90708147">
      <w:bodyDiv w:val="1"/>
      <w:marLeft w:val="0"/>
      <w:marRight w:val="0"/>
      <w:marTop w:val="0"/>
      <w:marBottom w:val="0"/>
      <w:divBdr>
        <w:top w:val="none" w:sz="0" w:space="0" w:color="auto"/>
        <w:left w:val="none" w:sz="0" w:space="0" w:color="auto"/>
        <w:bottom w:val="none" w:sz="0" w:space="0" w:color="auto"/>
        <w:right w:val="none" w:sz="0" w:space="0" w:color="auto"/>
      </w:divBdr>
    </w:div>
    <w:div w:id="97721149">
      <w:bodyDiv w:val="1"/>
      <w:marLeft w:val="0"/>
      <w:marRight w:val="0"/>
      <w:marTop w:val="0"/>
      <w:marBottom w:val="0"/>
      <w:divBdr>
        <w:top w:val="none" w:sz="0" w:space="0" w:color="auto"/>
        <w:left w:val="none" w:sz="0" w:space="0" w:color="auto"/>
        <w:bottom w:val="none" w:sz="0" w:space="0" w:color="auto"/>
        <w:right w:val="none" w:sz="0" w:space="0" w:color="auto"/>
      </w:divBdr>
    </w:div>
    <w:div w:id="106773288">
      <w:bodyDiv w:val="1"/>
      <w:marLeft w:val="0"/>
      <w:marRight w:val="0"/>
      <w:marTop w:val="0"/>
      <w:marBottom w:val="0"/>
      <w:divBdr>
        <w:top w:val="none" w:sz="0" w:space="0" w:color="auto"/>
        <w:left w:val="none" w:sz="0" w:space="0" w:color="auto"/>
        <w:bottom w:val="none" w:sz="0" w:space="0" w:color="auto"/>
        <w:right w:val="none" w:sz="0" w:space="0" w:color="auto"/>
      </w:divBdr>
    </w:div>
    <w:div w:id="110125722">
      <w:bodyDiv w:val="1"/>
      <w:marLeft w:val="0"/>
      <w:marRight w:val="0"/>
      <w:marTop w:val="0"/>
      <w:marBottom w:val="0"/>
      <w:divBdr>
        <w:top w:val="none" w:sz="0" w:space="0" w:color="auto"/>
        <w:left w:val="none" w:sz="0" w:space="0" w:color="auto"/>
        <w:bottom w:val="none" w:sz="0" w:space="0" w:color="auto"/>
        <w:right w:val="none" w:sz="0" w:space="0" w:color="auto"/>
      </w:divBdr>
      <w:divsChild>
        <w:div w:id="57016811">
          <w:marLeft w:val="0"/>
          <w:marRight w:val="0"/>
          <w:marTop w:val="0"/>
          <w:marBottom w:val="0"/>
          <w:divBdr>
            <w:top w:val="none" w:sz="0" w:space="0" w:color="auto"/>
            <w:left w:val="none" w:sz="0" w:space="0" w:color="auto"/>
            <w:bottom w:val="none" w:sz="0" w:space="0" w:color="auto"/>
            <w:right w:val="none" w:sz="0" w:space="0" w:color="auto"/>
          </w:divBdr>
        </w:div>
        <w:div w:id="922034486">
          <w:marLeft w:val="0"/>
          <w:marRight w:val="0"/>
          <w:marTop w:val="0"/>
          <w:marBottom w:val="0"/>
          <w:divBdr>
            <w:top w:val="none" w:sz="0" w:space="0" w:color="auto"/>
            <w:left w:val="none" w:sz="0" w:space="0" w:color="auto"/>
            <w:bottom w:val="none" w:sz="0" w:space="0" w:color="auto"/>
            <w:right w:val="none" w:sz="0" w:space="0" w:color="auto"/>
          </w:divBdr>
        </w:div>
        <w:div w:id="551120494">
          <w:marLeft w:val="0"/>
          <w:marRight w:val="0"/>
          <w:marTop w:val="0"/>
          <w:marBottom w:val="0"/>
          <w:divBdr>
            <w:top w:val="none" w:sz="0" w:space="0" w:color="auto"/>
            <w:left w:val="none" w:sz="0" w:space="0" w:color="auto"/>
            <w:bottom w:val="none" w:sz="0" w:space="0" w:color="auto"/>
            <w:right w:val="none" w:sz="0" w:space="0" w:color="auto"/>
          </w:divBdr>
        </w:div>
        <w:div w:id="379668212">
          <w:marLeft w:val="0"/>
          <w:marRight w:val="0"/>
          <w:marTop w:val="0"/>
          <w:marBottom w:val="0"/>
          <w:divBdr>
            <w:top w:val="none" w:sz="0" w:space="0" w:color="auto"/>
            <w:left w:val="none" w:sz="0" w:space="0" w:color="auto"/>
            <w:bottom w:val="none" w:sz="0" w:space="0" w:color="auto"/>
            <w:right w:val="none" w:sz="0" w:space="0" w:color="auto"/>
          </w:divBdr>
        </w:div>
        <w:div w:id="758408938">
          <w:marLeft w:val="0"/>
          <w:marRight w:val="0"/>
          <w:marTop w:val="0"/>
          <w:marBottom w:val="0"/>
          <w:divBdr>
            <w:top w:val="none" w:sz="0" w:space="0" w:color="auto"/>
            <w:left w:val="none" w:sz="0" w:space="0" w:color="auto"/>
            <w:bottom w:val="none" w:sz="0" w:space="0" w:color="auto"/>
            <w:right w:val="none" w:sz="0" w:space="0" w:color="auto"/>
          </w:divBdr>
        </w:div>
        <w:div w:id="953363434">
          <w:marLeft w:val="0"/>
          <w:marRight w:val="0"/>
          <w:marTop w:val="0"/>
          <w:marBottom w:val="0"/>
          <w:divBdr>
            <w:top w:val="none" w:sz="0" w:space="0" w:color="auto"/>
            <w:left w:val="none" w:sz="0" w:space="0" w:color="auto"/>
            <w:bottom w:val="none" w:sz="0" w:space="0" w:color="auto"/>
            <w:right w:val="none" w:sz="0" w:space="0" w:color="auto"/>
          </w:divBdr>
        </w:div>
        <w:div w:id="1322388347">
          <w:marLeft w:val="0"/>
          <w:marRight w:val="0"/>
          <w:marTop w:val="0"/>
          <w:marBottom w:val="0"/>
          <w:divBdr>
            <w:top w:val="none" w:sz="0" w:space="0" w:color="auto"/>
            <w:left w:val="none" w:sz="0" w:space="0" w:color="auto"/>
            <w:bottom w:val="none" w:sz="0" w:space="0" w:color="auto"/>
            <w:right w:val="none" w:sz="0" w:space="0" w:color="auto"/>
          </w:divBdr>
        </w:div>
      </w:divsChild>
    </w:div>
    <w:div w:id="115954164">
      <w:bodyDiv w:val="1"/>
      <w:marLeft w:val="0"/>
      <w:marRight w:val="0"/>
      <w:marTop w:val="0"/>
      <w:marBottom w:val="0"/>
      <w:divBdr>
        <w:top w:val="none" w:sz="0" w:space="0" w:color="auto"/>
        <w:left w:val="none" w:sz="0" w:space="0" w:color="auto"/>
        <w:bottom w:val="none" w:sz="0" w:space="0" w:color="auto"/>
        <w:right w:val="none" w:sz="0" w:space="0" w:color="auto"/>
      </w:divBdr>
      <w:divsChild>
        <w:div w:id="257564304">
          <w:marLeft w:val="475"/>
          <w:marRight w:val="0"/>
          <w:marTop w:val="168"/>
          <w:marBottom w:val="0"/>
          <w:divBdr>
            <w:top w:val="none" w:sz="0" w:space="0" w:color="auto"/>
            <w:left w:val="none" w:sz="0" w:space="0" w:color="auto"/>
            <w:bottom w:val="none" w:sz="0" w:space="0" w:color="auto"/>
            <w:right w:val="none" w:sz="0" w:space="0" w:color="auto"/>
          </w:divBdr>
        </w:div>
        <w:div w:id="397822011">
          <w:marLeft w:val="1181"/>
          <w:marRight w:val="0"/>
          <w:marTop w:val="168"/>
          <w:marBottom w:val="0"/>
          <w:divBdr>
            <w:top w:val="none" w:sz="0" w:space="0" w:color="auto"/>
            <w:left w:val="none" w:sz="0" w:space="0" w:color="auto"/>
            <w:bottom w:val="none" w:sz="0" w:space="0" w:color="auto"/>
            <w:right w:val="none" w:sz="0" w:space="0" w:color="auto"/>
          </w:divBdr>
        </w:div>
        <w:div w:id="415858223">
          <w:marLeft w:val="1181"/>
          <w:marRight w:val="0"/>
          <w:marTop w:val="168"/>
          <w:marBottom w:val="0"/>
          <w:divBdr>
            <w:top w:val="none" w:sz="0" w:space="0" w:color="auto"/>
            <w:left w:val="none" w:sz="0" w:space="0" w:color="auto"/>
            <w:bottom w:val="none" w:sz="0" w:space="0" w:color="auto"/>
            <w:right w:val="none" w:sz="0" w:space="0" w:color="auto"/>
          </w:divBdr>
        </w:div>
        <w:div w:id="636378111">
          <w:marLeft w:val="1181"/>
          <w:marRight w:val="0"/>
          <w:marTop w:val="168"/>
          <w:marBottom w:val="0"/>
          <w:divBdr>
            <w:top w:val="none" w:sz="0" w:space="0" w:color="auto"/>
            <w:left w:val="none" w:sz="0" w:space="0" w:color="auto"/>
            <w:bottom w:val="none" w:sz="0" w:space="0" w:color="auto"/>
            <w:right w:val="none" w:sz="0" w:space="0" w:color="auto"/>
          </w:divBdr>
        </w:div>
        <w:div w:id="1018265523">
          <w:marLeft w:val="475"/>
          <w:marRight w:val="0"/>
          <w:marTop w:val="168"/>
          <w:marBottom w:val="0"/>
          <w:divBdr>
            <w:top w:val="none" w:sz="0" w:space="0" w:color="auto"/>
            <w:left w:val="none" w:sz="0" w:space="0" w:color="auto"/>
            <w:bottom w:val="none" w:sz="0" w:space="0" w:color="auto"/>
            <w:right w:val="none" w:sz="0" w:space="0" w:color="auto"/>
          </w:divBdr>
        </w:div>
        <w:div w:id="1323267862">
          <w:marLeft w:val="475"/>
          <w:marRight w:val="0"/>
          <w:marTop w:val="168"/>
          <w:marBottom w:val="0"/>
          <w:divBdr>
            <w:top w:val="none" w:sz="0" w:space="0" w:color="auto"/>
            <w:left w:val="none" w:sz="0" w:space="0" w:color="auto"/>
            <w:bottom w:val="none" w:sz="0" w:space="0" w:color="auto"/>
            <w:right w:val="none" w:sz="0" w:space="0" w:color="auto"/>
          </w:divBdr>
        </w:div>
        <w:div w:id="1814522541">
          <w:marLeft w:val="1181"/>
          <w:marRight w:val="0"/>
          <w:marTop w:val="168"/>
          <w:marBottom w:val="0"/>
          <w:divBdr>
            <w:top w:val="none" w:sz="0" w:space="0" w:color="auto"/>
            <w:left w:val="none" w:sz="0" w:space="0" w:color="auto"/>
            <w:bottom w:val="none" w:sz="0" w:space="0" w:color="auto"/>
            <w:right w:val="none" w:sz="0" w:space="0" w:color="auto"/>
          </w:divBdr>
        </w:div>
        <w:div w:id="2062249358">
          <w:marLeft w:val="1181"/>
          <w:marRight w:val="0"/>
          <w:marTop w:val="168"/>
          <w:marBottom w:val="0"/>
          <w:divBdr>
            <w:top w:val="none" w:sz="0" w:space="0" w:color="auto"/>
            <w:left w:val="none" w:sz="0" w:space="0" w:color="auto"/>
            <w:bottom w:val="none" w:sz="0" w:space="0" w:color="auto"/>
            <w:right w:val="none" w:sz="0" w:space="0" w:color="auto"/>
          </w:divBdr>
        </w:div>
      </w:divsChild>
    </w:div>
    <w:div w:id="120727707">
      <w:bodyDiv w:val="1"/>
      <w:marLeft w:val="0"/>
      <w:marRight w:val="0"/>
      <w:marTop w:val="0"/>
      <w:marBottom w:val="0"/>
      <w:divBdr>
        <w:top w:val="none" w:sz="0" w:space="0" w:color="auto"/>
        <w:left w:val="none" w:sz="0" w:space="0" w:color="auto"/>
        <w:bottom w:val="none" w:sz="0" w:space="0" w:color="auto"/>
        <w:right w:val="none" w:sz="0" w:space="0" w:color="auto"/>
      </w:divBdr>
    </w:div>
    <w:div w:id="135339021">
      <w:bodyDiv w:val="1"/>
      <w:marLeft w:val="0"/>
      <w:marRight w:val="0"/>
      <w:marTop w:val="0"/>
      <w:marBottom w:val="0"/>
      <w:divBdr>
        <w:top w:val="none" w:sz="0" w:space="0" w:color="auto"/>
        <w:left w:val="none" w:sz="0" w:space="0" w:color="auto"/>
        <w:bottom w:val="none" w:sz="0" w:space="0" w:color="auto"/>
        <w:right w:val="none" w:sz="0" w:space="0" w:color="auto"/>
      </w:divBdr>
    </w:div>
    <w:div w:id="135924953">
      <w:bodyDiv w:val="1"/>
      <w:marLeft w:val="0"/>
      <w:marRight w:val="0"/>
      <w:marTop w:val="0"/>
      <w:marBottom w:val="0"/>
      <w:divBdr>
        <w:top w:val="none" w:sz="0" w:space="0" w:color="auto"/>
        <w:left w:val="none" w:sz="0" w:space="0" w:color="auto"/>
        <w:bottom w:val="none" w:sz="0" w:space="0" w:color="auto"/>
        <w:right w:val="none" w:sz="0" w:space="0" w:color="auto"/>
      </w:divBdr>
      <w:divsChild>
        <w:div w:id="161050522">
          <w:marLeft w:val="475"/>
          <w:marRight w:val="0"/>
          <w:marTop w:val="168"/>
          <w:marBottom w:val="0"/>
          <w:divBdr>
            <w:top w:val="none" w:sz="0" w:space="0" w:color="auto"/>
            <w:left w:val="none" w:sz="0" w:space="0" w:color="auto"/>
            <w:bottom w:val="none" w:sz="0" w:space="0" w:color="auto"/>
            <w:right w:val="none" w:sz="0" w:space="0" w:color="auto"/>
          </w:divBdr>
        </w:div>
        <w:div w:id="193469641">
          <w:marLeft w:val="475"/>
          <w:marRight w:val="0"/>
          <w:marTop w:val="168"/>
          <w:marBottom w:val="0"/>
          <w:divBdr>
            <w:top w:val="none" w:sz="0" w:space="0" w:color="auto"/>
            <w:left w:val="none" w:sz="0" w:space="0" w:color="auto"/>
            <w:bottom w:val="none" w:sz="0" w:space="0" w:color="auto"/>
            <w:right w:val="none" w:sz="0" w:space="0" w:color="auto"/>
          </w:divBdr>
        </w:div>
        <w:div w:id="424614677">
          <w:marLeft w:val="1181"/>
          <w:marRight w:val="0"/>
          <w:marTop w:val="168"/>
          <w:marBottom w:val="0"/>
          <w:divBdr>
            <w:top w:val="none" w:sz="0" w:space="0" w:color="auto"/>
            <w:left w:val="none" w:sz="0" w:space="0" w:color="auto"/>
            <w:bottom w:val="none" w:sz="0" w:space="0" w:color="auto"/>
            <w:right w:val="none" w:sz="0" w:space="0" w:color="auto"/>
          </w:divBdr>
        </w:div>
        <w:div w:id="455224489">
          <w:marLeft w:val="475"/>
          <w:marRight w:val="0"/>
          <w:marTop w:val="168"/>
          <w:marBottom w:val="0"/>
          <w:divBdr>
            <w:top w:val="none" w:sz="0" w:space="0" w:color="auto"/>
            <w:left w:val="none" w:sz="0" w:space="0" w:color="auto"/>
            <w:bottom w:val="none" w:sz="0" w:space="0" w:color="auto"/>
            <w:right w:val="none" w:sz="0" w:space="0" w:color="auto"/>
          </w:divBdr>
        </w:div>
        <w:div w:id="1039665315">
          <w:marLeft w:val="1181"/>
          <w:marRight w:val="0"/>
          <w:marTop w:val="168"/>
          <w:marBottom w:val="0"/>
          <w:divBdr>
            <w:top w:val="none" w:sz="0" w:space="0" w:color="auto"/>
            <w:left w:val="none" w:sz="0" w:space="0" w:color="auto"/>
            <w:bottom w:val="none" w:sz="0" w:space="0" w:color="auto"/>
            <w:right w:val="none" w:sz="0" w:space="0" w:color="auto"/>
          </w:divBdr>
        </w:div>
        <w:div w:id="1472557136">
          <w:marLeft w:val="475"/>
          <w:marRight w:val="0"/>
          <w:marTop w:val="168"/>
          <w:marBottom w:val="0"/>
          <w:divBdr>
            <w:top w:val="none" w:sz="0" w:space="0" w:color="auto"/>
            <w:left w:val="none" w:sz="0" w:space="0" w:color="auto"/>
            <w:bottom w:val="none" w:sz="0" w:space="0" w:color="auto"/>
            <w:right w:val="none" w:sz="0" w:space="0" w:color="auto"/>
          </w:divBdr>
        </w:div>
        <w:div w:id="1508207825">
          <w:marLeft w:val="475"/>
          <w:marRight w:val="0"/>
          <w:marTop w:val="168"/>
          <w:marBottom w:val="0"/>
          <w:divBdr>
            <w:top w:val="none" w:sz="0" w:space="0" w:color="auto"/>
            <w:left w:val="none" w:sz="0" w:space="0" w:color="auto"/>
            <w:bottom w:val="none" w:sz="0" w:space="0" w:color="auto"/>
            <w:right w:val="none" w:sz="0" w:space="0" w:color="auto"/>
          </w:divBdr>
        </w:div>
        <w:div w:id="1521820378">
          <w:marLeft w:val="475"/>
          <w:marRight w:val="0"/>
          <w:marTop w:val="168"/>
          <w:marBottom w:val="0"/>
          <w:divBdr>
            <w:top w:val="none" w:sz="0" w:space="0" w:color="auto"/>
            <w:left w:val="none" w:sz="0" w:space="0" w:color="auto"/>
            <w:bottom w:val="none" w:sz="0" w:space="0" w:color="auto"/>
            <w:right w:val="none" w:sz="0" w:space="0" w:color="auto"/>
          </w:divBdr>
        </w:div>
        <w:div w:id="1742097917">
          <w:marLeft w:val="1181"/>
          <w:marRight w:val="0"/>
          <w:marTop w:val="168"/>
          <w:marBottom w:val="0"/>
          <w:divBdr>
            <w:top w:val="none" w:sz="0" w:space="0" w:color="auto"/>
            <w:left w:val="none" w:sz="0" w:space="0" w:color="auto"/>
            <w:bottom w:val="none" w:sz="0" w:space="0" w:color="auto"/>
            <w:right w:val="none" w:sz="0" w:space="0" w:color="auto"/>
          </w:divBdr>
        </w:div>
        <w:div w:id="1789926691">
          <w:marLeft w:val="475"/>
          <w:marRight w:val="0"/>
          <w:marTop w:val="168"/>
          <w:marBottom w:val="0"/>
          <w:divBdr>
            <w:top w:val="none" w:sz="0" w:space="0" w:color="auto"/>
            <w:left w:val="none" w:sz="0" w:space="0" w:color="auto"/>
            <w:bottom w:val="none" w:sz="0" w:space="0" w:color="auto"/>
            <w:right w:val="none" w:sz="0" w:space="0" w:color="auto"/>
          </w:divBdr>
        </w:div>
        <w:div w:id="1914125727">
          <w:marLeft w:val="1181"/>
          <w:marRight w:val="0"/>
          <w:marTop w:val="168"/>
          <w:marBottom w:val="0"/>
          <w:divBdr>
            <w:top w:val="none" w:sz="0" w:space="0" w:color="auto"/>
            <w:left w:val="none" w:sz="0" w:space="0" w:color="auto"/>
            <w:bottom w:val="none" w:sz="0" w:space="0" w:color="auto"/>
            <w:right w:val="none" w:sz="0" w:space="0" w:color="auto"/>
          </w:divBdr>
        </w:div>
      </w:divsChild>
    </w:div>
    <w:div w:id="138499657">
      <w:bodyDiv w:val="1"/>
      <w:marLeft w:val="0"/>
      <w:marRight w:val="0"/>
      <w:marTop w:val="0"/>
      <w:marBottom w:val="0"/>
      <w:divBdr>
        <w:top w:val="none" w:sz="0" w:space="0" w:color="auto"/>
        <w:left w:val="none" w:sz="0" w:space="0" w:color="auto"/>
        <w:bottom w:val="none" w:sz="0" w:space="0" w:color="auto"/>
        <w:right w:val="none" w:sz="0" w:space="0" w:color="auto"/>
      </w:divBdr>
    </w:div>
    <w:div w:id="149030581">
      <w:bodyDiv w:val="1"/>
      <w:marLeft w:val="0"/>
      <w:marRight w:val="0"/>
      <w:marTop w:val="0"/>
      <w:marBottom w:val="0"/>
      <w:divBdr>
        <w:top w:val="none" w:sz="0" w:space="0" w:color="auto"/>
        <w:left w:val="none" w:sz="0" w:space="0" w:color="auto"/>
        <w:bottom w:val="none" w:sz="0" w:space="0" w:color="auto"/>
        <w:right w:val="none" w:sz="0" w:space="0" w:color="auto"/>
      </w:divBdr>
      <w:divsChild>
        <w:div w:id="514458798">
          <w:marLeft w:val="259"/>
          <w:marRight w:val="0"/>
          <w:marTop w:val="132"/>
          <w:marBottom w:val="0"/>
          <w:divBdr>
            <w:top w:val="none" w:sz="0" w:space="0" w:color="auto"/>
            <w:left w:val="none" w:sz="0" w:space="0" w:color="auto"/>
            <w:bottom w:val="none" w:sz="0" w:space="0" w:color="auto"/>
            <w:right w:val="none" w:sz="0" w:space="0" w:color="auto"/>
          </w:divBdr>
        </w:div>
        <w:div w:id="716663000">
          <w:marLeft w:val="259"/>
          <w:marRight w:val="0"/>
          <w:marTop w:val="132"/>
          <w:marBottom w:val="0"/>
          <w:divBdr>
            <w:top w:val="none" w:sz="0" w:space="0" w:color="auto"/>
            <w:left w:val="none" w:sz="0" w:space="0" w:color="auto"/>
            <w:bottom w:val="none" w:sz="0" w:space="0" w:color="auto"/>
            <w:right w:val="none" w:sz="0" w:space="0" w:color="auto"/>
          </w:divBdr>
        </w:div>
        <w:div w:id="755244749">
          <w:marLeft w:val="259"/>
          <w:marRight w:val="0"/>
          <w:marTop w:val="132"/>
          <w:marBottom w:val="0"/>
          <w:divBdr>
            <w:top w:val="none" w:sz="0" w:space="0" w:color="auto"/>
            <w:left w:val="none" w:sz="0" w:space="0" w:color="auto"/>
            <w:bottom w:val="none" w:sz="0" w:space="0" w:color="auto"/>
            <w:right w:val="none" w:sz="0" w:space="0" w:color="auto"/>
          </w:divBdr>
        </w:div>
        <w:div w:id="768238089">
          <w:marLeft w:val="259"/>
          <w:marRight w:val="0"/>
          <w:marTop w:val="132"/>
          <w:marBottom w:val="0"/>
          <w:divBdr>
            <w:top w:val="none" w:sz="0" w:space="0" w:color="auto"/>
            <w:left w:val="none" w:sz="0" w:space="0" w:color="auto"/>
            <w:bottom w:val="none" w:sz="0" w:space="0" w:color="auto"/>
            <w:right w:val="none" w:sz="0" w:space="0" w:color="auto"/>
          </w:divBdr>
        </w:div>
        <w:div w:id="775103635">
          <w:marLeft w:val="259"/>
          <w:marRight w:val="0"/>
          <w:marTop w:val="132"/>
          <w:marBottom w:val="0"/>
          <w:divBdr>
            <w:top w:val="none" w:sz="0" w:space="0" w:color="auto"/>
            <w:left w:val="none" w:sz="0" w:space="0" w:color="auto"/>
            <w:bottom w:val="none" w:sz="0" w:space="0" w:color="auto"/>
            <w:right w:val="none" w:sz="0" w:space="0" w:color="auto"/>
          </w:divBdr>
        </w:div>
        <w:div w:id="1144272946">
          <w:marLeft w:val="259"/>
          <w:marRight w:val="0"/>
          <w:marTop w:val="132"/>
          <w:marBottom w:val="0"/>
          <w:divBdr>
            <w:top w:val="none" w:sz="0" w:space="0" w:color="auto"/>
            <w:left w:val="none" w:sz="0" w:space="0" w:color="auto"/>
            <w:bottom w:val="none" w:sz="0" w:space="0" w:color="auto"/>
            <w:right w:val="none" w:sz="0" w:space="0" w:color="auto"/>
          </w:divBdr>
        </w:div>
        <w:div w:id="1261179906">
          <w:marLeft w:val="259"/>
          <w:marRight w:val="0"/>
          <w:marTop w:val="132"/>
          <w:marBottom w:val="0"/>
          <w:divBdr>
            <w:top w:val="none" w:sz="0" w:space="0" w:color="auto"/>
            <w:left w:val="none" w:sz="0" w:space="0" w:color="auto"/>
            <w:bottom w:val="none" w:sz="0" w:space="0" w:color="auto"/>
            <w:right w:val="none" w:sz="0" w:space="0" w:color="auto"/>
          </w:divBdr>
        </w:div>
        <w:div w:id="1392575539">
          <w:marLeft w:val="259"/>
          <w:marRight w:val="0"/>
          <w:marTop w:val="132"/>
          <w:marBottom w:val="0"/>
          <w:divBdr>
            <w:top w:val="none" w:sz="0" w:space="0" w:color="auto"/>
            <w:left w:val="none" w:sz="0" w:space="0" w:color="auto"/>
            <w:bottom w:val="none" w:sz="0" w:space="0" w:color="auto"/>
            <w:right w:val="none" w:sz="0" w:space="0" w:color="auto"/>
          </w:divBdr>
        </w:div>
        <w:div w:id="1573080567">
          <w:marLeft w:val="259"/>
          <w:marRight w:val="0"/>
          <w:marTop w:val="132"/>
          <w:marBottom w:val="0"/>
          <w:divBdr>
            <w:top w:val="none" w:sz="0" w:space="0" w:color="auto"/>
            <w:left w:val="none" w:sz="0" w:space="0" w:color="auto"/>
            <w:bottom w:val="none" w:sz="0" w:space="0" w:color="auto"/>
            <w:right w:val="none" w:sz="0" w:space="0" w:color="auto"/>
          </w:divBdr>
        </w:div>
        <w:div w:id="1724135053">
          <w:marLeft w:val="259"/>
          <w:marRight w:val="0"/>
          <w:marTop w:val="132"/>
          <w:marBottom w:val="0"/>
          <w:divBdr>
            <w:top w:val="none" w:sz="0" w:space="0" w:color="auto"/>
            <w:left w:val="none" w:sz="0" w:space="0" w:color="auto"/>
            <w:bottom w:val="none" w:sz="0" w:space="0" w:color="auto"/>
            <w:right w:val="none" w:sz="0" w:space="0" w:color="auto"/>
          </w:divBdr>
        </w:div>
        <w:div w:id="1772434701">
          <w:marLeft w:val="259"/>
          <w:marRight w:val="0"/>
          <w:marTop w:val="132"/>
          <w:marBottom w:val="0"/>
          <w:divBdr>
            <w:top w:val="none" w:sz="0" w:space="0" w:color="auto"/>
            <w:left w:val="none" w:sz="0" w:space="0" w:color="auto"/>
            <w:bottom w:val="none" w:sz="0" w:space="0" w:color="auto"/>
            <w:right w:val="none" w:sz="0" w:space="0" w:color="auto"/>
          </w:divBdr>
        </w:div>
        <w:div w:id="2145852654">
          <w:marLeft w:val="259"/>
          <w:marRight w:val="0"/>
          <w:marTop w:val="132"/>
          <w:marBottom w:val="0"/>
          <w:divBdr>
            <w:top w:val="none" w:sz="0" w:space="0" w:color="auto"/>
            <w:left w:val="none" w:sz="0" w:space="0" w:color="auto"/>
            <w:bottom w:val="none" w:sz="0" w:space="0" w:color="auto"/>
            <w:right w:val="none" w:sz="0" w:space="0" w:color="auto"/>
          </w:divBdr>
        </w:div>
      </w:divsChild>
    </w:div>
    <w:div w:id="150412241">
      <w:bodyDiv w:val="1"/>
      <w:marLeft w:val="0"/>
      <w:marRight w:val="0"/>
      <w:marTop w:val="0"/>
      <w:marBottom w:val="0"/>
      <w:divBdr>
        <w:top w:val="none" w:sz="0" w:space="0" w:color="auto"/>
        <w:left w:val="none" w:sz="0" w:space="0" w:color="auto"/>
        <w:bottom w:val="none" w:sz="0" w:space="0" w:color="auto"/>
        <w:right w:val="none" w:sz="0" w:space="0" w:color="auto"/>
      </w:divBdr>
    </w:div>
    <w:div w:id="156699685">
      <w:bodyDiv w:val="1"/>
      <w:marLeft w:val="0"/>
      <w:marRight w:val="0"/>
      <w:marTop w:val="0"/>
      <w:marBottom w:val="0"/>
      <w:divBdr>
        <w:top w:val="none" w:sz="0" w:space="0" w:color="auto"/>
        <w:left w:val="none" w:sz="0" w:space="0" w:color="auto"/>
        <w:bottom w:val="none" w:sz="0" w:space="0" w:color="auto"/>
        <w:right w:val="none" w:sz="0" w:space="0" w:color="auto"/>
      </w:divBdr>
    </w:div>
    <w:div w:id="156771322">
      <w:bodyDiv w:val="1"/>
      <w:marLeft w:val="0"/>
      <w:marRight w:val="0"/>
      <w:marTop w:val="0"/>
      <w:marBottom w:val="0"/>
      <w:divBdr>
        <w:top w:val="none" w:sz="0" w:space="0" w:color="auto"/>
        <w:left w:val="none" w:sz="0" w:space="0" w:color="auto"/>
        <w:bottom w:val="none" w:sz="0" w:space="0" w:color="auto"/>
        <w:right w:val="none" w:sz="0" w:space="0" w:color="auto"/>
      </w:divBdr>
    </w:div>
    <w:div w:id="157233954">
      <w:bodyDiv w:val="1"/>
      <w:marLeft w:val="0"/>
      <w:marRight w:val="0"/>
      <w:marTop w:val="0"/>
      <w:marBottom w:val="0"/>
      <w:divBdr>
        <w:top w:val="none" w:sz="0" w:space="0" w:color="auto"/>
        <w:left w:val="none" w:sz="0" w:space="0" w:color="auto"/>
        <w:bottom w:val="none" w:sz="0" w:space="0" w:color="auto"/>
        <w:right w:val="none" w:sz="0" w:space="0" w:color="auto"/>
      </w:divBdr>
    </w:div>
    <w:div w:id="160128313">
      <w:bodyDiv w:val="1"/>
      <w:marLeft w:val="0"/>
      <w:marRight w:val="0"/>
      <w:marTop w:val="0"/>
      <w:marBottom w:val="0"/>
      <w:divBdr>
        <w:top w:val="none" w:sz="0" w:space="0" w:color="auto"/>
        <w:left w:val="none" w:sz="0" w:space="0" w:color="auto"/>
        <w:bottom w:val="none" w:sz="0" w:space="0" w:color="auto"/>
        <w:right w:val="none" w:sz="0" w:space="0" w:color="auto"/>
      </w:divBdr>
    </w:div>
    <w:div w:id="161430842">
      <w:bodyDiv w:val="1"/>
      <w:marLeft w:val="0"/>
      <w:marRight w:val="0"/>
      <w:marTop w:val="0"/>
      <w:marBottom w:val="0"/>
      <w:divBdr>
        <w:top w:val="none" w:sz="0" w:space="0" w:color="auto"/>
        <w:left w:val="none" w:sz="0" w:space="0" w:color="auto"/>
        <w:bottom w:val="none" w:sz="0" w:space="0" w:color="auto"/>
        <w:right w:val="none" w:sz="0" w:space="0" w:color="auto"/>
      </w:divBdr>
    </w:div>
    <w:div w:id="162282519">
      <w:bodyDiv w:val="1"/>
      <w:marLeft w:val="0"/>
      <w:marRight w:val="0"/>
      <w:marTop w:val="0"/>
      <w:marBottom w:val="0"/>
      <w:divBdr>
        <w:top w:val="none" w:sz="0" w:space="0" w:color="auto"/>
        <w:left w:val="none" w:sz="0" w:space="0" w:color="auto"/>
        <w:bottom w:val="none" w:sz="0" w:space="0" w:color="auto"/>
        <w:right w:val="none" w:sz="0" w:space="0" w:color="auto"/>
      </w:divBdr>
    </w:div>
    <w:div w:id="163976979">
      <w:bodyDiv w:val="1"/>
      <w:marLeft w:val="0"/>
      <w:marRight w:val="0"/>
      <w:marTop w:val="0"/>
      <w:marBottom w:val="0"/>
      <w:divBdr>
        <w:top w:val="none" w:sz="0" w:space="0" w:color="auto"/>
        <w:left w:val="none" w:sz="0" w:space="0" w:color="auto"/>
        <w:bottom w:val="none" w:sz="0" w:space="0" w:color="auto"/>
        <w:right w:val="none" w:sz="0" w:space="0" w:color="auto"/>
      </w:divBdr>
    </w:div>
    <w:div w:id="164982857">
      <w:bodyDiv w:val="1"/>
      <w:marLeft w:val="0"/>
      <w:marRight w:val="0"/>
      <w:marTop w:val="0"/>
      <w:marBottom w:val="0"/>
      <w:divBdr>
        <w:top w:val="none" w:sz="0" w:space="0" w:color="auto"/>
        <w:left w:val="none" w:sz="0" w:space="0" w:color="auto"/>
        <w:bottom w:val="none" w:sz="0" w:space="0" w:color="auto"/>
        <w:right w:val="none" w:sz="0" w:space="0" w:color="auto"/>
      </w:divBdr>
    </w:div>
    <w:div w:id="165487699">
      <w:bodyDiv w:val="1"/>
      <w:marLeft w:val="0"/>
      <w:marRight w:val="0"/>
      <w:marTop w:val="0"/>
      <w:marBottom w:val="0"/>
      <w:divBdr>
        <w:top w:val="none" w:sz="0" w:space="0" w:color="auto"/>
        <w:left w:val="none" w:sz="0" w:space="0" w:color="auto"/>
        <w:bottom w:val="none" w:sz="0" w:space="0" w:color="auto"/>
        <w:right w:val="none" w:sz="0" w:space="0" w:color="auto"/>
      </w:divBdr>
    </w:div>
    <w:div w:id="166556620">
      <w:bodyDiv w:val="1"/>
      <w:marLeft w:val="0"/>
      <w:marRight w:val="0"/>
      <w:marTop w:val="0"/>
      <w:marBottom w:val="0"/>
      <w:divBdr>
        <w:top w:val="none" w:sz="0" w:space="0" w:color="auto"/>
        <w:left w:val="none" w:sz="0" w:space="0" w:color="auto"/>
        <w:bottom w:val="none" w:sz="0" w:space="0" w:color="auto"/>
        <w:right w:val="none" w:sz="0" w:space="0" w:color="auto"/>
      </w:divBdr>
    </w:div>
    <w:div w:id="167184295">
      <w:bodyDiv w:val="1"/>
      <w:marLeft w:val="0"/>
      <w:marRight w:val="0"/>
      <w:marTop w:val="0"/>
      <w:marBottom w:val="0"/>
      <w:divBdr>
        <w:top w:val="none" w:sz="0" w:space="0" w:color="auto"/>
        <w:left w:val="none" w:sz="0" w:space="0" w:color="auto"/>
        <w:bottom w:val="none" w:sz="0" w:space="0" w:color="auto"/>
        <w:right w:val="none" w:sz="0" w:space="0" w:color="auto"/>
      </w:divBdr>
    </w:div>
    <w:div w:id="172379763">
      <w:bodyDiv w:val="1"/>
      <w:marLeft w:val="0"/>
      <w:marRight w:val="0"/>
      <w:marTop w:val="0"/>
      <w:marBottom w:val="0"/>
      <w:divBdr>
        <w:top w:val="none" w:sz="0" w:space="0" w:color="auto"/>
        <w:left w:val="none" w:sz="0" w:space="0" w:color="auto"/>
        <w:bottom w:val="none" w:sz="0" w:space="0" w:color="auto"/>
        <w:right w:val="none" w:sz="0" w:space="0" w:color="auto"/>
      </w:divBdr>
      <w:divsChild>
        <w:div w:id="1991403157">
          <w:marLeft w:val="475"/>
          <w:marRight w:val="0"/>
          <w:marTop w:val="168"/>
          <w:marBottom w:val="0"/>
          <w:divBdr>
            <w:top w:val="none" w:sz="0" w:space="0" w:color="auto"/>
            <w:left w:val="none" w:sz="0" w:space="0" w:color="auto"/>
            <w:bottom w:val="none" w:sz="0" w:space="0" w:color="auto"/>
            <w:right w:val="none" w:sz="0" w:space="0" w:color="auto"/>
          </w:divBdr>
        </w:div>
      </w:divsChild>
    </w:div>
    <w:div w:id="176625146">
      <w:bodyDiv w:val="1"/>
      <w:marLeft w:val="0"/>
      <w:marRight w:val="0"/>
      <w:marTop w:val="0"/>
      <w:marBottom w:val="0"/>
      <w:divBdr>
        <w:top w:val="none" w:sz="0" w:space="0" w:color="auto"/>
        <w:left w:val="none" w:sz="0" w:space="0" w:color="auto"/>
        <w:bottom w:val="none" w:sz="0" w:space="0" w:color="auto"/>
        <w:right w:val="none" w:sz="0" w:space="0" w:color="auto"/>
      </w:divBdr>
    </w:div>
    <w:div w:id="183205532">
      <w:bodyDiv w:val="1"/>
      <w:marLeft w:val="0"/>
      <w:marRight w:val="0"/>
      <w:marTop w:val="0"/>
      <w:marBottom w:val="0"/>
      <w:divBdr>
        <w:top w:val="none" w:sz="0" w:space="0" w:color="auto"/>
        <w:left w:val="none" w:sz="0" w:space="0" w:color="auto"/>
        <w:bottom w:val="none" w:sz="0" w:space="0" w:color="auto"/>
        <w:right w:val="none" w:sz="0" w:space="0" w:color="auto"/>
      </w:divBdr>
      <w:divsChild>
        <w:div w:id="480931467">
          <w:marLeft w:val="0"/>
          <w:marRight w:val="0"/>
          <w:marTop w:val="0"/>
          <w:marBottom w:val="0"/>
          <w:divBdr>
            <w:top w:val="none" w:sz="0" w:space="0" w:color="auto"/>
            <w:left w:val="none" w:sz="0" w:space="0" w:color="auto"/>
            <w:bottom w:val="none" w:sz="0" w:space="0" w:color="auto"/>
            <w:right w:val="none" w:sz="0" w:space="0" w:color="auto"/>
          </w:divBdr>
        </w:div>
        <w:div w:id="578711047">
          <w:marLeft w:val="-115"/>
          <w:marRight w:val="-115"/>
          <w:marTop w:val="0"/>
          <w:marBottom w:val="0"/>
          <w:divBdr>
            <w:top w:val="none" w:sz="0" w:space="0" w:color="auto"/>
            <w:left w:val="none" w:sz="0" w:space="0" w:color="auto"/>
            <w:bottom w:val="none" w:sz="0" w:space="0" w:color="auto"/>
            <w:right w:val="none" w:sz="0" w:space="0" w:color="auto"/>
          </w:divBdr>
        </w:div>
        <w:div w:id="612438370">
          <w:marLeft w:val="0"/>
          <w:marRight w:val="0"/>
          <w:marTop w:val="0"/>
          <w:marBottom w:val="0"/>
          <w:divBdr>
            <w:top w:val="none" w:sz="0" w:space="0" w:color="auto"/>
            <w:left w:val="none" w:sz="0" w:space="0" w:color="auto"/>
            <w:bottom w:val="none" w:sz="0" w:space="0" w:color="auto"/>
            <w:right w:val="none" w:sz="0" w:space="0" w:color="auto"/>
          </w:divBdr>
        </w:div>
        <w:div w:id="638148607">
          <w:marLeft w:val="0"/>
          <w:marRight w:val="0"/>
          <w:marTop w:val="0"/>
          <w:marBottom w:val="0"/>
          <w:divBdr>
            <w:top w:val="none" w:sz="0" w:space="0" w:color="auto"/>
            <w:left w:val="none" w:sz="0" w:space="0" w:color="auto"/>
            <w:bottom w:val="none" w:sz="0" w:space="0" w:color="auto"/>
            <w:right w:val="none" w:sz="0" w:space="0" w:color="auto"/>
          </w:divBdr>
        </w:div>
        <w:div w:id="731469182">
          <w:marLeft w:val="0"/>
          <w:marRight w:val="0"/>
          <w:marTop w:val="0"/>
          <w:marBottom w:val="0"/>
          <w:divBdr>
            <w:top w:val="none" w:sz="0" w:space="0" w:color="auto"/>
            <w:left w:val="none" w:sz="0" w:space="0" w:color="auto"/>
            <w:bottom w:val="none" w:sz="0" w:space="0" w:color="auto"/>
            <w:right w:val="none" w:sz="0" w:space="0" w:color="auto"/>
          </w:divBdr>
        </w:div>
        <w:div w:id="880631824">
          <w:marLeft w:val="-115"/>
          <w:marRight w:val="-115"/>
          <w:marTop w:val="0"/>
          <w:marBottom w:val="0"/>
          <w:divBdr>
            <w:top w:val="none" w:sz="0" w:space="0" w:color="auto"/>
            <w:left w:val="none" w:sz="0" w:space="0" w:color="auto"/>
            <w:bottom w:val="none" w:sz="0" w:space="0" w:color="auto"/>
            <w:right w:val="none" w:sz="0" w:space="0" w:color="auto"/>
          </w:divBdr>
        </w:div>
        <w:div w:id="894781162">
          <w:marLeft w:val="-115"/>
          <w:marRight w:val="-115"/>
          <w:marTop w:val="0"/>
          <w:marBottom w:val="0"/>
          <w:divBdr>
            <w:top w:val="none" w:sz="0" w:space="0" w:color="auto"/>
            <w:left w:val="none" w:sz="0" w:space="0" w:color="auto"/>
            <w:bottom w:val="none" w:sz="0" w:space="0" w:color="auto"/>
            <w:right w:val="none" w:sz="0" w:space="0" w:color="auto"/>
          </w:divBdr>
        </w:div>
        <w:div w:id="1346899735">
          <w:marLeft w:val="-115"/>
          <w:marRight w:val="-115"/>
          <w:marTop w:val="0"/>
          <w:marBottom w:val="0"/>
          <w:divBdr>
            <w:top w:val="none" w:sz="0" w:space="0" w:color="auto"/>
            <w:left w:val="none" w:sz="0" w:space="0" w:color="auto"/>
            <w:bottom w:val="none" w:sz="0" w:space="0" w:color="auto"/>
            <w:right w:val="none" w:sz="0" w:space="0" w:color="auto"/>
          </w:divBdr>
        </w:div>
        <w:div w:id="1488937110">
          <w:marLeft w:val="-115"/>
          <w:marRight w:val="-115"/>
          <w:marTop w:val="0"/>
          <w:marBottom w:val="0"/>
          <w:divBdr>
            <w:top w:val="none" w:sz="0" w:space="0" w:color="auto"/>
            <w:left w:val="none" w:sz="0" w:space="0" w:color="auto"/>
            <w:bottom w:val="none" w:sz="0" w:space="0" w:color="auto"/>
            <w:right w:val="none" w:sz="0" w:space="0" w:color="auto"/>
          </w:divBdr>
        </w:div>
        <w:div w:id="1586721014">
          <w:marLeft w:val="-115"/>
          <w:marRight w:val="-115"/>
          <w:marTop w:val="0"/>
          <w:marBottom w:val="0"/>
          <w:divBdr>
            <w:top w:val="none" w:sz="0" w:space="0" w:color="auto"/>
            <w:left w:val="none" w:sz="0" w:space="0" w:color="auto"/>
            <w:bottom w:val="none" w:sz="0" w:space="0" w:color="auto"/>
            <w:right w:val="none" w:sz="0" w:space="0" w:color="auto"/>
          </w:divBdr>
        </w:div>
        <w:div w:id="1640039828">
          <w:marLeft w:val="-115"/>
          <w:marRight w:val="-115"/>
          <w:marTop w:val="0"/>
          <w:marBottom w:val="0"/>
          <w:divBdr>
            <w:top w:val="none" w:sz="0" w:space="0" w:color="auto"/>
            <w:left w:val="none" w:sz="0" w:space="0" w:color="auto"/>
            <w:bottom w:val="none" w:sz="0" w:space="0" w:color="auto"/>
            <w:right w:val="none" w:sz="0" w:space="0" w:color="auto"/>
          </w:divBdr>
        </w:div>
        <w:div w:id="1650481572">
          <w:marLeft w:val="-115"/>
          <w:marRight w:val="-115"/>
          <w:marTop w:val="0"/>
          <w:marBottom w:val="0"/>
          <w:divBdr>
            <w:top w:val="none" w:sz="0" w:space="0" w:color="auto"/>
            <w:left w:val="none" w:sz="0" w:space="0" w:color="auto"/>
            <w:bottom w:val="none" w:sz="0" w:space="0" w:color="auto"/>
            <w:right w:val="none" w:sz="0" w:space="0" w:color="auto"/>
          </w:divBdr>
        </w:div>
        <w:div w:id="1669095283">
          <w:marLeft w:val="0"/>
          <w:marRight w:val="0"/>
          <w:marTop w:val="0"/>
          <w:marBottom w:val="0"/>
          <w:divBdr>
            <w:top w:val="none" w:sz="0" w:space="0" w:color="auto"/>
            <w:left w:val="none" w:sz="0" w:space="0" w:color="auto"/>
            <w:bottom w:val="none" w:sz="0" w:space="0" w:color="auto"/>
            <w:right w:val="none" w:sz="0" w:space="0" w:color="auto"/>
          </w:divBdr>
        </w:div>
        <w:div w:id="1856528896">
          <w:marLeft w:val="0"/>
          <w:marRight w:val="0"/>
          <w:marTop w:val="0"/>
          <w:marBottom w:val="0"/>
          <w:divBdr>
            <w:top w:val="none" w:sz="0" w:space="0" w:color="auto"/>
            <w:left w:val="none" w:sz="0" w:space="0" w:color="auto"/>
            <w:bottom w:val="none" w:sz="0" w:space="0" w:color="auto"/>
            <w:right w:val="none" w:sz="0" w:space="0" w:color="auto"/>
          </w:divBdr>
        </w:div>
        <w:div w:id="1964461305">
          <w:marLeft w:val="-115"/>
          <w:marRight w:val="-115"/>
          <w:marTop w:val="0"/>
          <w:marBottom w:val="0"/>
          <w:divBdr>
            <w:top w:val="none" w:sz="0" w:space="0" w:color="auto"/>
            <w:left w:val="none" w:sz="0" w:space="0" w:color="auto"/>
            <w:bottom w:val="none" w:sz="0" w:space="0" w:color="auto"/>
            <w:right w:val="none" w:sz="0" w:space="0" w:color="auto"/>
          </w:divBdr>
        </w:div>
        <w:div w:id="1979914630">
          <w:marLeft w:val="0"/>
          <w:marRight w:val="0"/>
          <w:marTop w:val="0"/>
          <w:marBottom w:val="0"/>
          <w:divBdr>
            <w:top w:val="none" w:sz="0" w:space="0" w:color="auto"/>
            <w:left w:val="none" w:sz="0" w:space="0" w:color="auto"/>
            <w:bottom w:val="none" w:sz="0" w:space="0" w:color="auto"/>
            <w:right w:val="none" w:sz="0" w:space="0" w:color="auto"/>
          </w:divBdr>
        </w:div>
        <w:div w:id="2044859122">
          <w:marLeft w:val="0"/>
          <w:marRight w:val="0"/>
          <w:marTop w:val="0"/>
          <w:marBottom w:val="0"/>
          <w:divBdr>
            <w:top w:val="none" w:sz="0" w:space="0" w:color="auto"/>
            <w:left w:val="none" w:sz="0" w:space="0" w:color="auto"/>
            <w:bottom w:val="none" w:sz="0" w:space="0" w:color="auto"/>
            <w:right w:val="none" w:sz="0" w:space="0" w:color="auto"/>
          </w:divBdr>
        </w:div>
      </w:divsChild>
    </w:div>
    <w:div w:id="187570716">
      <w:bodyDiv w:val="1"/>
      <w:marLeft w:val="0"/>
      <w:marRight w:val="0"/>
      <w:marTop w:val="0"/>
      <w:marBottom w:val="0"/>
      <w:divBdr>
        <w:top w:val="none" w:sz="0" w:space="0" w:color="auto"/>
        <w:left w:val="none" w:sz="0" w:space="0" w:color="auto"/>
        <w:bottom w:val="none" w:sz="0" w:space="0" w:color="auto"/>
        <w:right w:val="none" w:sz="0" w:space="0" w:color="auto"/>
      </w:divBdr>
    </w:div>
    <w:div w:id="200216058">
      <w:bodyDiv w:val="1"/>
      <w:marLeft w:val="0"/>
      <w:marRight w:val="0"/>
      <w:marTop w:val="0"/>
      <w:marBottom w:val="0"/>
      <w:divBdr>
        <w:top w:val="none" w:sz="0" w:space="0" w:color="auto"/>
        <w:left w:val="none" w:sz="0" w:space="0" w:color="auto"/>
        <w:bottom w:val="none" w:sz="0" w:space="0" w:color="auto"/>
        <w:right w:val="none" w:sz="0" w:space="0" w:color="auto"/>
      </w:divBdr>
    </w:div>
    <w:div w:id="211312677">
      <w:bodyDiv w:val="1"/>
      <w:marLeft w:val="0"/>
      <w:marRight w:val="0"/>
      <w:marTop w:val="0"/>
      <w:marBottom w:val="0"/>
      <w:divBdr>
        <w:top w:val="none" w:sz="0" w:space="0" w:color="auto"/>
        <w:left w:val="none" w:sz="0" w:space="0" w:color="auto"/>
        <w:bottom w:val="none" w:sz="0" w:space="0" w:color="auto"/>
        <w:right w:val="none" w:sz="0" w:space="0" w:color="auto"/>
      </w:divBdr>
    </w:div>
    <w:div w:id="216016598">
      <w:bodyDiv w:val="1"/>
      <w:marLeft w:val="0"/>
      <w:marRight w:val="0"/>
      <w:marTop w:val="0"/>
      <w:marBottom w:val="0"/>
      <w:divBdr>
        <w:top w:val="none" w:sz="0" w:space="0" w:color="auto"/>
        <w:left w:val="none" w:sz="0" w:space="0" w:color="auto"/>
        <w:bottom w:val="none" w:sz="0" w:space="0" w:color="auto"/>
        <w:right w:val="none" w:sz="0" w:space="0" w:color="auto"/>
      </w:divBdr>
    </w:div>
    <w:div w:id="217863360">
      <w:bodyDiv w:val="1"/>
      <w:marLeft w:val="0"/>
      <w:marRight w:val="0"/>
      <w:marTop w:val="0"/>
      <w:marBottom w:val="0"/>
      <w:divBdr>
        <w:top w:val="none" w:sz="0" w:space="0" w:color="auto"/>
        <w:left w:val="none" w:sz="0" w:space="0" w:color="auto"/>
        <w:bottom w:val="none" w:sz="0" w:space="0" w:color="auto"/>
        <w:right w:val="none" w:sz="0" w:space="0" w:color="auto"/>
      </w:divBdr>
    </w:div>
    <w:div w:id="224754428">
      <w:bodyDiv w:val="1"/>
      <w:marLeft w:val="0"/>
      <w:marRight w:val="0"/>
      <w:marTop w:val="0"/>
      <w:marBottom w:val="0"/>
      <w:divBdr>
        <w:top w:val="none" w:sz="0" w:space="0" w:color="auto"/>
        <w:left w:val="none" w:sz="0" w:space="0" w:color="auto"/>
        <w:bottom w:val="none" w:sz="0" w:space="0" w:color="auto"/>
        <w:right w:val="none" w:sz="0" w:space="0" w:color="auto"/>
      </w:divBdr>
    </w:div>
    <w:div w:id="225841842">
      <w:bodyDiv w:val="1"/>
      <w:marLeft w:val="0"/>
      <w:marRight w:val="0"/>
      <w:marTop w:val="0"/>
      <w:marBottom w:val="0"/>
      <w:divBdr>
        <w:top w:val="none" w:sz="0" w:space="0" w:color="auto"/>
        <w:left w:val="none" w:sz="0" w:space="0" w:color="auto"/>
        <w:bottom w:val="none" w:sz="0" w:space="0" w:color="auto"/>
        <w:right w:val="none" w:sz="0" w:space="0" w:color="auto"/>
      </w:divBdr>
    </w:div>
    <w:div w:id="227108807">
      <w:bodyDiv w:val="1"/>
      <w:marLeft w:val="0"/>
      <w:marRight w:val="0"/>
      <w:marTop w:val="0"/>
      <w:marBottom w:val="0"/>
      <w:divBdr>
        <w:top w:val="none" w:sz="0" w:space="0" w:color="auto"/>
        <w:left w:val="none" w:sz="0" w:space="0" w:color="auto"/>
        <w:bottom w:val="none" w:sz="0" w:space="0" w:color="auto"/>
        <w:right w:val="none" w:sz="0" w:space="0" w:color="auto"/>
      </w:divBdr>
    </w:div>
    <w:div w:id="230699643">
      <w:bodyDiv w:val="1"/>
      <w:marLeft w:val="0"/>
      <w:marRight w:val="0"/>
      <w:marTop w:val="0"/>
      <w:marBottom w:val="0"/>
      <w:divBdr>
        <w:top w:val="none" w:sz="0" w:space="0" w:color="auto"/>
        <w:left w:val="none" w:sz="0" w:space="0" w:color="auto"/>
        <w:bottom w:val="none" w:sz="0" w:space="0" w:color="auto"/>
        <w:right w:val="none" w:sz="0" w:space="0" w:color="auto"/>
      </w:divBdr>
      <w:divsChild>
        <w:div w:id="1668284576">
          <w:marLeft w:val="0"/>
          <w:marRight w:val="0"/>
          <w:marTop w:val="0"/>
          <w:marBottom w:val="81"/>
          <w:divBdr>
            <w:top w:val="none" w:sz="0" w:space="0" w:color="auto"/>
            <w:left w:val="none" w:sz="0" w:space="0" w:color="auto"/>
            <w:bottom w:val="none" w:sz="0" w:space="0" w:color="auto"/>
            <w:right w:val="none" w:sz="0" w:space="0" w:color="auto"/>
          </w:divBdr>
          <w:divsChild>
            <w:div w:id="893538733">
              <w:marLeft w:val="0"/>
              <w:marRight w:val="0"/>
              <w:marTop w:val="0"/>
              <w:marBottom w:val="81"/>
              <w:divBdr>
                <w:top w:val="none" w:sz="0" w:space="0" w:color="auto"/>
                <w:left w:val="none" w:sz="0" w:space="0" w:color="auto"/>
                <w:bottom w:val="none" w:sz="0" w:space="0" w:color="auto"/>
                <w:right w:val="none" w:sz="0" w:space="0" w:color="auto"/>
              </w:divBdr>
            </w:div>
            <w:div w:id="2109152577">
              <w:marLeft w:val="0"/>
              <w:marRight w:val="0"/>
              <w:marTop w:val="0"/>
              <w:marBottom w:val="0"/>
              <w:divBdr>
                <w:top w:val="none" w:sz="0" w:space="0" w:color="auto"/>
                <w:left w:val="none" w:sz="0" w:space="0" w:color="auto"/>
                <w:bottom w:val="none" w:sz="0" w:space="0" w:color="auto"/>
                <w:right w:val="none" w:sz="0" w:space="0" w:color="auto"/>
              </w:divBdr>
              <w:divsChild>
                <w:div w:id="1759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45481">
      <w:bodyDiv w:val="1"/>
      <w:marLeft w:val="0"/>
      <w:marRight w:val="0"/>
      <w:marTop w:val="0"/>
      <w:marBottom w:val="0"/>
      <w:divBdr>
        <w:top w:val="none" w:sz="0" w:space="0" w:color="auto"/>
        <w:left w:val="none" w:sz="0" w:space="0" w:color="auto"/>
        <w:bottom w:val="none" w:sz="0" w:space="0" w:color="auto"/>
        <w:right w:val="none" w:sz="0" w:space="0" w:color="auto"/>
      </w:divBdr>
    </w:div>
    <w:div w:id="239221472">
      <w:bodyDiv w:val="1"/>
      <w:marLeft w:val="0"/>
      <w:marRight w:val="0"/>
      <w:marTop w:val="0"/>
      <w:marBottom w:val="0"/>
      <w:divBdr>
        <w:top w:val="none" w:sz="0" w:space="0" w:color="auto"/>
        <w:left w:val="none" w:sz="0" w:space="0" w:color="auto"/>
        <w:bottom w:val="none" w:sz="0" w:space="0" w:color="auto"/>
        <w:right w:val="none" w:sz="0" w:space="0" w:color="auto"/>
      </w:divBdr>
    </w:div>
    <w:div w:id="241523300">
      <w:bodyDiv w:val="1"/>
      <w:marLeft w:val="0"/>
      <w:marRight w:val="0"/>
      <w:marTop w:val="0"/>
      <w:marBottom w:val="0"/>
      <w:divBdr>
        <w:top w:val="none" w:sz="0" w:space="0" w:color="auto"/>
        <w:left w:val="none" w:sz="0" w:space="0" w:color="auto"/>
        <w:bottom w:val="none" w:sz="0" w:space="0" w:color="auto"/>
        <w:right w:val="none" w:sz="0" w:space="0" w:color="auto"/>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455489245">
                  <w:marLeft w:val="0"/>
                  <w:marRight w:val="0"/>
                  <w:marTop w:val="0"/>
                  <w:marBottom w:val="0"/>
                  <w:divBdr>
                    <w:top w:val="none" w:sz="0" w:space="0" w:color="auto"/>
                    <w:left w:val="none" w:sz="0" w:space="0" w:color="auto"/>
                    <w:bottom w:val="none" w:sz="0" w:space="0" w:color="auto"/>
                    <w:right w:val="none" w:sz="0" w:space="0" w:color="auto"/>
                  </w:divBdr>
                  <w:divsChild>
                    <w:div w:id="1668902760">
                      <w:marLeft w:val="0"/>
                      <w:marRight w:val="0"/>
                      <w:marTop w:val="0"/>
                      <w:marBottom w:val="0"/>
                      <w:divBdr>
                        <w:top w:val="none" w:sz="0" w:space="0" w:color="auto"/>
                        <w:left w:val="none" w:sz="0" w:space="0" w:color="auto"/>
                        <w:bottom w:val="none" w:sz="0" w:space="0" w:color="auto"/>
                        <w:right w:val="none" w:sz="0" w:space="0" w:color="auto"/>
                      </w:divBdr>
                      <w:divsChild>
                        <w:div w:id="564414872">
                          <w:marLeft w:val="0"/>
                          <w:marRight w:val="0"/>
                          <w:marTop w:val="0"/>
                          <w:marBottom w:val="0"/>
                          <w:divBdr>
                            <w:top w:val="none" w:sz="0" w:space="0" w:color="auto"/>
                            <w:left w:val="none" w:sz="0" w:space="0" w:color="auto"/>
                            <w:bottom w:val="none" w:sz="0" w:space="0" w:color="auto"/>
                            <w:right w:val="none" w:sz="0" w:space="0" w:color="auto"/>
                          </w:divBdr>
                          <w:divsChild>
                            <w:div w:id="867065330">
                              <w:marLeft w:val="0"/>
                              <w:marRight w:val="300"/>
                              <w:marTop w:val="180"/>
                              <w:marBottom w:val="0"/>
                              <w:divBdr>
                                <w:top w:val="none" w:sz="0" w:space="0" w:color="auto"/>
                                <w:left w:val="none" w:sz="0" w:space="0" w:color="auto"/>
                                <w:bottom w:val="none" w:sz="0" w:space="0" w:color="auto"/>
                                <w:right w:val="none" w:sz="0" w:space="0" w:color="auto"/>
                              </w:divBdr>
                              <w:divsChild>
                                <w:div w:id="11105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90974">
          <w:marLeft w:val="0"/>
          <w:marRight w:val="0"/>
          <w:marTop w:val="0"/>
          <w:marBottom w:val="0"/>
          <w:divBdr>
            <w:top w:val="none" w:sz="0" w:space="0" w:color="auto"/>
            <w:left w:val="none" w:sz="0" w:space="0" w:color="auto"/>
            <w:bottom w:val="none" w:sz="0" w:space="0" w:color="auto"/>
            <w:right w:val="none" w:sz="0" w:space="0" w:color="auto"/>
          </w:divBdr>
          <w:divsChild>
            <w:div w:id="966665621">
              <w:marLeft w:val="0"/>
              <w:marRight w:val="0"/>
              <w:marTop w:val="0"/>
              <w:marBottom w:val="0"/>
              <w:divBdr>
                <w:top w:val="none" w:sz="0" w:space="0" w:color="auto"/>
                <w:left w:val="none" w:sz="0" w:space="0" w:color="auto"/>
                <w:bottom w:val="none" w:sz="0" w:space="0" w:color="auto"/>
                <w:right w:val="none" w:sz="0" w:space="0" w:color="auto"/>
              </w:divBdr>
              <w:divsChild>
                <w:div w:id="1257249608">
                  <w:marLeft w:val="0"/>
                  <w:marRight w:val="0"/>
                  <w:marTop w:val="0"/>
                  <w:marBottom w:val="0"/>
                  <w:divBdr>
                    <w:top w:val="none" w:sz="0" w:space="0" w:color="auto"/>
                    <w:left w:val="none" w:sz="0" w:space="0" w:color="auto"/>
                    <w:bottom w:val="none" w:sz="0" w:space="0" w:color="auto"/>
                    <w:right w:val="none" w:sz="0" w:space="0" w:color="auto"/>
                  </w:divBdr>
                  <w:divsChild>
                    <w:div w:id="985626424">
                      <w:marLeft w:val="0"/>
                      <w:marRight w:val="0"/>
                      <w:marTop w:val="0"/>
                      <w:marBottom w:val="0"/>
                      <w:divBdr>
                        <w:top w:val="none" w:sz="0" w:space="0" w:color="auto"/>
                        <w:left w:val="none" w:sz="0" w:space="0" w:color="auto"/>
                        <w:bottom w:val="none" w:sz="0" w:space="0" w:color="auto"/>
                        <w:right w:val="none" w:sz="0" w:space="0" w:color="auto"/>
                      </w:divBdr>
                      <w:divsChild>
                        <w:div w:id="12746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43737">
      <w:bodyDiv w:val="1"/>
      <w:marLeft w:val="0"/>
      <w:marRight w:val="0"/>
      <w:marTop w:val="0"/>
      <w:marBottom w:val="0"/>
      <w:divBdr>
        <w:top w:val="none" w:sz="0" w:space="0" w:color="auto"/>
        <w:left w:val="none" w:sz="0" w:space="0" w:color="auto"/>
        <w:bottom w:val="none" w:sz="0" w:space="0" w:color="auto"/>
        <w:right w:val="none" w:sz="0" w:space="0" w:color="auto"/>
      </w:divBdr>
    </w:div>
    <w:div w:id="259870917">
      <w:bodyDiv w:val="1"/>
      <w:marLeft w:val="0"/>
      <w:marRight w:val="0"/>
      <w:marTop w:val="0"/>
      <w:marBottom w:val="0"/>
      <w:divBdr>
        <w:top w:val="none" w:sz="0" w:space="0" w:color="auto"/>
        <w:left w:val="none" w:sz="0" w:space="0" w:color="auto"/>
        <w:bottom w:val="none" w:sz="0" w:space="0" w:color="auto"/>
        <w:right w:val="none" w:sz="0" w:space="0" w:color="auto"/>
      </w:divBdr>
    </w:div>
    <w:div w:id="260453537">
      <w:bodyDiv w:val="1"/>
      <w:marLeft w:val="0"/>
      <w:marRight w:val="0"/>
      <w:marTop w:val="0"/>
      <w:marBottom w:val="0"/>
      <w:divBdr>
        <w:top w:val="none" w:sz="0" w:space="0" w:color="auto"/>
        <w:left w:val="none" w:sz="0" w:space="0" w:color="auto"/>
        <w:bottom w:val="none" w:sz="0" w:space="0" w:color="auto"/>
        <w:right w:val="none" w:sz="0" w:space="0" w:color="auto"/>
      </w:divBdr>
    </w:div>
    <w:div w:id="272248394">
      <w:bodyDiv w:val="1"/>
      <w:marLeft w:val="0"/>
      <w:marRight w:val="0"/>
      <w:marTop w:val="0"/>
      <w:marBottom w:val="0"/>
      <w:divBdr>
        <w:top w:val="none" w:sz="0" w:space="0" w:color="auto"/>
        <w:left w:val="none" w:sz="0" w:space="0" w:color="auto"/>
        <w:bottom w:val="none" w:sz="0" w:space="0" w:color="auto"/>
        <w:right w:val="none" w:sz="0" w:space="0" w:color="auto"/>
      </w:divBdr>
    </w:div>
    <w:div w:id="274019859">
      <w:bodyDiv w:val="1"/>
      <w:marLeft w:val="0"/>
      <w:marRight w:val="0"/>
      <w:marTop w:val="0"/>
      <w:marBottom w:val="0"/>
      <w:divBdr>
        <w:top w:val="none" w:sz="0" w:space="0" w:color="auto"/>
        <w:left w:val="none" w:sz="0" w:space="0" w:color="auto"/>
        <w:bottom w:val="none" w:sz="0" w:space="0" w:color="auto"/>
        <w:right w:val="none" w:sz="0" w:space="0" w:color="auto"/>
      </w:divBdr>
    </w:div>
    <w:div w:id="279460530">
      <w:bodyDiv w:val="1"/>
      <w:marLeft w:val="0"/>
      <w:marRight w:val="0"/>
      <w:marTop w:val="0"/>
      <w:marBottom w:val="0"/>
      <w:divBdr>
        <w:top w:val="none" w:sz="0" w:space="0" w:color="auto"/>
        <w:left w:val="none" w:sz="0" w:space="0" w:color="auto"/>
        <w:bottom w:val="none" w:sz="0" w:space="0" w:color="auto"/>
        <w:right w:val="none" w:sz="0" w:space="0" w:color="auto"/>
      </w:divBdr>
      <w:divsChild>
        <w:div w:id="1001468545">
          <w:marLeft w:val="0"/>
          <w:marRight w:val="0"/>
          <w:marTop w:val="0"/>
          <w:marBottom w:val="81"/>
          <w:divBdr>
            <w:top w:val="none" w:sz="0" w:space="0" w:color="auto"/>
            <w:left w:val="none" w:sz="0" w:space="0" w:color="auto"/>
            <w:bottom w:val="none" w:sz="0" w:space="0" w:color="auto"/>
            <w:right w:val="none" w:sz="0" w:space="0" w:color="auto"/>
          </w:divBdr>
          <w:divsChild>
            <w:div w:id="242449939">
              <w:marLeft w:val="0"/>
              <w:marRight w:val="0"/>
              <w:marTop w:val="0"/>
              <w:marBottom w:val="0"/>
              <w:divBdr>
                <w:top w:val="none" w:sz="0" w:space="0" w:color="auto"/>
                <w:left w:val="none" w:sz="0" w:space="0" w:color="auto"/>
                <w:bottom w:val="none" w:sz="0" w:space="0" w:color="auto"/>
                <w:right w:val="none" w:sz="0" w:space="0" w:color="auto"/>
              </w:divBdr>
              <w:divsChild>
                <w:div w:id="116067853">
                  <w:marLeft w:val="0"/>
                  <w:marRight w:val="0"/>
                  <w:marTop w:val="0"/>
                  <w:marBottom w:val="0"/>
                  <w:divBdr>
                    <w:top w:val="none" w:sz="0" w:space="0" w:color="auto"/>
                    <w:left w:val="none" w:sz="0" w:space="0" w:color="auto"/>
                    <w:bottom w:val="none" w:sz="0" w:space="0" w:color="auto"/>
                    <w:right w:val="none" w:sz="0" w:space="0" w:color="auto"/>
                  </w:divBdr>
                </w:div>
              </w:divsChild>
            </w:div>
            <w:div w:id="1506746721">
              <w:marLeft w:val="0"/>
              <w:marRight w:val="0"/>
              <w:marTop w:val="0"/>
              <w:marBottom w:val="81"/>
              <w:divBdr>
                <w:top w:val="none" w:sz="0" w:space="0" w:color="auto"/>
                <w:left w:val="none" w:sz="0" w:space="0" w:color="auto"/>
                <w:bottom w:val="none" w:sz="0" w:space="0" w:color="auto"/>
                <w:right w:val="none" w:sz="0" w:space="0" w:color="auto"/>
              </w:divBdr>
            </w:div>
          </w:divsChild>
        </w:div>
        <w:div w:id="1348947475">
          <w:marLeft w:val="0"/>
          <w:marRight w:val="0"/>
          <w:marTop w:val="0"/>
          <w:marBottom w:val="0"/>
          <w:divBdr>
            <w:top w:val="none" w:sz="0" w:space="0" w:color="auto"/>
            <w:left w:val="none" w:sz="0" w:space="0" w:color="auto"/>
            <w:bottom w:val="none" w:sz="0" w:space="0" w:color="auto"/>
            <w:right w:val="none" w:sz="0" w:space="0" w:color="auto"/>
          </w:divBdr>
        </w:div>
      </w:divsChild>
    </w:div>
    <w:div w:id="279919621">
      <w:bodyDiv w:val="1"/>
      <w:marLeft w:val="0"/>
      <w:marRight w:val="0"/>
      <w:marTop w:val="0"/>
      <w:marBottom w:val="0"/>
      <w:divBdr>
        <w:top w:val="none" w:sz="0" w:space="0" w:color="auto"/>
        <w:left w:val="none" w:sz="0" w:space="0" w:color="auto"/>
        <w:bottom w:val="none" w:sz="0" w:space="0" w:color="auto"/>
        <w:right w:val="none" w:sz="0" w:space="0" w:color="auto"/>
      </w:divBdr>
    </w:div>
    <w:div w:id="280501026">
      <w:bodyDiv w:val="1"/>
      <w:marLeft w:val="0"/>
      <w:marRight w:val="0"/>
      <w:marTop w:val="0"/>
      <w:marBottom w:val="0"/>
      <w:divBdr>
        <w:top w:val="none" w:sz="0" w:space="0" w:color="auto"/>
        <w:left w:val="none" w:sz="0" w:space="0" w:color="auto"/>
        <w:bottom w:val="none" w:sz="0" w:space="0" w:color="auto"/>
        <w:right w:val="none" w:sz="0" w:space="0" w:color="auto"/>
      </w:divBdr>
    </w:div>
    <w:div w:id="283852160">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3873128">
      <w:bodyDiv w:val="1"/>
      <w:marLeft w:val="0"/>
      <w:marRight w:val="0"/>
      <w:marTop w:val="0"/>
      <w:marBottom w:val="0"/>
      <w:divBdr>
        <w:top w:val="none" w:sz="0" w:space="0" w:color="auto"/>
        <w:left w:val="none" w:sz="0" w:space="0" w:color="auto"/>
        <w:bottom w:val="none" w:sz="0" w:space="0" w:color="auto"/>
        <w:right w:val="none" w:sz="0" w:space="0" w:color="auto"/>
      </w:divBdr>
    </w:div>
    <w:div w:id="297221692">
      <w:bodyDiv w:val="1"/>
      <w:marLeft w:val="0"/>
      <w:marRight w:val="0"/>
      <w:marTop w:val="0"/>
      <w:marBottom w:val="0"/>
      <w:divBdr>
        <w:top w:val="none" w:sz="0" w:space="0" w:color="auto"/>
        <w:left w:val="none" w:sz="0" w:space="0" w:color="auto"/>
        <w:bottom w:val="none" w:sz="0" w:space="0" w:color="auto"/>
        <w:right w:val="none" w:sz="0" w:space="0" w:color="auto"/>
      </w:divBdr>
      <w:divsChild>
        <w:div w:id="38939684">
          <w:marLeft w:val="1181"/>
          <w:marRight w:val="0"/>
          <w:marTop w:val="168"/>
          <w:marBottom w:val="0"/>
          <w:divBdr>
            <w:top w:val="none" w:sz="0" w:space="0" w:color="auto"/>
            <w:left w:val="none" w:sz="0" w:space="0" w:color="auto"/>
            <w:bottom w:val="none" w:sz="0" w:space="0" w:color="auto"/>
            <w:right w:val="none" w:sz="0" w:space="0" w:color="auto"/>
          </w:divBdr>
        </w:div>
        <w:div w:id="259683500">
          <w:marLeft w:val="475"/>
          <w:marRight w:val="0"/>
          <w:marTop w:val="168"/>
          <w:marBottom w:val="0"/>
          <w:divBdr>
            <w:top w:val="none" w:sz="0" w:space="0" w:color="auto"/>
            <w:left w:val="none" w:sz="0" w:space="0" w:color="auto"/>
            <w:bottom w:val="none" w:sz="0" w:space="0" w:color="auto"/>
            <w:right w:val="none" w:sz="0" w:space="0" w:color="auto"/>
          </w:divBdr>
        </w:div>
        <w:div w:id="297731300">
          <w:marLeft w:val="475"/>
          <w:marRight w:val="0"/>
          <w:marTop w:val="168"/>
          <w:marBottom w:val="0"/>
          <w:divBdr>
            <w:top w:val="none" w:sz="0" w:space="0" w:color="auto"/>
            <w:left w:val="none" w:sz="0" w:space="0" w:color="auto"/>
            <w:bottom w:val="none" w:sz="0" w:space="0" w:color="auto"/>
            <w:right w:val="none" w:sz="0" w:space="0" w:color="auto"/>
          </w:divBdr>
        </w:div>
        <w:div w:id="778840931">
          <w:marLeft w:val="475"/>
          <w:marRight w:val="0"/>
          <w:marTop w:val="168"/>
          <w:marBottom w:val="0"/>
          <w:divBdr>
            <w:top w:val="none" w:sz="0" w:space="0" w:color="auto"/>
            <w:left w:val="none" w:sz="0" w:space="0" w:color="auto"/>
            <w:bottom w:val="none" w:sz="0" w:space="0" w:color="auto"/>
            <w:right w:val="none" w:sz="0" w:space="0" w:color="auto"/>
          </w:divBdr>
        </w:div>
        <w:div w:id="1594051793">
          <w:marLeft w:val="475"/>
          <w:marRight w:val="0"/>
          <w:marTop w:val="168"/>
          <w:marBottom w:val="0"/>
          <w:divBdr>
            <w:top w:val="none" w:sz="0" w:space="0" w:color="auto"/>
            <w:left w:val="none" w:sz="0" w:space="0" w:color="auto"/>
            <w:bottom w:val="none" w:sz="0" w:space="0" w:color="auto"/>
            <w:right w:val="none" w:sz="0" w:space="0" w:color="auto"/>
          </w:divBdr>
        </w:div>
        <w:div w:id="1908107795">
          <w:marLeft w:val="1181"/>
          <w:marRight w:val="0"/>
          <w:marTop w:val="168"/>
          <w:marBottom w:val="0"/>
          <w:divBdr>
            <w:top w:val="none" w:sz="0" w:space="0" w:color="auto"/>
            <w:left w:val="none" w:sz="0" w:space="0" w:color="auto"/>
            <w:bottom w:val="none" w:sz="0" w:space="0" w:color="auto"/>
            <w:right w:val="none" w:sz="0" w:space="0" w:color="auto"/>
          </w:divBdr>
        </w:div>
      </w:divsChild>
    </w:div>
    <w:div w:id="304043471">
      <w:bodyDiv w:val="1"/>
      <w:marLeft w:val="0"/>
      <w:marRight w:val="0"/>
      <w:marTop w:val="0"/>
      <w:marBottom w:val="0"/>
      <w:divBdr>
        <w:top w:val="none" w:sz="0" w:space="0" w:color="auto"/>
        <w:left w:val="none" w:sz="0" w:space="0" w:color="auto"/>
        <w:bottom w:val="none" w:sz="0" w:space="0" w:color="auto"/>
        <w:right w:val="none" w:sz="0" w:space="0" w:color="auto"/>
      </w:divBdr>
    </w:div>
    <w:div w:id="307125901">
      <w:bodyDiv w:val="1"/>
      <w:marLeft w:val="0"/>
      <w:marRight w:val="0"/>
      <w:marTop w:val="0"/>
      <w:marBottom w:val="0"/>
      <w:divBdr>
        <w:top w:val="none" w:sz="0" w:space="0" w:color="auto"/>
        <w:left w:val="none" w:sz="0" w:space="0" w:color="auto"/>
        <w:bottom w:val="none" w:sz="0" w:space="0" w:color="auto"/>
        <w:right w:val="none" w:sz="0" w:space="0" w:color="auto"/>
      </w:divBdr>
    </w:div>
    <w:div w:id="314918103">
      <w:bodyDiv w:val="1"/>
      <w:marLeft w:val="0"/>
      <w:marRight w:val="0"/>
      <w:marTop w:val="0"/>
      <w:marBottom w:val="0"/>
      <w:divBdr>
        <w:top w:val="none" w:sz="0" w:space="0" w:color="auto"/>
        <w:left w:val="none" w:sz="0" w:space="0" w:color="auto"/>
        <w:bottom w:val="none" w:sz="0" w:space="0" w:color="auto"/>
        <w:right w:val="none" w:sz="0" w:space="0" w:color="auto"/>
      </w:divBdr>
    </w:div>
    <w:div w:id="317150150">
      <w:bodyDiv w:val="1"/>
      <w:marLeft w:val="0"/>
      <w:marRight w:val="0"/>
      <w:marTop w:val="0"/>
      <w:marBottom w:val="0"/>
      <w:divBdr>
        <w:top w:val="none" w:sz="0" w:space="0" w:color="auto"/>
        <w:left w:val="none" w:sz="0" w:space="0" w:color="auto"/>
        <w:bottom w:val="none" w:sz="0" w:space="0" w:color="auto"/>
        <w:right w:val="none" w:sz="0" w:space="0" w:color="auto"/>
      </w:divBdr>
    </w:div>
    <w:div w:id="320886358">
      <w:bodyDiv w:val="1"/>
      <w:marLeft w:val="0"/>
      <w:marRight w:val="0"/>
      <w:marTop w:val="0"/>
      <w:marBottom w:val="0"/>
      <w:divBdr>
        <w:top w:val="none" w:sz="0" w:space="0" w:color="auto"/>
        <w:left w:val="none" w:sz="0" w:space="0" w:color="auto"/>
        <w:bottom w:val="none" w:sz="0" w:space="0" w:color="auto"/>
        <w:right w:val="none" w:sz="0" w:space="0" w:color="auto"/>
      </w:divBdr>
    </w:div>
    <w:div w:id="321587812">
      <w:bodyDiv w:val="1"/>
      <w:marLeft w:val="0"/>
      <w:marRight w:val="0"/>
      <w:marTop w:val="0"/>
      <w:marBottom w:val="0"/>
      <w:divBdr>
        <w:top w:val="none" w:sz="0" w:space="0" w:color="auto"/>
        <w:left w:val="none" w:sz="0" w:space="0" w:color="auto"/>
        <w:bottom w:val="none" w:sz="0" w:space="0" w:color="auto"/>
        <w:right w:val="none" w:sz="0" w:space="0" w:color="auto"/>
      </w:divBdr>
    </w:div>
    <w:div w:id="322900126">
      <w:bodyDiv w:val="1"/>
      <w:marLeft w:val="0"/>
      <w:marRight w:val="0"/>
      <w:marTop w:val="0"/>
      <w:marBottom w:val="0"/>
      <w:divBdr>
        <w:top w:val="none" w:sz="0" w:space="0" w:color="auto"/>
        <w:left w:val="none" w:sz="0" w:space="0" w:color="auto"/>
        <w:bottom w:val="none" w:sz="0" w:space="0" w:color="auto"/>
        <w:right w:val="none" w:sz="0" w:space="0" w:color="auto"/>
      </w:divBdr>
    </w:div>
    <w:div w:id="323632796">
      <w:bodyDiv w:val="1"/>
      <w:marLeft w:val="0"/>
      <w:marRight w:val="0"/>
      <w:marTop w:val="0"/>
      <w:marBottom w:val="0"/>
      <w:divBdr>
        <w:top w:val="none" w:sz="0" w:space="0" w:color="auto"/>
        <w:left w:val="none" w:sz="0" w:space="0" w:color="auto"/>
        <w:bottom w:val="none" w:sz="0" w:space="0" w:color="auto"/>
        <w:right w:val="none" w:sz="0" w:space="0" w:color="auto"/>
      </w:divBdr>
      <w:divsChild>
        <w:div w:id="672874820">
          <w:marLeft w:val="475"/>
          <w:marRight w:val="0"/>
          <w:marTop w:val="168"/>
          <w:marBottom w:val="0"/>
          <w:divBdr>
            <w:top w:val="none" w:sz="0" w:space="0" w:color="auto"/>
            <w:left w:val="none" w:sz="0" w:space="0" w:color="auto"/>
            <w:bottom w:val="none" w:sz="0" w:space="0" w:color="auto"/>
            <w:right w:val="none" w:sz="0" w:space="0" w:color="auto"/>
          </w:divBdr>
        </w:div>
        <w:div w:id="1151598951">
          <w:marLeft w:val="475"/>
          <w:marRight w:val="0"/>
          <w:marTop w:val="168"/>
          <w:marBottom w:val="0"/>
          <w:divBdr>
            <w:top w:val="none" w:sz="0" w:space="0" w:color="auto"/>
            <w:left w:val="none" w:sz="0" w:space="0" w:color="auto"/>
            <w:bottom w:val="none" w:sz="0" w:space="0" w:color="auto"/>
            <w:right w:val="none" w:sz="0" w:space="0" w:color="auto"/>
          </w:divBdr>
        </w:div>
        <w:div w:id="1716273751">
          <w:marLeft w:val="1181"/>
          <w:marRight w:val="0"/>
          <w:marTop w:val="168"/>
          <w:marBottom w:val="0"/>
          <w:divBdr>
            <w:top w:val="none" w:sz="0" w:space="0" w:color="auto"/>
            <w:left w:val="none" w:sz="0" w:space="0" w:color="auto"/>
            <w:bottom w:val="none" w:sz="0" w:space="0" w:color="auto"/>
            <w:right w:val="none" w:sz="0" w:space="0" w:color="auto"/>
          </w:divBdr>
        </w:div>
        <w:div w:id="2064408393">
          <w:marLeft w:val="475"/>
          <w:marRight w:val="0"/>
          <w:marTop w:val="168"/>
          <w:marBottom w:val="0"/>
          <w:divBdr>
            <w:top w:val="none" w:sz="0" w:space="0" w:color="auto"/>
            <w:left w:val="none" w:sz="0" w:space="0" w:color="auto"/>
            <w:bottom w:val="none" w:sz="0" w:space="0" w:color="auto"/>
            <w:right w:val="none" w:sz="0" w:space="0" w:color="auto"/>
          </w:divBdr>
        </w:div>
      </w:divsChild>
    </w:div>
    <w:div w:id="325211883">
      <w:bodyDiv w:val="1"/>
      <w:marLeft w:val="0"/>
      <w:marRight w:val="0"/>
      <w:marTop w:val="0"/>
      <w:marBottom w:val="0"/>
      <w:divBdr>
        <w:top w:val="none" w:sz="0" w:space="0" w:color="auto"/>
        <w:left w:val="none" w:sz="0" w:space="0" w:color="auto"/>
        <w:bottom w:val="none" w:sz="0" w:space="0" w:color="auto"/>
        <w:right w:val="none" w:sz="0" w:space="0" w:color="auto"/>
      </w:divBdr>
    </w:div>
    <w:div w:id="329598005">
      <w:bodyDiv w:val="1"/>
      <w:marLeft w:val="0"/>
      <w:marRight w:val="0"/>
      <w:marTop w:val="0"/>
      <w:marBottom w:val="0"/>
      <w:divBdr>
        <w:top w:val="none" w:sz="0" w:space="0" w:color="auto"/>
        <w:left w:val="none" w:sz="0" w:space="0" w:color="auto"/>
        <w:bottom w:val="none" w:sz="0" w:space="0" w:color="auto"/>
        <w:right w:val="none" w:sz="0" w:space="0" w:color="auto"/>
      </w:divBdr>
    </w:div>
    <w:div w:id="339621385">
      <w:bodyDiv w:val="1"/>
      <w:marLeft w:val="0"/>
      <w:marRight w:val="0"/>
      <w:marTop w:val="0"/>
      <w:marBottom w:val="0"/>
      <w:divBdr>
        <w:top w:val="none" w:sz="0" w:space="0" w:color="auto"/>
        <w:left w:val="none" w:sz="0" w:space="0" w:color="auto"/>
        <w:bottom w:val="none" w:sz="0" w:space="0" w:color="auto"/>
        <w:right w:val="none" w:sz="0" w:space="0" w:color="auto"/>
      </w:divBdr>
    </w:div>
    <w:div w:id="340203928">
      <w:bodyDiv w:val="1"/>
      <w:marLeft w:val="0"/>
      <w:marRight w:val="0"/>
      <w:marTop w:val="0"/>
      <w:marBottom w:val="0"/>
      <w:divBdr>
        <w:top w:val="none" w:sz="0" w:space="0" w:color="auto"/>
        <w:left w:val="none" w:sz="0" w:space="0" w:color="auto"/>
        <w:bottom w:val="none" w:sz="0" w:space="0" w:color="auto"/>
        <w:right w:val="none" w:sz="0" w:space="0" w:color="auto"/>
      </w:divBdr>
    </w:div>
    <w:div w:id="348333183">
      <w:bodyDiv w:val="1"/>
      <w:marLeft w:val="0"/>
      <w:marRight w:val="0"/>
      <w:marTop w:val="0"/>
      <w:marBottom w:val="0"/>
      <w:divBdr>
        <w:top w:val="none" w:sz="0" w:space="0" w:color="auto"/>
        <w:left w:val="none" w:sz="0" w:space="0" w:color="auto"/>
        <w:bottom w:val="none" w:sz="0" w:space="0" w:color="auto"/>
        <w:right w:val="none" w:sz="0" w:space="0" w:color="auto"/>
      </w:divBdr>
    </w:div>
    <w:div w:id="350760546">
      <w:bodyDiv w:val="1"/>
      <w:marLeft w:val="0"/>
      <w:marRight w:val="0"/>
      <w:marTop w:val="0"/>
      <w:marBottom w:val="0"/>
      <w:divBdr>
        <w:top w:val="none" w:sz="0" w:space="0" w:color="auto"/>
        <w:left w:val="none" w:sz="0" w:space="0" w:color="auto"/>
        <w:bottom w:val="none" w:sz="0" w:space="0" w:color="auto"/>
        <w:right w:val="none" w:sz="0" w:space="0" w:color="auto"/>
      </w:divBdr>
    </w:div>
    <w:div w:id="352072779">
      <w:bodyDiv w:val="1"/>
      <w:marLeft w:val="0"/>
      <w:marRight w:val="0"/>
      <w:marTop w:val="0"/>
      <w:marBottom w:val="0"/>
      <w:divBdr>
        <w:top w:val="none" w:sz="0" w:space="0" w:color="auto"/>
        <w:left w:val="none" w:sz="0" w:space="0" w:color="auto"/>
        <w:bottom w:val="none" w:sz="0" w:space="0" w:color="auto"/>
        <w:right w:val="none" w:sz="0" w:space="0" w:color="auto"/>
      </w:divBdr>
    </w:div>
    <w:div w:id="353462066">
      <w:bodyDiv w:val="1"/>
      <w:marLeft w:val="0"/>
      <w:marRight w:val="0"/>
      <w:marTop w:val="0"/>
      <w:marBottom w:val="0"/>
      <w:divBdr>
        <w:top w:val="none" w:sz="0" w:space="0" w:color="auto"/>
        <w:left w:val="none" w:sz="0" w:space="0" w:color="auto"/>
        <w:bottom w:val="none" w:sz="0" w:space="0" w:color="auto"/>
        <w:right w:val="none" w:sz="0" w:space="0" w:color="auto"/>
      </w:divBdr>
    </w:div>
    <w:div w:id="354623585">
      <w:bodyDiv w:val="1"/>
      <w:marLeft w:val="0"/>
      <w:marRight w:val="0"/>
      <w:marTop w:val="0"/>
      <w:marBottom w:val="0"/>
      <w:divBdr>
        <w:top w:val="none" w:sz="0" w:space="0" w:color="auto"/>
        <w:left w:val="none" w:sz="0" w:space="0" w:color="auto"/>
        <w:bottom w:val="none" w:sz="0" w:space="0" w:color="auto"/>
        <w:right w:val="none" w:sz="0" w:space="0" w:color="auto"/>
      </w:divBdr>
    </w:div>
    <w:div w:id="359933590">
      <w:bodyDiv w:val="1"/>
      <w:marLeft w:val="0"/>
      <w:marRight w:val="0"/>
      <w:marTop w:val="0"/>
      <w:marBottom w:val="0"/>
      <w:divBdr>
        <w:top w:val="none" w:sz="0" w:space="0" w:color="auto"/>
        <w:left w:val="none" w:sz="0" w:space="0" w:color="auto"/>
        <w:bottom w:val="none" w:sz="0" w:space="0" w:color="auto"/>
        <w:right w:val="none" w:sz="0" w:space="0" w:color="auto"/>
      </w:divBdr>
    </w:div>
    <w:div w:id="365714743">
      <w:bodyDiv w:val="1"/>
      <w:marLeft w:val="0"/>
      <w:marRight w:val="0"/>
      <w:marTop w:val="0"/>
      <w:marBottom w:val="0"/>
      <w:divBdr>
        <w:top w:val="none" w:sz="0" w:space="0" w:color="auto"/>
        <w:left w:val="none" w:sz="0" w:space="0" w:color="auto"/>
        <w:bottom w:val="none" w:sz="0" w:space="0" w:color="auto"/>
        <w:right w:val="none" w:sz="0" w:space="0" w:color="auto"/>
      </w:divBdr>
    </w:div>
    <w:div w:id="366566216">
      <w:bodyDiv w:val="1"/>
      <w:marLeft w:val="0"/>
      <w:marRight w:val="0"/>
      <w:marTop w:val="0"/>
      <w:marBottom w:val="0"/>
      <w:divBdr>
        <w:top w:val="none" w:sz="0" w:space="0" w:color="auto"/>
        <w:left w:val="none" w:sz="0" w:space="0" w:color="auto"/>
        <w:bottom w:val="none" w:sz="0" w:space="0" w:color="auto"/>
        <w:right w:val="none" w:sz="0" w:space="0" w:color="auto"/>
      </w:divBdr>
    </w:div>
    <w:div w:id="367418226">
      <w:bodyDiv w:val="1"/>
      <w:marLeft w:val="0"/>
      <w:marRight w:val="0"/>
      <w:marTop w:val="0"/>
      <w:marBottom w:val="0"/>
      <w:divBdr>
        <w:top w:val="none" w:sz="0" w:space="0" w:color="auto"/>
        <w:left w:val="none" w:sz="0" w:space="0" w:color="auto"/>
        <w:bottom w:val="none" w:sz="0" w:space="0" w:color="auto"/>
        <w:right w:val="none" w:sz="0" w:space="0" w:color="auto"/>
      </w:divBdr>
    </w:div>
    <w:div w:id="371463242">
      <w:bodyDiv w:val="1"/>
      <w:marLeft w:val="0"/>
      <w:marRight w:val="0"/>
      <w:marTop w:val="0"/>
      <w:marBottom w:val="0"/>
      <w:divBdr>
        <w:top w:val="none" w:sz="0" w:space="0" w:color="auto"/>
        <w:left w:val="none" w:sz="0" w:space="0" w:color="auto"/>
        <w:bottom w:val="none" w:sz="0" w:space="0" w:color="auto"/>
        <w:right w:val="none" w:sz="0" w:space="0" w:color="auto"/>
      </w:divBdr>
    </w:div>
    <w:div w:id="375394017">
      <w:bodyDiv w:val="1"/>
      <w:marLeft w:val="0"/>
      <w:marRight w:val="0"/>
      <w:marTop w:val="0"/>
      <w:marBottom w:val="0"/>
      <w:divBdr>
        <w:top w:val="none" w:sz="0" w:space="0" w:color="auto"/>
        <w:left w:val="none" w:sz="0" w:space="0" w:color="auto"/>
        <w:bottom w:val="none" w:sz="0" w:space="0" w:color="auto"/>
        <w:right w:val="none" w:sz="0" w:space="0" w:color="auto"/>
      </w:divBdr>
    </w:div>
    <w:div w:id="377510636">
      <w:bodyDiv w:val="1"/>
      <w:marLeft w:val="0"/>
      <w:marRight w:val="0"/>
      <w:marTop w:val="0"/>
      <w:marBottom w:val="0"/>
      <w:divBdr>
        <w:top w:val="none" w:sz="0" w:space="0" w:color="auto"/>
        <w:left w:val="none" w:sz="0" w:space="0" w:color="auto"/>
        <w:bottom w:val="none" w:sz="0" w:space="0" w:color="auto"/>
        <w:right w:val="none" w:sz="0" w:space="0" w:color="auto"/>
      </w:divBdr>
    </w:div>
    <w:div w:id="379214223">
      <w:bodyDiv w:val="1"/>
      <w:marLeft w:val="0"/>
      <w:marRight w:val="0"/>
      <w:marTop w:val="0"/>
      <w:marBottom w:val="0"/>
      <w:divBdr>
        <w:top w:val="none" w:sz="0" w:space="0" w:color="auto"/>
        <w:left w:val="none" w:sz="0" w:space="0" w:color="auto"/>
        <w:bottom w:val="none" w:sz="0" w:space="0" w:color="auto"/>
        <w:right w:val="none" w:sz="0" w:space="0" w:color="auto"/>
      </w:divBdr>
    </w:div>
    <w:div w:id="379322891">
      <w:bodyDiv w:val="1"/>
      <w:marLeft w:val="0"/>
      <w:marRight w:val="0"/>
      <w:marTop w:val="0"/>
      <w:marBottom w:val="0"/>
      <w:divBdr>
        <w:top w:val="none" w:sz="0" w:space="0" w:color="auto"/>
        <w:left w:val="none" w:sz="0" w:space="0" w:color="auto"/>
        <w:bottom w:val="none" w:sz="0" w:space="0" w:color="auto"/>
        <w:right w:val="none" w:sz="0" w:space="0" w:color="auto"/>
      </w:divBdr>
      <w:divsChild>
        <w:div w:id="222833447">
          <w:marLeft w:val="0"/>
          <w:marRight w:val="0"/>
          <w:marTop w:val="0"/>
          <w:marBottom w:val="81"/>
          <w:divBdr>
            <w:top w:val="none" w:sz="0" w:space="0" w:color="auto"/>
            <w:left w:val="none" w:sz="0" w:space="0" w:color="auto"/>
            <w:bottom w:val="none" w:sz="0" w:space="0" w:color="auto"/>
            <w:right w:val="none" w:sz="0" w:space="0" w:color="auto"/>
          </w:divBdr>
          <w:divsChild>
            <w:div w:id="816653203">
              <w:marLeft w:val="0"/>
              <w:marRight w:val="0"/>
              <w:marTop w:val="0"/>
              <w:marBottom w:val="81"/>
              <w:divBdr>
                <w:top w:val="none" w:sz="0" w:space="0" w:color="auto"/>
                <w:left w:val="none" w:sz="0" w:space="0" w:color="auto"/>
                <w:bottom w:val="none" w:sz="0" w:space="0" w:color="auto"/>
                <w:right w:val="none" w:sz="0" w:space="0" w:color="auto"/>
              </w:divBdr>
            </w:div>
            <w:div w:id="1788811066">
              <w:marLeft w:val="0"/>
              <w:marRight w:val="0"/>
              <w:marTop w:val="0"/>
              <w:marBottom w:val="0"/>
              <w:divBdr>
                <w:top w:val="none" w:sz="0" w:space="0" w:color="auto"/>
                <w:left w:val="none" w:sz="0" w:space="0" w:color="auto"/>
                <w:bottom w:val="none" w:sz="0" w:space="0" w:color="auto"/>
                <w:right w:val="none" w:sz="0" w:space="0" w:color="auto"/>
              </w:divBdr>
              <w:divsChild>
                <w:div w:id="11835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0793">
      <w:bodyDiv w:val="1"/>
      <w:marLeft w:val="0"/>
      <w:marRight w:val="0"/>
      <w:marTop w:val="0"/>
      <w:marBottom w:val="0"/>
      <w:divBdr>
        <w:top w:val="none" w:sz="0" w:space="0" w:color="auto"/>
        <w:left w:val="none" w:sz="0" w:space="0" w:color="auto"/>
        <w:bottom w:val="none" w:sz="0" w:space="0" w:color="auto"/>
        <w:right w:val="none" w:sz="0" w:space="0" w:color="auto"/>
      </w:divBdr>
    </w:div>
    <w:div w:id="389233805">
      <w:bodyDiv w:val="1"/>
      <w:marLeft w:val="0"/>
      <w:marRight w:val="0"/>
      <w:marTop w:val="0"/>
      <w:marBottom w:val="0"/>
      <w:divBdr>
        <w:top w:val="none" w:sz="0" w:space="0" w:color="auto"/>
        <w:left w:val="none" w:sz="0" w:space="0" w:color="auto"/>
        <w:bottom w:val="none" w:sz="0" w:space="0" w:color="auto"/>
        <w:right w:val="none" w:sz="0" w:space="0" w:color="auto"/>
      </w:divBdr>
    </w:div>
    <w:div w:id="391931334">
      <w:bodyDiv w:val="1"/>
      <w:marLeft w:val="0"/>
      <w:marRight w:val="0"/>
      <w:marTop w:val="0"/>
      <w:marBottom w:val="0"/>
      <w:divBdr>
        <w:top w:val="none" w:sz="0" w:space="0" w:color="auto"/>
        <w:left w:val="none" w:sz="0" w:space="0" w:color="auto"/>
        <w:bottom w:val="none" w:sz="0" w:space="0" w:color="auto"/>
        <w:right w:val="none" w:sz="0" w:space="0" w:color="auto"/>
      </w:divBdr>
    </w:div>
    <w:div w:id="394746478">
      <w:bodyDiv w:val="1"/>
      <w:marLeft w:val="0"/>
      <w:marRight w:val="0"/>
      <w:marTop w:val="0"/>
      <w:marBottom w:val="0"/>
      <w:divBdr>
        <w:top w:val="none" w:sz="0" w:space="0" w:color="auto"/>
        <w:left w:val="none" w:sz="0" w:space="0" w:color="auto"/>
        <w:bottom w:val="none" w:sz="0" w:space="0" w:color="auto"/>
        <w:right w:val="none" w:sz="0" w:space="0" w:color="auto"/>
      </w:divBdr>
    </w:div>
    <w:div w:id="396244943">
      <w:bodyDiv w:val="1"/>
      <w:marLeft w:val="0"/>
      <w:marRight w:val="0"/>
      <w:marTop w:val="0"/>
      <w:marBottom w:val="0"/>
      <w:divBdr>
        <w:top w:val="none" w:sz="0" w:space="0" w:color="auto"/>
        <w:left w:val="none" w:sz="0" w:space="0" w:color="auto"/>
        <w:bottom w:val="none" w:sz="0" w:space="0" w:color="auto"/>
        <w:right w:val="none" w:sz="0" w:space="0" w:color="auto"/>
      </w:divBdr>
    </w:div>
    <w:div w:id="399333868">
      <w:bodyDiv w:val="1"/>
      <w:marLeft w:val="0"/>
      <w:marRight w:val="0"/>
      <w:marTop w:val="0"/>
      <w:marBottom w:val="0"/>
      <w:divBdr>
        <w:top w:val="none" w:sz="0" w:space="0" w:color="auto"/>
        <w:left w:val="none" w:sz="0" w:space="0" w:color="auto"/>
        <w:bottom w:val="none" w:sz="0" w:space="0" w:color="auto"/>
        <w:right w:val="none" w:sz="0" w:space="0" w:color="auto"/>
      </w:divBdr>
    </w:div>
    <w:div w:id="400258219">
      <w:bodyDiv w:val="1"/>
      <w:marLeft w:val="0"/>
      <w:marRight w:val="0"/>
      <w:marTop w:val="0"/>
      <w:marBottom w:val="0"/>
      <w:divBdr>
        <w:top w:val="none" w:sz="0" w:space="0" w:color="auto"/>
        <w:left w:val="none" w:sz="0" w:space="0" w:color="auto"/>
        <w:bottom w:val="none" w:sz="0" w:space="0" w:color="auto"/>
        <w:right w:val="none" w:sz="0" w:space="0" w:color="auto"/>
      </w:divBdr>
      <w:divsChild>
        <w:div w:id="1090587119">
          <w:marLeft w:val="0"/>
          <w:marRight w:val="0"/>
          <w:marTop w:val="0"/>
          <w:marBottom w:val="81"/>
          <w:divBdr>
            <w:top w:val="none" w:sz="0" w:space="0" w:color="auto"/>
            <w:left w:val="none" w:sz="0" w:space="0" w:color="auto"/>
            <w:bottom w:val="none" w:sz="0" w:space="0" w:color="auto"/>
            <w:right w:val="none" w:sz="0" w:space="0" w:color="auto"/>
          </w:divBdr>
          <w:divsChild>
            <w:div w:id="50420560">
              <w:marLeft w:val="0"/>
              <w:marRight w:val="0"/>
              <w:marTop w:val="0"/>
              <w:marBottom w:val="0"/>
              <w:divBdr>
                <w:top w:val="none" w:sz="0" w:space="0" w:color="auto"/>
                <w:left w:val="none" w:sz="0" w:space="0" w:color="auto"/>
                <w:bottom w:val="none" w:sz="0" w:space="0" w:color="auto"/>
                <w:right w:val="none" w:sz="0" w:space="0" w:color="auto"/>
              </w:divBdr>
              <w:divsChild>
                <w:div w:id="573196970">
                  <w:marLeft w:val="0"/>
                  <w:marRight w:val="0"/>
                  <w:marTop w:val="0"/>
                  <w:marBottom w:val="0"/>
                  <w:divBdr>
                    <w:top w:val="none" w:sz="0" w:space="0" w:color="auto"/>
                    <w:left w:val="none" w:sz="0" w:space="0" w:color="auto"/>
                    <w:bottom w:val="none" w:sz="0" w:space="0" w:color="auto"/>
                    <w:right w:val="none" w:sz="0" w:space="0" w:color="auto"/>
                  </w:divBdr>
                  <w:divsChild>
                    <w:div w:id="1351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958">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403187590">
      <w:bodyDiv w:val="1"/>
      <w:marLeft w:val="0"/>
      <w:marRight w:val="0"/>
      <w:marTop w:val="0"/>
      <w:marBottom w:val="0"/>
      <w:divBdr>
        <w:top w:val="none" w:sz="0" w:space="0" w:color="auto"/>
        <w:left w:val="none" w:sz="0" w:space="0" w:color="auto"/>
        <w:bottom w:val="none" w:sz="0" w:space="0" w:color="auto"/>
        <w:right w:val="none" w:sz="0" w:space="0" w:color="auto"/>
      </w:divBdr>
    </w:div>
    <w:div w:id="404106788">
      <w:bodyDiv w:val="1"/>
      <w:marLeft w:val="0"/>
      <w:marRight w:val="0"/>
      <w:marTop w:val="0"/>
      <w:marBottom w:val="0"/>
      <w:divBdr>
        <w:top w:val="none" w:sz="0" w:space="0" w:color="auto"/>
        <w:left w:val="none" w:sz="0" w:space="0" w:color="auto"/>
        <w:bottom w:val="none" w:sz="0" w:space="0" w:color="auto"/>
        <w:right w:val="none" w:sz="0" w:space="0" w:color="auto"/>
      </w:divBdr>
    </w:div>
    <w:div w:id="404423327">
      <w:bodyDiv w:val="1"/>
      <w:marLeft w:val="0"/>
      <w:marRight w:val="0"/>
      <w:marTop w:val="0"/>
      <w:marBottom w:val="0"/>
      <w:divBdr>
        <w:top w:val="none" w:sz="0" w:space="0" w:color="auto"/>
        <w:left w:val="none" w:sz="0" w:space="0" w:color="auto"/>
        <w:bottom w:val="none" w:sz="0" w:space="0" w:color="auto"/>
        <w:right w:val="none" w:sz="0" w:space="0" w:color="auto"/>
      </w:divBdr>
    </w:div>
    <w:div w:id="404959631">
      <w:bodyDiv w:val="1"/>
      <w:marLeft w:val="0"/>
      <w:marRight w:val="0"/>
      <w:marTop w:val="0"/>
      <w:marBottom w:val="0"/>
      <w:divBdr>
        <w:top w:val="none" w:sz="0" w:space="0" w:color="auto"/>
        <w:left w:val="none" w:sz="0" w:space="0" w:color="auto"/>
        <w:bottom w:val="none" w:sz="0" w:space="0" w:color="auto"/>
        <w:right w:val="none" w:sz="0" w:space="0" w:color="auto"/>
      </w:divBdr>
      <w:divsChild>
        <w:div w:id="794760187">
          <w:marLeft w:val="0"/>
          <w:marRight w:val="0"/>
          <w:marTop w:val="0"/>
          <w:marBottom w:val="0"/>
          <w:divBdr>
            <w:top w:val="none" w:sz="0" w:space="0" w:color="auto"/>
            <w:left w:val="none" w:sz="0" w:space="0" w:color="auto"/>
            <w:bottom w:val="none" w:sz="0" w:space="0" w:color="auto"/>
            <w:right w:val="none" w:sz="0" w:space="0" w:color="auto"/>
          </w:divBdr>
          <w:divsChild>
            <w:div w:id="2129081155">
              <w:marLeft w:val="0"/>
              <w:marRight w:val="0"/>
              <w:marTop w:val="0"/>
              <w:marBottom w:val="0"/>
              <w:divBdr>
                <w:top w:val="none" w:sz="0" w:space="0" w:color="auto"/>
                <w:left w:val="none" w:sz="0" w:space="0" w:color="auto"/>
                <w:bottom w:val="none" w:sz="0" w:space="0" w:color="auto"/>
                <w:right w:val="none" w:sz="0" w:space="0" w:color="auto"/>
              </w:divBdr>
              <w:divsChild>
                <w:div w:id="1063210997">
                  <w:marLeft w:val="0"/>
                  <w:marRight w:val="0"/>
                  <w:marTop w:val="0"/>
                  <w:marBottom w:val="0"/>
                  <w:divBdr>
                    <w:top w:val="none" w:sz="0" w:space="0" w:color="auto"/>
                    <w:left w:val="none" w:sz="0" w:space="0" w:color="auto"/>
                    <w:bottom w:val="none" w:sz="0" w:space="0" w:color="auto"/>
                    <w:right w:val="none" w:sz="0" w:space="0" w:color="auto"/>
                  </w:divBdr>
                  <w:divsChild>
                    <w:div w:id="1394085086">
                      <w:marLeft w:val="0"/>
                      <w:marRight w:val="0"/>
                      <w:marTop w:val="0"/>
                      <w:marBottom w:val="0"/>
                      <w:divBdr>
                        <w:top w:val="none" w:sz="0" w:space="0" w:color="auto"/>
                        <w:left w:val="none" w:sz="0" w:space="0" w:color="auto"/>
                        <w:bottom w:val="none" w:sz="0" w:space="0" w:color="auto"/>
                        <w:right w:val="none" w:sz="0" w:space="0" w:color="auto"/>
                      </w:divBdr>
                      <w:divsChild>
                        <w:div w:id="6659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770412">
      <w:bodyDiv w:val="1"/>
      <w:marLeft w:val="0"/>
      <w:marRight w:val="0"/>
      <w:marTop w:val="0"/>
      <w:marBottom w:val="0"/>
      <w:divBdr>
        <w:top w:val="none" w:sz="0" w:space="0" w:color="auto"/>
        <w:left w:val="none" w:sz="0" w:space="0" w:color="auto"/>
        <w:bottom w:val="none" w:sz="0" w:space="0" w:color="auto"/>
        <w:right w:val="none" w:sz="0" w:space="0" w:color="auto"/>
      </w:divBdr>
    </w:div>
    <w:div w:id="414205750">
      <w:bodyDiv w:val="1"/>
      <w:marLeft w:val="0"/>
      <w:marRight w:val="0"/>
      <w:marTop w:val="0"/>
      <w:marBottom w:val="0"/>
      <w:divBdr>
        <w:top w:val="none" w:sz="0" w:space="0" w:color="auto"/>
        <w:left w:val="none" w:sz="0" w:space="0" w:color="auto"/>
        <w:bottom w:val="none" w:sz="0" w:space="0" w:color="auto"/>
        <w:right w:val="none" w:sz="0" w:space="0" w:color="auto"/>
      </w:divBdr>
    </w:div>
    <w:div w:id="417409370">
      <w:bodyDiv w:val="1"/>
      <w:marLeft w:val="0"/>
      <w:marRight w:val="0"/>
      <w:marTop w:val="0"/>
      <w:marBottom w:val="0"/>
      <w:divBdr>
        <w:top w:val="none" w:sz="0" w:space="0" w:color="auto"/>
        <w:left w:val="none" w:sz="0" w:space="0" w:color="auto"/>
        <w:bottom w:val="none" w:sz="0" w:space="0" w:color="auto"/>
        <w:right w:val="none" w:sz="0" w:space="0" w:color="auto"/>
      </w:divBdr>
    </w:div>
    <w:div w:id="419907671">
      <w:bodyDiv w:val="1"/>
      <w:marLeft w:val="0"/>
      <w:marRight w:val="0"/>
      <w:marTop w:val="0"/>
      <w:marBottom w:val="0"/>
      <w:divBdr>
        <w:top w:val="none" w:sz="0" w:space="0" w:color="auto"/>
        <w:left w:val="none" w:sz="0" w:space="0" w:color="auto"/>
        <w:bottom w:val="none" w:sz="0" w:space="0" w:color="auto"/>
        <w:right w:val="none" w:sz="0" w:space="0" w:color="auto"/>
      </w:divBdr>
    </w:div>
    <w:div w:id="421412770">
      <w:bodyDiv w:val="1"/>
      <w:marLeft w:val="0"/>
      <w:marRight w:val="0"/>
      <w:marTop w:val="0"/>
      <w:marBottom w:val="0"/>
      <w:divBdr>
        <w:top w:val="none" w:sz="0" w:space="0" w:color="auto"/>
        <w:left w:val="none" w:sz="0" w:space="0" w:color="auto"/>
        <w:bottom w:val="none" w:sz="0" w:space="0" w:color="auto"/>
        <w:right w:val="none" w:sz="0" w:space="0" w:color="auto"/>
      </w:divBdr>
    </w:div>
    <w:div w:id="424225451">
      <w:bodyDiv w:val="1"/>
      <w:marLeft w:val="0"/>
      <w:marRight w:val="0"/>
      <w:marTop w:val="0"/>
      <w:marBottom w:val="0"/>
      <w:divBdr>
        <w:top w:val="none" w:sz="0" w:space="0" w:color="auto"/>
        <w:left w:val="none" w:sz="0" w:space="0" w:color="auto"/>
        <w:bottom w:val="none" w:sz="0" w:space="0" w:color="auto"/>
        <w:right w:val="none" w:sz="0" w:space="0" w:color="auto"/>
      </w:divBdr>
    </w:div>
    <w:div w:id="425342305">
      <w:bodyDiv w:val="1"/>
      <w:marLeft w:val="0"/>
      <w:marRight w:val="0"/>
      <w:marTop w:val="0"/>
      <w:marBottom w:val="0"/>
      <w:divBdr>
        <w:top w:val="none" w:sz="0" w:space="0" w:color="auto"/>
        <w:left w:val="none" w:sz="0" w:space="0" w:color="auto"/>
        <w:bottom w:val="none" w:sz="0" w:space="0" w:color="auto"/>
        <w:right w:val="none" w:sz="0" w:space="0" w:color="auto"/>
      </w:divBdr>
      <w:divsChild>
        <w:div w:id="209154302">
          <w:marLeft w:val="418"/>
          <w:marRight w:val="0"/>
          <w:marTop w:val="192"/>
          <w:marBottom w:val="58"/>
          <w:divBdr>
            <w:top w:val="none" w:sz="0" w:space="0" w:color="auto"/>
            <w:left w:val="none" w:sz="0" w:space="0" w:color="auto"/>
            <w:bottom w:val="none" w:sz="0" w:space="0" w:color="auto"/>
            <w:right w:val="none" w:sz="0" w:space="0" w:color="auto"/>
          </w:divBdr>
        </w:div>
        <w:div w:id="2082287336">
          <w:marLeft w:val="418"/>
          <w:marRight w:val="0"/>
          <w:marTop w:val="192"/>
          <w:marBottom w:val="58"/>
          <w:divBdr>
            <w:top w:val="none" w:sz="0" w:space="0" w:color="auto"/>
            <w:left w:val="none" w:sz="0" w:space="0" w:color="auto"/>
            <w:bottom w:val="none" w:sz="0" w:space="0" w:color="auto"/>
            <w:right w:val="none" w:sz="0" w:space="0" w:color="auto"/>
          </w:divBdr>
        </w:div>
      </w:divsChild>
    </w:div>
    <w:div w:id="426460230">
      <w:bodyDiv w:val="1"/>
      <w:marLeft w:val="0"/>
      <w:marRight w:val="0"/>
      <w:marTop w:val="0"/>
      <w:marBottom w:val="0"/>
      <w:divBdr>
        <w:top w:val="none" w:sz="0" w:space="0" w:color="auto"/>
        <w:left w:val="none" w:sz="0" w:space="0" w:color="auto"/>
        <w:bottom w:val="none" w:sz="0" w:space="0" w:color="auto"/>
        <w:right w:val="none" w:sz="0" w:space="0" w:color="auto"/>
      </w:divBdr>
    </w:div>
    <w:div w:id="427312427">
      <w:bodyDiv w:val="1"/>
      <w:marLeft w:val="0"/>
      <w:marRight w:val="0"/>
      <w:marTop w:val="0"/>
      <w:marBottom w:val="0"/>
      <w:divBdr>
        <w:top w:val="none" w:sz="0" w:space="0" w:color="auto"/>
        <w:left w:val="none" w:sz="0" w:space="0" w:color="auto"/>
        <w:bottom w:val="none" w:sz="0" w:space="0" w:color="auto"/>
        <w:right w:val="none" w:sz="0" w:space="0" w:color="auto"/>
      </w:divBdr>
    </w:div>
    <w:div w:id="429550883">
      <w:bodyDiv w:val="1"/>
      <w:marLeft w:val="0"/>
      <w:marRight w:val="0"/>
      <w:marTop w:val="0"/>
      <w:marBottom w:val="0"/>
      <w:divBdr>
        <w:top w:val="none" w:sz="0" w:space="0" w:color="auto"/>
        <w:left w:val="none" w:sz="0" w:space="0" w:color="auto"/>
        <w:bottom w:val="none" w:sz="0" w:space="0" w:color="auto"/>
        <w:right w:val="none" w:sz="0" w:space="0" w:color="auto"/>
      </w:divBdr>
    </w:div>
    <w:div w:id="429618025">
      <w:bodyDiv w:val="1"/>
      <w:marLeft w:val="0"/>
      <w:marRight w:val="0"/>
      <w:marTop w:val="0"/>
      <w:marBottom w:val="0"/>
      <w:divBdr>
        <w:top w:val="none" w:sz="0" w:space="0" w:color="auto"/>
        <w:left w:val="none" w:sz="0" w:space="0" w:color="auto"/>
        <w:bottom w:val="none" w:sz="0" w:space="0" w:color="auto"/>
        <w:right w:val="none" w:sz="0" w:space="0" w:color="auto"/>
      </w:divBdr>
    </w:div>
    <w:div w:id="430274127">
      <w:bodyDiv w:val="1"/>
      <w:marLeft w:val="0"/>
      <w:marRight w:val="0"/>
      <w:marTop w:val="0"/>
      <w:marBottom w:val="0"/>
      <w:divBdr>
        <w:top w:val="none" w:sz="0" w:space="0" w:color="auto"/>
        <w:left w:val="none" w:sz="0" w:space="0" w:color="auto"/>
        <w:bottom w:val="none" w:sz="0" w:space="0" w:color="auto"/>
        <w:right w:val="none" w:sz="0" w:space="0" w:color="auto"/>
      </w:divBdr>
    </w:div>
    <w:div w:id="431559795">
      <w:bodyDiv w:val="1"/>
      <w:marLeft w:val="0"/>
      <w:marRight w:val="0"/>
      <w:marTop w:val="0"/>
      <w:marBottom w:val="0"/>
      <w:divBdr>
        <w:top w:val="none" w:sz="0" w:space="0" w:color="auto"/>
        <w:left w:val="none" w:sz="0" w:space="0" w:color="auto"/>
        <w:bottom w:val="none" w:sz="0" w:space="0" w:color="auto"/>
        <w:right w:val="none" w:sz="0" w:space="0" w:color="auto"/>
      </w:divBdr>
    </w:div>
    <w:div w:id="434522122">
      <w:bodyDiv w:val="1"/>
      <w:marLeft w:val="0"/>
      <w:marRight w:val="0"/>
      <w:marTop w:val="0"/>
      <w:marBottom w:val="0"/>
      <w:divBdr>
        <w:top w:val="none" w:sz="0" w:space="0" w:color="auto"/>
        <w:left w:val="none" w:sz="0" w:space="0" w:color="auto"/>
        <w:bottom w:val="none" w:sz="0" w:space="0" w:color="auto"/>
        <w:right w:val="none" w:sz="0" w:space="0" w:color="auto"/>
      </w:divBdr>
      <w:divsChild>
        <w:div w:id="1483237180">
          <w:marLeft w:val="0"/>
          <w:marRight w:val="0"/>
          <w:marTop w:val="0"/>
          <w:marBottom w:val="0"/>
          <w:divBdr>
            <w:top w:val="none" w:sz="0" w:space="0" w:color="auto"/>
            <w:left w:val="none" w:sz="0" w:space="0" w:color="auto"/>
            <w:bottom w:val="none" w:sz="0" w:space="0" w:color="auto"/>
            <w:right w:val="none" w:sz="0" w:space="0" w:color="auto"/>
          </w:divBdr>
        </w:div>
      </w:divsChild>
    </w:div>
    <w:div w:id="446893259">
      <w:bodyDiv w:val="1"/>
      <w:marLeft w:val="0"/>
      <w:marRight w:val="0"/>
      <w:marTop w:val="0"/>
      <w:marBottom w:val="0"/>
      <w:divBdr>
        <w:top w:val="none" w:sz="0" w:space="0" w:color="auto"/>
        <w:left w:val="none" w:sz="0" w:space="0" w:color="auto"/>
        <w:bottom w:val="none" w:sz="0" w:space="0" w:color="auto"/>
        <w:right w:val="none" w:sz="0" w:space="0" w:color="auto"/>
      </w:divBdr>
    </w:div>
    <w:div w:id="450055966">
      <w:bodyDiv w:val="1"/>
      <w:marLeft w:val="0"/>
      <w:marRight w:val="0"/>
      <w:marTop w:val="0"/>
      <w:marBottom w:val="0"/>
      <w:divBdr>
        <w:top w:val="none" w:sz="0" w:space="0" w:color="auto"/>
        <w:left w:val="none" w:sz="0" w:space="0" w:color="auto"/>
        <w:bottom w:val="none" w:sz="0" w:space="0" w:color="auto"/>
        <w:right w:val="none" w:sz="0" w:space="0" w:color="auto"/>
      </w:divBdr>
      <w:divsChild>
        <w:div w:id="38434015">
          <w:marLeft w:val="475"/>
          <w:marRight w:val="0"/>
          <w:marTop w:val="168"/>
          <w:marBottom w:val="0"/>
          <w:divBdr>
            <w:top w:val="none" w:sz="0" w:space="0" w:color="auto"/>
            <w:left w:val="none" w:sz="0" w:space="0" w:color="auto"/>
            <w:bottom w:val="none" w:sz="0" w:space="0" w:color="auto"/>
            <w:right w:val="none" w:sz="0" w:space="0" w:color="auto"/>
          </w:divBdr>
        </w:div>
        <w:div w:id="92747359">
          <w:marLeft w:val="475"/>
          <w:marRight w:val="0"/>
          <w:marTop w:val="168"/>
          <w:marBottom w:val="0"/>
          <w:divBdr>
            <w:top w:val="none" w:sz="0" w:space="0" w:color="auto"/>
            <w:left w:val="none" w:sz="0" w:space="0" w:color="auto"/>
            <w:bottom w:val="none" w:sz="0" w:space="0" w:color="auto"/>
            <w:right w:val="none" w:sz="0" w:space="0" w:color="auto"/>
          </w:divBdr>
        </w:div>
        <w:div w:id="159272163">
          <w:marLeft w:val="1181"/>
          <w:marRight w:val="0"/>
          <w:marTop w:val="168"/>
          <w:marBottom w:val="0"/>
          <w:divBdr>
            <w:top w:val="none" w:sz="0" w:space="0" w:color="auto"/>
            <w:left w:val="none" w:sz="0" w:space="0" w:color="auto"/>
            <w:bottom w:val="none" w:sz="0" w:space="0" w:color="auto"/>
            <w:right w:val="none" w:sz="0" w:space="0" w:color="auto"/>
          </w:divBdr>
        </w:div>
        <w:div w:id="163401151">
          <w:marLeft w:val="1181"/>
          <w:marRight w:val="0"/>
          <w:marTop w:val="168"/>
          <w:marBottom w:val="0"/>
          <w:divBdr>
            <w:top w:val="none" w:sz="0" w:space="0" w:color="auto"/>
            <w:left w:val="none" w:sz="0" w:space="0" w:color="auto"/>
            <w:bottom w:val="none" w:sz="0" w:space="0" w:color="auto"/>
            <w:right w:val="none" w:sz="0" w:space="0" w:color="auto"/>
          </w:divBdr>
        </w:div>
        <w:div w:id="187375538">
          <w:marLeft w:val="1181"/>
          <w:marRight w:val="0"/>
          <w:marTop w:val="168"/>
          <w:marBottom w:val="0"/>
          <w:divBdr>
            <w:top w:val="none" w:sz="0" w:space="0" w:color="auto"/>
            <w:left w:val="none" w:sz="0" w:space="0" w:color="auto"/>
            <w:bottom w:val="none" w:sz="0" w:space="0" w:color="auto"/>
            <w:right w:val="none" w:sz="0" w:space="0" w:color="auto"/>
          </w:divBdr>
        </w:div>
        <w:div w:id="841775349">
          <w:marLeft w:val="475"/>
          <w:marRight w:val="0"/>
          <w:marTop w:val="168"/>
          <w:marBottom w:val="0"/>
          <w:divBdr>
            <w:top w:val="none" w:sz="0" w:space="0" w:color="auto"/>
            <w:left w:val="none" w:sz="0" w:space="0" w:color="auto"/>
            <w:bottom w:val="none" w:sz="0" w:space="0" w:color="auto"/>
            <w:right w:val="none" w:sz="0" w:space="0" w:color="auto"/>
          </w:divBdr>
        </w:div>
        <w:div w:id="841814791">
          <w:marLeft w:val="1181"/>
          <w:marRight w:val="0"/>
          <w:marTop w:val="168"/>
          <w:marBottom w:val="0"/>
          <w:divBdr>
            <w:top w:val="none" w:sz="0" w:space="0" w:color="auto"/>
            <w:left w:val="none" w:sz="0" w:space="0" w:color="auto"/>
            <w:bottom w:val="none" w:sz="0" w:space="0" w:color="auto"/>
            <w:right w:val="none" w:sz="0" w:space="0" w:color="auto"/>
          </w:divBdr>
        </w:div>
        <w:div w:id="876047260">
          <w:marLeft w:val="475"/>
          <w:marRight w:val="0"/>
          <w:marTop w:val="168"/>
          <w:marBottom w:val="0"/>
          <w:divBdr>
            <w:top w:val="none" w:sz="0" w:space="0" w:color="auto"/>
            <w:left w:val="none" w:sz="0" w:space="0" w:color="auto"/>
            <w:bottom w:val="none" w:sz="0" w:space="0" w:color="auto"/>
            <w:right w:val="none" w:sz="0" w:space="0" w:color="auto"/>
          </w:divBdr>
        </w:div>
        <w:div w:id="954168785">
          <w:marLeft w:val="1181"/>
          <w:marRight w:val="0"/>
          <w:marTop w:val="168"/>
          <w:marBottom w:val="0"/>
          <w:divBdr>
            <w:top w:val="none" w:sz="0" w:space="0" w:color="auto"/>
            <w:left w:val="none" w:sz="0" w:space="0" w:color="auto"/>
            <w:bottom w:val="none" w:sz="0" w:space="0" w:color="auto"/>
            <w:right w:val="none" w:sz="0" w:space="0" w:color="auto"/>
          </w:divBdr>
        </w:div>
        <w:div w:id="1024674101">
          <w:marLeft w:val="1181"/>
          <w:marRight w:val="0"/>
          <w:marTop w:val="168"/>
          <w:marBottom w:val="0"/>
          <w:divBdr>
            <w:top w:val="none" w:sz="0" w:space="0" w:color="auto"/>
            <w:left w:val="none" w:sz="0" w:space="0" w:color="auto"/>
            <w:bottom w:val="none" w:sz="0" w:space="0" w:color="auto"/>
            <w:right w:val="none" w:sz="0" w:space="0" w:color="auto"/>
          </w:divBdr>
        </w:div>
        <w:div w:id="1227449792">
          <w:marLeft w:val="1181"/>
          <w:marRight w:val="0"/>
          <w:marTop w:val="168"/>
          <w:marBottom w:val="0"/>
          <w:divBdr>
            <w:top w:val="none" w:sz="0" w:space="0" w:color="auto"/>
            <w:left w:val="none" w:sz="0" w:space="0" w:color="auto"/>
            <w:bottom w:val="none" w:sz="0" w:space="0" w:color="auto"/>
            <w:right w:val="none" w:sz="0" w:space="0" w:color="auto"/>
          </w:divBdr>
        </w:div>
        <w:div w:id="1470050193">
          <w:marLeft w:val="1181"/>
          <w:marRight w:val="0"/>
          <w:marTop w:val="168"/>
          <w:marBottom w:val="0"/>
          <w:divBdr>
            <w:top w:val="none" w:sz="0" w:space="0" w:color="auto"/>
            <w:left w:val="none" w:sz="0" w:space="0" w:color="auto"/>
            <w:bottom w:val="none" w:sz="0" w:space="0" w:color="auto"/>
            <w:right w:val="none" w:sz="0" w:space="0" w:color="auto"/>
          </w:divBdr>
        </w:div>
        <w:div w:id="1744181560">
          <w:marLeft w:val="1181"/>
          <w:marRight w:val="0"/>
          <w:marTop w:val="168"/>
          <w:marBottom w:val="0"/>
          <w:divBdr>
            <w:top w:val="none" w:sz="0" w:space="0" w:color="auto"/>
            <w:left w:val="none" w:sz="0" w:space="0" w:color="auto"/>
            <w:bottom w:val="none" w:sz="0" w:space="0" w:color="auto"/>
            <w:right w:val="none" w:sz="0" w:space="0" w:color="auto"/>
          </w:divBdr>
        </w:div>
        <w:div w:id="1932855074">
          <w:marLeft w:val="1181"/>
          <w:marRight w:val="0"/>
          <w:marTop w:val="168"/>
          <w:marBottom w:val="0"/>
          <w:divBdr>
            <w:top w:val="none" w:sz="0" w:space="0" w:color="auto"/>
            <w:left w:val="none" w:sz="0" w:space="0" w:color="auto"/>
            <w:bottom w:val="none" w:sz="0" w:space="0" w:color="auto"/>
            <w:right w:val="none" w:sz="0" w:space="0" w:color="auto"/>
          </w:divBdr>
        </w:div>
        <w:div w:id="2086609140">
          <w:marLeft w:val="1181"/>
          <w:marRight w:val="0"/>
          <w:marTop w:val="168"/>
          <w:marBottom w:val="0"/>
          <w:divBdr>
            <w:top w:val="none" w:sz="0" w:space="0" w:color="auto"/>
            <w:left w:val="none" w:sz="0" w:space="0" w:color="auto"/>
            <w:bottom w:val="none" w:sz="0" w:space="0" w:color="auto"/>
            <w:right w:val="none" w:sz="0" w:space="0" w:color="auto"/>
          </w:divBdr>
        </w:div>
      </w:divsChild>
    </w:div>
    <w:div w:id="452139608">
      <w:bodyDiv w:val="1"/>
      <w:marLeft w:val="0"/>
      <w:marRight w:val="0"/>
      <w:marTop w:val="0"/>
      <w:marBottom w:val="0"/>
      <w:divBdr>
        <w:top w:val="none" w:sz="0" w:space="0" w:color="auto"/>
        <w:left w:val="none" w:sz="0" w:space="0" w:color="auto"/>
        <w:bottom w:val="none" w:sz="0" w:space="0" w:color="auto"/>
        <w:right w:val="none" w:sz="0" w:space="0" w:color="auto"/>
      </w:divBdr>
    </w:div>
    <w:div w:id="455489039">
      <w:bodyDiv w:val="1"/>
      <w:marLeft w:val="0"/>
      <w:marRight w:val="0"/>
      <w:marTop w:val="0"/>
      <w:marBottom w:val="0"/>
      <w:divBdr>
        <w:top w:val="none" w:sz="0" w:space="0" w:color="auto"/>
        <w:left w:val="none" w:sz="0" w:space="0" w:color="auto"/>
        <w:bottom w:val="none" w:sz="0" w:space="0" w:color="auto"/>
        <w:right w:val="none" w:sz="0" w:space="0" w:color="auto"/>
      </w:divBdr>
    </w:div>
    <w:div w:id="461580739">
      <w:bodyDiv w:val="1"/>
      <w:marLeft w:val="0"/>
      <w:marRight w:val="0"/>
      <w:marTop w:val="0"/>
      <w:marBottom w:val="0"/>
      <w:divBdr>
        <w:top w:val="none" w:sz="0" w:space="0" w:color="auto"/>
        <w:left w:val="none" w:sz="0" w:space="0" w:color="auto"/>
        <w:bottom w:val="none" w:sz="0" w:space="0" w:color="auto"/>
        <w:right w:val="none" w:sz="0" w:space="0" w:color="auto"/>
      </w:divBdr>
    </w:div>
    <w:div w:id="465241286">
      <w:bodyDiv w:val="1"/>
      <w:marLeft w:val="0"/>
      <w:marRight w:val="0"/>
      <w:marTop w:val="0"/>
      <w:marBottom w:val="0"/>
      <w:divBdr>
        <w:top w:val="none" w:sz="0" w:space="0" w:color="auto"/>
        <w:left w:val="none" w:sz="0" w:space="0" w:color="auto"/>
        <w:bottom w:val="none" w:sz="0" w:space="0" w:color="auto"/>
        <w:right w:val="none" w:sz="0" w:space="0" w:color="auto"/>
      </w:divBdr>
    </w:div>
    <w:div w:id="466170648">
      <w:bodyDiv w:val="1"/>
      <w:marLeft w:val="0"/>
      <w:marRight w:val="0"/>
      <w:marTop w:val="0"/>
      <w:marBottom w:val="0"/>
      <w:divBdr>
        <w:top w:val="none" w:sz="0" w:space="0" w:color="auto"/>
        <w:left w:val="none" w:sz="0" w:space="0" w:color="auto"/>
        <w:bottom w:val="none" w:sz="0" w:space="0" w:color="auto"/>
        <w:right w:val="none" w:sz="0" w:space="0" w:color="auto"/>
      </w:divBdr>
    </w:div>
    <w:div w:id="468479088">
      <w:bodyDiv w:val="1"/>
      <w:marLeft w:val="0"/>
      <w:marRight w:val="0"/>
      <w:marTop w:val="0"/>
      <w:marBottom w:val="0"/>
      <w:divBdr>
        <w:top w:val="none" w:sz="0" w:space="0" w:color="auto"/>
        <w:left w:val="none" w:sz="0" w:space="0" w:color="auto"/>
        <w:bottom w:val="none" w:sz="0" w:space="0" w:color="auto"/>
        <w:right w:val="none" w:sz="0" w:space="0" w:color="auto"/>
      </w:divBdr>
    </w:div>
    <w:div w:id="469370107">
      <w:bodyDiv w:val="1"/>
      <w:marLeft w:val="0"/>
      <w:marRight w:val="0"/>
      <w:marTop w:val="0"/>
      <w:marBottom w:val="0"/>
      <w:divBdr>
        <w:top w:val="none" w:sz="0" w:space="0" w:color="auto"/>
        <w:left w:val="none" w:sz="0" w:space="0" w:color="auto"/>
        <w:bottom w:val="none" w:sz="0" w:space="0" w:color="auto"/>
        <w:right w:val="none" w:sz="0" w:space="0" w:color="auto"/>
      </w:divBdr>
      <w:divsChild>
        <w:div w:id="557009082">
          <w:marLeft w:val="0"/>
          <w:marRight w:val="0"/>
          <w:marTop w:val="75"/>
          <w:marBottom w:val="240"/>
          <w:divBdr>
            <w:top w:val="none" w:sz="0" w:space="0" w:color="auto"/>
            <w:left w:val="none" w:sz="0" w:space="0" w:color="auto"/>
            <w:bottom w:val="none" w:sz="0" w:space="0" w:color="auto"/>
            <w:right w:val="none" w:sz="0" w:space="0" w:color="auto"/>
          </w:divBdr>
        </w:div>
      </w:divsChild>
    </w:div>
    <w:div w:id="469985131">
      <w:bodyDiv w:val="1"/>
      <w:marLeft w:val="0"/>
      <w:marRight w:val="0"/>
      <w:marTop w:val="0"/>
      <w:marBottom w:val="0"/>
      <w:divBdr>
        <w:top w:val="none" w:sz="0" w:space="0" w:color="auto"/>
        <w:left w:val="none" w:sz="0" w:space="0" w:color="auto"/>
        <w:bottom w:val="none" w:sz="0" w:space="0" w:color="auto"/>
        <w:right w:val="none" w:sz="0" w:space="0" w:color="auto"/>
      </w:divBdr>
    </w:div>
    <w:div w:id="470489299">
      <w:bodyDiv w:val="1"/>
      <w:marLeft w:val="0"/>
      <w:marRight w:val="0"/>
      <w:marTop w:val="0"/>
      <w:marBottom w:val="0"/>
      <w:divBdr>
        <w:top w:val="none" w:sz="0" w:space="0" w:color="auto"/>
        <w:left w:val="none" w:sz="0" w:space="0" w:color="auto"/>
        <w:bottom w:val="none" w:sz="0" w:space="0" w:color="auto"/>
        <w:right w:val="none" w:sz="0" w:space="0" w:color="auto"/>
      </w:divBdr>
      <w:divsChild>
        <w:div w:id="397476728">
          <w:marLeft w:val="184"/>
          <w:marRight w:val="-1843"/>
          <w:marTop w:val="0"/>
          <w:marBottom w:val="184"/>
          <w:divBdr>
            <w:top w:val="none" w:sz="0" w:space="0" w:color="auto"/>
            <w:left w:val="none" w:sz="0" w:space="0" w:color="auto"/>
            <w:bottom w:val="none" w:sz="0" w:space="0" w:color="auto"/>
            <w:right w:val="none" w:sz="0" w:space="0" w:color="auto"/>
          </w:divBdr>
          <w:divsChild>
            <w:div w:id="5439047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976">
      <w:bodyDiv w:val="1"/>
      <w:marLeft w:val="0"/>
      <w:marRight w:val="0"/>
      <w:marTop w:val="0"/>
      <w:marBottom w:val="0"/>
      <w:divBdr>
        <w:top w:val="none" w:sz="0" w:space="0" w:color="auto"/>
        <w:left w:val="none" w:sz="0" w:space="0" w:color="auto"/>
        <w:bottom w:val="none" w:sz="0" w:space="0" w:color="auto"/>
        <w:right w:val="none" w:sz="0" w:space="0" w:color="auto"/>
      </w:divBdr>
    </w:div>
    <w:div w:id="474294413">
      <w:bodyDiv w:val="1"/>
      <w:marLeft w:val="0"/>
      <w:marRight w:val="0"/>
      <w:marTop w:val="0"/>
      <w:marBottom w:val="0"/>
      <w:divBdr>
        <w:top w:val="none" w:sz="0" w:space="0" w:color="auto"/>
        <w:left w:val="none" w:sz="0" w:space="0" w:color="auto"/>
        <w:bottom w:val="none" w:sz="0" w:space="0" w:color="auto"/>
        <w:right w:val="none" w:sz="0" w:space="0" w:color="auto"/>
      </w:divBdr>
    </w:div>
    <w:div w:id="476144263">
      <w:bodyDiv w:val="1"/>
      <w:marLeft w:val="0"/>
      <w:marRight w:val="0"/>
      <w:marTop w:val="0"/>
      <w:marBottom w:val="0"/>
      <w:divBdr>
        <w:top w:val="none" w:sz="0" w:space="0" w:color="auto"/>
        <w:left w:val="none" w:sz="0" w:space="0" w:color="auto"/>
        <w:bottom w:val="none" w:sz="0" w:space="0" w:color="auto"/>
        <w:right w:val="none" w:sz="0" w:space="0" w:color="auto"/>
      </w:divBdr>
    </w:div>
    <w:div w:id="476340719">
      <w:bodyDiv w:val="1"/>
      <w:marLeft w:val="0"/>
      <w:marRight w:val="0"/>
      <w:marTop w:val="0"/>
      <w:marBottom w:val="0"/>
      <w:divBdr>
        <w:top w:val="none" w:sz="0" w:space="0" w:color="auto"/>
        <w:left w:val="none" w:sz="0" w:space="0" w:color="auto"/>
        <w:bottom w:val="none" w:sz="0" w:space="0" w:color="auto"/>
        <w:right w:val="none" w:sz="0" w:space="0" w:color="auto"/>
      </w:divBdr>
    </w:div>
    <w:div w:id="477773211">
      <w:bodyDiv w:val="1"/>
      <w:marLeft w:val="0"/>
      <w:marRight w:val="0"/>
      <w:marTop w:val="0"/>
      <w:marBottom w:val="0"/>
      <w:divBdr>
        <w:top w:val="none" w:sz="0" w:space="0" w:color="auto"/>
        <w:left w:val="none" w:sz="0" w:space="0" w:color="auto"/>
        <w:bottom w:val="none" w:sz="0" w:space="0" w:color="auto"/>
        <w:right w:val="none" w:sz="0" w:space="0" w:color="auto"/>
      </w:divBdr>
    </w:div>
    <w:div w:id="479882711">
      <w:bodyDiv w:val="1"/>
      <w:marLeft w:val="0"/>
      <w:marRight w:val="0"/>
      <w:marTop w:val="0"/>
      <w:marBottom w:val="0"/>
      <w:divBdr>
        <w:top w:val="none" w:sz="0" w:space="0" w:color="auto"/>
        <w:left w:val="none" w:sz="0" w:space="0" w:color="auto"/>
        <w:bottom w:val="none" w:sz="0" w:space="0" w:color="auto"/>
        <w:right w:val="none" w:sz="0" w:space="0" w:color="auto"/>
      </w:divBdr>
    </w:div>
    <w:div w:id="481242930">
      <w:bodyDiv w:val="1"/>
      <w:marLeft w:val="0"/>
      <w:marRight w:val="0"/>
      <w:marTop w:val="0"/>
      <w:marBottom w:val="0"/>
      <w:divBdr>
        <w:top w:val="none" w:sz="0" w:space="0" w:color="auto"/>
        <w:left w:val="none" w:sz="0" w:space="0" w:color="auto"/>
        <w:bottom w:val="none" w:sz="0" w:space="0" w:color="auto"/>
        <w:right w:val="none" w:sz="0" w:space="0" w:color="auto"/>
      </w:divBdr>
    </w:div>
    <w:div w:id="482432967">
      <w:bodyDiv w:val="1"/>
      <w:marLeft w:val="0"/>
      <w:marRight w:val="0"/>
      <w:marTop w:val="0"/>
      <w:marBottom w:val="0"/>
      <w:divBdr>
        <w:top w:val="none" w:sz="0" w:space="0" w:color="auto"/>
        <w:left w:val="none" w:sz="0" w:space="0" w:color="auto"/>
        <w:bottom w:val="none" w:sz="0" w:space="0" w:color="auto"/>
        <w:right w:val="none" w:sz="0" w:space="0" w:color="auto"/>
      </w:divBdr>
    </w:div>
    <w:div w:id="483813667">
      <w:bodyDiv w:val="1"/>
      <w:marLeft w:val="0"/>
      <w:marRight w:val="0"/>
      <w:marTop w:val="0"/>
      <w:marBottom w:val="0"/>
      <w:divBdr>
        <w:top w:val="none" w:sz="0" w:space="0" w:color="auto"/>
        <w:left w:val="none" w:sz="0" w:space="0" w:color="auto"/>
        <w:bottom w:val="none" w:sz="0" w:space="0" w:color="auto"/>
        <w:right w:val="none" w:sz="0" w:space="0" w:color="auto"/>
      </w:divBdr>
    </w:div>
    <w:div w:id="485513935">
      <w:bodyDiv w:val="1"/>
      <w:marLeft w:val="0"/>
      <w:marRight w:val="0"/>
      <w:marTop w:val="0"/>
      <w:marBottom w:val="0"/>
      <w:divBdr>
        <w:top w:val="none" w:sz="0" w:space="0" w:color="auto"/>
        <w:left w:val="none" w:sz="0" w:space="0" w:color="auto"/>
        <w:bottom w:val="none" w:sz="0" w:space="0" w:color="auto"/>
        <w:right w:val="none" w:sz="0" w:space="0" w:color="auto"/>
      </w:divBdr>
    </w:div>
    <w:div w:id="488710618">
      <w:bodyDiv w:val="1"/>
      <w:marLeft w:val="0"/>
      <w:marRight w:val="0"/>
      <w:marTop w:val="0"/>
      <w:marBottom w:val="0"/>
      <w:divBdr>
        <w:top w:val="none" w:sz="0" w:space="0" w:color="auto"/>
        <w:left w:val="none" w:sz="0" w:space="0" w:color="auto"/>
        <w:bottom w:val="none" w:sz="0" w:space="0" w:color="auto"/>
        <w:right w:val="none" w:sz="0" w:space="0" w:color="auto"/>
      </w:divBdr>
    </w:div>
    <w:div w:id="498008119">
      <w:bodyDiv w:val="1"/>
      <w:marLeft w:val="0"/>
      <w:marRight w:val="0"/>
      <w:marTop w:val="0"/>
      <w:marBottom w:val="0"/>
      <w:divBdr>
        <w:top w:val="none" w:sz="0" w:space="0" w:color="auto"/>
        <w:left w:val="none" w:sz="0" w:space="0" w:color="auto"/>
        <w:bottom w:val="none" w:sz="0" w:space="0" w:color="auto"/>
        <w:right w:val="none" w:sz="0" w:space="0" w:color="auto"/>
      </w:divBdr>
    </w:div>
    <w:div w:id="505361160">
      <w:bodyDiv w:val="1"/>
      <w:marLeft w:val="0"/>
      <w:marRight w:val="0"/>
      <w:marTop w:val="0"/>
      <w:marBottom w:val="0"/>
      <w:divBdr>
        <w:top w:val="none" w:sz="0" w:space="0" w:color="auto"/>
        <w:left w:val="none" w:sz="0" w:space="0" w:color="auto"/>
        <w:bottom w:val="none" w:sz="0" w:space="0" w:color="auto"/>
        <w:right w:val="none" w:sz="0" w:space="0" w:color="auto"/>
      </w:divBdr>
    </w:div>
    <w:div w:id="505362669">
      <w:bodyDiv w:val="1"/>
      <w:marLeft w:val="0"/>
      <w:marRight w:val="0"/>
      <w:marTop w:val="0"/>
      <w:marBottom w:val="0"/>
      <w:divBdr>
        <w:top w:val="none" w:sz="0" w:space="0" w:color="auto"/>
        <w:left w:val="none" w:sz="0" w:space="0" w:color="auto"/>
        <w:bottom w:val="none" w:sz="0" w:space="0" w:color="auto"/>
        <w:right w:val="none" w:sz="0" w:space="0" w:color="auto"/>
      </w:divBdr>
    </w:div>
    <w:div w:id="505754883">
      <w:bodyDiv w:val="1"/>
      <w:marLeft w:val="0"/>
      <w:marRight w:val="0"/>
      <w:marTop w:val="0"/>
      <w:marBottom w:val="0"/>
      <w:divBdr>
        <w:top w:val="none" w:sz="0" w:space="0" w:color="auto"/>
        <w:left w:val="none" w:sz="0" w:space="0" w:color="auto"/>
        <w:bottom w:val="none" w:sz="0" w:space="0" w:color="auto"/>
        <w:right w:val="none" w:sz="0" w:space="0" w:color="auto"/>
      </w:divBdr>
    </w:div>
    <w:div w:id="508642070">
      <w:bodyDiv w:val="1"/>
      <w:marLeft w:val="0"/>
      <w:marRight w:val="0"/>
      <w:marTop w:val="0"/>
      <w:marBottom w:val="0"/>
      <w:divBdr>
        <w:top w:val="none" w:sz="0" w:space="0" w:color="auto"/>
        <w:left w:val="none" w:sz="0" w:space="0" w:color="auto"/>
        <w:bottom w:val="none" w:sz="0" w:space="0" w:color="auto"/>
        <w:right w:val="none" w:sz="0" w:space="0" w:color="auto"/>
      </w:divBdr>
    </w:div>
    <w:div w:id="510948183">
      <w:bodyDiv w:val="1"/>
      <w:marLeft w:val="0"/>
      <w:marRight w:val="0"/>
      <w:marTop w:val="0"/>
      <w:marBottom w:val="0"/>
      <w:divBdr>
        <w:top w:val="none" w:sz="0" w:space="0" w:color="auto"/>
        <w:left w:val="none" w:sz="0" w:space="0" w:color="auto"/>
        <w:bottom w:val="none" w:sz="0" w:space="0" w:color="auto"/>
        <w:right w:val="none" w:sz="0" w:space="0" w:color="auto"/>
      </w:divBdr>
    </w:div>
    <w:div w:id="512645105">
      <w:bodyDiv w:val="1"/>
      <w:marLeft w:val="0"/>
      <w:marRight w:val="0"/>
      <w:marTop w:val="0"/>
      <w:marBottom w:val="0"/>
      <w:divBdr>
        <w:top w:val="none" w:sz="0" w:space="0" w:color="auto"/>
        <w:left w:val="none" w:sz="0" w:space="0" w:color="auto"/>
        <w:bottom w:val="none" w:sz="0" w:space="0" w:color="auto"/>
        <w:right w:val="none" w:sz="0" w:space="0" w:color="auto"/>
      </w:divBdr>
    </w:div>
    <w:div w:id="516623068">
      <w:bodyDiv w:val="1"/>
      <w:marLeft w:val="0"/>
      <w:marRight w:val="0"/>
      <w:marTop w:val="0"/>
      <w:marBottom w:val="0"/>
      <w:divBdr>
        <w:top w:val="none" w:sz="0" w:space="0" w:color="auto"/>
        <w:left w:val="none" w:sz="0" w:space="0" w:color="auto"/>
        <w:bottom w:val="none" w:sz="0" w:space="0" w:color="auto"/>
        <w:right w:val="none" w:sz="0" w:space="0" w:color="auto"/>
      </w:divBdr>
    </w:div>
    <w:div w:id="523713394">
      <w:bodyDiv w:val="1"/>
      <w:marLeft w:val="0"/>
      <w:marRight w:val="0"/>
      <w:marTop w:val="0"/>
      <w:marBottom w:val="0"/>
      <w:divBdr>
        <w:top w:val="none" w:sz="0" w:space="0" w:color="auto"/>
        <w:left w:val="none" w:sz="0" w:space="0" w:color="auto"/>
        <w:bottom w:val="none" w:sz="0" w:space="0" w:color="auto"/>
        <w:right w:val="none" w:sz="0" w:space="0" w:color="auto"/>
      </w:divBdr>
    </w:div>
    <w:div w:id="524102178">
      <w:bodyDiv w:val="1"/>
      <w:marLeft w:val="0"/>
      <w:marRight w:val="0"/>
      <w:marTop w:val="0"/>
      <w:marBottom w:val="0"/>
      <w:divBdr>
        <w:top w:val="none" w:sz="0" w:space="0" w:color="auto"/>
        <w:left w:val="none" w:sz="0" w:space="0" w:color="auto"/>
        <w:bottom w:val="none" w:sz="0" w:space="0" w:color="auto"/>
        <w:right w:val="none" w:sz="0" w:space="0" w:color="auto"/>
      </w:divBdr>
    </w:div>
    <w:div w:id="528179745">
      <w:bodyDiv w:val="1"/>
      <w:marLeft w:val="0"/>
      <w:marRight w:val="0"/>
      <w:marTop w:val="0"/>
      <w:marBottom w:val="0"/>
      <w:divBdr>
        <w:top w:val="none" w:sz="0" w:space="0" w:color="auto"/>
        <w:left w:val="none" w:sz="0" w:space="0" w:color="auto"/>
        <w:bottom w:val="none" w:sz="0" w:space="0" w:color="auto"/>
        <w:right w:val="none" w:sz="0" w:space="0" w:color="auto"/>
      </w:divBdr>
    </w:div>
    <w:div w:id="530917477">
      <w:bodyDiv w:val="1"/>
      <w:marLeft w:val="0"/>
      <w:marRight w:val="0"/>
      <w:marTop w:val="0"/>
      <w:marBottom w:val="0"/>
      <w:divBdr>
        <w:top w:val="none" w:sz="0" w:space="0" w:color="auto"/>
        <w:left w:val="none" w:sz="0" w:space="0" w:color="auto"/>
        <w:bottom w:val="none" w:sz="0" w:space="0" w:color="auto"/>
        <w:right w:val="none" w:sz="0" w:space="0" w:color="auto"/>
      </w:divBdr>
    </w:div>
    <w:div w:id="533078260">
      <w:bodyDiv w:val="1"/>
      <w:marLeft w:val="0"/>
      <w:marRight w:val="0"/>
      <w:marTop w:val="0"/>
      <w:marBottom w:val="0"/>
      <w:divBdr>
        <w:top w:val="none" w:sz="0" w:space="0" w:color="auto"/>
        <w:left w:val="none" w:sz="0" w:space="0" w:color="auto"/>
        <w:bottom w:val="none" w:sz="0" w:space="0" w:color="auto"/>
        <w:right w:val="none" w:sz="0" w:space="0" w:color="auto"/>
      </w:divBdr>
      <w:divsChild>
        <w:div w:id="1102650529">
          <w:marLeft w:val="0"/>
          <w:marRight w:val="0"/>
          <w:marTop w:val="0"/>
          <w:marBottom w:val="0"/>
          <w:divBdr>
            <w:top w:val="none" w:sz="0" w:space="0" w:color="auto"/>
            <w:left w:val="none" w:sz="0" w:space="0" w:color="auto"/>
            <w:bottom w:val="none" w:sz="0" w:space="0" w:color="auto"/>
            <w:right w:val="none" w:sz="0" w:space="0" w:color="auto"/>
          </w:divBdr>
        </w:div>
        <w:div w:id="1324548771">
          <w:marLeft w:val="0"/>
          <w:marRight w:val="0"/>
          <w:marTop w:val="0"/>
          <w:marBottom w:val="81"/>
          <w:divBdr>
            <w:top w:val="none" w:sz="0" w:space="0" w:color="auto"/>
            <w:left w:val="none" w:sz="0" w:space="0" w:color="auto"/>
            <w:bottom w:val="none" w:sz="0" w:space="0" w:color="auto"/>
            <w:right w:val="none" w:sz="0" w:space="0" w:color="auto"/>
          </w:divBdr>
          <w:divsChild>
            <w:div w:id="1335256051">
              <w:marLeft w:val="0"/>
              <w:marRight w:val="0"/>
              <w:marTop w:val="0"/>
              <w:marBottom w:val="81"/>
              <w:divBdr>
                <w:top w:val="none" w:sz="0" w:space="0" w:color="auto"/>
                <w:left w:val="none" w:sz="0" w:space="0" w:color="auto"/>
                <w:bottom w:val="none" w:sz="0" w:space="0" w:color="auto"/>
                <w:right w:val="none" w:sz="0" w:space="0" w:color="auto"/>
              </w:divBdr>
            </w:div>
            <w:div w:id="1852252901">
              <w:marLeft w:val="0"/>
              <w:marRight w:val="0"/>
              <w:marTop w:val="0"/>
              <w:marBottom w:val="0"/>
              <w:divBdr>
                <w:top w:val="none" w:sz="0" w:space="0" w:color="auto"/>
                <w:left w:val="none" w:sz="0" w:space="0" w:color="auto"/>
                <w:bottom w:val="none" w:sz="0" w:space="0" w:color="auto"/>
                <w:right w:val="none" w:sz="0" w:space="0" w:color="auto"/>
              </w:divBdr>
              <w:divsChild>
                <w:div w:id="2975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6791">
      <w:bodyDiv w:val="1"/>
      <w:marLeft w:val="0"/>
      <w:marRight w:val="0"/>
      <w:marTop w:val="0"/>
      <w:marBottom w:val="0"/>
      <w:divBdr>
        <w:top w:val="none" w:sz="0" w:space="0" w:color="auto"/>
        <w:left w:val="none" w:sz="0" w:space="0" w:color="auto"/>
        <w:bottom w:val="none" w:sz="0" w:space="0" w:color="auto"/>
        <w:right w:val="none" w:sz="0" w:space="0" w:color="auto"/>
      </w:divBdr>
    </w:div>
    <w:div w:id="538668043">
      <w:bodyDiv w:val="1"/>
      <w:marLeft w:val="0"/>
      <w:marRight w:val="0"/>
      <w:marTop w:val="0"/>
      <w:marBottom w:val="0"/>
      <w:divBdr>
        <w:top w:val="none" w:sz="0" w:space="0" w:color="auto"/>
        <w:left w:val="none" w:sz="0" w:space="0" w:color="auto"/>
        <w:bottom w:val="none" w:sz="0" w:space="0" w:color="auto"/>
        <w:right w:val="none" w:sz="0" w:space="0" w:color="auto"/>
      </w:divBdr>
    </w:div>
    <w:div w:id="543561805">
      <w:bodyDiv w:val="1"/>
      <w:marLeft w:val="0"/>
      <w:marRight w:val="0"/>
      <w:marTop w:val="0"/>
      <w:marBottom w:val="0"/>
      <w:divBdr>
        <w:top w:val="none" w:sz="0" w:space="0" w:color="auto"/>
        <w:left w:val="none" w:sz="0" w:space="0" w:color="auto"/>
        <w:bottom w:val="none" w:sz="0" w:space="0" w:color="auto"/>
        <w:right w:val="none" w:sz="0" w:space="0" w:color="auto"/>
      </w:divBdr>
    </w:div>
    <w:div w:id="545677181">
      <w:bodyDiv w:val="1"/>
      <w:marLeft w:val="0"/>
      <w:marRight w:val="0"/>
      <w:marTop w:val="0"/>
      <w:marBottom w:val="0"/>
      <w:divBdr>
        <w:top w:val="none" w:sz="0" w:space="0" w:color="auto"/>
        <w:left w:val="none" w:sz="0" w:space="0" w:color="auto"/>
        <w:bottom w:val="none" w:sz="0" w:space="0" w:color="auto"/>
        <w:right w:val="none" w:sz="0" w:space="0" w:color="auto"/>
      </w:divBdr>
    </w:div>
    <w:div w:id="548035941">
      <w:bodyDiv w:val="1"/>
      <w:marLeft w:val="0"/>
      <w:marRight w:val="0"/>
      <w:marTop w:val="0"/>
      <w:marBottom w:val="0"/>
      <w:divBdr>
        <w:top w:val="none" w:sz="0" w:space="0" w:color="auto"/>
        <w:left w:val="none" w:sz="0" w:space="0" w:color="auto"/>
        <w:bottom w:val="none" w:sz="0" w:space="0" w:color="auto"/>
        <w:right w:val="none" w:sz="0" w:space="0" w:color="auto"/>
      </w:divBdr>
    </w:div>
    <w:div w:id="550579958">
      <w:bodyDiv w:val="1"/>
      <w:marLeft w:val="0"/>
      <w:marRight w:val="0"/>
      <w:marTop w:val="0"/>
      <w:marBottom w:val="0"/>
      <w:divBdr>
        <w:top w:val="none" w:sz="0" w:space="0" w:color="auto"/>
        <w:left w:val="none" w:sz="0" w:space="0" w:color="auto"/>
        <w:bottom w:val="none" w:sz="0" w:space="0" w:color="auto"/>
        <w:right w:val="none" w:sz="0" w:space="0" w:color="auto"/>
      </w:divBdr>
    </w:div>
    <w:div w:id="554321719">
      <w:bodyDiv w:val="1"/>
      <w:marLeft w:val="0"/>
      <w:marRight w:val="0"/>
      <w:marTop w:val="0"/>
      <w:marBottom w:val="0"/>
      <w:divBdr>
        <w:top w:val="none" w:sz="0" w:space="0" w:color="auto"/>
        <w:left w:val="none" w:sz="0" w:space="0" w:color="auto"/>
        <w:bottom w:val="none" w:sz="0" w:space="0" w:color="auto"/>
        <w:right w:val="none" w:sz="0" w:space="0" w:color="auto"/>
      </w:divBdr>
    </w:div>
    <w:div w:id="554777550">
      <w:bodyDiv w:val="1"/>
      <w:marLeft w:val="0"/>
      <w:marRight w:val="0"/>
      <w:marTop w:val="0"/>
      <w:marBottom w:val="0"/>
      <w:divBdr>
        <w:top w:val="none" w:sz="0" w:space="0" w:color="auto"/>
        <w:left w:val="none" w:sz="0" w:space="0" w:color="auto"/>
        <w:bottom w:val="none" w:sz="0" w:space="0" w:color="auto"/>
        <w:right w:val="none" w:sz="0" w:space="0" w:color="auto"/>
      </w:divBdr>
      <w:divsChild>
        <w:div w:id="1965308562">
          <w:marLeft w:val="418"/>
          <w:marRight w:val="0"/>
          <w:marTop w:val="192"/>
          <w:marBottom w:val="0"/>
          <w:divBdr>
            <w:top w:val="none" w:sz="0" w:space="0" w:color="auto"/>
            <w:left w:val="none" w:sz="0" w:space="0" w:color="auto"/>
            <w:bottom w:val="none" w:sz="0" w:space="0" w:color="auto"/>
            <w:right w:val="none" w:sz="0" w:space="0" w:color="auto"/>
          </w:divBdr>
        </w:div>
        <w:div w:id="2075155470">
          <w:marLeft w:val="1123"/>
          <w:marRight w:val="0"/>
          <w:marTop w:val="192"/>
          <w:marBottom w:val="0"/>
          <w:divBdr>
            <w:top w:val="none" w:sz="0" w:space="0" w:color="auto"/>
            <w:left w:val="none" w:sz="0" w:space="0" w:color="auto"/>
            <w:bottom w:val="none" w:sz="0" w:space="0" w:color="auto"/>
            <w:right w:val="none" w:sz="0" w:space="0" w:color="auto"/>
          </w:divBdr>
        </w:div>
      </w:divsChild>
    </w:div>
    <w:div w:id="555705544">
      <w:bodyDiv w:val="1"/>
      <w:marLeft w:val="0"/>
      <w:marRight w:val="0"/>
      <w:marTop w:val="0"/>
      <w:marBottom w:val="0"/>
      <w:divBdr>
        <w:top w:val="none" w:sz="0" w:space="0" w:color="auto"/>
        <w:left w:val="none" w:sz="0" w:space="0" w:color="auto"/>
        <w:bottom w:val="none" w:sz="0" w:space="0" w:color="auto"/>
        <w:right w:val="none" w:sz="0" w:space="0" w:color="auto"/>
      </w:divBdr>
    </w:div>
    <w:div w:id="559290801">
      <w:bodyDiv w:val="1"/>
      <w:marLeft w:val="0"/>
      <w:marRight w:val="0"/>
      <w:marTop w:val="0"/>
      <w:marBottom w:val="0"/>
      <w:divBdr>
        <w:top w:val="none" w:sz="0" w:space="0" w:color="auto"/>
        <w:left w:val="none" w:sz="0" w:space="0" w:color="auto"/>
        <w:bottom w:val="none" w:sz="0" w:space="0" w:color="auto"/>
        <w:right w:val="none" w:sz="0" w:space="0" w:color="auto"/>
      </w:divBdr>
    </w:div>
    <w:div w:id="566185415">
      <w:bodyDiv w:val="1"/>
      <w:marLeft w:val="0"/>
      <w:marRight w:val="0"/>
      <w:marTop w:val="0"/>
      <w:marBottom w:val="0"/>
      <w:divBdr>
        <w:top w:val="none" w:sz="0" w:space="0" w:color="auto"/>
        <w:left w:val="none" w:sz="0" w:space="0" w:color="auto"/>
        <w:bottom w:val="none" w:sz="0" w:space="0" w:color="auto"/>
        <w:right w:val="none" w:sz="0" w:space="0" w:color="auto"/>
      </w:divBdr>
    </w:div>
    <w:div w:id="566955992">
      <w:bodyDiv w:val="1"/>
      <w:marLeft w:val="0"/>
      <w:marRight w:val="0"/>
      <w:marTop w:val="0"/>
      <w:marBottom w:val="0"/>
      <w:divBdr>
        <w:top w:val="none" w:sz="0" w:space="0" w:color="auto"/>
        <w:left w:val="none" w:sz="0" w:space="0" w:color="auto"/>
        <w:bottom w:val="none" w:sz="0" w:space="0" w:color="auto"/>
        <w:right w:val="none" w:sz="0" w:space="0" w:color="auto"/>
      </w:divBdr>
    </w:div>
    <w:div w:id="575940075">
      <w:bodyDiv w:val="1"/>
      <w:marLeft w:val="0"/>
      <w:marRight w:val="0"/>
      <w:marTop w:val="0"/>
      <w:marBottom w:val="0"/>
      <w:divBdr>
        <w:top w:val="none" w:sz="0" w:space="0" w:color="auto"/>
        <w:left w:val="none" w:sz="0" w:space="0" w:color="auto"/>
        <w:bottom w:val="none" w:sz="0" w:space="0" w:color="auto"/>
        <w:right w:val="none" w:sz="0" w:space="0" w:color="auto"/>
      </w:divBdr>
    </w:div>
    <w:div w:id="576330716">
      <w:bodyDiv w:val="1"/>
      <w:marLeft w:val="0"/>
      <w:marRight w:val="0"/>
      <w:marTop w:val="0"/>
      <w:marBottom w:val="0"/>
      <w:divBdr>
        <w:top w:val="none" w:sz="0" w:space="0" w:color="auto"/>
        <w:left w:val="none" w:sz="0" w:space="0" w:color="auto"/>
        <w:bottom w:val="none" w:sz="0" w:space="0" w:color="auto"/>
        <w:right w:val="none" w:sz="0" w:space="0" w:color="auto"/>
      </w:divBdr>
    </w:div>
    <w:div w:id="576476092">
      <w:bodyDiv w:val="1"/>
      <w:marLeft w:val="0"/>
      <w:marRight w:val="0"/>
      <w:marTop w:val="0"/>
      <w:marBottom w:val="0"/>
      <w:divBdr>
        <w:top w:val="none" w:sz="0" w:space="0" w:color="auto"/>
        <w:left w:val="none" w:sz="0" w:space="0" w:color="auto"/>
        <w:bottom w:val="none" w:sz="0" w:space="0" w:color="auto"/>
        <w:right w:val="none" w:sz="0" w:space="0" w:color="auto"/>
      </w:divBdr>
    </w:div>
    <w:div w:id="576789739">
      <w:bodyDiv w:val="1"/>
      <w:marLeft w:val="0"/>
      <w:marRight w:val="0"/>
      <w:marTop w:val="0"/>
      <w:marBottom w:val="0"/>
      <w:divBdr>
        <w:top w:val="none" w:sz="0" w:space="0" w:color="auto"/>
        <w:left w:val="none" w:sz="0" w:space="0" w:color="auto"/>
        <w:bottom w:val="none" w:sz="0" w:space="0" w:color="auto"/>
        <w:right w:val="none" w:sz="0" w:space="0" w:color="auto"/>
      </w:divBdr>
    </w:div>
    <w:div w:id="578755121">
      <w:bodyDiv w:val="1"/>
      <w:marLeft w:val="0"/>
      <w:marRight w:val="0"/>
      <w:marTop w:val="0"/>
      <w:marBottom w:val="0"/>
      <w:divBdr>
        <w:top w:val="none" w:sz="0" w:space="0" w:color="auto"/>
        <w:left w:val="none" w:sz="0" w:space="0" w:color="auto"/>
        <w:bottom w:val="none" w:sz="0" w:space="0" w:color="auto"/>
        <w:right w:val="none" w:sz="0" w:space="0" w:color="auto"/>
      </w:divBdr>
    </w:div>
    <w:div w:id="582028658">
      <w:bodyDiv w:val="1"/>
      <w:marLeft w:val="0"/>
      <w:marRight w:val="0"/>
      <w:marTop w:val="0"/>
      <w:marBottom w:val="0"/>
      <w:divBdr>
        <w:top w:val="none" w:sz="0" w:space="0" w:color="auto"/>
        <w:left w:val="none" w:sz="0" w:space="0" w:color="auto"/>
        <w:bottom w:val="none" w:sz="0" w:space="0" w:color="auto"/>
        <w:right w:val="none" w:sz="0" w:space="0" w:color="auto"/>
      </w:divBdr>
      <w:divsChild>
        <w:div w:id="407507824">
          <w:marLeft w:val="0"/>
          <w:marRight w:val="0"/>
          <w:marTop w:val="0"/>
          <w:marBottom w:val="0"/>
          <w:divBdr>
            <w:top w:val="none" w:sz="0" w:space="0" w:color="auto"/>
            <w:left w:val="none" w:sz="0" w:space="0" w:color="auto"/>
            <w:bottom w:val="none" w:sz="0" w:space="0" w:color="auto"/>
            <w:right w:val="none" w:sz="0" w:space="0" w:color="auto"/>
          </w:divBdr>
        </w:div>
        <w:div w:id="769393962">
          <w:marLeft w:val="0"/>
          <w:marRight w:val="0"/>
          <w:marTop w:val="0"/>
          <w:marBottom w:val="81"/>
          <w:divBdr>
            <w:top w:val="none" w:sz="0" w:space="0" w:color="auto"/>
            <w:left w:val="none" w:sz="0" w:space="0" w:color="auto"/>
            <w:bottom w:val="none" w:sz="0" w:space="0" w:color="auto"/>
            <w:right w:val="none" w:sz="0" w:space="0" w:color="auto"/>
          </w:divBdr>
          <w:divsChild>
            <w:div w:id="836193425">
              <w:marLeft w:val="0"/>
              <w:marRight w:val="0"/>
              <w:marTop w:val="0"/>
              <w:marBottom w:val="81"/>
              <w:divBdr>
                <w:top w:val="none" w:sz="0" w:space="0" w:color="auto"/>
                <w:left w:val="none" w:sz="0" w:space="0" w:color="auto"/>
                <w:bottom w:val="none" w:sz="0" w:space="0" w:color="auto"/>
                <w:right w:val="none" w:sz="0" w:space="0" w:color="auto"/>
              </w:divBdr>
            </w:div>
            <w:div w:id="1736321768">
              <w:marLeft w:val="0"/>
              <w:marRight w:val="0"/>
              <w:marTop w:val="0"/>
              <w:marBottom w:val="0"/>
              <w:divBdr>
                <w:top w:val="none" w:sz="0" w:space="0" w:color="auto"/>
                <w:left w:val="none" w:sz="0" w:space="0" w:color="auto"/>
                <w:bottom w:val="none" w:sz="0" w:space="0" w:color="auto"/>
                <w:right w:val="none" w:sz="0" w:space="0" w:color="auto"/>
              </w:divBdr>
              <w:divsChild>
                <w:div w:id="21389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9137">
      <w:bodyDiv w:val="1"/>
      <w:marLeft w:val="0"/>
      <w:marRight w:val="0"/>
      <w:marTop w:val="0"/>
      <w:marBottom w:val="0"/>
      <w:divBdr>
        <w:top w:val="none" w:sz="0" w:space="0" w:color="auto"/>
        <w:left w:val="none" w:sz="0" w:space="0" w:color="auto"/>
        <w:bottom w:val="none" w:sz="0" w:space="0" w:color="auto"/>
        <w:right w:val="none" w:sz="0" w:space="0" w:color="auto"/>
      </w:divBdr>
    </w:div>
    <w:div w:id="584539592">
      <w:bodyDiv w:val="1"/>
      <w:marLeft w:val="0"/>
      <w:marRight w:val="0"/>
      <w:marTop w:val="0"/>
      <w:marBottom w:val="0"/>
      <w:divBdr>
        <w:top w:val="none" w:sz="0" w:space="0" w:color="auto"/>
        <w:left w:val="none" w:sz="0" w:space="0" w:color="auto"/>
        <w:bottom w:val="none" w:sz="0" w:space="0" w:color="auto"/>
        <w:right w:val="none" w:sz="0" w:space="0" w:color="auto"/>
      </w:divBdr>
    </w:div>
    <w:div w:id="604272739">
      <w:bodyDiv w:val="1"/>
      <w:marLeft w:val="0"/>
      <w:marRight w:val="0"/>
      <w:marTop w:val="0"/>
      <w:marBottom w:val="0"/>
      <w:divBdr>
        <w:top w:val="none" w:sz="0" w:space="0" w:color="auto"/>
        <w:left w:val="none" w:sz="0" w:space="0" w:color="auto"/>
        <w:bottom w:val="none" w:sz="0" w:space="0" w:color="auto"/>
        <w:right w:val="none" w:sz="0" w:space="0" w:color="auto"/>
      </w:divBdr>
    </w:div>
    <w:div w:id="605039575">
      <w:bodyDiv w:val="1"/>
      <w:marLeft w:val="0"/>
      <w:marRight w:val="0"/>
      <w:marTop w:val="0"/>
      <w:marBottom w:val="0"/>
      <w:divBdr>
        <w:top w:val="none" w:sz="0" w:space="0" w:color="auto"/>
        <w:left w:val="none" w:sz="0" w:space="0" w:color="auto"/>
        <w:bottom w:val="none" w:sz="0" w:space="0" w:color="auto"/>
        <w:right w:val="none" w:sz="0" w:space="0" w:color="auto"/>
      </w:divBdr>
    </w:div>
    <w:div w:id="608196916">
      <w:bodyDiv w:val="1"/>
      <w:marLeft w:val="0"/>
      <w:marRight w:val="0"/>
      <w:marTop w:val="0"/>
      <w:marBottom w:val="0"/>
      <w:divBdr>
        <w:top w:val="none" w:sz="0" w:space="0" w:color="auto"/>
        <w:left w:val="none" w:sz="0" w:space="0" w:color="auto"/>
        <w:bottom w:val="none" w:sz="0" w:space="0" w:color="auto"/>
        <w:right w:val="none" w:sz="0" w:space="0" w:color="auto"/>
      </w:divBdr>
      <w:divsChild>
        <w:div w:id="519316540">
          <w:marLeft w:val="0"/>
          <w:marRight w:val="0"/>
          <w:marTop w:val="0"/>
          <w:marBottom w:val="0"/>
          <w:divBdr>
            <w:top w:val="none" w:sz="0" w:space="0" w:color="auto"/>
            <w:left w:val="none" w:sz="0" w:space="0" w:color="auto"/>
            <w:bottom w:val="none" w:sz="0" w:space="0" w:color="auto"/>
            <w:right w:val="none" w:sz="0" w:space="0" w:color="auto"/>
          </w:divBdr>
        </w:div>
        <w:div w:id="811869558">
          <w:marLeft w:val="0"/>
          <w:marRight w:val="0"/>
          <w:marTop w:val="0"/>
          <w:marBottom w:val="81"/>
          <w:divBdr>
            <w:top w:val="none" w:sz="0" w:space="0" w:color="auto"/>
            <w:left w:val="none" w:sz="0" w:space="0" w:color="auto"/>
            <w:bottom w:val="none" w:sz="0" w:space="0" w:color="auto"/>
            <w:right w:val="none" w:sz="0" w:space="0" w:color="auto"/>
          </w:divBdr>
          <w:divsChild>
            <w:div w:id="484665723">
              <w:marLeft w:val="0"/>
              <w:marRight w:val="0"/>
              <w:marTop w:val="0"/>
              <w:marBottom w:val="81"/>
              <w:divBdr>
                <w:top w:val="none" w:sz="0" w:space="0" w:color="auto"/>
                <w:left w:val="none" w:sz="0" w:space="0" w:color="auto"/>
                <w:bottom w:val="none" w:sz="0" w:space="0" w:color="auto"/>
                <w:right w:val="none" w:sz="0" w:space="0" w:color="auto"/>
              </w:divBdr>
            </w:div>
            <w:div w:id="1776243662">
              <w:marLeft w:val="0"/>
              <w:marRight w:val="0"/>
              <w:marTop w:val="0"/>
              <w:marBottom w:val="0"/>
              <w:divBdr>
                <w:top w:val="none" w:sz="0" w:space="0" w:color="auto"/>
                <w:left w:val="none" w:sz="0" w:space="0" w:color="auto"/>
                <w:bottom w:val="none" w:sz="0" w:space="0" w:color="auto"/>
                <w:right w:val="none" w:sz="0" w:space="0" w:color="auto"/>
              </w:divBdr>
              <w:divsChild>
                <w:div w:id="8204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38844">
      <w:bodyDiv w:val="1"/>
      <w:marLeft w:val="0"/>
      <w:marRight w:val="0"/>
      <w:marTop w:val="0"/>
      <w:marBottom w:val="0"/>
      <w:divBdr>
        <w:top w:val="none" w:sz="0" w:space="0" w:color="auto"/>
        <w:left w:val="none" w:sz="0" w:space="0" w:color="auto"/>
        <w:bottom w:val="none" w:sz="0" w:space="0" w:color="auto"/>
        <w:right w:val="none" w:sz="0" w:space="0" w:color="auto"/>
      </w:divBdr>
    </w:div>
    <w:div w:id="612904532">
      <w:bodyDiv w:val="1"/>
      <w:marLeft w:val="0"/>
      <w:marRight w:val="0"/>
      <w:marTop w:val="0"/>
      <w:marBottom w:val="0"/>
      <w:divBdr>
        <w:top w:val="none" w:sz="0" w:space="0" w:color="auto"/>
        <w:left w:val="none" w:sz="0" w:space="0" w:color="auto"/>
        <w:bottom w:val="none" w:sz="0" w:space="0" w:color="auto"/>
        <w:right w:val="none" w:sz="0" w:space="0" w:color="auto"/>
      </w:divBdr>
    </w:div>
    <w:div w:id="625281991">
      <w:bodyDiv w:val="1"/>
      <w:marLeft w:val="0"/>
      <w:marRight w:val="0"/>
      <w:marTop w:val="0"/>
      <w:marBottom w:val="0"/>
      <w:divBdr>
        <w:top w:val="none" w:sz="0" w:space="0" w:color="auto"/>
        <w:left w:val="none" w:sz="0" w:space="0" w:color="auto"/>
        <w:bottom w:val="none" w:sz="0" w:space="0" w:color="auto"/>
        <w:right w:val="none" w:sz="0" w:space="0" w:color="auto"/>
      </w:divBdr>
    </w:div>
    <w:div w:id="628979983">
      <w:bodyDiv w:val="1"/>
      <w:marLeft w:val="0"/>
      <w:marRight w:val="0"/>
      <w:marTop w:val="0"/>
      <w:marBottom w:val="0"/>
      <w:divBdr>
        <w:top w:val="none" w:sz="0" w:space="0" w:color="auto"/>
        <w:left w:val="none" w:sz="0" w:space="0" w:color="auto"/>
        <w:bottom w:val="none" w:sz="0" w:space="0" w:color="auto"/>
        <w:right w:val="none" w:sz="0" w:space="0" w:color="auto"/>
      </w:divBdr>
    </w:div>
    <w:div w:id="629556005">
      <w:bodyDiv w:val="1"/>
      <w:marLeft w:val="0"/>
      <w:marRight w:val="0"/>
      <w:marTop w:val="0"/>
      <w:marBottom w:val="0"/>
      <w:divBdr>
        <w:top w:val="none" w:sz="0" w:space="0" w:color="auto"/>
        <w:left w:val="none" w:sz="0" w:space="0" w:color="auto"/>
        <w:bottom w:val="none" w:sz="0" w:space="0" w:color="auto"/>
        <w:right w:val="none" w:sz="0" w:space="0" w:color="auto"/>
      </w:divBdr>
    </w:div>
    <w:div w:id="630598084">
      <w:bodyDiv w:val="1"/>
      <w:marLeft w:val="0"/>
      <w:marRight w:val="0"/>
      <w:marTop w:val="0"/>
      <w:marBottom w:val="0"/>
      <w:divBdr>
        <w:top w:val="none" w:sz="0" w:space="0" w:color="auto"/>
        <w:left w:val="none" w:sz="0" w:space="0" w:color="auto"/>
        <w:bottom w:val="none" w:sz="0" w:space="0" w:color="auto"/>
        <w:right w:val="none" w:sz="0" w:space="0" w:color="auto"/>
      </w:divBdr>
    </w:div>
    <w:div w:id="632637793">
      <w:bodyDiv w:val="1"/>
      <w:marLeft w:val="0"/>
      <w:marRight w:val="0"/>
      <w:marTop w:val="0"/>
      <w:marBottom w:val="0"/>
      <w:divBdr>
        <w:top w:val="none" w:sz="0" w:space="0" w:color="auto"/>
        <w:left w:val="none" w:sz="0" w:space="0" w:color="auto"/>
        <w:bottom w:val="none" w:sz="0" w:space="0" w:color="auto"/>
        <w:right w:val="none" w:sz="0" w:space="0" w:color="auto"/>
      </w:divBdr>
    </w:div>
    <w:div w:id="644891196">
      <w:bodyDiv w:val="1"/>
      <w:marLeft w:val="0"/>
      <w:marRight w:val="0"/>
      <w:marTop w:val="0"/>
      <w:marBottom w:val="0"/>
      <w:divBdr>
        <w:top w:val="none" w:sz="0" w:space="0" w:color="auto"/>
        <w:left w:val="none" w:sz="0" w:space="0" w:color="auto"/>
        <w:bottom w:val="none" w:sz="0" w:space="0" w:color="auto"/>
        <w:right w:val="none" w:sz="0" w:space="0" w:color="auto"/>
      </w:divBdr>
    </w:div>
    <w:div w:id="655034241">
      <w:bodyDiv w:val="1"/>
      <w:marLeft w:val="0"/>
      <w:marRight w:val="0"/>
      <w:marTop w:val="0"/>
      <w:marBottom w:val="0"/>
      <w:divBdr>
        <w:top w:val="none" w:sz="0" w:space="0" w:color="auto"/>
        <w:left w:val="none" w:sz="0" w:space="0" w:color="auto"/>
        <w:bottom w:val="none" w:sz="0" w:space="0" w:color="auto"/>
        <w:right w:val="none" w:sz="0" w:space="0" w:color="auto"/>
      </w:divBdr>
      <w:divsChild>
        <w:div w:id="45374018">
          <w:marLeft w:val="0"/>
          <w:marRight w:val="240"/>
          <w:marTop w:val="96"/>
          <w:marBottom w:val="240"/>
          <w:divBdr>
            <w:top w:val="none" w:sz="0" w:space="0" w:color="auto"/>
            <w:left w:val="none" w:sz="0" w:space="0" w:color="auto"/>
            <w:bottom w:val="none" w:sz="0" w:space="0" w:color="auto"/>
            <w:right w:val="none" w:sz="0" w:space="0" w:color="auto"/>
          </w:divBdr>
          <w:divsChild>
            <w:div w:id="1781100428">
              <w:marLeft w:val="0"/>
              <w:marRight w:val="0"/>
              <w:marTop w:val="0"/>
              <w:marBottom w:val="0"/>
              <w:divBdr>
                <w:top w:val="none" w:sz="0" w:space="0" w:color="auto"/>
                <w:left w:val="none" w:sz="0" w:space="0" w:color="auto"/>
                <w:bottom w:val="single" w:sz="4" w:space="1" w:color="D1D1D1"/>
                <w:right w:val="none" w:sz="0" w:space="0" w:color="auto"/>
              </w:divBdr>
            </w:div>
          </w:divsChild>
        </w:div>
        <w:div w:id="414598073">
          <w:marLeft w:val="0"/>
          <w:marRight w:val="240"/>
          <w:marTop w:val="96"/>
          <w:marBottom w:val="240"/>
          <w:divBdr>
            <w:top w:val="none" w:sz="0" w:space="0" w:color="auto"/>
            <w:left w:val="none" w:sz="0" w:space="0" w:color="auto"/>
            <w:bottom w:val="none" w:sz="0" w:space="0" w:color="auto"/>
            <w:right w:val="none" w:sz="0" w:space="0" w:color="auto"/>
          </w:divBdr>
          <w:divsChild>
            <w:div w:id="1198588889">
              <w:marLeft w:val="0"/>
              <w:marRight w:val="0"/>
              <w:marTop w:val="0"/>
              <w:marBottom w:val="0"/>
              <w:divBdr>
                <w:top w:val="none" w:sz="0" w:space="0" w:color="auto"/>
                <w:left w:val="none" w:sz="0" w:space="0" w:color="auto"/>
                <w:bottom w:val="single" w:sz="4" w:space="1" w:color="D1D1D1"/>
                <w:right w:val="none" w:sz="0" w:space="0" w:color="auto"/>
              </w:divBdr>
            </w:div>
          </w:divsChild>
        </w:div>
        <w:div w:id="463275367">
          <w:marLeft w:val="0"/>
          <w:marRight w:val="240"/>
          <w:marTop w:val="96"/>
          <w:marBottom w:val="240"/>
          <w:divBdr>
            <w:top w:val="none" w:sz="0" w:space="0" w:color="auto"/>
            <w:left w:val="none" w:sz="0" w:space="0" w:color="auto"/>
            <w:bottom w:val="none" w:sz="0" w:space="0" w:color="auto"/>
            <w:right w:val="none" w:sz="0" w:space="0" w:color="auto"/>
          </w:divBdr>
          <w:divsChild>
            <w:div w:id="549147825">
              <w:marLeft w:val="0"/>
              <w:marRight w:val="0"/>
              <w:marTop w:val="0"/>
              <w:marBottom w:val="0"/>
              <w:divBdr>
                <w:top w:val="none" w:sz="0" w:space="0" w:color="auto"/>
                <w:left w:val="none" w:sz="0" w:space="0" w:color="auto"/>
                <w:bottom w:val="single" w:sz="4" w:space="1" w:color="D1D1D1"/>
                <w:right w:val="none" w:sz="0" w:space="0" w:color="auto"/>
              </w:divBdr>
            </w:div>
          </w:divsChild>
        </w:div>
        <w:div w:id="787742770">
          <w:marLeft w:val="0"/>
          <w:marRight w:val="240"/>
          <w:marTop w:val="96"/>
          <w:marBottom w:val="240"/>
          <w:divBdr>
            <w:top w:val="none" w:sz="0" w:space="0" w:color="auto"/>
            <w:left w:val="none" w:sz="0" w:space="0" w:color="auto"/>
            <w:bottom w:val="none" w:sz="0" w:space="0" w:color="auto"/>
            <w:right w:val="none" w:sz="0" w:space="0" w:color="auto"/>
          </w:divBdr>
          <w:divsChild>
            <w:div w:id="1812674004">
              <w:marLeft w:val="0"/>
              <w:marRight w:val="0"/>
              <w:marTop w:val="0"/>
              <w:marBottom w:val="0"/>
              <w:divBdr>
                <w:top w:val="none" w:sz="0" w:space="0" w:color="auto"/>
                <w:left w:val="none" w:sz="0" w:space="0" w:color="auto"/>
                <w:bottom w:val="single" w:sz="4" w:space="1" w:color="D1D1D1"/>
                <w:right w:val="none" w:sz="0" w:space="0" w:color="auto"/>
              </w:divBdr>
            </w:div>
          </w:divsChild>
        </w:div>
        <w:div w:id="874318058">
          <w:marLeft w:val="0"/>
          <w:marRight w:val="240"/>
          <w:marTop w:val="96"/>
          <w:marBottom w:val="240"/>
          <w:divBdr>
            <w:top w:val="none" w:sz="0" w:space="0" w:color="auto"/>
            <w:left w:val="none" w:sz="0" w:space="0" w:color="auto"/>
            <w:bottom w:val="none" w:sz="0" w:space="0" w:color="auto"/>
            <w:right w:val="none" w:sz="0" w:space="0" w:color="auto"/>
          </w:divBdr>
          <w:divsChild>
            <w:div w:id="2110150663">
              <w:marLeft w:val="0"/>
              <w:marRight w:val="0"/>
              <w:marTop w:val="0"/>
              <w:marBottom w:val="0"/>
              <w:divBdr>
                <w:top w:val="none" w:sz="0" w:space="0" w:color="auto"/>
                <w:left w:val="none" w:sz="0" w:space="0" w:color="auto"/>
                <w:bottom w:val="single" w:sz="4" w:space="1" w:color="D1D1D1"/>
                <w:right w:val="none" w:sz="0" w:space="0" w:color="auto"/>
              </w:divBdr>
            </w:div>
          </w:divsChild>
        </w:div>
        <w:div w:id="902446933">
          <w:marLeft w:val="0"/>
          <w:marRight w:val="240"/>
          <w:marTop w:val="96"/>
          <w:marBottom w:val="240"/>
          <w:divBdr>
            <w:top w:val="none" w:sz="0" w:space="0" w:color="auto"/>
            <w:left w:val="none" w:sz="0" w:space="0" w:color="auto"/>
            <w:bottom w:val="none" w:sz="0" w:space="0" w:color="auto"/>
            <w:right w:val="none" w:sz="0" w:space="0" w:color="auto"/>
          </w:divBdr>
          <w:divsChild>
            <w:div w:id="2137479099">
              <w:marLeft w:val="0"/>
              <w:marRight w:val="0"/>
              <w:marTop w:val="0"/>
              <w:marBottom w:val="0"/>
              <w:divBdr>
                <w:top w:val="none" w:sz="0" w:space="0" w:color="auto"/>
                <w:left w:val="none" w:sz="0" w:space="0" w:color="auto"/>
                <w:bottom w:val="single" w:sz="4" w:space="1" w:color="D1D1D1"/>
                <w:right w:val="none" w:sz="0" w:space="0" w:color="auto"/>
              </w:divBdr>
            </w:div>
          </w:divsChild>
        </w:div>
        <w:div w:id="1091468287">
          <w:marLeft w:val="0"/>
          <w:marRight w:val="240"/>
          <w:marTop w:val="96"/>
          <w:marBottom w:val="240"/>
          <w:divBdr>
            <w:top w:val="none" w:sz="0" w:space="0" w:color="auto"/>
            <w:left w:val="none" w:sz="0" w:space="0" w:color="auto"/>
            <w:bottom w:val="none" w:sz="0" w:space="0" w:color="auto"/>
            <w:right w:val="none" w:sz="0" w:space="0" w:color="auto"/>
          </w:divBdr>
          <w:divsChild>
            <w:div w:id="1176577128">
              <w:marLeft w:val="0"/>
              <w:marRight w:val="0"/>
              <w:marTop w:val="0"/>
              <w:marBottom w:val="0"/>
              <w:divBdr>
                <w:top w:val="none" w:sz="0" w:space="0" w:color="auto"/>
                <w:left w:val="none" w:sz="0" w:space="0" w:color="auto"/>
                <w:bottom w:val="single" w:sz="4" w:space="1" w:color="D1D1D1"/>
                <w:right w:val="none" w:sz="0" w:space="0" w:color="auto"/>
              </w:divBdr>
            </w:div>
          </w:divsChild>
        </w:div>
        <w:div w:id="1148208866">
          <w:marLeft w:val="0"/>
          <w:marRight w:val="240"/>
          <w:marTop w:val="96"/>
          <w:marBottom w:val="240"/>
          <w:divBdr>
            <w:top w:val="none" w:sz="0" w:space="0" w:color="auto"/>
            <w:left w:val="none" w:sz="0" w:space="0" w:color="auto"/>
            <w:bottom w:val="none" w:sz="0" w:space="0" w:color="auto"/>
            <w:right w:val="none" w:sz="0" w:space="0" w:color="auto"/>
          </w:divBdr>
          <w:divsChild>
            <w:div w:id="169299652">
              <w:marLeft w:val="0"/>
              <w:marRight w:val="0"/>
              <w:marTop w:val="0"/>
              <w:marBottom w:val="0"/>
              <w:divBdr>
                <w:top w:val="none" w:sz="0" w:space="0" w:color="auto"/>
                <w:left w:val="none" w:sz="0" w:space="0" w:color="auto"/>
                <w:bottom w:val="single" w:sz="4" w:space="1" w:color="D1D1D1"/>
                <w:right w:val="none" w:sz="0" w:space="0" w:color="auto"/>
              </w:divBdr>
            </w:div>
          </w:divsChild>
        </w:div>
        <w:div w:id="1228883042">
          <w:marLeft w:val="0"/>
          <w:marRight w:val="240"/>
          <w:marTop w:val="96"/>
          <w:marBottom w:val="240"/>
          <w:divBdr>
            <w:top w:val="none" w:sz="0" w:space="0" w:color="auto"/>
            <w:left w:val="none" w:sz="0" w:space="0" w:color="auto"/>
            <w:bottom w:val="none" w:sz="0" w:space="0" w:color="auto"/>
            <w:right w:val="none" w:sz="0" w:space="0" w:color="auto"/>
          </w:divBdr>
          <w:divsChild>
            <w:div w:id="315303423">
              <w:marLeft w:val="0"/>
              <w:marRight w:val="0"/>
              <w:marTop w:val="0"/>
              <w:marBottom w:val="0"/>
              <w:divBdr>
                <w:top w:val="none" w:sz="0" w:space="0" w:color="auto"/>
                <w:left w:val="none" w:sz="0" w:space="0" w:color="auto"/>
                <w:bottom w:val="single" w:sz="4" w:space="1" w:color="D1D1D1"/>
                <w:right w:val="none" w:sz="0" w:space="0" w:color="auto"/>
              </w:divBdr>
            </w:div>
          </w:divsChild>
        </w:div>
        <w:div w:id="1334457425">
          <w:marLeft w:val="0"/>
          <w:marRight w:val="240"/>
          <w:marTop w:val="96"/>
          <w:marBottom w:val="240"/>
          <w:divBdr>
            <w:top w:val="none" w:sz="0" w:space="0" w:color="auto"/>
            <w:left w:val="none" w:sz="0" w:space="0" w:color="auto"/>
            <w:bottom w:val="none" w:sz="0" w:space="0" w:color="auto"/>
            <w:right w:val="none" w:sz="0" w:space="0" w:color="auto"/>
          </w:divBdr>
          <w:divsChild>
            <w:div w:id="1477450682">
              <w:marLeft w:val="0"/>
              <w:marRight w:val="0"/>
              <w:marTop w:val="0"/>
              <w:marBottom w:val="0"/>
              <w:divBdr>
                <w:top w:val="none" w:sz="0" w:space="0" w:color="auto"/>
                <w:left w:val="none" w:sz="0" w:space="0" w:color="auto"/>
                <w:bottom w:val="single" w:sz="4" w:space="1" w:color="D1D1D1"/>
                <w:right w:val="none" w:sz="0" w:space="0" w:color="auto"/>
              </w:divBdr>
            </w:div>
          </w:divsChild>
        </w:div>
        <w:div w:id="1613054238">
          <w:marLeft w:val="0"/>
          <w:marRight w:val="240"/>
          <w:marTop w:val="96"/>
          <w:marBottom w:val="240"/>
          <w:divBdr>
            <w:top w:val="none" w:sz="0" w:space="0" w:color="auto"/>
            <w:left w:val="none" w:sz="0" w:space="0" w:color="auto"/>
            <w:bottom w:val="none" w:sz="0" w:space="0" w:color="auto"/>
            <w:right w:val="none" w:sz="0" w:space="0" w:color="auto"/>
          </w:divBdr>
          <w:divsChild>
            <w:div w:id="1862166351">
              <w:marLeft w:val="0"/>
              <w:marRight w:val="0"/>
              <w:marTop w:val="0"/>
              <w:marBottom w:val="0"/>
              <w:divBdr>
                <w:top w:val="none" w:sz="0" w:space="0" w:color="auto"/>
                <w:left w:val="none" w:sz="0" w:space="0" w:color="auto"/>
                <w:bottom w:val="single" w:sz="4" w:space="1" w:color="D1D1D1"/>
                <w:right w:val="none" w:sz="0" w:space="0" w:color="auto"/>
              </w:divBdr>
            </w:div>
          </w:divsChild>
        </w:div>
        <w:div w:id="1988047010">
          <w:marLeft w:val="0"/>
          <w:marRight w:val="240"/>
          <w:marTop w:val="96"/>
          <w:marBottom w:val="240"/>
          <w:divBdr>
            <w:top w:val="none" w:sz="0" w:space="0" w:color="auto"/>
            <w:left w:val="none" w:sz="0" w:space="0" w:color="auto"/>
            <w:bottom w:val="none" w:sz="0" w:space="0" w:color="auto"/>
            <w:right w:val="none" w:sz="0" w:space="0" w:color="auto"/>
          </w:divBdr>
          <w:divsChild>
            <w:div w:id="1462067647">
              <w:marLeft w:val="0"/>
              <w:marRight w:val="0"/>
              <w:marTop w:val="0"/>
              <w:marBottom w:val="0"/>
              <w:divBdr>
                <w:top w:val="none" w:sz="0" w:space="0" w:color="auto"/>
                <w:left w:val="none" w:sz="0" w:space="0" w:color="auto"/>
                <w:bottom w:val="single" w:sz="4" w:space="1" w:color="D1D1D1"/>
                <w:right w:val="none" w:sz="0" w:space="0" w:color="auto"/>
              </w:divBdr>
            </w:div>
          </w:divsChild>
        </w:div>
        <w:div w:id="2130472453">
          <w:marLeft w:val="0"/>
          <w:marRight w:val="240"/>
          <w:marTop w:val="96"/>
          <w:marBottom w:val="240"/>
          <w:divBdr>
            <w:top w:val="none" w:sz="0" w:space="0" w:color="auto"/>
            <w:left w:val="none" w:sz="0" w:space="0" w:color="auto"/>
            <w:bottom w:val="none" w:sz="0" w:space="0" w:color="auto"/>
            <w:right w:val="none" w:sz="0" w:space="0" w:color="auto"/>
          </w:divBdr>
          <w:divsChild>
            <w:div w:id="1441334983">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656954358">
      <w:bodyDiv w:val="1"/>
      <w:marLeft w:val="0"/>
      <w:marRight w:val="0"/>
      <w:marTop w:val="0"/>
      <w:marBottom w:val="0"/>
      <w:divBdr>
        <w:top w:val="none" w:sz="0" w:space="0" w:color="auto"/>
        <w:left w:val="none" w:sz="0" w:space="0" w:color="auto"/>
        <w:bottom w:val="none" w:sz="0" w:space="0" w:color="auto"/>
        <w:right w:val="none" w:sz="0" w:space="0" w:color="auto"/>
      </w:divBdr>
    </w:div>
    <w:div w:id="657655644">
      <w:bodyDiv w:val="1"/>
      <w:marLeft w:val="0"/>
      <w:marRight w:val="0"/>
      <w:marTop w:val="0"/>
      <w:marBottom w:val="0"/>
      <w:divBdr>
        <w:top w:val="none" w:sz="0" w:space="0" w:color="auto"/>
        <w:left w:val="none" w:sz="0" w:space="0" w:color="auto"/>
        <w:bottom w:val="none" w:sz="0" w:space="0" w:color="auto"/>
        <w:right w:val="none" w:sz="0" w:space="0" w:color="auto"/>
      </w:divBdr>
    </w:div>
    <w:div w:id="679354158">
      <w:bodyDiv w:val="1"/>
      <w:marLeft w:val="0"/>
      <w:marRight w:val="0"/>
      <w:marTop w:val="0"/>
      <w:marBottom w:val="0"/>
      <w:divBdr>
        <w:top w:val="none" w:sz="0" w:space="0" w:color="auto"/>
        <w:left w:val="none" w:sz="0" w:space="0" w:color="auto"/>
        <w:bottom w:val="none" w:sz="0" w:space="0" w:color="auto"/>
        <w:right w:val="none" w:sz="0" w:space="0" w:color="auto"/>
      </w:divBdr>
    </w:div>
    <w:div w:id="680275781">
      <w:bodyDiv w:val="1"/>
      <w:marLeft w:val="0"/>
      <w:marRight w:val="0"/>
      <w:marTop w:val="0"/>
      <w:marBottom w:val="0"/>
      <w:divBdr>
        <w:top w:val="none" w:sz="0" w:space="0" w:color="auto"/>
        <w:left w:val="none" w:sz="0" w:space="0" w:color="auto"/>
        <w:bottom w:val="none" w:sz="0" w:space="0" w:color="auto"/>
        <w:right w:val="none" w:sz="0" w:space="0" w:color="auto"/>
      </w:divBdr>
    </w:div>
    <w:div w:id="684210762">
      <w:bodyDiv w:val="1"/>
      <w:marLeft w:val="0"/>
      <w:marRight w:val="0"/>
      <w:marTop w:val="0"/>
      <w:marBottom w:val="0"/>
      <w:divBdr>
        <w:top w:val="none" w:sz="0" w:space="0" w:color="auto"/>
        <w:left w:val="none" w:sz="0" w:space="0" w:color="auto"/>
        <w:bottom w:val="none" w:sz="0" w:space="0" w:color="auto"/>
        <w:right w:val="none" w:sz="0" w:space="0" w:color="auto"/>
      </w:divBdr>
    </w:div>
    <w:div w:id="687214826">
      <w:bodyDiv w:val="1"/>
      <w:marLeft w:val="0"/>
      <w:marRight w:val="0"/>
      <w:marTop w:val="0"/>
      <w:marBottom w:val="0"/>
      <w:divBdr>
        <w:top w:val="none" w:sz="0" w:space="0" w:color="auto"/>
        <w:left w:val="none" w:sz="0" w:space="0" w:color="auto"/>
        <w:bottom w:val="none" w:sz="0" w:space="0" w:color="auto"/>
        <w:right w:val="none" w:sz="0" w:space="0" w:color="auto"/>
      </w:divBdr>
    </w:div>
    <w:div w:id="689258586">
      <w:bodyDiv w:val="1"/>
      <w:marLeft w:val="0"/>
      <w:marRight w:val="0"/>
      <w:marTop w:val="0"/>
      <w:marBottom w:val="0"/>
      <w:divBdr>
        <w:top w:val="none" w:sz="0" w:space="0" w:color="auto"/>
        <w:left w:val="none" w:sz="0" w:space="0" w:color="auto"/>
        <w:bottom w:val="none" w:sz="0" w:space="0" w:color="auto"/>
        <w:right w:val="none" w:sz="0" w:space="0" w:color="auto"/>
      </w:divBdr>
    </w:div>
    <w:div w:id="692389386">
      <w:bodyDiv w:val="1"/>
      <w:marLeft w:val="0"/>
      <w:marRight w:val="0"/>
      <w:marTop w:val="0"/>
      <w:marBottom w:val="0"/>
      <w:divBdr>
        <w:top w:val="none" w:sz="0" w:space="0" w:color="auto"/>
        <w:left w:val="none" w:sz="0" w:space="0" w:color="auto"/>
        <w:bottom w:val="none" w:sz="0" w:space="0" w:color="auto"/>
        <w:right w:val="none" w:sz="0" w:space="0" w:color="auto"/>
      </w:divBdr>
    </w:div>
    <w:div w:id="695273826">
      <w:bodyDiv w:val="1"/>
      <w:marLeft w:val="0"/>
      <w:marRight w:val="0"/>
      <w:marTop w:val="0"/>
      <w:marBottom w:val="0"/>
      <w:divBdr>
        <w:top w:val="none" w:sz="0" w:space="0" w:color="auto"/>
        <w:left w:val="none" w:sz="0" w:space="0" w:color="auto"/>
        <w:bottom w:val="none" w:sz="0" w:space="0" w:color="auto"/>
        <w:right w:val="none" w:sz="0" w:space="0" w:color="auto"/>
      </w:divBdr>
    </w:div>
    <w:div w:id="696660964">
      <w:bodyDiv w:val="1"/>
      <w:marLeft w:val="0"/>
      <w:marRight w:val="0"/>
      <w:marTop w:val="0"/>
      <w:marBottom w:val="0"/>
      <w:divBdr>
        <w:top w:val="none" w:sz="0" w:space="0" w:color="auto"/>
        <w:left w:val="none" w:sz="0" w:space="0" w:color="auto"/>
        <w:bottom w:val="none" w:sz="0" w:space="0" w:color="auto"/>
        <w:right w:val="none" w:sz="0" w:space="0" w:color="auto"/>
      </w:divBdr>
    </w:div>
    <w:div w:id="704184865">
      <w:bodyDiv w:val="1"/>
      <w:marLeft w:val="0"/>
      <w:marRight w:val="0"/>
      <w:marTop w:val="0"/>
      <w:marBottom w:val="0"/>
      <w:divBdr>
        <w:top w:val="none" w:sz="0" w:space="0" w:color="auto"/>
        <w:left w:val="none" w:sz="0" w:space="0" w:color="auto"/>
        <w:bottom w:val="none" w:sz="0" w:space="0" w:color="auto"/>
        <w:right w:val="none" w:sz="0" w:space="0" w:color="auto"/>
      </w:divBdr>
    </w:div>
    <w:div w:id="715619014">
      <w:bodyDiv w:val="1"/>
      <w:marLeft w:val="0"/>
      <w:marRight w:val="0"/>
      <w:marTop w:val="0"/>
      <w:marBottom w:val="0"/>
      <w:divBdr>
        <w:top w:val="none" w:sz="0" w:space="0" w:color="auto"/>
        <w:left w:val="none" w:sz="0" w:space="0" w:color="auto"/>
        <w:bottom w:val="none" w:sz="0" w:space="0" w:color="auto"/>
        <w:right w:val="none" w:sz="0" w:space="0" w:color="auto"/>
      </w:divBdr>
    </w:div>
    <w:div w:id="716397080">
      <w:bodyDiv w:val="1"/>
      <w:marLeft w:val="0"/>
      <w:marRight w:val="0"/>
      <w:marTop w:val="0"/>
      <w:marBottom w:val="0"/>
      <w:divBdr>
        <w:top w:val="none" w:sz="0" w:space="0" w:color="auto"/>
        <w:left w:val="none" w:sz="0" w:space="0" w:color="auto"/>
        <w:bottom w:val="none" w:sz="0" w:space="0" w:color="auto"/>
        <w:right w:val="none" w:sz="0" w:space="0" w:color="auto"/>
      </w:divBdr>
    </w:div>
    <w:div w:id="722368291">
      <w:bodyDiv w:val="1"/>
      <w:marLeft w:val="0"/>
      <w:marRight w:val="0"/>
      <w:marTop w:val="0"/>
      <w:marBottom w:val="0"/>
      <w:divBdr>
        <w:top w:val="none" w:sz="0" w:space="0" w:color="auto"/>
        <w:left w:val="none" w:sz="0" w:space="0" w:color="auto"/>
        <w:bottom w:val="none" w:sz="0" w:space="0" w:color="auto"/>
        <w:right w:val="none" w:sz="0" w:space="0" w:color="auto"/>
      </w:divBdr>
    </w:div>
    <w:div w:id="724186287">
      <w:bodyDiv w:val="1"/>
      <w:marLeft w:val="0"/>
      <w:marRight w:val="0"/>
      <w:marTop w:val="0"/>
      <w:marBottom w:val="0"/>
      <w:divBdr>
        <w:top w:val="none" w:sz="0" w:space="0" w:color="auto"/>
        <w:left w:val="none" w:sz="0" w:space="0" w:color="auto"/>
        <w:bottom w:val="none" w:sz="0" w:space="0" w:color="auto"/>
        <w:right w:val="none" w:sz="0" w:space="0" w:color="auto"/>
      </w:divBdr>
    </w:div>
    <w:div w:id="730352920">
      <w:bodyDiv w:val="1"/>
      <w:marLeft w:val="0"/>
      <w:marRight w:val="0"/>
      <w:marTop w:val="0"/>
      <w:marBottom w:val="0"/>
      <w:divBdr>
        <w:top w:val="none" w:sz="0" w:space="0" w:color="auto"/>
        <w:left w:val="none" w:sz="0" w:space="0" w:color="auto"/>
        <w:bottom w:val="none" w:sz="0" w:space="0" w:color="auto"/>
        <w:right w:val="none" w:sz="0" w:space="0" w:color="auto"/>
      </w:divBdr>
    </w:div>
    <w:div w:id="735980291">
      <w:bodyDiv w:val="1"/>
      <w:marLeft w:val="0"/>
      <w:marRight w:val="0"/>
      <w:marTop w:val="0"/>
      <w:marBottom w:val="0"/>
      <w:divBdr>
        <w:top w:val="none" w:sz="0" w:space="0" w:color="auto"/>
        <w:left w:val="none" w:sz="0" w:space="0" w:color="auto"/>
        <w:bottom w:val="none" w:sz="0" w:space="0" w:color="auto"/>
        <w:right w:val="none" w:sz="0" w:space="0" w:color="auto"/>
      </w:divBdr>
    </w:div>
    <w:div w:id="736586667">
      <w:bodyDiv w:val="1"/>
      <w:marLeft w:val="0"/>
      <w:marRight w:val="0"/>
      <w:marTop w:val="0"/>
      <w:marBottom w:val="0"/>
      <w:divBdr>
        <w:top w:val="none" w:sz="0" w:space="0" w:color="auto"/>
        <w:left w:val="none" w:sz="0" w:space="0" w:color="auto"/>
        <w:bottom w:val="none" w:sz="0" w:space="0" w:color="auto"/>
        <w:right w:val="none" w:sz="0" w:space="0" w:color="auto"/>
      </w:divBdr>
    </w:div>
    <w:div w:id="739140452">
      <w:bodyDiv w:val="1"/>
      <w:marLeft w:val="0"/>
      <w:marRight w:val="0"/>
      <w:marTop w:val="0"/>
      <w:marBottom w:val="0"/>
      <w:divBdr>
        <w:top w:val="none" w:sz="0" w:space="0" w:color="auto"/>
        <w:left w:val="none" w:sz="0" w:space="0" w:color="auto"/>
        <w:bottom w:val="none" w:sz="0" w:space="0" w:color="auto"/>
        <w:right w:val="none" w:sz="0" w:space="0" w:color="auto"/>
      </w:divBdr>
      <w:divsChild>
        <w:div w:id="66268140">
          <w:marLeft w:val="475"/>
          <w:marRight w:val="0"/>
          <w:marTop w:val="168"/>
          <w:marBottom w:val="0"/>
          <w:divBdr>
            <w:top w:val="none" w:sz="0" w:space="0" w:color="auto"/>
            <w:left w:val="none" w:sz="0" w:space="0" w:color="auto"/>
            <w:bottom w:val="none" w:sz="0" w:space="0" w:color="auto"/>
            <w:right w:val="none" w:sz="0" w:space="0" w:color="auto"/>
          </w:divBdr>
        </w:div>
        <w:div w:id="252323941">
          <w:marLeft w:val="475"/>
          <w:marRight w:val="0"/>
          <w:marTop w:val="168"/>
          <w:marBottom w:val="0"/>
          <w:divBdr>
            <w:top w:val="none" w:sz="0" w:space="0" w:color="auto"/>
            <w:left w:val="none" w:sz="0" w:space="0" w:color="auto"/>
            <w:bottom w:val="none" w:sz="0" w:space="0" w:color="auto"/>
            <w:right w:val="none" w:sz="0" w:space="0" w:color="auto"/>
          </w:divBdr>
        </w:div>
        <w:div w:id="380977648">
          <w:marLeft w:val="1181"/>
          <w:marRight w:val="0"/>
          <w:marTop w:val="168"/>
          <w:marBottom w:val="0"/>
          <w:divBdr>
            <w:top w:val="none" w:sz="0" w:space="0" w:color="auto"/>
            <w:left w:val="none" w:sz="0" w:space="0" w:color="auto"/>
            <w:bottom w:val="none" w:sz="0" w:space="0" w:color="auto"/>
            <w:right w:val="none" w:sz="0" w:space="0" w:color="auto"/>
          </w:divBdr>
        </w:div>
        <w:div w:id="761414420">
          <w:marLeft w:val="475"/>
          <w:marRight w:val="0"/>
          <w:marTop w:val="168"/>
          <w:marBottom w:val="0"/>
          <w:divBdr>
            <w:top w:val="none" w:sz="0" w:space="0" w:color="auto"/>
            <w:left w:val="none" w:sz="0" w:space="0" w:color="auto"/>
            <w:bottom w:val="none" w:sz="0" w:space="0" w:color="auto"/>
            <w:right w:val="none" w:sz="0" w:space="0" w:color="auto"/>
          </w:divBdr>
        </w:div>
        <w:div w:id="932972916">
          <w:marLeft w:val="475"/>
          <w:marRight w:val="0"/>
          <w:marTop w:val="168"/>
          <w:marBottom w:val="0"/>
          <w:divBdr>
            <w:top w:val="none" w:sz="0" w:space="0" w:color="auto"/>
            <w:left w:val="none" w:sz="0" w:space="0" w:color="auto"/>
            <w:bottom w:val="none" w:sz="0" w:space="0" w:color="auto"/>
            <w:right w:val="none" w:sz="0" w:space="0" w:color="auto"/>
          </w:divBdr>
        </w:div>
        <w:div w:id="952905458">
          <w:marLeft w:val="475"/>
          <w:marRight w:val="0"/>
          <w:marTop w:val="168"/>
          <w:marBottom w:val="0"/>
          <w:divBdr>
            <w:top w:val="none" w:sz="0" w:space="0" w:color="auto"/>
            <w:left w:val="none" w:sz="0" w:space="0" w:color="auto"/>
            <w:bottom w:val="none" w:sz="0" w:space="0" w:color="auto"/>
            <w:right w:val="none" w:sz="0" w:space="0" w:color="auto"/>
          </w:divBdr>
        </w:div>
        <w:div w:id="1325940265">
          <w:marLeft w:val="475"/>
          <w:marRight w:val="0"/>
          <w:marTop w:val="168"/>
          <w:marBottom w:val="0"/>
          <w:divBdr>
            <w:top w:val="none" w:sz="0" w:space="0" w:color="auto"/>
            <w:left w:val="none" w:sz="0" w:space="0" w:color="auto"/>
            <w:bottom w:val="none" w:sz="0" w:space="0" w:color="auto"/>
            <w:right w:val="none" w:sz="0" w:space="0" w:color="auto"/>
          </w:divBdr>
        </w:div>
        <w:div w:id="2011568078">
          <w:marLeft w:val="475"/>
          <w:marRight w:val="0"/>
          <w:marTop w:val="168"/>
          <w:marBottom w:val="0"/>
          <w:divBdr>
            <w:top w:val="none" w:sz="0" w:space="0" w:color="auto"/>
            <w:left w:val="none" w:sz="0" w:space="0" w:color="auto"/>
            <w:bottom w:val="none" w:sz="0" w:space="0" w:color="auto"/>
            <w:right w:val="none" w:sz="0" w:space="0" w:color="auto"/>
          </w:divBdr>
        </w:div>
      </w:divsChild>
    </w:div>
    <w:div w:id="741752954">
      <w:bodyDiv w:val="1"/>
      <w:marLeft w:val="0"/>
      <w:marRight w:val="0"/>
      <w:marTop w:val="0"/>
      <w:marBottom w:val="0"/>
      <w:divBdr>
        <w:top w:val="none" w:sz="0" w:space="0" w:color="auto"/>
        <w:left w:val="none" w:sz="0" w:space="0" w:color="auto"/>
        <w:bottom w:val="none" w:sz="0" w:space="0" w:color="auto"/>
        <w:right w:val="none" w:sz="0" w:space="0" w:color="auto"/>
      </w:divBdr>
    </w:div>
    <w:div w:id="757098157">
      <w:bodyDiv w:val="1"/>
      <w:marLeft w:val="0"/>
      <w:marRight w:val="0"/>
      <w:marTop w:val="0"/>
      <w:marBottom w:val="0"/>
      <w:divBdr>
        <w:top w:val="none" w:sz="0" w:space="0" w:color="auto"/>
        <w:left w:val="none" w:sz="0" w:space="0" w:color="auto"/>
        <w:bottom w:val="none" w:sz="0" w:space="0" w:color="auto"/>
        <w:right w:val="none" w:sz="0" w:space="0" w:color="auto"/>
      </w:divBdr>
      <w:divsChild>
        <w:div w:id="598491823">
          <w:marLeft w:val="1181"/>
          <w:marRight w:val="0"/>
          <w:marTop w:val="168"/>
          <w:marBottom w:val="0"/>
          <w:divBdr>
            <w:top w:val="none" w:sz="0" w:space="0" w:color="auto"/>
            <w:left w:val="none" w:sz="0" w:space="0" w:color="auto"/>
            <w:bottom w:val="none" w:sz="0" w:space="0" w:color="auto"/>
            <w:right w:val="none" w:sz="0" w:space="0" w:color="auto"/>
          </w:divBdr>
        </w:div>
        <w:div w:id="827012523">
          <w:marLeft w:val="475"/>
          <w:marRight w:val="0"/>
          <w:marTop w:val="168"/>
          <w:marBottom w:val="0"/>
          <w:divBdr>
            <w:top w:val="none" w:sz="0" w:space="0" w:color="auto"/>
            <w:left w:val="none" w:sz="0" w:space="0" w:color="auto"/>
            <w:bottom w:val="none" w:sz="0" w:space="0" w:color="auto"/>
            <w:right w:val="none" w:sz="0" w:space="0" w:color="auto"/>
          </w:divBdr>
        </w:div>
        <w:div w:id="1085541775">
          <w:marLeft w:val="1181"/>
          <w:marRight w:val="0"/>
          <w:marTop w:val="168"/>
          <w:marBottom w:val="0"/>
          <w:divBdr>
            <w:top w:val="none" w:sz="0" w:space="0" w:color="auto"/>
            <w:left w:val="none" w:sz="0" w:space="0" w:color="auto"/>
            <w:bottom w:val="none" w:sz="0" w:space="0" w:color="auto"/>
            <w:right w:val="none" w:sz="0" w:space="0" w:color="auto"/>
          </w:divBdr>
        </w:div>
        <w:div w:id="1379669528">
          <w:marLeft w:val="475"/>
          <w:marRight w:val="0"/>
          <w:marTop w:val="168"/>
          <w:marBottom w:val="0"/>
          <w:divBdr>
            <w:top w:val="none" w:sz="0" w:space="0" w:color="auto"/>
            <w:left w:val="none" w:sz="0" w:space="0" w:color="auto"/>
            <w:bottom w:val="none" w:sz="0" w:space="0" w:color="auto"/>
            <w:right w:val="none" w:sz="0" w:space="0" w:color="auto"/>
          </w:divBdr>
        </w:div>
        <w:div w:id="1584988471">
          <w:marLeft w:val="475"/>
          <w:marRight w:val="0"/>
          <w:marTop w:val="168"/>
          <w:marBottom w:val="0"/>
          <w:divBdr>
            <w:top w:val="none" w:sz="0" w:space="0" w:color="auto"/>
            <w:left w:val="none" w:sz="0" w:space="0" w:color="auto"/>
            <w:bottom w:val="none" w:sz="0" w:space="0" w:color="auto"/>
            <w:right w:val="none" w:sz="0" w:space="0" w:color="auto"/>
          </w:divBdr>
        </w:div>
        <w:div w:id="1888683711">
          <w:marLeft w:val="475"/>
          <w:marRight w:val="0"/>
          <w:marTop w:val="168"/>
          <w:marBottom w:val="0"/>
          <w:divBdr>
            <w:top w:val="none" w:sz="0" w:space="0" w:color="auto"/>
            <w:left w:val="none" w:sz="0" w:space="0" w:color="auto"/>
            <w:bottom w:val="none" w:sz="0" w:space="0" w:color="auto"/>
            <w:right w:val="none" w:sz="0" w:space="0" w:color="auto"/>
          </w:divBdr>
        </w:div>
        <w:div w:id="2025397518">
          <w:marLeft w:val="475"/>
          <w:marRight w:val="0"/>
          <w:marTop w:val="168"/>
          <w:marBottom w:val="0"/>
          <w:divBdr>
            <w:top w:val="none" w:sz="0" w:space="0" w:color="auto"/>
            <w:left w:val="none" w:sz="0" w:space="0" w:color="auto"/>
            <w:bottom w:val="none" w:sz="0" w:space="0" w:color="auto"/>
            <w:right w:val="none" w:sz="0" w:space="0" w:color="auto"/>
          </w:divBdr>
        </w:div>
      </w:divsChild>
    </w:div>
    <w:div w:id="759064153">
      <w:bodyDiv w:val="1"/>
      <w:marLeft w:val="0"/>
      <w:marRight w:val="0"/>
      <w:marTop w:val="0"/>
      <w:marBottom w:val="0"/>
      <w:divBdr>
        <w:top w:val="none" w:sz="0" w:space="0" w:color="auto"/>
        <w:left w:val="none" w:sz="0" w:space="0" w:color="auto"/>
        <w:bottom w:val="none" w:sz="0" w:space="0" w:color="auto"/>
        <w:right w:val="none" w:sz="0" w:space="0" w:color="auto"/>
      </w:divBdr>
    </w:div>
    <w:div w:id="766774900">
      <w:bodyDiv w:val="1"/>
      <w:marLeft w:val="0"/>
      <w:marRight w:val="0"/>
      <w:marTop w:val="0"/>
      <w:marBottom w:val="0"/>
      <w:divBdr>
        <w:top w:val="none" w:sz="0" w:space="0" w:color="auto"/>
        <w:left w:val="none" w:sz="0" w:space="0" w:color="auto"/>
        <w:bottom w:val="none" w:sz="0" w:space="0" w:color="auto"/>
        <w:right w:val="none" w:sz="0" w:space="0" w:color="auto"/>
      </w:divBdr>
      <w:divsChild>
        <w:div w:id="50812158">
          <w:marLeft w:val="0"/>
          <w:marRight w:val="0"/>
          <w:marTop w:val="67"/>
          <w:marBottom w:val="0"/>
          <w:divBdr>
            <w:top w:val="none" w:sz="0" w:space="0" w:color="auto"/>
            <w:left w:val="none" w:sz="0" w:space="0" w:color="auto"/>
            <w:bottom w:val="none" w:sz="0" w:space="0" w:color="auto"/>
            <w:right w:val="none" w:sz="0" w:space="0" w:color="auto"/>
          </w:divBdr>
        </w:div>
        <w:div w:id="155997475">
          <w:marLeft w:val="0"/>
          <w:marRight w:val="0"/>
          <w:marTop w:val="67"/>
          <w:marBottom w:val="0"/>
          <w:divBdr>
            <w:top w:val="none" w:sz="0" w:space="0" w:color="auto"/>
            <w:left w:val="none" w:sz="0" w:space="0" w:color="auto"/>
            <w:bottom w:val="none" w:sz="0" w:space="0" w:color="auto"/>
            <w:right w:val="none" w:sz="0" w:space="0" w:color="auto"/>
          </w:divBdr>
        </w:div>
        <w:div w:id="595482168">
          <w:marLeft w:val="0"/>
          <w:marRight w:val="0"/>
          <w:marTop w:val="67"/>
          <w:marBottom w:val="0"/>
          <w:divBdr>
            <w:top w:val="none" w:sz="0" w:space="0" w:color="auto"/>
            <w:left w:val="none" w:sz="0" w:space="0" w:color="auto"/>
            <w:bottom w:val="none" w:sz="0" w:space="0" w:color="auto"/>
            <w:right w:val="none" w:sz="0" w:space="0" w:color="auto"/>
          </w:divBdr>
        </w:div>
        <w:div w:id="821503222">
          <w:marLeft w:val="0"/>
          <w:marRight w:val="0"/>
          <w:marTop w:val="67"/>
          <w:marBottom w:val="0"/>
          <w:divBdr>
            <w:top w:val="none" w:sz="0" w:space="0" w:color="auto"/>
            <w:left w:val="none" w:sz="0" w:space="0" w:color="auto"/>
            <w:bottom w:val="none" w:sz="0" w:space="0" w:color="auto"/>
            <w:right w:val="none" w:sz="0" w:space="0" w:color="auto"/>
          </w:divBdr>
        </w:div>
        <w:div w:id="832648564">
          <w:marLeft w:val="0"/>
          <w:marRight w:val="0"/>
          <w:marTop w:val="67"/>
          <w:marBottom w:val="0"/>
          <w:divBdr>
            <w:top w:val="none" w:sz="0" w:space="0" w:color="auto"/>
            <w:left w:val="none" w:sz="0" w:space="0" w:color="auto"/>
            <w:bottom w:val="none" w:sz="0" w:space="0" w:color="auto"/>
            <w:right w:val="none" w:sz="0" w:space="0" w:color="auto"/>
          </w:divBdr>
        </w:div>
        <w:div w:id="969552779">
          <w:marLeft w:val="0"/>
          <w:marRight w:val="0"/>
          <w:marTop w:val="67"/>
          <w:marBottom w:val="0"/>
          <w:divBdr>
            <w:top w:val="none" w:sz="0" w:space="0" w:color="auto"/>
            <w:left w:val="none" w:sz="0" w:space="0" w:color="auto"/>
            <w:bottom w:val="none" w:sz="0" w:space="0" w:color="auto"/>
            <w:right w:val="none" w:sz="0" w:space="0" w:color="auto"/>
          </w:divBdr>
        </w:div>
        <w:div w:id="1217207325">
          <w:marLeft w:val="0"/>
          <w:marRight w:val="0"/>
          <w:marTop w:val="67"/>
          <w:marBottom w:val="0"/>
          <w:divBdr>
            <w:top w:val="none" w:sz="0" w:space="0" w:color="auto"/>
            <w:left w:val="none" w:sz="0" w:space="0" w:color="auto"/>
            <w:bottom w:val="none" w:sz="0" w:space="0" w:color="auto"/>
            <w:right w:val="none" w:sz="0" w:space="0" w:color="auto"/>
          </w:divBdr>
        </w:div>
        <w:div w:id="1316449012">
          <w:marLeft w:val="0"/>
          <w:marRight w:val="0"/>
          <w:marTop w:val="67"/>
          <w:marBottom w:val="0"/>
          <w:divBdr>
            <w:top w:val="none" w:sz="0" w:space="0" w:color="auto"/>
            <w:left w:val="none" w:sz="0" w:space="0" w:color="auto"/>
            <w:bottom w:val="none" w:sz="0" w:space="0" w:color="auto"/>
            <w:right w:val="none" w:sz="0" w:space="0" w:color="auto"/>
          </w:divBdr>
        </w:div>
        <w:div w:id="1687441310">
          <w:marLeft w:val="0"/>
          <w:marRight w:val="0"/>
          <w:marTop w:val="67"/>
          <w:marBottom w:val="0"/>
          <w:divBdr>
            <w:top w:val="none" w:sz="0" w:space="0" w:color="auto"/>
            <w:left w:val="none" w:sz="0" w:space="0" w:color="auto"/>
            <w:bottom w:val="none" w:sz="0" w:space="0" w:color="auto"/>
            <w:right w:val="none" w:sz="0" w:space="0" w:color="auto"/>
          </w:divBdr>
        </w:div>
        <w:div w:id="2010407251">
          <w:marLeft w:val="0"/>
          <w:marRight w:val="0"/>
          <w:marTop w:val="67"/>
          <w:marBottom w:val="0"/>
          <w:divBdr>
            <w:top w:val="none" w:sz="0" w:space="0" w:color="auto"/>
            <w:left w:val="none" w:sz="0" w:space="0" w:color="auto"/>
            <w:bottom w:val="none" w:sz="0" w:space="0" w:color="auto"/>
            <w:right w:val="none" w:sz="0" w:space="0" w:color="auto"/>
          </w:divBdr>
        </w:div>
      </w:divsChild>
    </w:div>
    <w:div w:id="766923715">
      <w:bodyDiv w:val="1"/>
      <w:marLeft w:val="0"/>
      <w:marRight w:val="0"/>
      <w:marTop w:val="0"/>
      <w:marBottom w:val="0"/>
      <w:divBdr>
        <w:top w:val="none" w:sz="0" w:space="0" w:color="auto"/>
        <w:left w:val="none" w:sz="0" w:space="0" w:color="auto"/>
        <w:bottom w:val="none" w:sz="0" w:space="0" w:color="auto"/>
        <w:right w:val="none" w:sz="0" w:space="0" w:color="auto"/>
      </w:divBdr>
      <w:divsChild>
        <w:div w:id="931741808">
          <w:marLeft w:val="0"/>
          <w:marRight w:val="0"/>
          <w:marTop w:val="0"/>
          <w:marBottom w:val="115"/>
          <w:divBdr>
            <w:top w:val="none" w:sz="0" w:space="0" w:color="auto"/>
            <w:left w:val="none" w:sz="0" w:space="0" w:color="auto"/>
            <w:bottom w:val="none" w:sz="0" w:space="0" w:color="auto"/>
            <w:right w:val="none" w:sz="0" w:space="0" w:color="auto"/>
          </w:divBdr>
          <w:divsChild>
            <w:div w:id="128204088">
              <w:marLeft w:val="0"/>
              <w:marRight w:val="0"/>
              <w:marTop w:val="0"/>
              <w:marBottom w:val="0"/>
              <w:divBdr>
                <w:top w:val="none" w:sz="0" w:space="0" w:color="auto"/>
                <w:left w:val="none" w:sz="0" w:space="0" w:color="auto"/>
                <w:bottom w:val="none" w:sz="0" w:space="0" w:color="auto"/>
                <w:right w:val="none" w:sz="0" w:space="0" w:color="auto"/>
              </w:divBdr>
            </w:div>
            <w:div w:id="594024618">
              <w:marLeft w:val="0"/>
              <w:marRight w:val="0"/>
              <w:marTop w:val="0"/>
              <w:marBottom w:val="0"/>
              <w:divBdr>
                <w:top w:val="none" w:sz="0" w:space="0" w:color="auto"/>
                <w:left w:val="none" w:sz="0" w:space="0" w:color="auto"/>
                <w:bottom w:val="none" w:sz="0" w:space="0" w:color="auto"/>
                <w:right w:val="none" w:sz="0" w:space="0" w:color="auto"/>
              </w:divBdr>
              <w:divsChild>
                <w:div w:id="444153623">
                  <w:marLeft w:val="0"/>
                  <w:marRight w:val="0"/>
                  <w:marTop w:val="0"/>
                  <w:marBottom w:val="0"/>
                  <w:divBdr>
                    <w:top w:val="none" w:sz="0" w:space="0" w:color="auto"/>
                    <w:left w:val="none" w:sz="0" w:space="0" w:color="auto"/>
                    <w:bottom w:val="none" w:sz="0" w:space="0" w:color="auto"/>
                    <w:right w:val="none" w:sz="0" w:space="0" w:color="auto"/>
                  </w:divBdr>
                </w:div>
                <w:div w:id="607855386">
                  <w:marLeft w:val="0"/>
                  <w:marRight w:val="0"/>
                  <w:marTop w:val="0"/>
                  <w:marBottom w:val="0"/>
                  <w:divBdr>
                    <w:top w:val="none" w:sz="0" w:space="0" w:color="auto"/>
                    <w:left w:val="none" w:sz="0" w:space="0" w:color="auto"/>
                    <w:bottom w:val="none" w:sz="0" w:space="0" w:color="auto"/>
                    <w:right w:val="none" w:sz="0" w:space="0" w:color="auto"/>
                  </w:divBdr>
                </w:div>
                <w:div w:id="662200433">
                  <w:marLeft w:val="0"/>
                  <w:marRight w:val="0"/>
                  <w:marTop w:val="0"/>
                  <w:marBottom w:val="0"/>
                  <w:divBdr>
                    <w:top w:val="none" w:sz="0" w:space="0" w:color="auto"/>
                    <w:left w:val="none" w:sz="0" w:space="0" w:color="auto"/>
                    <w:bottom w:val="none" w:sz="0" w:space="0" w:color="auto"/>
                    <w:right w:val="none" w:sz="0" w:space="0" w:color="auto"/>
                  </w:divBdr>
                </w:div>
                <w:div w:id="1040938296">
                  <w:marLeft w:val="0"/>
                  <w:marRight w:val="0"/>
                  <w:marTop w:val="0"/>
                  <w:marBottom w:val="0"/>
                  <w:divBdr>
                    <w:top w:val="none" w:sz="0" w:space="0" w:color="auto"/>
                    <w:left w:val="none" w:sz="0" w:space="0" w:color="auto"/>
                    <w:bottom w:val="none" w:sz="0" w:space="0" w:color="auto"/>
                    <w:right w:val="none" w:sz="0" w:space="0" w:color="auto"/>
                  </w:divBdr>
                </w:div>
                <w:div w:id="1103065397">
                  <w:marLeft w:val="0"/>
                  <w:marRight w:val="0"/>
                  <w:marTop w:val="0"/>
                  <w:marBottom w:val="0"/>
                  <w:divBdr>
                    <w:top w:val="none" w:sz="0" w:space="0" w:color="auto"/>
                    <w:left w:val="none" w:sz="0" w:space="0" w:color="auto"/>
                    <w:bottom w:val="none" w:sz="0" w:space="0" w:color="auto"/>
                    <w:right w:val="none" w:sz="0" w:space="0" w:color="auto"/>
                  </w:divBdr>
                </w:div>
                <w:div w:id="1687440307">
                  <w:marLeft w:val="0"/>
                  <w:marRight w:val="0"/>
                  <w:marTop w:val="0"/>
                  <w:marBottom w:val="0"/>
                  <w:divBdr>
                    <w:top w:val="none" w:sz="0" w:space="0" w:color="auto"/>
                    <w:left w:val="none" w:sz="0" w:space="0" w:color="auto"/>
                    <w:bottom w:val="none" w:sz="0" w:space="0" w:color="auto"/>
                    <w:right w:val="none" w:sz="0" w:space="0" w:color="auto"/>
                  </w:divBdr>
                </w:div>
                <w:div w:id="1956474145">
                  <w:marLeft w:val="0"/>
                  <w:marRight w:val="0"/>
                  <w:marTop w:val="0"/>
                  <w:marBottom w:val="0"/>
                  <w:divBdr>
                    <w:top w:val="none" w:sz="0" w:space="0" w:color="auto"/>
                    <w:left w:val="none" w:sz="0" w:space="0" w:color="auto"/>
                    <w:bottom w:val="none" w:sz="0" w:space="0" w:color="auto"/>
                    <w:right w:val="none" w:sz="0" w:space="0" w:color="auto"/>
                  </w:divBdr>
                </w:div>
                <w:div w:id="208564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7127">
          <w:marLeft w:val="0"/>
          <w:marRight w:val="0"/>
          <w:marTop w:val="0"/>
          <w:marBottom w:val="115"/>
          <w:divBdr>
            <w:top w:val="none" w:sz="0" w:space="0" w:color="auto"/>
            <w:left w:val="none" w:sz="0" w:space="0" w:color="auto"/>
            <w:bottom w:val="none" w:sz="0" w:space="0" w:color="auto"/>
            <w:right w:val="none" w:sz="0" w:space="0" w:color="auto"/>
          </w:divBdr>
          <w:divsChild>
            <w:div w:id="889728562">
              <w:marLeft w:val="0"/>
              <w:marRight w:val="0"/>
              <w:marTop w:val="0"/>
              <w:marBottom w:val="0"/>
              <w:divBdr>
                <w:top w:val="none" w:sz="0" w:space="0" w:color="auto"/>
                <w:left w:val="none" w:sz="0" w:space="0" w:color="auto"/>
                <w:bottom w:val="none" w:sz="0" w:space="0" w:color="auto"/>
                <w:right w:val="none" w:sz="0" w:space="0" w:color="auto"/>
              </w:divBdr>
            </w:div>
            <w:div w:id="1791820636">
              <w:marLeft w:val="0"/>
              <w:marRight w:val="0"/>
              <w:marTop w:val="0"/>
              <w:marBottom w:val="0"/>
              <w:divBdr>
                <w:top w:val="none" w:sz="0" w:space="0" w:color="auto"/>
                <w:left w:val="none" w:sz="0" w:space="0" w:color="auto"/>
                <w:bottom w:val="none" w:sz="0" w:space="0" w:color="auto"/>
                <w:right w:val="none" w:sz="0" w:space="0" w:color="auto"/>
              </w:divBdr>
              <w:divsChild>
                <w:div w:id="23023751">
                  <w:marLeft w:val="0"/>
                  <w:marRight w:val="0"/>
                  <w:marTop w:val="0"/>
                  <w:marBottom w:val="0"/>
                  <w:divBdr>
                    <w:top w:val="none" w:sz="0" w:space="0" w:color="auto"/>
                    <w:left w:val="none" w:sz="0" w:space="0" w:color="auto"/>
                    <w:bottom w:val="none" w:sz="0" w:space="0" w:color="auto"/>
                    <w:right w:val="none" w:sz="0" w:space="0" w:color="auto"/>
                  </w:divBdr>
                </w:div>
                <w:div w:id="286743510">
                  <w:marLeft w:val="0"/>
                  <w:marRight w:val="0"/>
                  <w:marTop w:val="0"/>
                  <w:marBottom w:val="0"/>
                  <w:divBdr>
                    <w:top w:val="none" w:sz="0" w:space="0" w:color="auto"/>
                    <w:left w:val="none" w:sz="0" w:space="0" w:color="auto"/>
                    <w:bottom w:val="none" w:sz="0" w:space="0" w:color="auto"/>
                    <w:right w:val="none" w:sz="0" w:space="0" w:color="auto"/>
                  </w:divBdr>
                </w:div>
                <w:div w:id="411244551">
                  <w:marLeft w:val="0"/>
                  <w:marRight w:val="0"/>
                  <w:marTop w:val="0"/>
                  <w:marBottom w:val="0"/>
                  <w:divBdr>
                    <w:top w:val="none" w:sz="0" w:space="0" w:color="auto"/>
                    <w:left w:val="none" w:sz="0" w:space="0" w:color="auto"/>
                    <w:bottom w:val="none" w:sz="0" w:space="0" w:color="auto"/>
                    <w:right w:val="none" w:sz="0" w:space="0" w:color="auto"/>
                  </w:divBdr>
                </w:div>
                <w:div w:id="671446960">
                  <w:marLeft w:val="0"/>
                  <w:marRight w:val="0"/>
                  <w:marTop w:val="0"/>
                  <w:marBottom w:val="0"/>
                  <w:divBdr>
                    <w:top w:val="none" w:sz="0" w:space="0" w:color="auto"/>
                    <w:left w:val="none" w:sz="0" w:space="0" w:color="auto"/>
                    <w:bottom w:val="none" w:sz="0" w:space="0" w:color="auto"/>
                    <w:right w:val="none" w:sz="0" w:space="0" w:color="auto"/>
                  </w:divBdr>
                </w:div>
                <w:div w:id="716903652">
                  <w:marLeft w:val="0"/>
                  <w:marRight w:val="0"/>
                  <w:marTop w:val="0"/>
                  <w:marBottom w:val="0"/>
                  <w:divBdr>
                    <w:top w:val="none" w:sz="0" w:space="0" w:color="auto"/>
                    <w:left w:val="none" w:sz="0" w:space="0" w:color="auto"/>
                    <w:bottom w:val="none" w:sz="0" w:space="0" w:color="auto"/>
                    <w:right w:val="none" w:sz="0" w:space="0" w:color="auto"/>
                  </w:divBdr>
                </w:div>
                <w:div w:id="1033385424">
                  <w:marLeft w:val="0"/>
                  <w:marRight w:val="0"/>
                  <w:marTop w:val="0"/>
                  <w:marBottom w:val="0"/>
                  <w:divBdr>
                    <w:top w:val="none" w:sz="0" w:space="0" w:color="auto"/>
                    <w:left w:val="none" w:sz="0" w:space="0" w:color="auto"/>
                    <w:bottom w:val="none" w:sz="0" w:space="0" w:color="auto"/>
                    <w:right w:val="none" w:sz="0" w:space="0" w:color="auto"/>
                  </w:divBdr>
                </w:div>
                <w:div w:id="1138180000">
                  <w:marLeft w:val="0"/>
                  <w:marRight w:val="0"/>
                  <w:marTop w:val="0"/>
                  <w:marBottom w:val="0"/>
                  <w:divBdr>
                    <w:top w:val="none" w:sz="0" w:space="0" w:color="auto"/>
                    <w:left w:val="none" w:sz="0" w:space="0" w:color="auto"/>
                    <w:bottom w:val="none" w:sz="0" w:space="0" w:color="auto"/>
                    <w:right w:val="none" w:sz="0" w:space="0" w:color="auto"/>
                  </w:divBdr>
                </w:div>
                <w:div w:id="1154491848">
                  <w:marLeft w:val="0"/>
                  <w:marRight w:val="0"/>
                  <w:marTop w:val="0"/>
                  <w:marBottom w:val="0"/>
                  <w:divBdr>
                    <w:top w:val="none" w:sz="0" w:space="0" w:color="auto"/>
                    <w:left w:val="none" w:sz="0" w:space="0" w:color="auto"/>
                    <w:bottom w:val="none" w:sz="0" w:space="0" w:color="auto"/>
                    <w:right w:val="none" w:sz="0" w:space="0" w:color="auto"/>
                  </w:divBdr>
                </w:div>
                <w:div w:id="1206866958">
                  <w:marLeft w:val="0"/>
                  <w:marRight w:val="0"/>
                  <w:marTop w:val="0"/>
                  <w:marBottom w:val="0"/>
                  <w:divBdr>
                    <w:top w:val="none" w:sz="0" w:space="0" w:color="auto"/>
                    <w:left w:val="none" w:sz="0" w:space="0" w:color="auto"/>
                    <w:bottom w:val="none" w:sz="0" w:space="0" w:color="auto"/>
                    <w:right w:val="none" w:sz="0" w:space="0" w:color="auto"/>
                  </w:divBdr>
                </w:div>
                <w:div w:id="1280409137">
                  <w:marLeft w:val="0"/>
                  <w:marRight w:val="0"/>
                  <w:marTop w:val="0"/>
                  <w:marBottom w:val="0"/>
                  <w:divBdr>
                    <w:top w:val="none" w:sz="0" w:space="0" w:color="auto"/>
                    <w:left w:val="none" w:sz="0" w:space="0" w:color="auto"/>
                    <w:bottom w:val="none" w:sz="0" w:space="0" w:color="auto"/>
                    <w:right w:val="none" w:sz="0" w:space="0" w:color="auto"/>
                  </w:divBdr>
                </w:div>
                <w:div w:id="1362435273">
                  <w:marLeft w:val="0"/>
                  <w:marRight w:val="0"/>
                  <w:marTop w:val="0"/>
                  <w:marBottom w:val="0"/>
                  <w:divBdr>
                    <w:top w:val="none" w:sz="0" w:space="0" w:color="auto"/>
                    <w:left w:val="none" w:sz="0" w:space="0" w:color="auto"/>
                    <w:bottom w:val="none" w:sz="0" w:space="0" w:color="auto"/>
                    <w:right w:val="none" w:sz="0" w:space="0" w:color="auto"/>
                  </w:divBdr>
                </w:div>
                <w:div w:id="1551335074">
                  <w:marLeft w:val="0"/>
                  <w:marRight w:val="0"/>
                  <w:marTop w:val="0"/>
                  <w:marBottom w:val="0"/>
                  <w:divBdr>
                    <w:top w:val="none" w:sz="0" w:space="0" w:color="auto"/>
                    <w:left w:val="none" w:sz="0" w:space="0" w:color="auto"/>
                    <w:bottom w:val="none" w:sz="0" w:space="0" w:color="auto"/>
                    <w:right w:val="none" w:sz="0" w:space="0" w:color="auto"/>
                  </w:divBdr>
                </w:div>
                <w:div w:id="170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0412">
      <w:bodyDiv w:val="1"/>
      <w:marLeft w:val="0"/>
      <w:marRight w:val="0"/>
      <w:marTop w:val="0"/>
      <w:marBottom w:val="0"/>
      <w:divBdr>
        <w:top w:val="none" w:sz="0" w:space="0" w:color="auto"/>
        <w:left w:val="none" w:sz="0" w:space="0" w:color="auto"/>
        <w:bottom w:val="none" w:sz="0" w:space="0" w:color="auto"/>
        <w:right w:val="none" w:sz="0" w:space="0" w:color="auto"/>
      </w:divBdr>
    </w:div>
    <w:div w:id="775176387">
      <w:bodyDiv w:val="1"/>
      <w:marLeft w:val="0"/>
      <w:marRight w:val="0"/>
      <w:marTop w:val="0"/>
      <w:marBottom w:val="0"/>
      <w:divBdr>
        <w:top w:val="none" w:sz="0" w:space="0" w:color="auto"/>
        <w:left w:val="none" w:sz="0" w:space="0" w:color="auto"/>
        <w:bottom w:val="none" w:sz="0" w:space="0" w:color="auto"/>
        <w:right w:val="none" w:sz="0" w:space="0" w:color="auto"/>
      </w:divBdr>
    </w:div>
    <w:div w:id="776871959">
      <w:bodyDiv w:val="1"/>
      <w:marLeft w:val="0"/>
      <w:marRight w:val="0"/>
      <w:marTop w:val="0"/>
      <w:marBottom w:val="0"/>
      <w:divBdr>
        <w:top w:val="none" w:sz="0" w:space="0" w:color="auto"/>
        <w:left w:val="none" w:sz="0" w:space="0" w:color="auto"/>
        <w:bottom w:val="none" w:sz="0" w:space="0" w:color="auto"/>
        <w:right w:val="none" w:sz="0" w:space="0" w:color="auto"/>
      </w:divBdr>
    </w:div>
    <w:div w:id="780033308">
      <w:bodyDiv w:val="1"/>
      <w:marLeft w:val="0"/>
      <w:marRight w:val="0"/>
      <w:marTop w:val="0"/>
      <w:marBottom w:val="0"/>
      <w:divBdr>
        <w:top w:val="none" w:sz="0" w:space="0" w:color="auto"/>
        <w:left w:val="none" w:sz="0" w:space="0" w:color="auto"/>
        <w:bottom w:val="none" w:sz="0" w:space="0" w:color="auto"/>
        <w:right w:val="none" w:sz="0" w:space="0" w:color="auto"/>
      </w:divBdr>
    </w:div>
    <w:div w:id="782769056">
      <w:bodyDiv w:val="1"/>
      <w:marLeft w:val="0"/>
      <w:marRight w:val="0"/>
      <w:marTop w:val="0"/>
      <w:marBottom w:val="0"/>
      <w:divBdr>
        <w:top w:val="none" w:sz="0" w:space="0" w:color="auto"/>
        <w:left w:val="none" w:sz="0" w:space="0" w:color="auto"/>
        <w:bottom w:val="none" w:sz="0" w:space="0" w:color="auto"/>
        <w:right w:val="none" w:sz="0" w:space="0" w:color="auto"/>
      </w:divBdr>
    </w:div>
    <w:div w:id="797145160">
      <w:bodyDiv w:val="1"/>
      <w:marLeft w:val="0"/>
      <w:marRight w:val="0"/>
      <w:marTop w:val="0"/>
      <w:marBottom w:val="0"/>
      <w:divBdr>
        <w:top w:val="none" w:sz="0" w:space="0" w:color="auto"/>
        <w:left w:val="none" w:sz="0" w:space="0" w:color="auto"/>
        <w:bottom w:val="none" w:sz="0" w:space="0" w:color="auto"/>
        <w:right w:val="none" w:sz="0" w:space="0" w:color="auto"/>
      </w:divBdr>
    </w:div>
    <w:div w:id="797719407">
      <w:bodyDiv w:val="1"/>
      <w:marLeft w:val="0"/>
      <w:marRight w:val="0"/>
      <w:marTop w:val="0"/>
      <w:marBottom w:val="0"/>
      <w:divBdr>
        <w:top w:val="none" w:sz="0" w:space="0" w:color="auto"/>
        <w:left w:val="none" w:sz="0" w:space="0" w:color="auto"/>
        <w:bottom w:val="none" w:sz="0" w:space="0" w:color="auto"/>
        <w:right w:val="none" w:sz="0" w:space="0" w:color="auto"/>
      </w:divBdr>
    </w:div>
    <w:div w:id="802382550">
      <w:bodyDiv w:val="1"/>
      <w:marLeft w:val="0"/>
      <w:marRight w:val="0"/>
      <w:marTop w:val="0"/>
      <w:marBottom w:val="0"/>
      <w:divBdr>
        <w:top w:val="none" w:sz="0" w:space="0" w:color="auto"/>
        <w:left w:val="none" w:sz="0" w:space="0" w:color="auto"/>
        <w:bottom w:val="none" w:sz="0" w:space="0" w:color="auto"/>
        <w:right w:val="none" w:sz="0" w:space="0" w:color="auto"/>
      </w:divBdr>
    </w:div>
    <w:div w:id="809516455">
      <w:bodyDiv w:val="1"/>
      <w:marLeft w:val="0"/>
      <w:marRight w:val="0"/>
      <w:marTop w:val="0"/>
      <w:marBottom w:val="0"/>
      <w:divBdr>
        <w:top w:val="none" w:sz="0" w:space="0" w:color="auto"/>
        <w:left w:val="none" w:sz="0" w:space="0" w:color="auto"/>
        <w:bottom w:val="none" w:sz="0" w:space="0" w:color="auto"/>
        <w:right w:val="none" w:sz="0" w:space="0" w:color="auto"/>
      </w:divBdr>
    </w:div>
    <w:div w:id="814566900">
      <w:bodyDiv w:val="1"/>
      <w:marLeft w:val="0"/>
      <w:marRight w:val="0"/>
      <w:marTop w:val="0"/>
      <w:marBottom w:val="0"/>
      <w:divBdr>
        <w:top w:val="none" w:sz="0" w:space="0" w:color="auto"/>
        <w:left w:val="none" w:sz="0" w:space="0" w:color="auto"/>
        <w:bottom w:val="none" w:sz="0" w:space="0" w:color="auto"/>
        <w:right w:val="none" w:sz="0" w:space="0" w:color="auto"/>
      </w:divBdr>
    </w:div>
    <w:div w:id="814876818">
      <w:bodyDiv w:val="1"/>
      <w:marLeft w:val="0"/>
      <w:marRight w:val="0"/>
      <w:marTop w:val="0"/>
      <w:marBottom w:val="0"/>
      <w:divBdr>
        <w:top w:val="none" w:sz="0" w:space="0" w:color="auto"/>
        <w:left w:val="none" w:sz="0" w:space="0" w:color="auto"/>
        <w:bottom w:val="none" w:sz="0" w:space="0" w:color="auto"/>
        <w:right w:val="none" w:sz="0" w:space="0" w:color="auto"/>
      </w:divBdr>
    </w:div>
    <w:div w:id="828908672">
      <w:bodyDiv w:val="1"/>
      <w:marLeft w:val="0"/>
      <w:marRight w:val="0"/>
      <w:marTop w:val="0"/>
      <w:marBottom w:val="0"/>
      <w:divBdr>
        <w:top w:val="none" w:sz="0" w:space="0" w:color="auto"/>
        <w:left w:val="none" w:sz="0" w:space="0" w:color="auto"/>
        <w:bottom w:val="none" w:sz="0" w:space="0" w:color="auto"/>
        <w:right w:val="none" w:sz="0" w:space="0" w:color="auto"/>
      </w:divBdr>
      <w:divsChild>
        <w:div w:id="422066562">
          <w:marLeft w:val="1829"/>
          <w:marRight w:val="0"/>
          <w:marTop w:val="144"/>
          <w:marBottom w:val="0"/>
          <w:divBdr>
            <w:top w:val="none" w:sz="0" w:space="0" w:color="auto"/>
            <w:left w:val="none" w:sz="0" w:space="0" w:color="auto"/>
            <w:bottom w:val="none" w:sz="0" w:space="0" w:color="auto"/>
            <w:right w:val="none" w:sz="0" w:space="0" w:color="auto"/>
          </w:divBdr>
        </w:div>
        <w:div w:id="807358805">
          <w:marLeft w:val="1181"/>
          <w:marRight w:val="0"/>
          <w:marTop w:val="168"/>
          <w:marBottom w:val="0"/>
          <w:divBdr>
            <w:top w:val="none" w:sz="0" w:space="0" w:color="auto"/>
            <w:left w:val="none" w:sz="0" w:space="0" w:color="auto"/>
            <w:bottom w:val="none" w:sz="0" w:space="0" w:color="auto"/>
            <w:right w:val="none" w:sz="0" w:space="0" w:color="auto"/>
          </w:divBdr>
        </w:div>
        <w:div w:id="885336089">
          <w:marLeft w:val="1829"/>
          <w:marRight w:val="0"/>
          <w:marTop w:val="144"/>
          <w:marBottom w:val="0"/>
          <w:divBdr>
            <w:top w:val="none" w:sz="0" w:space="0" w:color="auto"/>
            <w:left w:val="none" w:sz="0" w:space="0" w:color="auto"/>
            <w:bottom w:val="none" w:sz="0" w:space="0" w:color="auto"/>
            <w:right w:val="none" w:sz="0" w:space="0" w:color="auto"/>
          </w:divBdr>
        </w:div>
        <w:div w:id="1179390451">
          <w:marLeft w:val="475"/>
          <w:marRight w:val="0"/>
          <w:marTop w:val="168"/>
          <w:marBottom w:val="0"/>
          <w:divBdr>
            <w:top w:val="none" w:sz="0" w:space="0" w:color="auto"/>
            <w:left w:val="none" w:sz="0" w:space="0" w:color="auto"/>
            <w:bottom w:val="none" w:sz="0" w:space="0" w:color="auto"/>
            <w:right w:val="none" w:sz="0" w:space="0" w:color="auto"/>
          </w:divBdr>
        </w:div>
        <w:div w:id="1210193337">
          <w:marLeft w:val="1829"/>
          <w:marRight w:val="0"/>
          <w:marTop w:val="144"/>
          <w:marBottom w:val="0"/>
          <w:divBdr>
            <w:top w:val="none" w:sz="0" w:space="0" w:color="auto"/>
            <w:left w:val="none" w:sz="0" w:space="0" w:color="auto"/>
            <w:bottom w:val="none" w:sz="0" w:space="0" w:color="auto"/>
            <w:right w:val="none" w:sz="0" w:space="0" w:color="auto"/>
          </w:divBdr>
        </w:div>
        <w:div w:id="1439330814">
          <w:marLeft w:val="1181"/>
          <w:marRight w:val="0"/>
          <w:marTop w:val="168"/>
          <w:marBottom w:val="0"/>
          <w:divBdr>
            <w:top w:val="none" w:sz="0" w:space="0" w:color="auto"/>
            <w:left w:val="none" w:sz="0" w:space="0" w:color="auto"/>
            <w:bottom w:val="none" w:sz="0" w:space="0" w:color="auto"/>
            <w:right w:val="none" w:sz="0" w:space="0" w:color="auto"/>
          </w:divBdr>
        </w:div>
        <w:div w:id="1560241033">
          <w:marLeft w:val="1181"/>
          <w:marRight w:val="0"/>
          <w:marTop w:val="168"/>
          <w:marBottom w:val="0"/>
          <w:divBdr>
            <w:top w:val="none" w:sz="0" w:space="0" w:color="auto"/>
            <w:left w:val="none" w:sz="0" w:space="0" w:color="auto"/>
            <w:bottom w:val="none" w:sz="0" w:space="0" w:color="auto"/>
            <w:right w:val="none" w:sz="0" w:space="0" w:color="auto"/>
          </w:divBdr>
        </w:div>
        <w:div w:id="1838035125">
          <w:marLeft w:val="1829"/>
          <w:marRight w:val="0"/>
          <w:marTop w:val="144"/>
          <w:marBottom w:val="0"/>
          <w:divBdr>
            <w:top w:val="none" w:sz="0" w:space="0" w:color="auto"/>
            <w:left w:val="none" w:sz="0" w:space="0" w:color="auto"/>
            <w:bottom w:val="none" w:sz="0" w:space="0" w:color="auto"/>
            <w:right w:val="none" w:sz="0" w:space="0" w:color="auto"/>
          </w:divBdr>
        </w:div>
        <w:div w:id="1912621340">
          <w:marLeft w:val="475"/>
          <w:marRight w:val="0"/>
          <w:marTop w:val="168"/>
          <w:marBottom w:val="0"/>
          <w:divBdr>
            <w:top w:val="none" w:sz="0" w:space="0" w:color="auto"/>
            <w:left w:val="none" w:sz="0" w:space="0" w:color="auto"/>
            <w:bottom w:val="none" w:sz="0" w:space="0" w:color="auto"/>
            <w:right w:val="none" w:sz="0" w:space="0" w:color="auto"/>
          </w:divBdr>
        </w:div>
      </w:divsChild>
    </w:div>
    <w:div w:id="829717492">
      <w:bodyDiv w:val="1"/>
      <w:marLeft w:val="0"/>
      <w:marRight w:val="0"/>
      <w:marTop w:val="0"/>
      <w:marBottom w:val="0"/>
      <w:divBdr>
        <w:top w:val="none" w:sz="0" w:space="0" w:color="auto"/>
        <w:left w:val="none" w:sz="0" w:space="0" w:color="auto"/>
        <w:bottom w:val="none" w:sz="0" w:space="0" w:color="auto"/>
        <w:right w:val="none" w:sz="0" w:space="0" w:color="auto"/>
      </w:divBdr>
    </w:div>
    <w:div w:id="830482204">
      <w:bodyDiv w:val="1"/>
      <w:marLeft w:val="0"/>
      <w:marRight w:val="0"/>
      <w:marTop w:val="0"/>
      <w:marBottom w:val="0"/>
      <w:divBdr>
        <w:top w:val="none" w:sz="0" w:space="0" w:color="auto"/>
        <w:left w:val="none" w:sz="0" w:space="0" w:color="auto"/>
        <w:bottom w:val="none" w:sz="0" w:space="0" w:color="auto"/>
        <w:right w:val="none" w:sz="0" w:space="0" w:color="auto"/>
      </w:divBdr>
    </w:div>
    <w:div w:id="833956026">
      <w:bodyDiv w:val="1"/>
      <w:marLeft w:val="0"/>
      <w:marRight w:val="0"/>
      <w:marTop w:val="0"/>
      <w:marBottom w:val="0"/>
      <w:divBdr>
        <w:top w:val="none" w:sz="0" w:space="0" w:color="auto"/>
        <w:left w:val="none" w:sz="0" w:space="0" w:color="auto"/>
        <w:bottom w:val="none" w:sz="0" w:space="0" w:color="auto"/>
        <w:right w:val="none" w:sz="0" w:space="0" w:color="auto"/>
      </w:divBdr>
    </w:div>
    <w:div w:id="836044631">
      <w:bodyDiv w:val="1"/>
      <w:marLeft w:val="0"/>
      <w:marRight w:val="0"/>
      <w:marTop w:val="0"/>
      <w:marBottom w:val="0"/>
      <w:divBdr>
        <w:top w:val="none" w:sz="0" w:space="0" w:color="auto"/>
        <w:left w:val="none" w:sz="0" w:space="0" w:color="auto"/>
        <w:bottom w:val="none" w:sz="0" w:space="0" w:color="auto"/>
        <w:right w:val="none" w:sz="0" w:space="0" w:color="auto"/>
      </w:divBdr>
    </w:div>
    <w:div w:id="837229658">
      <w:bodyDiv w:val="1"/>
      <w:marLeft w:val="0"/>
      <w:marRight w:val="0"/>
      <w:marTop w:val="0"/>
      <w:marBottom w:val="0"/>
      <w:divBdr>
        <w:top w:val="none" w:sz="0" w:space="0" w:color="auto"/>
        <w:left w:val="none" w:sz="0" w:space="0" w:color="auto"/>
        <w:bottom w:val="none" w:sz="0" w:space="0" w:color="auto"/>
        <w:right w:val="none" w:sz="0" w:space="0" w:color="auto"/>
      </w:divBdr>
    </w:div>
    <w:div w:id="837692392">
      <w:bodyDiv w:val="1"/>
      <w:marLeft w:val="0"/>
      <w:marRight w:val="0"/>
      <w:marTop w:val="0"/>
      <w:marBottom w:val="0"/>
      <w:divBdr>
        <w:top w:val="none" w:sz="0" w:space="0" w:color="auto"/>
        <w:left w:val="none" w:sz="0" w:space="0" w:color="auto"/>
        <w:bottom w:val="none" w:sz="0" w:space="0" w:color="auto"/>
        <w:right w:val="none" w:sz="0" w:space="0" w:color="auto"/>
      </w:divBdr>
      <w:divsChild>
        <w:div w:id="327834164">
          <w:marLeft w:val="0"/>
          <w:marRight w:val="0"/>
          <w:marTop w:val="0"/>
          <w:marBottom w:val="81"/>
          <w:divBdr>
            <w:top w:val="none" w:sz="0" w:space="0" w:color="auto"/>
            <w:left w:val="none" w:sz="0" w:space="0" w:color="auto"/>
            <w:bottom w:val="none" w:sz="0" w:space="0" w:color="auto"/>
            <w:right w:val="none" w:sz="0" w:space="0" w:color="auto"/>
          </w:divBdr>
          <w:divsChild>
            <w:div w:id="1116215485">
              <w:marLeft w:val="0"/>
              <w:marRight w:val="0"/>
              <w:marTop w:val="0"/>
              <w:marBottom w:val="0"/>
              <w:divBdr>
                <w:top w:val="none" w:sz="0" w:space="0" w:color="auto"/>
                <w:left w:val="none" w:sz="0" w:space="0" w:color="auto"/>
                <w:bottom w:val="none" w:sz="0" w:space="0" w:color="auto"/>
                <w:right w:val="none" w:sz="0" w:space="0" w:color="auto"/>
              </w:divBdr>
              <w:divsChild>
                <w:div w:id="861158">
                  <w:marLeft w:val="0"/>
                  <w:marRight w:val="0"/>
                  <w:marTop w:val="0"/>
                  <w:marBottom w:val="0"/>
                  <w:divBdr>
                    <w:top w:val="none" w:sz="0" w:space="0" w:color="auto"/>
                    <w:left w:val="none" w:sz="0" w:space="0" w:color="auto"/>
                    <w:bottom w:val="none" w:sz="0" w:space="0" w:color="auto"/>
                    <w:right w:val="none" w:sz="0" w:space="0" w:color="auto"/>
                  </w:divBdr>
                </w:div>
              </w:divsChild>
            </w:div>
            <w:div w:id="1152675651">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839076842">
      <w:bodyDiv w:val="1"/>
      <w:marLeft w:val="0"/>
      <w:marRight w:val="0"/>
      <w:marTop w:val="0"/>
      <w:marBottom w:val="0"/>
      <w:divBdr>
        <w:top w:val="none" w:sz="0" w:space="0" w:color="auto"/>
        <w:left w:val="none" w:sz="0" w:space="0" w:color="auto"/>
        <w:bottom w:val="none" w:sz="0" w:space="0" w:color="auto"/>
        <w:right w:val="none" w:sz="0" w:space="0" w:color="auto"/>
      </w:divBdr>
    </w:div>
    <w:div w:id="839391526">
      <w:bodyDiv w:val="1"/>
      <w:marLeft w:val="0"/>
      <w:marRight w:val="0"/>
      <w:marTop w:val="0"/>
      <w:marBottom w:val="0"/>
      <w:divBdr>
        <w:top w:val="none" w:sz="0" w:space="0" w:color="auto"/>
        <w:left w:val="none" w:sz="0" w:space="0" w:color="auto"/>
        <w:bottom w:val="none" w:sz="0" w:space="0" w:color="auto"/>
        <w:right w:val="none" w:sz="0" w:space="0" w:color="auto"/>
      </w:divBdr>
    </w:div>
    <w:div w:id="839395983">
      <w:bodyDiv w:val="1"/>
      <w:marLeft w:val="0"/>
      <w:marRight w:val="0"/>
      <w:marTop w:val="0"/>
      <w:marBottom w:val="0"/>
      <w:divBdr>
        <w:top w:val="none" w:sz="0" w:space="0" w:color="auto"/>
        <w:left w:val="none" w:sz="0" w:space="0" w:color="auto"/>
        <w:bottom w:val="none" w:sz="0" w:space="0" w:color="auto"/>
        <w:right w:val="none" w:sz="0" w:space="0" w:color="auto"/>
      </w:divBdr>
    </w:div>
    <w:div w:id="839732688">
      <w:bodyDiv w:val="1"/>
      <w:marLeft w:val="0"/>
      <w:marRight w:val="0"/>
      <w:marTop w:val="0"/>
      <w:marBottom w:val="0"/>
      <w:divBdr>
        <w:top w:val="none" w:sz="0" w:space="0" w:color="auto"/>
        <w:left w:val="none" w:sz="0" w:space="0" w:color="auto"/>
        <w:bottom w:val="none" w:sz="0" w:space="0" w:color="auto"/>
        <w:right w:val="none" w:sz="0" w:space="0" w:color="auto"/>
      </w:divBdr>
    </w:div>
    <w:div w:id="843282251">
      <w:bodyDiv w:val="1"/>
      <w:marLeft w:val="0"/>
      <w:marRight w:val="0"/>
      <w:marTop w:val="0"/>
      <w:marBottom w:val="0"/>
      <w:divBdr>
        <w:top w:val="none" w:sz="0" w:space="0" w:color="auto"/>
        <w:left w:val="none" w:sz="0" w:space="0" w:color="auto"/>
        <w:bottom w:val="none" w:sz="0" w:space="0" w:color="auto"/>
        <w:right w:val="none" w:sz="0" w:space="0" w:color="auto"/>
      </w:divBdr>
    </w:div>
    <w:div w:id="845822953">
      <w:bodyDiv w:val="1"/>
      <w:marLeft w:val="0"/>
      <w:marRight w:val="0"/>
      <w:marTop w:val="0"/>
      <w:marBottom w:val="0"/>
      <w:divBdr>
        <w:top w:val="none" w:sz="0" w:space="0" w:color="auto"/>
        <w:left w:val="none" w:sz="0" w:space="0" w:color="auto"/>
        <w:bottom w:val="none" w:sz="0" w:space="0" w:color="auto"/>
        <w:right w:val="none" w:sz="0" w:space="0" w:color="auto"/>
      </w:divBdr>
    </w:div>
    <w:div w:id="846753592">
      <w:bodyDiv w:val="1"/>
      <w:marLeft w:val="0"/>
      <w:marRight w:val="0"/>
      <w:marTop w:val="0"/>
      <w:marBottom w:val="0"/>
      <w:divBdr>
        <w:top w:val="none" w:sz="0" w:space="0" w:color="auto"/>
        <w:left w:val="none" w:sz="0" w:space="0" w:color="auto"/>
        <w:bottom w:val="none" w:sz="0" w:space="0" w:color="auto"/>
        <w:right w:val="none" w:sz="0" w:space="0" w:color="auto"/>
      </w:divBdr>
      <w:divsChild>
        <w:div w:id="745225518">
          <w:marLeft w:val="0"/>
          <w:marRight w:val="240"/>
          <w:marTop w:val="96"/>
          <w:marBottom w:val="240"/>
          <w:divBdr>
            <w:top w:val="none" w:sz="0" w:space="0" w:color="auto"/>
            <w:left w:val="none" w:sz="0" w:space="0" w:color="auto"/>
            <w:bottom w:val="none" w:sz="0" w:space="0" w:color="auto"/>
            <w:right w:val="none" w:sz="0" w:space="0" w:color="auto"/>
          </w:divBdr>
          <w:divsChild>
            <w:div w:id="613945877">
              <w:marLeft w:val="0"/>
              <w:marRight w:val="0"/>
              <w:marTop w:val="0"/>
              <w:marBottom w:val="0"/>
              <w:divBdr>
                <w:top w:val="none" w:sz="0" w:space="0" w:color="auto"/>
                <w:left w:val="none" w:sz="0" w:space="0" w:color="auto"/>
                <w:bottom w:val="single" w:sz="4" w:space="1" w:color="D1D1D1"/>
                <w:right w:val="none" w:sz="0" w:space="0" w:color="auto"/>
              </w:divBdr>
            </w:div>
          </w:divsChild>
        </w:div>
        <w:div w:id="1748110725">
          <w:marLeft w:val="0"/>
          <w:marRight w:val="240"/>
          <w:marTop w:val="96"/>
          <w:marBottom w:val="240"/>
          <w:divBdr>
            <w:top w:val="none" w:sz="0" w:space="0" w:color="auto"/>
            <w:left w:val="none" w:sz="0" w:space="0" w:color="auto"/>
            <w:bottom w:val="none" w:sz="0" w:space="0" w:color="auto"/>
            <w:right w:val="none" w:sz="0" w:space="0" w:color="auto"/>
          </w:divBdr>
          <w:divsChild>
            <w:div w:id="415051635">
              <w:marLeft w:val="0"/>
              <w:marRight w:val="0"/>
              <w:marTop w:val="0"/>
              <w:marBottom w:val="0"/>
              <w:divBdr>
                <w:top w:val="none" w:sz="0" w:space="0" w:color="auto"/>
                <w:left w:val="none" w:sz="0" w:space="0" w:color="auto"/>
                <w:bottom w:val="single" w:sz="4" w:space="1" w:color="D1D1D1"/>
                <w:right w:val="none" w:sz="0" w:space="0" w:color="auto"/>
              </w:divBdr>
            </w:div>
          </w:divsChild>
        </w:div>
      </w:divsChild>
    </w:div>
    <w:div w:id="847257144">
      <w:bodyDiv w:val="1"/>
      <w:marLeft w:val="0"/>
      <w:marRight w:val="0"/>
      <w:marTop w:val="0"/>
      <w:marBottom w:val="0"/>
      <w:divBdr>
        <w:top w:val="none" w:sz="0" w:space="0" w:color="auto"/>
        <w:left w:val="none" w:sz="0" w:space="0" w:color="auto"/>
        <w:bottom w:val="none" w:sz="0" w:space="0" w:color="auto"/>
        <w:right w:val="none" w:sz="0" w:space="0" w:color="auto"/>
      </w:divBdr>
    </w:div>
    <w:div w:id="852036607">
      <w:bodyDiv w:val="1"/>
      <w:marLeft w:val="0"/>
      <w:marRight w:val="0"/>
      <w:marTop w:val="0"/>
      <w:marBottom w:val="0"/>
      <w:divBdr>
        <w:top w:val="none" w:sz="0" w:space="0" w:color="auto"/>
        <w:left w:val="none" w:sz="0" w:space="0" w:color="auto"/>
        <w:bottom w:val="none" w:sz="0" w:space="0" w:color="auto"/>
        <w:right w:val="none" w:sz="0" w:space="0" w:color="auto"/>
      </w:divBdr>
      <w:divsChild>
        <w:div w:id="134756924">
          <w:marLeft w:val="0"/>
          <w:marRight w:val="0"/>
          <w:marTop w:val="105"/>
          <w:marBottom w:val="210"/>
          <w:divBdr>
            <w:top w:val="none" w:sz="0" w:space="0" w:color="auto"/>
            <w:left w:val="none" w:sz="0" w:space="0" w:color="auto"/>
            <w:bottom w:val="none" w:sz="0" w:space="0" w:color="auto"/>
            <w:right w:val="none" w:sz="0" w:space="0" w:color="auto"/>
          </w:divBdr>
        </w:div>
      </w:divsChild>
    </w:div>
    <w:div w:id="856383308">
      <w:bodyDiv w:val="1"/>
      <w:marLeft w:val="0"/>
      <w:marRight w:val="0"/>
      <w:marTop w:val="0"/>
      <w:marBottom w:val="0"/>
      <w:divBdr>
        <w:top w:val="none" w:sz="0" w:space="0" w:color="auto"/>
        <w:left w:val="none" w:sz="0" w:space="0" w:color="auto"/>
        <w:bottom w:val="none" w:sz="0" w:space="0" w:color="auto"/>
        <w:right w:val="none" w:sz="0" w:space="0" w:color="auto"/>
      </w:divBdr>
    </w:div>
    <w:div w:id="857738197">
      <w:bodyDiv w:val="1"/>
      <w:marLeft w:val="0"/>
      <w:marRight w:val="0"/>
      <w:marTop w:val="0"/>
      <w:marBottom w:val="0"/>
      <w:divBdr>
        <w:top w:val="none" w:sz="0" w:space="0" w:color="auto"/>
        <w:left w:val="none" w:sz="0" w:space="0" w:color="auto"/>
        <w:bottom w:val="none" w:sz="0" w:space="0" w:color="auto"/>
        <w:right w:val="none" w:sz="0" w:space="0" w:color="auto"/>
      </w:divBdr>
    </w:div>
    <w:div w:id="857812244">
      <w:bodyDiv w:val="1"/>
      <w:marLeft w:val="0"/>
      <w:marRight w:val="0"/>
      <w:marTop w:val="0"/>
      <w:marBottom w:val="0"/>
      <w:divBdr>
        <w:top w:val="none" w:sz="0" w:space="0" w:color="auto"/>
        <w:left w:val="none" w:sz="0" w:space="0" w:color="auto"/>
        <w:bottom w:val="none" w:sz="0" w:space="0" w:color="auto"/>
        <w:right w:val="none" w:sz="0" w:space="0" w:color="auto"/>
      </w:divBdr>
    </w:div>
    <w:div w:id="858393110">
      <w:bodyDiv w:val="1"/>
      <w:marLeft w:val="0"/>
      <w:marRight w:val="0"/>
      <w:marTop w:val="0"/>
      <w:marBottom w:val="0"/>
      <w:divBdr>
        <w:top w:val="none" w:sz="0" w:space="0" w:color="auto"/>
        <w:left w:val="none" w:sz="0" w:space="0" w:color="auto"/>
        <w:bottom w:val="none" w:sz="0" w:space="0" w:color="auto"/>
        <w:right w:val="none" w:sz="0" w:space="0" w:color="auto"/>
      </w:divBdr>
    </w:div>
    <w:div w:id="860553220">
      <w:bodyDiv w:val="1"/>
      <w:marLeft w:val="0"/>
      <w:marRight w:val="0"/>
      <w:marTop w:val="0"/>
      <w:marBottom w:val="0"/>
      <w:divBdr>
        <w:top w:val="none" w:sz="0" w:space="0" w:color="auto"/>
        <w:left w:val="none" w:sz="0" w:space="0" w:color="auto"/>
        <w:bottom w:val="none" w:sz="0" w:space="0" w:color="auto"/>
        <w:right w:val="none" w:sz="0" w:space="0" w:color="auto"/>
      </w:divBdr>
    </w:div>
    <w:div w:id="866407561">
      <w:bodyDiv w:val="1"/>
      <w:marLeft w:val="0"/>
      <w:marRight w:val="0"/>
      <w:marTop w:val="0"/>
      <w:marBottom w:val="0"/>
      <w:divBdr>
        <w:top w:val="none" w:sz="0" w:space="0" w:color="auto"/>
        <w:left w:val="none" w:sz="0" w:space="0" w:color="auto"/>
        <w:bottom w:val="none" w:sz="0" w:space="0" w:color="auto"/>
        <w:right w:val="none" w:sz="0" w:space="0" w:color="auto"/>
      </w:divBdr>
    </w:div>
    <w:div w:id="867185141">
      <w:bodyDiv w:val="1"/>
      <w:marLeft w:val="0"/>
      <w:marRight w:val="0"/>
      <w:marTop w:val="0"/>
      <w:marBottom w:val="0"/>
      <w:divBdr>
        <w:top w:val="none" w:sz="0" w:space="0" w:color="auto"/>
        <w:left w:val="none" w:sz="0" w:space="0" w:color="auto"/>
        <w:bottom w:val="none" w:sz="0" w:space="0" w:color="auto"/>
        <w:right w:val="none" w:sz="0" w:space="0" w:color="auto"/>
      </w:divBdr>
      <w:divsChild>
        <w:div w:id="1344820978">
          <w:marLeft w:val="0"/>
          <w:marRight w:val="0"/>
          <w:marTop w:val="0"/>
          <w:marBottom w:val="0"/>
          <w:divBdr>
            <w:top w:val="none" w:sz="0" w:space="0" w:color="auto"/>
            <w:left w:val="none" w:sz="0" w:space="0" w:color="auto"/>
            <w:bottom w:val="none" w:sz="0" w:space="0" w:color="auto"/>
            <w:right w:val="none" w:sz="0" w:space="0" w:color="auto"/>
          </w:divBdr>
        </w:div>
        <w:div w:id="694039988">
          <w:marLeft w:val="0"/>
          <w:marRight w:val="0"/>
          <w:marTop w:val="0"/>
          <w:marBottom w:val="0"/>
          <w:divBdr>
            <w:top w:val="none" w:sz="0" w:space="0" w:color="auto"/>
            <w:left w:val="none" w:sz="0" w:space="0" w:color="auto"/>
            <w:bottom w:val="none" w:sz="0" w:space="0" w:color="auto"/>
            <w:right w:val="none" w:sz="0" w:space="0" w:color="auto"/>
          </w:divBdr>
        </w:div>
        <w:div w:id="1134443699">
          <w:marLeft w:val="0"/>
          <w:marRight w:val="0"/>
          <w:marTop w:val="0"/>
          <w:marBottom w:val="0"/>
          <w:divBdr>
            <w:top w:val="none" w:sz="0" w:space="0" w:color="auto"/>
            <w:left w:val="none" w:sz="0" w:space="0" w:color="auto"/>
            <w:bottom w:val="none" w:sz="0" w:space="0" w:color="auto"/>
            <w:right w:val="none" w:sz="0" w:space="0" w:color="auto"/>
          </w:divBdr>
        </w:div>
        <w:div w:id="1063454876">
          <w:marLeft w:val="0"/>
          <w:marRight w:val="0"/>
          <w:marTop w:val="0"/>
          <w:marBottom w:val="0"/>
          <w:divBdr>
            <w:top w:val="none" w:sz="0" w:space="0" w:color="auto"/>
            <w:left w:val="none" w:sz="0" w:space="0" w:color="auto"/>
            <w:bottom w:val="none" w:sz="0" w:space="0" w:color="auto"/>
            <w:right w:val="none" w:sz="0" w:space="0" w:color="auto"/>
          </w:divBdr>
        </w:div>
        <w:div w:id="1347437158">
          <w:marLeft w:val="0"/>
          <w:marRight w:val="0"/>
          <w:marTop w:val="0"/>
          <w:marBottom w:val="0"/>
          <w:divBdr>
            <w:top w:val="none" w:sz="0" w:space="0" w:color="auto"/>
            <w:left w:val="none" w:sz="0" w:space="0" w:color="auto"/>
            <w:bottom w:val="none" w:sz="0" w:space="0" w:color="auto"/>
            <w:right w:val="none" w:sz="0" w:space="0" w:color="auto"/>
          </w:divBdr>
        </w:div>
        <w:div w:id="1273781389">
          <w:marLeft w:val="0"/>
          <w:marRight w:val="0"/>
          <w:marTop w:val="0"/>
          <w:marBottom w:val="0"/>
          <w:divBdr>
            <w:top w:val="none" w:sz="0" w:space="0" w:color="auto"/>
            <w:left w:val="none" w:sz="0" w:space="0" w:color="auto"/>
            <w:bottom w:val="none" w:sz="0" w:space="0" w:color="auto"/>
            <w:right w:val="none" w:sz="0" w:space="0" w:color="auto"/>
          </w:divBdr>
        </w:div>
        <w:div w:id="573970651">
          <w:marLeft w:val="0"/>
          <w:marRight w:val="0"/>
          <w:marTop w:val="0"/>
          <w:marBottom w:val="0"/>
          <w:divBdr>
            <w:top w:val="none" w:sz="0" w:space="0" w:color="auto"/>
            <w:left w:val="none" w:sz="0" w:space="0" w:color="auto"/>
            <w:bottom w:val="none" w:sz="0" w:space="0" w:color="auto"/>
            <w:right w:val="none" w:sz="0" w:space="0" w:color="auto"/>
          </w:divBdr>
        </w:div>
        <w:div w:id="571892340">
          <w:marLeft w:val="0"/>
          <w:marRight w:val="0"/>
          <w:marTop w:val="0"/>
          <w:marBottom w:val="0"/>
          <w:divBdr>
            <w:top w:val="none" w:sz="0" w:space="0" w:color="auto"/>
            <w:left w:val="none" w:sz="0" w:space="0" w:color="auto"/>
            <w:bottom w:val="none" w:sz="0" w:space="0" w:color="auto"/>
            <w:right w:val="none" w:sz="0" w:space="0" w:color="auto"/>
          </w:divBdr>
        </w:div>
        <w:div w:id="374735995">
          <w:marLeft w:val="0"/>
          <w:marRight w:val="0"/>
          <w:marTop w:val="0"/>
          <w:marBottom w:val="0"/>
          <w:divBdr>
            <w:top w:val="none" w:sz="0" w:space="0" w:color="auto"/>
            <w:left w:val="none" w:sz="0" w:space="0" w:color="auto"/>
            <w:bottom w:val="none" w:sz="0" w:space="0" w:color="auto"/>
            <w:right w:val="none" w:sz="0" w:space="0" w:color="auto"/>
          </w:divBdr>
        </w:div>
        <w:div w:id="2020892318">
          <w:marLeft w:val="0"/>
          <w:marRight w:val="0"/>
          <w:marTop w:val="0"/>
          <w:marBottom w:val="0"/>
          <w:divBdr>
            <w:top w:val="none" w:sz="0" w:space="0" w:color="auto"/>
            <w:left w:val="none" w:sz="0" w:space="0" w:color="auto"/>
            <w:bottom w:val="none" w:sz="0" w:space="0" w:color="auto"/>
            <w:right w:val="none" w:sz="0" w:space="0" w:color="auto"/>
          </w:divBdr>
        </w:div>
        <w:div w:id="2001033848">
          <w:marLeft w:val="0"/>
          <w:marRight w:val="0"/>
          <w:marTop w:val="0"/>
          <w:marBottom w:val="0"/>
          <w:divBdr>
            <w:top w:val="none" w:sz="0" w:space="0" w:color="auto"/>
            <w:left w:val="none" w:sz="0" w:space="0" w:color="auto"/>
            <w:bottom w:val="none" w:sz="0" w:space="0" w:color="auto"/>
            <w:right w:val="none" w:sz="0" w:space="0" w:color="auto"/>
          </w:divBdr>
        </w:div>
        <w:div w:id="1395736215">
          <w:marLeft w:val="0"/>
          <w:marRight w:val="0"/>
          <w:marTop w:val="0"/>
          <w:marBottom w:val="0"/>
          <w:divBdr>
            <w:top w:val="none" w:sz="0" w:space="0" w:color="auto"/>
            <w:left w:val="none" w:sz="0" w:space="0" w:color="auto"/>
            <w:bottom w:val="none" w:sz="0" w:space="0" w:color="auto"/>
            <w:right w:val="none" w:sz="0" w:space="0" w:color="auto"/>
          </w:divBdr>
        </w:div>
        <w:div w:id="798495986">
          <w:marLeft w:val="0"/>
          <w:marRight w:val="0"/>
          <w:marTop w:val="0"/>
          <w:marBottom w:val="0"/>
          <w:divBdr>
            <w:top w:val="none" w:sz="0" w:space="0" w:color="auto"/>
            <w:left w:val="none" w:sz="0" w:space="0" w:color="auto"/>
            <w:bottom w:val="none" w:sz="0" w:space="0" w:color="auto"/>
            <w:right w:val="none" w:sz="0" w:space="0" w:color="auto"/>
          </w:divBdr>
        </w:div>
        <w:div w:id="685592519">
          <w:marLeft w:val="0"/>
          <w:marRight w:val="0"/>
          <w:marTop w:val="0"/>
          <w:marBottom w:val="0"/>
          <w:divBdr>
            <w:top w:val="none" w:sz="0" w:space="0" w:color="auto"/>
            <w:left w:val="none" w:sz="0" w:space="0" w:color="auto"/>
            <w:bottom w:val="none" w:sz="0" w:space="0" w:color="auto"/>
            <w:right w:val="none" w:sz="0" w:space="0" w:color="auto"/>
          </w:divBdr>
        </w:div>
        <w:div w:id="517040165">
          <w:marLeft w:val="0"/>
          <w:marRight w:val="0"/>
          <w:marTop w:val="0"/>
          <w:marBottom w:val="0"/>
          <w:divBdr>
            <w:top w:val="none" w:sz="0" w:space="0" w:color="auto"/>
            <w:left w:val="none" w:sz="0" w:space="0" w:color="auto"/>
            <w:bottom w:val="none" w:sz="0" w:space="0" w:color="auto"/>
            <w:right w:val="none" w:sz="0" w:space="0" w:color="auto"/>
          </w:divBdr>
        </w:div>
        <w:div w:id="43911356">
          <w:marLeft w:val="0"/>
          <w:marRight w:val="0"/>
          <w:marTop w:val="0"/>
          <w:marBottom w:val="0"/>
          <w:divBdr>
            <w:top w:val="none" w:sz="0" w:space="0" w:color="auto"/>
            <w:left w:val="none" w:sz="0" w:space="0" w:color="auto"/>
            <w:bottom w:val="none" w:sz="0" w:space="0" w:color="auto"/>
            <w:right w:val="none" w:sz="0" w:space="0" w:color="auto"/>
          </w:divBdr>
        </w:div>
        <w:div w:id="634877339">
          <w:marLeft w:val="0"/>
          <w:marRight w:val="0"/>
          <w:marTop w:val="0"/>
          <w:marBottom w:val="0"/>
          <w:divBdr>
            <w:top w:val="none" w:sz="0" w:space="0" w:color="auto"/>
            <w:left w:val="none" w:sz="0" w:space="0" w:color="auto"/>
            <w:bottom w:val="none" w:sz="0" w:space="0" w:color="auto"/>
            <w:right w:val="none" w:sz="0" w:space="0" w:color="auto"/>
          </w:divBdr>
        </w:div>
        <w:div w:id="1481313136">
          <w:marLeft w:val="0"/>
          <w:marRight w:val="0"/>
          <w:marTop w:val="0"/>
          <w:marBottom w:val="0"/>
          <w:divBdr>
            <w:top w:val="none" w:sz="0" w:space="0" w:color="auto"/>
            <w:left w:val="none" w:sz="0" w:space="0" w:color="auto"/>
            <w:bottom w:val="none" w:sz="0" w:space="0" w:color="auto"/>
            <w:right w:val="none" w:sz="0" w:space="0" w:color="auto"/>
          </w:divBdr>
        </w:div>
        <w:div w:id="1590044019">
          <w:marLeft w:val="0"/>
          <w:marRight w:val="0"/>
          <w:marTop w:val="0"/>
          <w:marBottom w:val="0"/>
          <w:divBdr>
            <w:top w:val="none" w:sz="0" w:space="0" w:color="auto"/>
            <w:left w:val="none" w:sz="0" w:space="0" w:color="auto"/>
            <w:bottom w:val="none" w:sz="0" w:space="0" w:color="auto"/>
            <w:right w:val="none" w:sz="0" w:space="0" w:color="auto"/>
          </w:divBdr>
        </w:div>
        <w:div w:id="1097288324">
          <w:marLeft w:val="0"/>
          <w:marRight w:val="0"/>
          <w:marTop w:val="0"/>
          <w:marBottom w:val="0"/>
          <w:divBdr>
            <w:top w:val="none" w:sz="0" w:space="0" w:color="auto"/>
            <w:left w:val="none" w:sz="0" w:space="0" w:color="auto"/>
            <w:bottom w:val="none" w:sz="0" w:space="0" w:color="auto"/>
            <w:right w:val="none" w:sz="0" w:space="0" w:color="auto"/>
          </w:divBdr>
        </w:div>
        <w:div w:id="1108352013">
          <w:marLeft w:val="0"/>
          <w:marRight w:val="0"/>
          <w:marTop w:val="0"/>
          <w:marBottom w:val="0"/>
          <w:divBdr>
            <w:top w:val="none" w:sz="0" w:space="0" w:color="auto"/>
            <w:left w:val="none" w:sz="0" w:space="0" w:color="auto"/>
            <w:bottom w:val="none" w:sz="0" w:space="0" w:color="auto"/>
            <w:right w:val="none" w:sz="0" w:space="0" w:color="auto"/>
          </w:divBdr>
        </w:div>
        <w:div w:id="1078133434">
          <w:marLeft w:val="0"/>
          <w:marRight w:val="0"/>
          <w:marTop w:val="0"/>
          <w:marBottom w:val="0"/>
          <w:divBdr>
            <w:top w:val="none" w:sz="0" w:space="0" w:color="auto"/>
            <w:left w:val="none" w:sz="0" w:space="0" w:color="auto"/>
            <w:bottom w:val="none" w:sz="0" w:space="0" w:color="auto"/>
            <w:right w:val="none" w:sz="0" w:space="0" w:color="auto"/>
          </w:divBdr>
        </w:div>
        <w:div w:id="586690490">
          <w:marLeft w:val="0"/>
          <w:marRight w:val="0"/>
          <w:marTop w:val="0"/>
          <w:marBottom w:val="0"/>
          <w:divBdr>
            <w:top w:val="none" w:sz="0" w:space="0" w:color="auto"/>
            <w:left w:val="none" w:sz="0" w:space="0" w:color="auto"/>
            <w:bottom w:val="none" w:sz="0" w:space="0" w:color="auto"/>
            <w:right w:val="none" w:sz="0" w:space="0" w:color="auto"/>
          </w:divBdr>
        </w:div>
        <w:div w:id="2063600356">
          <w:marLeft w:val="0"/>
          <w:marRight w:val="0"/>
          <w:marTop w:val="0"/>
          <w:marBottom w:val="0"/>
          <w:divBdr>
            <w:top w:val="none" w:sz="0" w:space="0" w:color="auto"/>
            <w:left w:val="none" w:sz="0" w:space="0" w:color="auto"/>
            <w:bottom w:val="none" w:sz="0" w:space="0" w:color="auto"/>
            <w:right w:val="none" w:sz="0" w:space="0" w:color="auto"/>
          </w:divBdr>
        </w:div>
        <w:div w:id="1591770238">
          <w:marLeft w:val="0"/>
          <w:marRight w:val="0"/>
          <w:marTop w:val="0"/>
          <w:marBottom w:val="0"/>
          <w:divBdr>
            <w:top w:val="none" w:sz="0" w:space="0" w:color="auto"/>
            <w:left w:val="none" w:sz="0" w:space="0" w:color="auto"/>
            <w:bottom w:val="none" w:sz="0" w:space="0" w:color="auto"/>
            <w:right w:val="none" w:sz="0" w:space="0" w:color="auto"/>
          </w:divBdr>
        </w:div>
        <w:div w:id="237790706">
          <w:marLeft w:val="0"/>
          <w:marRight w:val="0"/>
          <w:marTop w:val="0"/>
          <w:marBottom w:val="0"/>
          <w:divBdr>
            <w:top w:val="none" w:sz="0" w:space="0" w:color="auto"/>
            <w:left w:val="none" w:sz="0" w:space="0" w:color="auto"/>
            <w:bottom w:val="none" w:sz="0" w:space="0" w:color="auto"/>
            <w:right w:val="none" w:sz="0" w:space="0" w:color="auto"/>
          </w:divBdr>
        </w:div>
        <w:div w:id="380400014">
          <w:marLeft w:val="0"/>
          <w:marRight w:val="0"/>
          <w:marTop w:val="0"/>
          <w:marBottom w:val="0"/>
          <w:divBdr>
            <w:top w:val="none" w:sz="0" w:space="0" w:color="auto"/>
            <w:left w:val="none" w:sz="0" w:space="0" w:color="auto"/>
            <w:bottom w:val="none" w:sz="0" w:space="0" w:color="auto"/>
            <w:right w:val="none" w:sz="0" w:space="0" w:color="auto"/>
          </w:divBdr>
        </w:div>
        <w:div w:id="1965038449">
          <w:marLeft w:val="0"/>
          <w:marRight w:val="0"/>
          <w:marTop w:val="0"/>
          <w:marBottom w:val="0"/>
          <w:divBdr>
            <w:top w:val="none" w:sz="0" w:space="0" w:color="auto"/>
            <w:left w:val="none" w:sz="0" w:space="0" w:color="auto"/>
            <w:bottom w:val="none" w:sz="0" w:space="0" w:color="auto"/>
            <w:right w:val="none" w:sz="0" w:space="0" w:color="auto"/>
          </w:divBdr>
        </w:div>
        <w:div w:id="1421170826">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655257593">
          <w:marLeft w:val="0"/>
          <w:marRight w:val="0"/>
          <w:marTop w:val="0"/>
          <w:marBottom w:val="0"/>
          <w:divBdr>
            <w:top w:val="none" w:sz="0" w:space="0" w:color="auto"/>
            <w:left w:val="none" w:sz="0" w:space="0" w:color="auto"/>
            <w:bottom w:val="none" w:sz="0" w:space="0" w:color="auto"/>
            <w:right w:val="none" w:sz="0" w:space="0" w:color="auto"/>
          </w:divBdr>
        </w:div>
        <w:div w:id="1361395213">
          <w:marLeft w:val="0"/>
          <w:marRight w:val="0"/>
          <w:marTop w:val="0"/>
          <w:marBottom w:val="0"/>
          <w:divBdr>
            <w:top w:val="none" w:sz="0" w:space="0" w:color="auto"/>
            <w:left w:val="none" w:sz="0" w:space="0" w:color="auto"/>
            <w:bottom w:val="none" w:sz="0" w:space="0" w:color="auto"/>
            <w:right w:val="none" w:sz="0" w:space="0" w:color="auto"/>
          </w:divBdr>
        </w:div>
        <w:div w:id="637227637">
          <w:marLeft w:val="0"/>
          <w:marRight w:val="0"/>
          <w:marTop w:val="0"/>
          <w:marBottom w:val="0"/>
          <w:divBdr>
            <w:top w:val="none" w:sz="0" w:space="0" w:color="auto"/>
            <w:left w:val="none" w:sz="0" w:space="0" w:color="auto"/>
            <w:bottom w:val="none" w:sz="0" w:space="0" w:color="auto"/>
            <w:right w:val="none" w:sz="0" w:space="0" w:color="auto"/>
          </w:divBdr>
        </w:div>
        <w:div w:id="24596162">
          <w:marLeft w:val="0"/>
          <w:marRight w:val="0"/>
          <w:marTop w:val="0"/>
          <w:marBottom w:val="0"/>
          <w:divBdr>
            <w:top w:val="none" w:sz="0" w:space="0" w:color="auto"/>
            <w:left w:val="none" w:sz="0" w:space="0" w:color="auto"/>
            <w:bottom w:val="none" w:sz="0" w:space="0" w:color="auto"/>
            <w:right w:val="none" w:sz="0" w:space="0" w:color="auto"/>
          </w:divBdr>
        </w:div>
        <w:div w:id="395903410">
          <w:marLeft w:val="0"/>
          <w:marRight w:val="0"/>
          <w:marTop w:val="0"/>
          <w:marBottom w:val="0"/>
          <w:divBdr>
            <w:top w:val="none" w:sz="0" w:space="0" w:color="auto"/>
            <w:left w:val="none" w:sz="0" w:space="0" w:color="auto"/>
            <w:bottom w:val="none" w:sz="0" w:space="0" w:color="auto"/>
            <w:right w:val="none" w:sz="0" w:space="0" w:color="auto"/>
          </w:divBdr>
        </w:div>
        <w:div w:id="143743559">
          <w:marLeft w:val="0"/>
          <w:marRight w:val="0"/>
          <w:marTop w:val="0"/>
          <w:marBottom w:val="0"/>
          <w:divBdr>
            <w:top w:val="none" w:sz="0" w:space="0" w:color="auto"/>
            <w:left w:val="none" w:sz="0" w:space="0" w:color="auto"/>
            <w:bottom w:val="none" w:sz="0" w:space="0" w:color="auto"/>
            <w:right w:val="none" w:sz="0" w:space="0" w:color="auto"/>
          </w:divBdr>
        </w:div>
        <w:div w:id="1957903473">
          <w:marLeft w:val="0"/>
          <w:marRight w:val="0"/>
          <w:marTop w:val="0"/>
          <w:marBottom w:val="0"/>
          <w:divBdr>
            <w:top w:val="none" w:sz="0" w:space="0" w:color="auto"/>
            <w:left w:val="none" w:sz="0" w:space="0" w:color="auto"/>
            <w:bottom w:val="none" w:sz="0" w:space="0" w:color="auto"/>
            <w:right w:val="none" w:sz="0" w:space="0" w:color="auto"/>
          </w:divBdr>
        </w:div>
        <w:div w:id="1711539401">
          <w:marLeft w:val="0"/>
          <w:marRight w:val="0"/>
          <w:marTop w:val="0"/>
          <w:marBottom w:val="0"/>
          <w:divBdr>
            <w:top w:val="none" w:sz="0" w:space="0" w:color="auto"/>
            <w:left w:val="none" w:sz="0" w:space="0" w:color="auto"/>
            <w:bottom w:val="none" w:sz="0" w:space="0" w:color="auto"/>
            <w:right w:val="none" w:sz="0" w:space="0" w:color="auto"/>
          </w:divBdr>
        </w:div>
        <w:div w:id="564340277">
          <w:marLeft w:val="0"/>
          <w:marRight w:val="0"/>
          <w:marTop w:val="0"/>
          <w:marBottom w:val="0"/>
          <w:divBdr>
            <w:top w:val="none" w:sz="0" w:space="0" w:color="auto"/>
            <w:left w:val="none" w:sz="0" w:space="0" w:color="auto"/>
            <w:bottom w:val="none" w:sz="0" w:space="0" w:color="auto"/>
            <w:right w:val="none" w:sz="0" w:space="0" w:color="auto"/>
          </w:divBdr>
        </w:div>
        <w:div w:id="1176461627">
          <w:marLeft w:val="0"/>
          <w:marRight w:val="0"/>
          <w:marTop w:val="0"/>
          <w:marBottom w:val="0"/>
          <w:divBdr>
            <w:top w:val="none" w:sz="0" w:space="0" w:color="auto"/>
            <w:left w:val="none" w:sz="0" w:space="0" w:color="auto"/>
            <w:bottom w:val="none" w:sz="0" w:space="0" w:color="auto"/>
            <w:right w:val="none" w:sz="0" w:space="0" w:color="auto"/>
          </w:divBdr>
        </w:div>
        <w:div w:id="661391496">
          <w:marLeft w:val="0"/>
          <w:marRight w:val="0"/>
          <w:marTop w:val="0"/>
          <w:marBottom w:val="0"/>
          <w:divBdr>
            <w:top w:val="none" w:sz="0" w:space="0" w:color="auto"/>
            <w:left w:val="none" w:sz="0" w:space="0" w:color="auto"/>
            <w:bottom w:val="none" w:sz="0" w:space="0" w:color="auto"/>
            <w:right w:val="none" w:sz="0" w:space="0" w:color="auto"/>
          </w:divBdr>
        </w:div>
        <w:div w:id="1171406025">
          <w:marLeft w:val="0"/>
          <w:marRight w:val="0"/>
          <w:marTop w:val="0"/>
          <w:marBottom w:val="0"/>
          <w:divBdr>
            <w:top w:val="none" w:sz="0" w:space="0" w:color="auto"/>
            <w:left w:val="none" w:sz="0" w:space="0" w:color="auto"/>
            <w:bottom w:val="none" w:sz="0" w:space="0" w:color="auto"/>
            <w:right w:val="none" w:sz="0" w:space="0" w:color="auto"/>
          </w:divBdr>
        </w:div>
        <w:div w:id="259065890">
          <w:marLeft w:val="0"/>
          <w:marRight w:val="0"/>
          <w:marTop w:val="0"/>
          <w:marBottom w:val="0"/>
          <w:divBdr>
            <w:top w:val="none" w:sz="0" w:space="0" w:color="auto"/>
            <w:left w:val="none" w:sz="0" w:space="0" w:color="auto"/>
            <w:bottom w:val="none" w:sz="0" w:space="0" w:color="auto"/>
            <w:right w:val="none" w:sz="0" w:space="0" w:color="auto"/>
          </w:divBdr>
        </w:div>
        <w:div w:id="430008273">
          <w:marLeft w:val="0"/>
          <w:marRight w:val="0"/>
          <w:marTop w:val="0"/>
          <w:marBottom w:val="0"/>
          <w:divBdr>
            <w:top w:val="none" w:sz="0" w:space="0" w:color="auto"/>
            <w:left w:val="none" w:sz="0" w:space="0" w:color="auto"/>
            <w:bottom w:val="none" w:sz="0" w:space="0" w:color="auto"/>
            <w:right w:val="none" w:sz="0" w:space="0" w:color="auto"/>
          </w:divBdr>
        </w:div>
        <w:div w:id="1744569727">
          <w:marLeft w:val="0"/>
          <w:marRight w:val="0"/>
          <w:marTop w:val="0"/>
          <w:marBottom w:val="0"/>
          <w:divBdr>
            <w:top w:val="none" w:sz="0" w:space="0" w:color="auto"/>
            <w:left w:val="none" w:sz="0" w:space="0" w:color="auto"/>
            <w:bottom w:val="none" w:sz="0" w:space="0" w:color="auto"/>
            <w:right w:val="none" w:sz="0" w:space="0" w:color="auto"/>
          </w:divBdr>
        </w:div>
        <w:div w:id="1813595076">
          <w:marLeft w:val="0"/>
          <w:marRight w:val="0"/>
          <w:marTop w:val="0"/>
          <w:marBottom w:val="0"/>
          <w:divBdr>
            <w:top w:val="none" w:sz="0" w:space="0" w:color="auto"/>
            <w:left w:val="none" w:sz="0" w:space="0" w:color="auto"/>
            <w:bottom w:val="none" w:sz="0" w:space="0" w:color="auto"/>
            <w:right w:val="none" w:sz="0" w:space="0" w:color="auto"/>
          </w:divBdr>
        </w:div>
        <w:div w:id="1264147841">
          <w:marLeft w:val="0"/>
          <w:marRight w:val="0"/>
          <w:marTop w:val="0"/>
          <w:marBottom w:val="0"/>
          <w:divBdr>
            <w:top w:val="none" w:sz="0" w:space="0" w:color="auto"/>
            <w:left w:val="none" w:sz="0" w:space="0" w:color="auto"/>
            <w:bottom w:val="none" w:sz="0" w:space="0" w:color="auto"/>
            <w:right w:val="none" w:sz="0" w:space="0" w:color="auto"/>
          </w:divBdr>
        </w:div>
        <w:div w:id="818232334">
          <w:marLeft w:val="0"/>
          <w:marRight w:val="0"/>
          <w:marTop w:val="0"/>
          <w:marBottom w:val="0"/>
          <w:divBdr>
            <w:top w:val="none" w:sz="0" w:space="0" w:color="auto"/>
            <w:left w:val="none" w:sz="0" w:space="0" w:color="auto"/>
            <w:bottom w:val="none" w:sz="0" w:space="0" w:color="auto"/>
            <w:right w:val="none" w:sz="0" w:space="0" w:color="auto"/>
          </w:divBdr>
        </w:div>
        <w:div w:id="1898005516">
          <w:marLeft w:val="0"/>
          <w:marRight w:val="0"/>
          <w:marTop w:val="0"/>
          <w:marBottom w:val="0"/>
          <w:divBdr>
            <w:top w:val="none" w:sz="0" w:space="0" w:color="auto"/>
            <w:left w:val="none" w:sz="0" w:space="0" w:color="auto"/>
            <w:bottom w:val="none" w:sz="0" w:space="0" w:color="auto"/>
            <w:right w:val="none" w:sz="0" w:space="0" w:color="auto"/>
          </w:divBdr>
        </w:div>
        <w:div w:id="457843472">
          <w:marLeft w:val="0"/>
          <w:marRight w:val="0"/>
          <w:marTop w:val="0"/>
          <w:marBottom w:val="0"/>
          <w:divBdr>
            <w:top w:val="none" w:sz="0" w:space="0" w:color="auto"/>
            <w:left w:val="none" w:sz="0" w:space="0" w:color="auto"/>
            <w:bottom w:val="none" w:sz="0" w:space="0" w:color="auto"/>
            <w:right w:val="none" w:sz="0" w:space="0" w:color="auto"/>
          </w:divBdr>
        </w:div>
        <w:div w:id="508107888">
          <w:marLeft w:val="0"/>
          <w:marRight w:val="0"/>
          <w:marTop w:val="0"/>
          <w:marBottom w:val="0"/>
          <w:divBdr>
            <w:top w:val="none" w:sz="0" w:space="0" w:color="auto"/>
            <w:left w:val="none" w:sz="0" w:space="0" w:color="auto"/>
            <w:bottom w:val="none" w:sz="0" w:space="0" w:color="auto"/>
            <w:right w:val="none" w:sz="0" w:space="0" w:color="auto"/>
          </w:divBdr>
        </w:div>
        <w:div w:id="265042324">
          <w:marLeft w:val="0"/>
          <w:marRight w:val="0"/>
          <w:marTop w:val="0"/>
          <w:marBottom w:val="0"/>
          <w:divBdr>
            <w:top w:val="none" w:sz="0" w:space="0" w:color="auto"/>
            <w:left w:val="none" w:sz="0" w:space="0" w:color="auto"/>
            <w:bottom w:val="none" w:sz="0" w:space="0" w:color="auto"/>
            <w:right w:val="none" w:sz="0" w:space="0" w:color="auto"/>
          </w:divBdr>
        </w:div>
        <w:div w:id="2000963879">
          <w:marLeft w:val="0"/>
          <w:marRight w:val="0"/>
          <w:marTop w:val="0"/>
          <w:marBottom w:val="0"/>
          <w:divBdr>
            <w:top w:val="none" w:sz="0" w:space="0" w:color="auto"/>
            <w:left w:val="none" w:sz="0" w:space="0" w:color="auto"/>
            <w:bottom w:val="none" w:sz="0" w:space="0" w:color="auto"/>
            <w:right w:val="none" w:sz="0" w:space="0" w:color="auto"/>
          </w:divBdr>
        </w:div>
        <w:div w:id="2093892056">
          <w:marLeft w:val="0"/>
          <w:marRight w:val="0"/>
          <w:marTop w:val="0"/>
          <w:marBottom w:val="0"/>
          <w:divBdr>
            <w:top w:val="none" w:sz="0" w:space="0" w:color="auto"/>
            <w:left w:val="none" w:sz="0" w:space="0" w:color="auto"/>
            <w:bottom w:val="none" w:sz="0" w:space="0" w:color="auto"/>
            <w:right w:val="none" w:sz="0" w:space="0" w:color="auto"/>
          </w:divBdr>
        </w:div>
        <w:div w:id="600994828">
          <w:marLeft w:val="0"/>
          <w:marRight w:val="0"/>
          <w:marTop w:val="0"/>
          <w:marBottom w:val="0"/>
          <w:divBdr>
            <w:top w:val="none" w:sz="0" w:space="0" w:color="auto"/>
            <w:left w:val="none" w:sz="0" w:space="0" w:color="auto"/>
            <w:bottom w:val="none" w:sz="0" w:space="0" w:color="auto"/>
            <w:right w:val="none" w:sz="0" w:space="0" w:color="auto"/>
          </w:divBdr>
        </w:div>
        <w:div w:id="334502873">
          <w:marLeft w:val="0"/>
          <w:marRight w:val="0"/>
          <w:marTop w:val="0"/>
          <w:marBottom w:val="0"/>
          <w:divBdr>
            <w:top w:val="none" w:sz="0" w:space="0" w:color="auto"/>
            <w:left w:val="none" w:sz="0" w:space="0" w:color="auto"/>
            <w:bottom w:val="none" w:sz="0" w:space="0" w:color="auto"/>
            <w:right w:val="none" w:sz="0" w:space="0" w:color="auto"/>
          </w:divBdr>
        </w:div>
        <w:div w:id="1511675919">
          <w:marLeft w:val="0"/>
          <w:marRight w:val="0"/>
          <w:marTop w:val="0"/>
          <w:marBottom w:val="0"/>
          <w:divBdr>
            <w:top w:val="none" w:sz="0" w:space="0" w:color="auto"/>
            <w:left w:val="none" w:sz="0" w:space="0" w:color="auto"/>
            <w:bottom w:val="none" w:sz="0" w:space="0" w:color="auto"/>
            <w:right w:val="none" w:sz="0" w:space="0" w:color="auto"/>
          </w:divBdr>
        </w:div>
        <w:div w:id="1765682641">
          <w:marLeft w:val="0"/>
          <w:marRight w:val="0"/>
          <w:marTop w:val="0"/>
          <w:marBottom w:val="0"/>
          <w:divBdr>
            <w:top w:val="none" w:sz="0" w:space="0" w:color="auto"/>
            <w:left w:val="none" w:sz="0" w:space="0" w:color="auto"/>
            <w:bottom w:val="none" w:sz="0" w:space="0" w:color="auto"/>
            <w:right w:val="none" w:sz="0" w:space="0" w:color="auto"/>
          </w:divBdr>
        </w:div>
        <w:div w:id="792750580">
          <w:marLeft w:val="0"/>
          <w:marRight w:val="0"/>
          <w:marTop w:val="0"/>
          <w:marBottom w:val="0"/>
          <w:divBdr>
            <w:top w:val="none" w:sz="0" w:space="0" w:color="auto"/>
            <w:left w:val="none" w:sz="0" w:space="0" w:color="auto"/>
            <w:bottom w:val="none" w:sz="0" w:space="0" w:color="auto"/>
            <w:right w:val="none" w:sz="0" w:space="0" w:color="auto"/>
          </w:divBdr>
        </w:div>
        <w:div w:id="1791049695">
          <w:marLeft w:val="0"/>
          <w:marRight w:val="0"/>
          <w:marTop w:val="0"/>
          <w:marBottom w:val="0"/>
          <w:divBdr>
            <w:top w:val="none" w:sz="0" w:space="0" w:color="auto"/>
            <w:left w:val="none" w:sz="0" w:space="0" w:color="auto"/>
            <w:bottom w:val="none" w:sz="0" w:space="0" w:color="auto"/>
            <w:right w:val="none" w:sz="0" w:space="0" w:color="auto"/>
          </w:divBdr>
        </w:div>
        <w:div w:id="1721317764">
          <w:marLeft w:val="0"/>
          <w:marRight w:val="0"/>
          <w:marTop w:val="0"/>
          <w:marBottom w:val="0"/>
          <w:divBdr>
            <w:top w:val="none" w:sz="0" w:space="0" w:color="auto"/>
            <w:left w:val="none" w:sz="0" w:space="0" w:color="auto"/>
            <w:bottom w:val="none" w:sz="0" w:space="0" w:color="auto"/>
            <w:right w:val="none" w:sz="0" w:space="0" w:color="auto"/>
          </w:divBdr>
        </w:div>
        <w:div w:id="94792463">
          <w:marLeft w:val="0"/>
          <w:marRight w:val="0"/>
          <w:marTop w:val="0"/>
          <w:marBottom w:val="0"/>
          <w:divBdr>
            <w:top w:val="none" w:sz="0" w:space="0" w:color="auto"/>
            <w:left w:val="none" w:sz="0" w:space="0" w:color="auto"/>
            <w:bottom w:val="none" w:sz="0" w:space="0" w:color="auto"/>
            <w:right w:val="none" w:sz="0" w:space="0" w:color="auto"/>
          </w:divBdr>
        </w:div>
        <w:div w:id="1484929583">
          <w:marLeft w:val="0"/>
          <w:marRight w:val="0"/>
          <w:marTop w:val="0"/>
          <w:marBottom w:val="0"/>
          <w:divBdr>
            <w:top w:val="none" w:sz="0" w:space="0" w:color="auto"/>
            <w:left w:val="none" w:sz="0" w:space="0" w:color="auto"/>
            <w:bottom w:val="none" w:sz="0" w:space="0" w:color="auto"/>
            <w:right w:val="none" w:sz="0" w:space="0" w:color="auto"/>
          </w:divBdr>
        </w:div>
        <w:div w:id="659507736">
          <w:marLeft w:val="0"/>
          <w:marRight w:val="0"/>
          <w:marTop w:val="0"/>
          <w:marBottom w:val="0"/>
          <w:divBdr>
            <w:top w:val="none" w:sz="0" w:space="0" w:color="auto"/>
            <w:left w:val="none" w:sz="0" w:space="0" w:color="auto"/>
            <w:bottom w:val="none" w:sz="0" w:space="0" w:color="auto"/>
            <w:right w:val="none" w:sz="0" w:space="0" w:color="auto"/>
          </w:divBdr>
        </w:div>
        <w:div w:id="112752185">
          <w:marLeft w:val="0"/>
          <w:marRight w:val="0"/>
          <w:marTop w:val="0"/>
          <w:marBottom w:val="0"/>
          <w:divBdr>
            <w:top w:val="none" w:sz="0" w:space="0" w:color="auto"/>
            <w:left w:val="none" w:sz="0" w:space="0" w:color="auto"/>
            <w:bottom w:val="none" w:sz="0" w:space="0" w:color="auto"/>
            <w:right w:val="none" w:sz="0" w:space="0" w:color="auto"/>
          </w:divBdr>
        </w:div>
        <w:div w:id="103772833">
          <w:marLeft w:val="0"/>
          <w:marRight w:val="0"/>
          <w:marTop w:val="0"/>
          <w:marBottom w:val="0"/>
          <w:divBdr>
            <w:top w:val="none" w:sz="0" w:space="0" w:color="auto"/>
            <w:left w:val="none" w:sz="0" w:space="0" w:color="auto"/>
            <w:bottom w:val="none" w:sz="0" w:space="0" w:color="auto"/>
            <w:right w:val="none" w:sz="0" w:space="0" w:color="auto"/>
          </w:divBdr>
        </w:div>
        <w:div w:id="965964012">
          <w:marLeft w:val="0"/>
          <w:marRight w:val="0"/>
          <w:marTop w:val="0"/>
          <w:marBottom w:val="0"/>
          <w:divBdr>
            <w:top w:val="none" w:sz="0" w:space="0" w:color="auto"/>
            <w:left w:val="none" w:sz="0" w:space="0" w:color="auto"/>
            <w:bottom w:val="none" w:sz="0" w:space="0" w:color="auto"/>
            <w:right w:val="none" w:sz="0" w:space="0" w:color="auto"/>
          </w:divBdr>
        </w:div>
        <w:div w:id="1142426136">
          <w:marLeft w:val="0"/>
          <w:marRight w:val="0"/>
          <w:marTop w:val="0"/>
          <w:marBottom w:val="0"/>
          <w:divBdr>
            <w:top w:val="none" w:sz="0" w:space="0" w:color="auto"/>
            <w:left w:val="none" w:sz="0" w:space="0" w:color="auto"/>
            <w:bottom w:val="none" w:sz="0" w:space="0" w:color="auto"/>
            <w:right w:val="none" w:sz="0" w:space="0" w:color="auto"/>
          </w:divBdr>
        </w:div>
        <w:div w:id="962930003">
          <w:marLeft w:val="0"/>
          <w:marRight w:val="0"/>
          <w:marTop w:val="0"/>
          <w:marBottom w:val="0"/>
          <w:divBdr>
            <w:top w:val="none" w:sz="0" w:space="0" w:color="auto"/>
            <w:left w:val="none" w:sz="0" w:space="0" w:color="auto"/>
            <w:bottom w:val="none" w:sz="0" w:space="0" w:color="auto"/>
            <w:right w:val="none" w:sz="0" w:space="0" w:color="auto"/>
          </w:divBdr>
        </w:div>
        <w:div w:id="1660382205">
          <w:marLeft w:val="0"/>
          <w:marRight w:val="0"/>
          <w:marTop w:val="0"/>
          <w:marBottom w:val="0"/>
          <w:divBdr>
            <w:top w:val="none" w:sz="0" w:space="0" w:color="auto"/>
            <w:left w:val="none" w:sz="0" w:space="0" w:color="auto"/>
            <w:bottom w:val="none" w:sz="0" w:space="0" w:color="auto"/>
            <w:right w:val="none" w:sz="0" w:space="0" w:color="auto"/>
          </w:divBdr>
        </w:div>
        <w:div w:id="1734741464">
          <w:marLeft w:val="0"/>
          <w:marRight w:val="0"/>
          <w:marTop w:val="0"/>
          <w:marBottom w:val="0"/>
          <w:divBdr>
            <w:top w:val="none" w:sz="0" w:space="0" w:color="auto"/>
            <w:left w:val="none" w:sz="0" w:space="0" w:color="auto"/>
            <w:bottom w:val="none" w:sz="0" w:space="0" w:color="auto"/>
            <w:right w:val="none" w:sz="0" w:space="0" w:color="auto"/>
          </w:divBdr>
        </w:div>
        <w:div w:id="712000284">
          <w:marLeft w:val="0"/>
          <w:marRight w:val="0"/>
          <w:marTop w:val="0"/>
          <w:marBottom w:val="0"/>
          <w:divBdr>
            <w:top w:val="none" w:sz="0" w:space="0" w:color="auto"/>
            <w:left w:val="none" w:sz="0" w:space="0" w:color="auto"/>
            <w:bottom w:val="none" w:sz="0" w:space="0" w:color="auto"/>
            <w:right w:val="none" w:sz="0" w:space="0" w:color="auto"/>
          </w:divBdr>
        </w:div>
        <w:div w:id="608197997">
          <w:marLeft w:val="0"/>
          <w:marRight w:val="0"/>
          <w:marTop w:val="0"/>
          <w:marBottom w:val="0"/>
          <w:divBdr>
            <w:top w:val="none" w:sz="0" w:space="0" w:color="auto"/>
            <w:left w:val="none" w:sz="0" w:space="0" w:color="auto"/>
            <w:bottom w:val="none" w:sz="0" w:space="0" w:color="auto"/>
            <w:right w:val="none" w:sz="0" w:space="0" w:color="auto"/>
          </w:divBdr>
        </w:div>
        <w:div w:id="880626644">
          <w:marLeft w:val="0"/>
          <w:marRight w:val="0"/>
          <w:marTop w:val="0"/>
          <w:marBottom w:val="0"/>
          <w:divBdr>
            <w:top w:val="none" w:sz="0" w:space="0" w:color="auto"/>
            <w:left w:val="none" w:sz="0" w:space="0" w:color="auto"/>
            <w:bottom w:val="none" w:sz="0" w:space="0" w:color="auto"/>
            <w:right w:val="none" w:sz="0" w:space="0" w:color="auto"/>
          </w:divBdr>
        </w:div>
        <w:div w:id="518785218">
          <w:marLeft w:val="0"/>
          <w:marRight w:val="0"/>
          <w:marTop w:val="0"/>
          <w:marBottom w:val="0"/>
          <w:divBdr>
            <w:top w:val="none" w:sz="0" w:space="0" w:color="auto"/>
            <w:left w:val="none" w:sz="0" w:space="0" w:color="auto"/>
            <w:bottom w:val="none" w:sz="0" w:space="0" w:color="auto"/>
            <w:right w:val="none" w:sz="0" w:space="0" w:color="auto"/>
          </w:divBdr>
        </w:div>
        <w:div w:id="14505232">
          <w:marLeft w:val="0"/>
          <w:marRight w:val="0"/>
          <w:marTop w:val="0"/>
          <w:marBottom w:val="0"/>
          <w:divBdr>
            <w:top w:val="none" w:sz="0" w:space="0" w:color="auto"/>
            <w:left w:val="none" w:sz="0" w:space="0" w:color="auto"/>
            <w:bottom w:val="none" w:sz="0" w:space="0" w:color="auto"/>
            <w:right w:val="none" w:sz="0" w:space="0" w:color="auto"/>
          </w:divBdr>
        </w:div>
        <w:div w:id="1967197807">
          <w:marLeft w:val="0"/>
          <w:marRight w:val="0"/>
          <w:marTop w:val="0"/>
          <w:marBottom w:val="0"/>
          <w:divBdr>
            <w:top w:val="none" w:sz="0" w:space="0" w:color="auto"/>
            <w:left w:val="none" w:sz="0" w:space="0" w:color="auto"/>
            <w:bottom w:val="none" w:sz="0" w:space="0" w:color="auto"/>
            <w:right w:val="none" w:sz="0" w:space="0" w:color="auto"/>
          </w:divBdr>
        </w:div>
        <w:div w:id="1281492623">
          <w:marLeft w:val="0"/>
          <w:marRight w:val="0"/>
          <w:marTop w:val="0"/>
          <w:marBottom w:val="0"/>
          <w:divBdr>
            <w:top w:val="none" w:sz="0" w:space="0" w:color="auto"/>
            <w:left w:val="none" w:sz="0" w:space="0" w:color="auto"/>
            <w:bottom w:val="none" w:sz="0" w:space="0" w:color="auto"/>
            <w:right w:val="none" w:sz="0" w:space="0" w:color="auto"/>
          </w:divBdr>
        </w:div>
        <w:div w:id="413674775">
          <w:marLeft w:val="0"/>
          <w:marRight w:val="0"/>
          <w:marTop w:val="0"/>
          <w:marBottom w:val="0"/>
          <w:divBdr>
            <w:top w:val="none" w:sz="0" w:space="0" w:color="auto"/>
            <w:left w:val="none" w:sz="0" w:space="0" w:color="auto"/>
            <w:bottom w:val="none" w:sz="0" w:space="0" w:color="auto"/>
            <w:right w:val="none" w:sz="0" w:space="0" w:color="auto"/>
          </w:divBdr>
        </w:div>
        <w:div w:id="1312363774">
          <w:marLeft w:val="0"/>
          <w:marRight w:val="0"/>
          <w:marTop w:val="0"/>
          <w:marBottom w:val="0"/>
          <w:divBdr>
            <w:top w:val="none" w:sz="0" w:space="0" w:color="auto"/>
            <w:left w:val="none" w:sz="0" w:space="0" w:color="auto"/>
            <w:bottom w:val="none" w:sz="0" w:space="0" w:color="auto"/>
            <w:right w:val="none" w:sz="0" w:space="0" w:color="auto"/>
          </w:divBdr>
        </w:div>
        <w:div w:id="1941403937">
          <w:marLeft w:val="0"/>
          <w:marRight w:val="0"/>
          <w:marTop w:val="0"/>
          <w:marBottom w:val="0"/>
          <w:divBdr>
            <w:top w:val="none" w:sz="0" w:space="0" w:color="auto"/>
            <w:left w:val="none" w:sz="0" w:space="0" w:color="auto"/>
            <w:bottom w:val="none" w:sz="0" w:space="0" w:color="auto"/>
            <w:right w:val="none" w:sz="0" w:space="0" w:color="auto"/>
          </w:divBdr>
        </w:div>
        <w:div w:id="309403263">
          <w:marLeft w:val="0"/>
          <w:marRight w:val="0"/>
          <w:marTop w:val="0"/>
          <w:marBottom w:val="0"/>
          <w:divBdr>
            <w:top w:val="none" w:sz="0" w:space="0" w:color="auto"/>
            <w:left w:val="none" w:sz="0" w:space="0" w:color="auto"/>
            <w:bottom w:val="none" w:sz="0" w:space="0" w:color="auto"/>
            <w:right w:val="none" w:sz="0" w:space="0" w:color="auto"/>
          </w:divBdr>
        </w:div>
        <w:div w:id="277178643">
          <w:marLeft w:val="0"/>
          <w:marRight w:val="0"/>
          <w:marTop w:val="0"/>
          <w:marBottom w:val="0"/>
          <w:divBdr>
            <w:top w:val="none" w:sz="0" w:space="0" w:color="auto"/>
            <w:left w:val="none" w:sz="0" w:space="0" w:color="auto"/>
            <w:bottom w:val="none" w:sz="0" w:space="0" w:color="auto"/>
            <w:right w:val="none" w:sz="0" w:space="0" w:color="auto"/>
          </w:divBdr>
        </w:div>
        <w:div w:id="314378149">
          <w:marLeft w:val="0"/>
          <w:marRight w:val="0"/>
          <w:marTop w:val="0"/>
          <w:marBottom w:val="0"/>
          <w:divBdr>
            <w:top w:val="none" w:sz="0" w:space="0" w:color="auto"/>
            <w:left w:val="none" w:sz="0" w:space="0" w:color="auto"/>
            <w:bottom w:val="none" w:sz="0" w:space="0" w:color="auto"/>
            <w:right w:val="none" w:sz="0" w:space="0" w:color="auto"/>
          </w:divBdr>
        </w:div>
        <w:div w:id="1179003481">
          <w:marLeft w:val="0"/>
          <w:marRight w:val="0"/>
          <w:marTop w:val="0"/>
          <w:marBottom w:val="0"/>
          <w:divBdr>
            <w:top w:val="none" w:sz="0" w:space="0" w:color="auto"/>
            <w:left w:val="none" w:sz="0" w:space="0" w:color="auto"/>
            <w:bottom w:val="none" w:sz="0" w:space="0" w:color="auto"/>
            <w:right w:val="none" w:sz="0" w:space="0" w:color="auto"/>
          </w:divBdr>
        </w:div>
        <w:div w:id="911812596">
          <w:marLeft w:val="0"/>
          <w:marRight w:val="0"/>
          <w:marTop w:val="0"/>
          <w:marBottom w:val="0"/>
          <w:divBdr>
            <w:top w:val="none" w:sz="0" w:space="0" w:color="auto"/>
            <w:left w:val="none" w:sz="0" w:space="0" w:color="auto"/>
            <w:bottom w:val="none" w:sz="0" w:space="0" w:color="auto"/>
            <w:right w:val="none" w:sz="0" w:space="0" w:color="auto"/>
          </w:divBdr>
        </w:div>
        <w:div w:id="1037393473">
          <w:marLeft w:val="0"/>
          <w:marRight w:val="0"/>
          <w:marTop w:val="0"/>
          <w:marBottom w:val="0"/>
          <w:divBdr>
            <w:top w:val="none" w:sz="0" w:space="0" w:color="auto"/>
            <w:left w:val="none" w:sz="0" w:space="0" w:color="auto"/>
            <w:bottom w:val="none" w:sz="0" w:space="0" w:color="auto"/>
            <w:right w:val="none" w:sz="0" w:space="0" w:color="auto"/>
          </w:divBdr>
        </w:div>
        <w:div w:id="212734707">
          <w:marLeft w:val="0"/>
          <w:marRight w:val="0"/>
          <w:marTop w:val="0"/>
          <w:marBottom w:val="0"/>
          <w:divBdr>
            <w:top w:val="none" w:sz="0" w:space="0" w:color="auto"/>
            <w:left w:val="none" w:sz="0" w:space="0" w:color="auto"/>
            <w:bottom w:val="none" w:sz="0" w:space="0" w:color="auto"/>
            <w:right w:val="none" w:sz="0" w:space="0" w:color="auto"/>
          </w:divBdr>
        </w:div>
        <w:div w:id="80689550">
          <w:marLeft w:val="0"/>
          <w:marRight w:val="0"/>
          <w:marTop w:val="0"/>
          <w:marBottom w:val="0"/>
          <w:divBdr>
            <w:top w:val="none" w:sz="0" w:space="0" w:color="auto"/>
            <w:left w:val="none" w:sz="0" w:space="0" w:color="auto"/>
            <w:bottom w:val="none" w:sz="0" w:space="0" w:color="auto"/>
            <w:right w:val="none" w:sz="0" w:space="0" w:color="auto"/>
          </w:divBdr>
        </w:div>
        <w:div w:id="502664656">
          <w:marLeft w:val="0"/>
          <w:marRight w:val="0"/>
          <w:marTop w:val="0"/>
          <w:marBottom w:val="0"/>
          <w:divBdr>
            <w:top w:val="none" w:sz="0" w:space="0" w:color="auto"/>
            <w:left w:val="none" w:sz="0" w:space="0" w:color="auto"/>
            <w:bottom w:val="none" w:sz="0" w:space="0" w:color="auto"/>
            <w:right w:val="none" w:sz="0" w:space="0" w:color="auto"/>
          </w:divBdr>
        </w:div>
        <w:div w:id="1847331054">
          <w:marLeft w:val="0"/>
          <w:marRight w:val="0"/>
          <w:marTop w:val="0"/>
          <w:marBottom w:val="0"/>
          <w:divBdr>
            <w:top w:val="none" w:sz="0" w:space="0" w:color="auto"/>
            <w:left w:val="none" w:sz="0" w:space="0" w:color="auto"/>
            <w:bottom w:val="none" w:sz="0" w:space="0" w:color="auto"/>
            <w:right w:val="none" w:sz="0" w:space="0" w:color="auto"/>
          </w:divBdr>
        </w:div>
        <w:div w:id="304547120">
          <w:marLeft w:val="0"/>
          <w:marRight w:val="0"/>
          <w:marTop w:val="0"/>
          <w:marBottom w:val="0"/>
          <w:divBdr>
            <w:top w:val="none" w:sz="0" w:space="0" w:color="auto"/>
            <w:left w:val="none" w:sz="0" w:space="0" w:color="auto"/>
            <w:bottom w:val="none" w:sz="0" w:space="0" w:color="auto"/>
            <w:right w:val="none" w:sz="0" w:space="0" w:color="auto"/>
          </w:divBdr>
        </w:div>
        <w:div w:id="92866649">
          <w:marLeft w:val="0"/>
          <w:marRight w:val="0"/>
          <w:marTop w:val="0"/>
          <w:marBottom w:val="0"/>
          <w:divBdr>
            <w:top w:val="none" w:sz="0" w:space="0" w:color="auto"/>
            <w:left w:val="none" w:sz="0" w:space="0" w:color="auto"/>
            <w:bottom w:val="none" w:sz="0" w:space="0" w:color="auto"/>
            <w:right w:val="none" w:sz="0" w:space="0" w:color="auto"/>
          </w:divBdr>
        </w:div>
        <w:div w:id="1173031449">
          <w:marLeft w:val="0"/>
          <w:marRight w:val="0"/>
          <w:marTop w:val="0"/>
          <w:marBottom w:val="0"/>
          <w:divBdr>
            <w:top w:val="none" w:sz="0" w:space="0" w:color="auto"/>
            <w:left w:val="none" w:sz="0" w:space="0" w:color="auto"/>
            <w:bottom w:val="none" w:sz="0" w:space="0" w:color="auto"/>
            <w:right w:val="none" w:sz="0" w:space="0" w:color="auto"/>
          </w:divBdr>
        </w:div>
        <w:div w:id="1604725758">
          <w:marLeft w:val="0"/>
          <w:marRight w:val="0"/>
          <w:marTop w:val="0"/>
          <w:marBottom w:val="0"/>
          <w:divBdr>
            <w:top w:val="none" w:sz="0" w:space="0" w:color="auto"/>
            <w:left w:val="none" w:sz="0" w:space="0" w:color="auto"/>
            <w:bottom w:val="none" w:sz="0" w:space="0" w:color="auto"/>
            <w:right w:val="none" w:sz="0" w:space="0" w:color="auto"/>
          </w:divBdr>
        </w:div>
        <w:div w:id="1258172421">
          <w:marLeft w:val="0"/>
          <w:marRight w:val="0"/>
          <w:marTop w:val="0"/>
          <w:marBottom w:val="0"/>
          <w:divBdr>
            <w:top w:val="none" w:sz="0" w:space="0" w:color="auto"/>
            <w:left w:val="none" w:sz="0" w:space="0" w:color="auto"/>
            <w:bottom w:val="none" w:sz="0" w:space="0" w:color="auto"/>
            <w:right w:val="none" w:sz="0" w:space="0" w:color="auto"/>
          </w:divBdr>
        </w:div>
        <w:div w:id="1356881917">
          <w:marLeft w:val="0"/>
          <w:marRight w:val="0"/>
          <w:marTop w:val="0"/>
          <w:marBottom w:val="0"/>
          <w:divBdr>
            <w:top w:val="none" w:sz="0" w:space="0" w:color="auto"/>
            <w:left w:val="none" w:sz="0" w:space="0" w:color="auto"/>
            <w:bottom w:val="none" w:sz="0" w:space="0" w:color="auto"/>
            <w:right w:val="none" w:sz="0" w:space="0" w:color="auto"/>
          </w:divBdr>
        </w:div>
        <w:div w:id="411589633">
          <w:marLeft w:val="0"/>
          <w:marRight w:val="0"/>
          <w:marTop w:val="0"/>
          <w:marBottom w:val="0"/>
          <w:divBdr>
            <w:top w:val="none" w:sz="0" w:space="0" w:color="auto"/>
            <w:left w:val="none" w:sz="0" w:space="0" w:color="auto"/>
            <w:bottom w:val="none" w:sz="0" w:space="0" w:color="auto"/>
            <w:right w:val="none" w:sz="0" w:space="0" w:color="auto"/>
          </w:divBdr>
        </w:div>
        <w:div w:id="704914217">
          <w:marLeft w:val="0"/>
          <w:marRight w:val="0"/>
          <w:marTop w:val="0"/>
          <w:marBottom w:val="0"/>
          <w:divBdr>
            <w:top w:val="none" w:sz="0" w:space="0" w:color="auto"/>
            <w:left w:val="none" w:sz="0" w:space="0" w:color="auto"/>
            <w:bottom w:val="none" w:sz="0" w:space="0" w:color="auto"/>
            <w:right w:val="none" w:sz="0" w:space="0" w:color="auto"/>
          </w:divBdr>
        </w:div>
        <w:div w:id="1815103366">
          <w:marLeft w:val="0"/>
          <w:marRight w:val="0"/>
          <w:marTop w:val="0"/>
          <w:marBottom w:val="0"/>
          <w:divBdr>
            <w:top w:val="none" w:sz="0" w:space="0" w:color="auto"/>
            <w:left w:val="none" w:sz="0" w:space="0" w:color="auto"/>
            <w:bottom w:val="none" w:sz="0" w:space="0" w:color="auto"/>
            <w:right w:val="none" w:sz="0" w:space="0" w:color="auto"/>
          </w:divBdr>
        </w:div>
        <w:div w:id="180552826">
          <w:marLeft w:val="0"/>
          <w:marRight w:val="0"/>
          <w:marTop w:val="0"/>
          <w:marBottom w:val="0"/>
          <w:divBdr>
            <w:top w:val="none" w:sz="0" w:space="0" w:color="auto"/>
            <w:left w:val="none" w:sz="0" w:space="0" w:color="auto"/>
            <w:bottom w:val="none" w:sz="0" w:space="0" w:color="auto"/>
            <w:right w:val="none" w:sz="0" w:space="0" w:color="auto"/>
          </w:divBdr>
        </w:div>
        <w:div w:id="1125930351">
          <w:marLeft w:val="0"/>
          <w:marRight w:val="0"/>
          <w:marTop w:val="0"/>
          <w:marBottom w:val="0"/>
          <w:divBdr>
            <w:top w:val="none" w:sz="0" w:space="0" w:color="auto"/>
            <w:left w:val="none" w:sz="0" w:space="0" w:color="auto"/>
            <w:bottom w:val="none" w:sz="0" w:space="0" w:color="auto"/>
            <w:right w:val="none" w:sz="0" w:space="0" w:color="auto"/>
          </w:divBdr>
        </w:div>
        <w:div w:id="436565724">
          <w:marLeft w:val="0"/>
          <w:marRight w:val="0"/>
          <w:marTop w:val="0"/>
          <w:marBottom w:val="0"/>
          <w:divBdr>
            <w:top w:val="none" w:sz="0" w:space="0" w:color="auto"/>
            <w:left w:val="none" w:sz="0" w:space="0" w:color="auto"/>
            <w:bottom w:val="none" w:sz="0" w:space="0" w:color="auto"/>
            <w:right w:val="none" w:sz="0" w:space="0" w:color="auto"/>
          </w:divBdr>
        </w:div>
        <w:div w:id="203687172">
          <w:marLeft w:val="0"/>
          <w:marRight w:val="0"/>
          <w:marTop w:val="0"/>
          <w:marBottom w:val="0"/>
          <w:divBdr>
            <w:top w:val="none" w:sz="0" w:space="0" w:color="auto"/>
            <w:left w:val="none" w:sz="0" w:space="0" w:color="auto"/>
            <w:bottom w:val="none" w:sz="0" w:space="0" w:color="auto"/>
            <w:right w:val="none" w:sz="0" w:space="0" w:color="auto"/>
          </w:divBdr>
        </w:div>
        <w:div w:id="2063559261">
          <w:marLeft w:val="0"/>
          <w:marRight w:val="0"/>
          <w:marTop w:val="0"/>
          <w:marBottom w:val="0"/>
          <w:divBdr>
            <w:top w:val="none" w:sz="0" w:space="0" w:color="auto"/>
            <w:left w:val="none" w:sz="0" w:space="0" w:color="auto"/>
            <w:bottom w:val="none" w:sz="0" w:space="0" w:color="auto"/>
            <w:right w:val="none" w:sz="0" w:space="0" w:color="auto"/>
          </w:divBdr>
        </w:div>
        <w:div w:id="688675882">
          <w:marLeft w:val="0"/>
          <w:marRight w:val="0"/>
          <w:marTop w:val="0"/>
          <w:marBottom w:val="0"/>
          <w:divBdr>
            <w:top w:val="none" w:sz="0" w:space="0" w:color="auto"/>
            <w:left w:val="none" w:sz="0" w:space="0" w:color="auto"/>
            <w:bottom w:val="none" w:sz="0" w:space="0" w:color="auto"/>
            <w:right w:val="none" w:sz="0" w:space="0" w:color="auto"/>
          </w:divBdr>
        </w:div>
        <w:div w:id="1230262662">
          <w:marLeft w:val="0"/>
          <w:marRight w:val="0"/>
          <w:marTop w:val="0"/>
          <w:marBottom w:val="0"/>
          <w:divBdr>
            <w:top w:val="none" w:sz="0" w:space="0" w:color="auto"/>
            <w:left w:val="none" w:sz="0" w:space="0" w:color="auto"/>
            <w:bottom w:val="none" w:sz="0" w:space="0" w:color="auto"/>
            <w:right w:val="none" w:sz="0" w:space="0" w:color="auto"/>
          </w:divBdr>
        </w:div>
        <w:div w:id="619261409">
          <w:marLeft w:val="0"/>
          <w:marRight w:val="0"/>
          <w:marTop w:val="0"/>
          <w:marBottom w:val="0"/>
          <w:divBdr>
            <w:top w:val="none" w:sz="0" w:space="0" w:color="auto"/>
            <w:left w:val="none" w:sz="0" w:space="0" w:color="auto"/>
            <w:bottom w:val="none" w:sz="0" w:space="0" w:color="auto"/>
            <w:right w:val="none" w:sz="0" w:space="0" w:color="auto"/>
          </w:divBdr>
        </w:div>
        <w:div w:id="715736664">
          <w:marLeft w:val="0"/>
          <w:marRight w:val="0"/>
          <w:marTop w:val="0"/>
          <w:marBottom w:val="0"/>
          <w:divBdr>
            <w:top w:val="none" w:sz="0" w:space="0" w:color="auto"/>
            <w:left w:val="none" w:sz="0" w:space="0" w:color="auto"/>
            <w:bottom w:val="none" w:sz="0" w:space="0" w:color="auto"/>
            <w:right w:val="none" w:sz="0" w:space="0" w:color="auto"/>
          </w:divBdr>
        </w:div>
        <w:div w:id="757292206">
          <w:marLeft w:val="0"/>
          <w:marRight w:val="0"/>
          <w:marTop w:val="0"/>
          <w:marBottom w:val="0"/>
          <w:divBdr>
            <w:top w:val="none" w:sz="0" w:space="0" w:color="auto"/>
            <w:left w:val="none" w:sz="0" w:space="0" w:color="auto"/>
            <w:bottom w:val="none" w:sz="0" w:space="0" w:color="auto"/>
            <w:right w:val="none" w:sz="0" w:space="0" w:color="auto"/>
          </w:divBdr>
        </w:div>
        <w:div w:id="572397714">
          <w:marLeft w:val="0"/>
          <w:marRight w:val="0"/>
          <w:marTop w:val="0"/>
          <w:marBottom w:val="0"/>
          <w:divBdr>
            <w:top w:val="none" w:sz="0" w:space="0" w:color="auto"/>
            <w:left w:val="none" w:sz="0" w:space="0" w:color="auto"/>
            <w:bottom w:val="none" w:sz="0" w:space="0" w:color="auto"/>
            <w:right w:val="none" w:sz="0" w:space="0" w:color="auto"/>
          </w:divBdr>
        </w:div>
        <w:div w:id="705720871">
          <w:marLeft w:val="0"/>
          <w:marRight w:val="0"/>
          <w:marTop w:val="0"/>
          <w:marBottom w:val="0"/>
          <w:divBdr>
            <w:top w:val="none" w:sz="0" w:space="0" w:color="auto"/>
            <w:left w:val="none" w:sz="0" w:space="0" w:color="auto"/>
            <w:bottom w:val="none" w:sz="0" w:space="0" w:color="auto"/>
            <w:right w:val="none" w:sz="0" w:space="0" w:color="auto"/>
          </w:divBdr>
        </w:div>
        <w:div w:id="1959800519">
          <w:marLeft w:val="0"/>
          <w:marRight w:val="0"/>
          <w:marTop w:val="0"/>
          <w:marBottom w:val="0"/>
          <w:divBdr>
            <w:top w:val="none" w:sz="0" w:space="0" w:color="auto"/>
            <w:left w:val="none" w:sz="0" w:space="0" w:color="auto"/>
            <w:bottom w:val="none" w:sz="0" w:space="0" w:color="auto"/>
            <w:right w:val="none" w:sz="0" w:space="0" w:color="auto"/>
          </w:divBdr>
        </w:div>
        <w:div w:id="454376066">
          <w:marLeft w:val="0"/>
          <w:marRight w:val="0"/>
          <w:marTop w:val="0"/>
          <w:marBottom w:val="0"/>
          <w:divBdr>
            <w:top w:val="none" w:sz="0" w:space="0" w:color="auto"/>
            <w:left w:val="none" w:sz="0" w:space="0" w:color="auto"/>
            <w:bottom w:val="none" w:sz="0" w:space="0" w:color="auto"/>
            <w:right w:val="none" w:sz="0" w:space="0" w:color="auto"/>
          </w:divBdr>
        </w:div>
        <w:div w:id="943461778">
          <w:marLeft w:val="0"/>
          <w:marRight w:val="0"/>
          <w:marTop w:val="0"/>
          <w:marBottom w:val="0"/>
          <w:divBdr>
            <w:top w:val="none" w:sz="0" w:space="0" w:color="auto"/>
            <w:left w:val="none" w:sz="0" w:space="0" w:color="auto"/>
            <w:bottom w:val="none" w:sz="0" w:space="0" w:color="auto"/>
            <w:right w:val="none" w:sz="0" w:space="0" w:color="auto"/>
          </w:divBdr>
        </w:div>
        <w:div w:id="18165155">
          <w:marLeft w:val="0"/>
          <w:marRight w:val="0"/>
          <w:marTop w:val="0"/>
          <w:marBottom w:val="0"/>
          <w:divBdr>
            <w:top w:val="none" w:sz="0" w:space="0" w:color="auto"/>
            <w:left w:val="none" w:sz="0" w:space="0" w:color="auto"/>
            <w:bottom w:val="none" w:sz="0" w:space="0" w:color="auto"/>
            <w:right w:val="none" w:sz="0" w:space="0" w:color="auto"/>
          </w:divBdr>
        </w:div>
        <w:div w:id="1651980790">
          <w:marLeft w:val="0"/>
          <w:marRight w:val="0"/>
          <w:marTop w:val="0"/>
          <w:marBottom w:val="0"/>
          <w:divBdr>
            <w:top w:val="none" w:sz="0" w:space="0" w:color="auto"/>
            <w:left w:val="none" w:sz="0" w:space="0" w:color="auto"/>
            <w:bottom w:val="none" w:sz="0" w:space="0" w:color="auto"/>
            <w:right w:val="none" w:sz="0" w:space="0" w:color="auto"/>
          </w:divBdr>
        </w:div>
        <w:div w:id="846947972">
          <w:marLeft w:val="0"/>
          <w:marRight w:val="0"/>
          <w:marTop w:val="0"/>
          <w:marBottom w:val="0"/>
          <w:divBdr>
            <w:top w:val="none" w:sz="0" w:space="0" w:color="auto"/>
            <w:left w:val="none" w:sz="0" w:space="0" w:color="auto"/>
            <w:bottom w:val="none" w:sz="0" w:space="0" w:color="auto"/>
            <w:right w:val="none" w:sz="0" w:space="0" w:color="auto"/>
          </w:divBdr>
        </w:div>
        <w:div w:id="2016958855">
          <w:marLeft w:val="0"/>
          <w:marRight w:val="0"/>
          <w:marTop w:val="0"/>
          <w:marBottom w:val="0"/>
          <w:divBdr>
            <w:top w:val="none" w:sz="0" w:space="0" w:color="auto"/>
            <w:left w:val="none" w:sz="0" w:space="0" w:color="auto"/>
            <w:bottom w:val="none" w:sz="0" w:space="0" w:color="auto"/>
            <w:right w:val="none" w:sz="0" w:space="0" w:color="auto"/>
          </w:divBdr>
        </w:div>
      </w:divsChild>
    </w:div>
    <w:div w:id="870453773">
      <w:bodyDiv w:val="1"/>
      <w:marLeft w:val="0"/>
      <w:marRight w:val="0"/>
      <w:marTop w:val="0"/>
      <w:marBottom w:val="0"/>
      <w:divBdr>
        <w:top w:val="none" w:sz="0" w:space="0" w:color="auto"/>
        <w:left w:val="none" w:sz="0" w:space="0" w:color="auto"/>
        <w:bottom w:val="none" w:sz="0" w:space="0" w:color="auto"/>
        <w:right w:val="none" w:sz="0" w:space="0" w:color="auto"/>
      </w:divBdr>
    </w:div>
    <w:div w:id="870455707">
      <w:bodyDiv w:val="1"/>
      <w:marLeft w:val="0"/>
      <w:marRight w:val="0"/>
      <w:marTop w:val="0"/>
      <w:marBottom w:val="0"/>
      <w:divBdr>
        <w:top w:val="none" w:sz="0" w:space="0" w:color="auto"/>
        <w:left w:val="none" w:sz="0" w:space="0" w:color="auto"/>
        <w:bottom w:val="none" w:sz="0" w:space="0" w:color="auto"/>
        <w:right w:val="none" w:sz="0" w:space="0" w:color="auto"/>
      </w:divBdr>
    </w:div>
    <w:div w:id="871501053">
      <w:bodyDiv w:val="1"/>
      <w:marLeft w:val="0"/>
      <w:marRight w:val="0"/>
      <w:marTop w:val="0"/>
      <w:marBottom w:val="0"/>
      <w:divBdr>
        <w:top w:val="none" w:sz="0" w:space="0" w:color="auto"/>
        <w:left w:val="none" w:sz="0" w:space="0" w:color="auto"/>
        <w:bottom w:val="none" w:sz="0" w:space="0" w:color="auto"/>
        <w:right w:val="none" w:sz="0" w:space="0" w:color="auto"/>
      </w:divBdr>
    </w:div>
    <w:div w:id="871764669">
      <w:bodyDiv w:val="1"/>
      <w:marLeft w:val="0"/>
      <w:marRight w:val="0"/>
      <w:marTop w:val="0"/>
      <w:marBottom w:val="0"/>
      <w:divBdr>
        <w:top w:val="none" w:sz="0" w:space="0" w:color="auto"/>
        <w:left w:val="none" w:sz="0" w:space="0" w:color="auto"/>
        <w:bottom w:val="none" w:sz="0" w:space="0" w:color="auto"/>
        <w:right w:val="none" w:sz="0" w:space="0" w:color="auto"/>
      </w:divBdr>
      <w:divsChild>
        <w:div w:id="218790498">
          <w:marLeft w:val="0"/>
          <w:marRight w:val="0"/>
          <w:marTop w:val="0"/>
          <w:marBottom w:val="107"/>
          <w:divBdr>
            <w:top w:val="none" w:sz="0" w:space="0" w:color="auto"/>
            <w:left w:val="none" w:sz="0" w:space="0" w:color="auto"/>
            <w:bottom w:val="none" w:sz="0" w:space="0" w:color="auto"/>
            <w:right w:val="none" w:sz="0" w:space="0" w:color="auto"/>
          </w:divBdr>
        </w:div>
      </w:divsChild>
    </w:div>
    <w:div w:id="872691199">
      <w:bodyDiv w:val="1"/>
      <w:marLeft w:val="0"/>
      <w:marRight w:val="0"/>
      <w:marTop w:val="0"/>
      <w:marBottom w:val="0"/>
      <w:divBdr>
        <w:top w:val="none" w:sz="0" w:space="0" w:color="auto"/>
        <w:left w:val="none" w:sz="0" w:space="0" w:color="auto"/>
        <w:bottom w:val="none" w:sz="0" w:space="0" w:color="auto"/>
        <w:right w:val="none" w:sz="0" w:space="0" w:color="auto"/>
      </w:divBdr>
      <w:divsChild>
        <w:div w:id="1899632032">
          <w:marLeft w:val="0"/>
          <w:marRight w:val="0"/>
          <w:marTop w:val="0"/>
          <w:marBottom w:val="12"/>
          <w:divBdr>
            <w:top w:val="none" w:sz="0" w:space="0" w:color="auto"/>
            <w:left w:val="none" w:sz="0" w:space="0" w:color="auto"/>
            <w:bottom w:val="none" w:sz="0" w:space="0" w:color="auto"/>
            <w:right w:val="none" w:sz="0" w:space="0" w:color="auto"/>
          </w:divBdr>
          <w:divsChild>
            <w:div w:id="660962983">
              <w:marLeft w:val="35"/>
              <w:marRight w:val="35"/>
              <w:marTop w:val="0"/>
              <w:marBottom w:val="0"/>
              <w:divBdr>
                <w:top w:val="none" w:sz="0" w:space="0" w:color="auto"/>
                <w:left w:val="none" w:sz="0" w:space="0" w:color="auto"/>
                <w:bottom w:val="none" w:sz="0" w:space="0" w:color="auto"/>
                <w:right w:val="none" w:sz="0" w:space="0" w:color="auto"/>
              </w:divBdr>
              <w:divsChild>
                <w:div w:id="17544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7044">
      <w:bodyDiv w:val="1"/>
      <w:marLeft w:val="0"/>
      <w:marRight w:val="0"/>
      <w:marTop w:val="0"/>
      <w:marBottom w:val="0"/>
      <w:divBdr>
        <w:top w:val="none" w:sz="0" w:space="0" w:color="auto"/>
        <w:left w:val="none" w:sz="0" w:space="0" w:color="auto"/>
        <w:bottom w:val="none" w:sz="0" w:space="0" w:color="auto"/>
        <w:right w:val="none" w:sz="0" w:space="0" w:color="auto"/>
      </w:divBdr>
    </w:div>
    <w:div w:id="878468762">
      <w:bodyDiv w:val="1"/>
      <w:marLeft w:val="0"/>
      <w:marRight w:val="0"/>
      <w:marTop w:val="0"/>
      <w:marBottom w:val="0"/>
      <w:divBdr>
        <w:top w:val="none" w:sz="0" w:space="0" w:color="auto"/>
        <w:left w:val="none" w:sz="0" w:space="0" w:color="auto"/>
        <w:bottom w:val="none" w:sz="0" w:space="0" w:color="auto"/>
        <w:right w:val="none" w:sz="0" w:space="0" w:color="auto"/>
      </w:divBdr>
    </w:div>
    <w:div w:id="882064342">
      <w:bodyDiv w:val="1"/>
      <w:marLeft w:val="0"/>
      <w:marRight w:val="0"/>
      <w:marTop w:val="0"/>
      <w:marBottom w:val="0"/>
      <w:divBdr>
        <w:top w:val="none" w:sz="0" w:space="0" w:color="auto"/>
        <w:left w:val="none" w:sz="0" w:space="0" w:color="auto"/>
        <w:bottom w:val="none" w:sz="0" w:space="0" w:color="auto"/>
        <w:right w:val="none" w:sz="0" w:space="0" w:color="auto"/>
      </w:divBdr>
    </w:div>
    <w:div w:id="883250611">
      <w:bodyDiv w:val="1"/>
      <w:marLeft w:val="0"/>
      <w:marRight w:val="0"/>
      <w:marTop w:val="0"/>
      <w:marBottom w:val="0"/>
      <w:divBdr>
        <w:top w:val="none" w:sz="0" w:space="0" w:color="auto"/>
        <w:left w:val="none" w:sz="0" w:space="0" w:color="auto"/>
        <w:bottom w:val="none" w:sz="0" w:space="0" w:color="auto"/>
        <w:right w:val="none" w:sz="0" w:space="0" w:color="auto"/>
      </w:divBdr>
    </w:div>
    <w:div w:id="887110767">
      <w:bodyDiv w:val="1"/>
      <w:marLeft w:val="0"/>
      <w:marRight w:val="0"/>
      <w:marTop w:val="0"/>
      <w:marBottom w:val="0"/>
      <w:divBdr>
        <w:top w:val="none" w:sz="0" w:space="0" w:color="auto"/>
        <w:left w:val="none" w:sz="0" w:space="0" w:color="auto"/>
        <w:bottom w:val="none" w:sz="0" w:space="0" w:color="auto"/>
        <w:right w:val="none" w:sz="0" w:space="0" w:color="auto"/>
      </w:divBdr>
    </w:div>
    <w:div w:id="888029064">
      <w:bodyDiv w:val="1"/>
      <w:marLeft w:val="0"/>
      <w:marRight w:val="0"/>
      <w:marTop w:val="0"/>
      <w:marBottom w:val="0"/>
      <w:divBdr>
        <w:top w:val="none" w:sz="0" w:space="0" w:color="auto"/>
        <w:left w:val="none" w:sz="0" w:space="0" w:color="auto"/>
        <w:bottom w:val="none" w:sz="0" w:space="0" w:color="auto"/>
        <w:right w:val="none" w:sz="0" w:space="0" w:color="auto"/>
      </w:divBdr>
    </w:div>
    <w:div w:id="894967060">
      <w:bodyDiv w:val="1"/>
      <w:marLeft w:val="0"/>
      <w:marRight w:val="0"/>
      <w:marTop w:val="0"/>
      <w:marBottom w:val="0"/>
      <w:divBdr>
        <w:top w:val="none" w:sz="0" w:space="0" w:color="auto"/>
        <w:left w:val="none" w:sz="0" w:space="0" w:color="auto"/>
        <w:bottom w:val="none" w:sz="0" w:space="0" w:color="auto"/>
        <w:right w:val="none" w:sz="0" w:space="0" w:color="auto"/>
      </w:divBdr>
      <w:divsChild>
        <w:div w:id="71511826">
          <w:marLeft w:val="475"/>
          <w:marRight w:val="0"/>
          <w:marTop w:val="168"/>
          <w:marBottom w:val="0"/>
          <w:divBdr>
            <w:top w:val="none" w:sz="0" w:space="0" w:color="auto"/>
            <w:left w:val="none" w:sz="0" w:space="0" w:color="auto"/>
            <w:bottom w:val="none" w:sz="0" w:space="0" w:color="auto"/>
            <w:right w:val="none" w:sz="0" w:space="0" w:color="auto"/>
          </w:divBdr>
        </w:div>
        <w:div w:id="413548915">
          <w:marLeft w:val="475"/>
          <w:marRight w:val="0"/>
          <w:marTop w:val="168"/>
          <w:marBottom w:val="0"/>
          <w:divBdr>
            <w:top w:val="none" w:sz="0" w:space="0" w:color="auto"/>
            <w:left w:val="none" w:sz="0" w:space="0" w:color="auto"/>
            <w:bottom w:val="none" w:sz="0" w:space="0" w:color="auto"/>
            <w:right w:val="none" w:sz="0" w:space="0" w:color="auto"/>
          </w:divBdr>
        </w:div>
        <w:div w:id="513224356">
          <w:marLeft w:val="1181"/>
          <w:marRight w:val="0"/>
          <w:marTop w:val="168"/>
          <w:marBottom w:val="0"/>
          <w:divBdr>
            <w:top w:val="none" w:sz="0" w:space="0" w:color="auto"/>
            <w:left w:val="none" w:sz="0" w:space="0" w:color="auto"/>
            <w:bottom w:val="none" w:sz="0" w:space="0" w:color="auto"/>
            <w:right w:val="none" w:sz="0" w:space="0" w:color="auto"/>
          </w:divBdr>
        </w:div>
        <w:div w:id="1414621068">
          <w:marLeft w:val="475"/>
          <w:marRight w:val="0"/>
          <w:marTop w:val="168"/>
          <w:marBottom w:val="0"/>
          <w:divBdr>
            <w:top w:val="none" w:sz="0" w:space="0" w:color="auto"/>
            <w:left w:val="none" w:sz="0" w:space="0" w:color="auto"/>
            <w:bottom w:val="none" w:sz="0" w:space="0" w:color="auto"/>
            <w:right w:val="none" w:sz="0" w:space="0" w:color="auto"/>
          </w:divBdr>
        </w:div>
        <w:div w:id="1538464795">
          <w:marLeft w:val="475"/>
          <w:marRight w:val="0"/>
          <w:marTop w:val="168"/>
          <w:marBottom w:val="0"/>
          <w:divBdr>
            <w:top w:val="none" w:sz="0" w:space="0" w:color="auto"/>
            <w:left w:val="none" w:sz="0" w:space="0" w:color="auto"/>
            <w:bottom w:val="none" w:sz="0" w:space="0" w:color="auto"/>
            <w:right w:val="none" w:sz="0" w:space="0" w:color="auto"/>
          </w:divBdr>
        </w:div>
        <w:div w:id="1882866417">
          <w:marLeft w:val="475"/>
          <w:marRight w:val="0"/>
          <w:marTop w:val="168"/>
          <w:marBottom w:val="0"/>
          <w:divBdr>
            <w:top w:val="none" w:sz="0" w:space="0" w:color="auto"/>
            <w:left w:val="none" w:sz="0" w:space="0" w:color="auto"/>
            <w:bottom w:val="none" w:sz="0" w:space="0" w:color="auto"/>
            <w:right w:val="none" w:sz="0" w:space="0" w:color="auto"/>
          </w:divBdr>
        </w:div>
      </w:divsChild>
    </w:div>
    <w:div w:id="897011042">
      <w:bodyDiv w:val="1"/>
      <w:marLeft w:val="0"/>
      <w:marRight w:val="0"/>
      <w:marTop w:val="0"/>
      <w:marBottom w:val="0"/>
      <w:divBdr>
        <w:top w:val="none" w:sz="0" w:space="0" w:color="auto"/>
        <w:left w:val="none" w:sz="0" w:space="0" w:color="auto"/>
        <w:bottom w:val="none" w:sz="0" w:space="0" w:color="auto"/>
        <w:right w:val="none" w:sz="0" w:space="0" w:color="auto"/>
      </w:divBdr>
    </w:div>
    <w:div w:id="906645385">
      <w:bodyDiv w:val="1"/>
      <w:marLeft w:val="0"/>
      <w:marRight w:val="0"/>
      <w:marTop w:val="0"/>
      <w:marBottom w:val="0"/>
      <w:divBdr>
        <w:top w:val="none" w:sz="0" w:space="0" w:color="auto"/>
        <w:left w:val="none" w:sz="0" w:space="0" w:color="auto"/>
        <w:bottom w:val="none" w:sz="0" w:space="0" w:color="auto"/>
        <w:right w:val="none" w:sz="0" w:space="0" w:color="auto"/>
      </w:divBdr>
    </w:div>
    <w:div w:id="907300315">
      <w:bodyDiv w:val="1"/>
      <w:marLeft w:val="0"/>
      <w:marRight w:val="0"/>
      <w:marTop w:val="0"/>
      <w:marBottom w:val="0"/>
      <w:divBdr>
        <w:top w:val="none" w:sz="0" w:space="0" w:color="auto"/>
        <w:left w:val="none" w:sz="0" w:space="0" w:color="auto"/>
        <w:bottom w:val="none" w:sz="0" w:space="0" w:color="auto"/>
        <w:right w:val="none" w:sz="0" w:space="0" w:color="auto"/>
      </w:divBdr>
    </w:div>
    <w:div w:id="915673994">
      <w:bodyDiv w:val="1"/>
      <w:marLeft w:val="0"/>
      <w:marRight w:val="0"/>
      <w:marTop w:val="0"/>
      <w:marBottom w:val="0"/>
      <w:divBdr>
        <w:top w:val="none" w:sz="0" w:space="0" w:color="auto"/>
        <w:left w:val="none" w:sz="0" w:space="0" w:color="auto"/>
        <w:bottom w:val="none" w:sz="0" w:space="0" w:color="auto"/>
        <w:right w:val="none" w:sz="0" w:space="0" w:color="auto"/>
      </w:divBdr>
    </w:div>
    <w:div w:id="917398515">
      <w:bodyDiv w:val="1"/>
      <w:marLeft w:val="0"/>
      <w:marRight w:val="0"/>
      <w:marTop w:val="0"/>
      <w:marBottom w:val="0"/>
      <w:divBdr>
        <w:top w:val="none" w:sz="0" w:space="0" w:color="auto"/>
        <w:left w:val="none" w:sz="0" w:space="0" w:color="auto"/>
        <w:bottom w:val="none" w:sz="0" w:space="0" w:color="auto"/>
        <w:right w:val="none" w:sz="0" w:space="0" w:color="auto"/>
      </w:divBdr>
    </w:div>
    <w:div w:id="925188270">
      <w:bodyDiv w:val="1"/>
      <w:marLeft w:val="0"/>
      <w:marRight w:val="0"/>
      <w:marTop w:val="0"/>
      <w:marBottom w:val="0"/>
      <w:divBdr>
        <w:top w:val="none" w:sz="0" w:space="0" w:color="auto"/>
        <w:left w:val="none" w:sz="0" w:space="0" w:color="auto"/>
        <w:bottom w:val="none" w:sz="0" w:space="0" w:color="auto"/>
        <w:right w:val="none" w:sz="0" w:space="0" w:color="auto"/>
      </w:divBdr>
    </w:div>
    <w:div w:id="925307946">
      <w:bodyDiv w:val="1"/>
      <w:marLeft w:val="0"/>
      <w:marRight w:val="0"/>
      <w:marTop w:val="0"/>
      <w:marBottom w:val="0"/>
      <w:divBdr>
        <w:top w:val="none" w:sz="0" w:space="0" w:color="auto"/>
        <w:left w:val="none" w:sz="0" w:space="0" w:color="auto"/>
        <w:bottom w:val="none" w:sz="0" w:space="0" w:color="auto"/>
        <w:right w:val="none" w:sz="0" w:space="0" w:color="auto"/>
      </w:divBdr>
    </w:div>
    <w:div w:id="927616175">
      <w:bodyDiv w:val="1"/>
      <w:marLeft w:val="0"/>
      <w:marRight w:val="0"/>
      <w:marTop w:val="0"/>
      <w:marBottom w:val="0"/>
      <w:divBdr>
        <w:top w:val="none" w:sz="0" w:space="0" w:color="auto"/>
        <w:left w:val="none" w:sz="0" w:space="0" w:color="auto"/>
        <w:bottom w:val="none" w:sz="0" w:space="0" w:color="auto"/>
        <w:right w:val="none" w:sz="0" w:space="0" w:color="auto"/>
      </w:divBdr>
    </w:div>
    <w:div w:id="934441545">
      <w:bodyDiv w:val="1"/>
      <w:marLeft w:val="0"/>
      <w:marRight w:val="0"/>
      <w:marTop w:val="0"/>
      <w:marBottom w:val="0"/>
      <w:divBdr>
        <w:top w:val="none" w:sz="0" w:space="0" w:color="auto"/>
        <w:left w:val="none" w:sz="0" w:space="0" w:color="auto"/>
        <w:bottom w:val="none" w:sz="0" w:space="0" w:color="auto"/>
        <w:right w:val="none" w:sz="0" w:space="0" w:color="auto"/>
      </w:divBdr>
    </w:div>
    <w:div w:id="937062845">
      <w:bodyDiv w:val="1"/>
      <w:marLeft w:val="0"/>
      <w:marRight w:val="0"/>
      <w:marTop w:val="0"/>
      <w:marBottom w:val="0"/>
      <w:divBdr>
        <w:top w:val="none" w:sz="0" w:space="0" w:color="auto"/>
        <w:left w:val="none" w:sz="0" w:space="0" w:color="auto"/>
        <w:bottom w:val="none" w:sz="0" w:space="0" w:color="auto"/>
        <w:right w:val="none" w:sz="0" w:space="0" w:color="auto"/>
      </w:divBdr>
      <w:divsChild>
        <w:div w:id="237060342">
          <w:marLeft w:val="475"/>
          <w:marRight w:val="0"/>
          <w:marTop w:val="168"/>
          <w:marBottom w:val="0"/>
          <w:divBdr>
            <w:top w:val="none" w:sz="0" w:space="0" w:color="auto"/>
            <w:left w:val="none" w:sz="0" w:space="0" w:color="auto"/>
            <w:bottom w:val="none" w:sz="0" w:space="0" w:color="auto"/>
            <w:right w:val="none" w:sz="0" w:space="0" w:color="auto"/>
          </w:divBdr>
        </w:div>
        <w:div w:id="500513213">
          <w:marLeft w:val="475"/>
          <w:marRight w:val="0"/>
          <w:marTop w:val="168"/>
          <w:marBottom w:val="0"/>
          <w:divBdr>
            <w:top w:val="none" w:sz="0" w:space="0" w:color="auto"/>
            <w:left w:val="none" w:sz="0" w:space="0" w:color="auto"/>
            <w:bottom w:val="none" w:sz="0" w:space="0" w:color="auto"/>
            <w:right w:val="none" w:sz="0" w:space="0" w:color="auto"/>
          </w:divBdr>
        </w:div>
        <w:div w:id="664162160">
          <w:marLeft w:val="475"/>
          <w:marRight w:val="0"/>
          <w:marTop w:val="168"/>
          <w:marBottom w:val="0"/>
          <w:divBdr>
            <w:top w:val="none" w:sz="0" w:space="0" w:color="auto"/>
            <w:left w:val="none" w:sz="0" w:space="0" w:color="auto"/>
            <w:bottom w:val="none" w:sz="0" w:space="0" w:color="auto"/>
            <w:right w:val="none" w:sz="0" w:space="0" w:color="auto"/>
          </w:divBdr>
        </w:div>
        <w:div w:id="1286231785">
          <w:marLeft w:val="475"/>
          <w:marRight w:val="0"/>
          <w:marTop w:val="168"/>
          <w:marBottom w:val="0"/>
          <w:divBdr>
            <w:top w:val="none" w:sz="0" w:space="0" w:color="auto"/>
            <w:left w:val="none" w:sz="0" w:space="0" w:color="auto"/>
            <w:bottom w:val="none" w:sz="0" w:space="0" w:color="auto"/>
            <w:right w:val="none" w:sz="0" w:space="0" w:color="auto"/>
          </w:divBdr>
        </w:div>
        <w:div w:id="1475679995">
          <w:marLeft w:val="475"/>
          <w:marRight w:val="0"/>
          <w:marTop w:val="168"/>
          <w:marBottom w:val="0"/>
          <w:divBdr>
            <w:top w:val="none" w:sz="0" w:space="0" w:color="auto"/>
            <w:left w:val="none" w:sz="0" w:space="0" w:color="auto"/>
            <w:bottom w:val="none" w:sz="0" w:space="0" w:color="auto"/>
            <w:right w:val="none" w:sz="0" w:space="0" w:color="auto"/>
          </w:divBdr>
        </w:div>
      </w:divsChild>
    </w:div>
    <w:div w:id="938488698">
      <w:bodyDiv w:val="1"/>
      <w:marLeft w:val="0"/>
      <w:marRight w:val="0"/>
      <w:marTop w:val="0"/>
      <w:marBottom w:val="0"/>
      <w:divBdr>
        <w:top w:val="none" w:sz="0" w:space="0" w:color="auto"/>
        <w:left w:val="none" w:sz="0" w:space="0" w:color="auto"/>
        <w:bottom w:val="none" w:sz="0" w:space="0" w:color="auto"/>
        <w:right w:val="none" w:sz="0" w:space="0" w:color="auto"/>
      </w:divBdr>
    </w:div>
    <w:div w:id="938683471">
      <w:bodyDiv w:val="1"/>
      <w:marLeft w:val="0"/>
      <w:marRight w:val="0"/>
      <w:marTop w:val="0"/>
      <w:marBottom w:val="0"/>
      <w:divBdr>
        <w:top w:val="none" w:sz="0" w:space="0" w:color="auto"/>
        <w:left w:val="none" w:sz="0" w:space="0" w:color="auto"/>
        <w:bottom w:val="none" w:sz="0" w:space="0" w:color="auto"/>
        <w:right w:val="none" w:sz="0" w:space="0" w:color="auto"/>
      </w:divBdr>
    </w:div>
    <w:div w:id="939601427">
      <w:bodyDiv w:val="1"/>
      <w:marLeft w:val="0"/>
      <w:marRight w:val="0"/>
      <w:marTop w:val="0"/>
      <w:marBottom w:val="0"/>
      <w:divBdr>
        <w:top w:val="none" w:sz="0" w:space="0" w:color="auto"/>
        <w:left w:val="none" w:sz="0" w:space="0" w:color="auto"/>
        <w:bottom w:val="none" w:sz="0" w:space="0" w:color="auto"/>
        <w:right w:val="none" w:sz="0" w:space="0" w:color="auto"/>
      </w:divBdr>
      <w:divsChild>
        <w:div w:id="118764402">
          <w:marLeft w:val="475"/>
          <w:marRight w:val="0"/>
          <w:marTop w:val="168"/>
          <w:marBottom w:val="0"/>
          <w:divBdr>
            <w:top w:val="none" w:sz="0" w:space="0" w:color="auto"/>
            <w:left w:val="none" w:sz="0" w:space="0" w:color="auto"/>
            <w:bottom w:val="none" w:sz="0" w:space="0" w:color="auto"/>
            <w:right w:val="none" w:sz="0" w:space="0" w:color="auto"/>
          </w:divBdr>
        </w:div>
        <w:div w:id="173226243">
          <w:marLeft w:val="1181"/>
          <w:marRight w:val="0"/>
          <w:marTop w:val="168"/>
          <w:marBottom w:val="0"/>
          <w:divBdr>
            <w:top w:val="none" w:sz="0" w:space="0" w:color="auto"/>
            <w:left w:val="none" w:sz="0" w:space="0" w:color="auto"/>
            <w:bottom w:val="none" w:sz="0" w:space="0" w:color="auto"/>
            <w:right w:val="none" w:sz="0" w:space="0" w:color="auto"/>
          </w:divBdr>
        </w:div>
        <w:div w:id="629671640">
          <w:marLeft w:val="1829"/>
          <w:marRight w:val="0"/>
          <w:marTop w:val="144"/>
          <w:marBottom w:val="0"/>
          <w:divBdr>
            <w:top w:val="none" w:sz="0" w:space="0" w:color="auto"/>
            <w:left w:val="none" w:sz="0" w:space="0" w:color="auto"/>
            <w:bottom w:val="none" w:sz="0" w:space="0" w:color="auto"/>
            <w:right w:val="none" w:sz="0" w:space="0" w:color="auto"/>
          </w:divBdr>
        </w:div>
        <w:div w:id="759639850">
          <w:marLeft w:val="1181"/>
          <w:marRight w:val="0"/>
          <w:marTop w:val="168"/>
          <w:marBottom w:val="0"/>
          <w:divBdr>
            <w:top w:val="none" w:sz="0" w:space="0" w:color="auto"/>
            <w:left w:val="none" w:sz="0" w:space="0" w:color="auto"/>
            <w:bottom w:val="none" w:sz="0" w:space="0" w:color="auto"/>
            <w:right w:val="none" w:sz="0" w:space="0" w:color="auto"/>
          </w:divBdr>
        </w:div>
        <w:div w:id="1075250353">
          <w:marLeft w:val="1181"/>
          <w:marRight w:val="0"/>
          <w:marTop w:val="168"/>
          <w:marBottom w:val="0"/>
          <w:divBdr>
            <w:top w:val="none" w:sz="0" w:space="0" w:color="auto"/>
            <w:left w:val="none" w:sz="0" w:space="0" w:color="auto"/>
            <w:bottom w:val="none" w:sz="0" w:space="0" w:color="auto"/>
            <w:right w:val="none" w:sz="0" w:space="0" w:color="auto"/>
          </w:divBdr>
        </w:div>
        <w:div w:id="1802386143">
          <w:marLeft w:val="1181"/>
          <w:marRight w:val="0"/>
          <w:marTop w:val="168"/>
          <w:marBottom w:val="0"/>
          <w:divBdr>
            <w:top w:val="none" w:sz="0" w:space="0" w:color="auto"/>
            <w:left w:val="none" w:sz="0" w:space="0" w:color="auto"/>
            <w:bottom w:val="none" w:sz="0" w:space="0" w:color="auto"/>
            <w:right w:val="none" w:sz="0" w:space="0" w:color="auto"/>
          </w:divBdr>
        </w:div>
      </w:divsChild>
    </w:div>
    <w:div w:id="940725427">
      <w:bodyDiv w:val="1"/>
      <w:marLeft w:val="0"/>
      <w:marRight w:val="0"/>
      <w:marTop w:val="0"/>
      <w:marBottom w:val="0"/>
      <w:divBdr>
        <w:top w:val="none" w:sz="0" w:space="0" w:color="auto"/>
        <w:left w:val="none" w:sz="0" w:space="0" w:color="auto"/>
        <w:bottom w:val="none" w:sz="0" w:space="0" w:color="auto"/>
        <w:right w:val="none" w:sz="0" w:space="0" w:color="auto"/>
      </w:divBdr>
    </w:div>
    <w:div w:id="943072501">
      <w:bodyDiv w:val="1"/>
      <w:marLeft w:val="0"/>
      <w:marRight w:val="0"/>
      <w:marTop w:val="0"/>
      <w:marBottom w:val="0"/>
      <w:divBdr>
        <w:top w:val="none" w:sz="0" w:space="0" w:color="auto"/>
        <w:left w:val="none" w:sz="0" w:space="0" w:color="auto"/>
        <w:bottom w:val="none" w:sz="0" w:space="0" w:color="auto"/>
        <w:right w:val="none" w:sz="0" w:space="0" w:color="auto"/>
      </w:divBdr>
    </w:div>
    <w:div w:id="951202199">
      <w:bodyDiv w:val="1"/>
      <w:marLeft w:val="0"/>
      <w:marRight w:val="0"/>
      <w:marTop w:val="0"/>
      <w:marBottom w:val="0"/>
      <w:divBdr>
        <w:top w:val="none" w:sz="0" w:space="0" w:color="auto"/>
        <w:left w:val="none" w:sz="0" w:space="0" w:color="auto"/>
        <w:bottom w:val="none" w:sz="0" w:space="0" w:color="auto"/>
        <w:right w:val="none" w:sz="0" w:space="0" w:color="auto"/>
      </w:divBdr>
      <w:divsChild>
        <w:div w:id="56511403">
          <w:marLeft w:val="475"/>
          <w:marRight w:val="0"/>
          <w:marTop w:val="168"/>
          <w:marBottom w:val="0"/>
          <w:divBdr>
            <w:top w:val="none" w:sz="0" w:space="0" w:color="auto"/>
            <w:left w:val="none" w:sz="0" w:space="0" w:color="auto"/>
            <w:bottom w:val="none" w:sz="0" w:space="0" w:color="auto"/>
            <w:right w:val="none" w:sz="0" w:space="0" w:color="auto"/>
          </w:divBdr>
        </w:div>
        <w:div w:id="62992886">
          <w:marLeft w:val="475"/>
          <w:marRight w:val="0"/>
          <w:marTop w:val="168"/>
          <w:marBottom w:val="0"/>
          <w:divBdr>
            <w:top w:val="none" w:sz="0" w:space="0" w:color="auto"/>
            <w:left w:val="none" w:sz="0" w:space="0" w:color="auto"/>
            <w:bottom w:val="none" w:sz="0" w:space="0" w:color="auto"/>
            <w:right w:val="none" w:sz="0" w:space="0" w:color="auto"/>
          </w:divBdr>
        </w:div>
        <w:div w:id="351340640">
          <w:marLeft w:val="475"/>
          <w:marRight w:val="0"/>
          <w:marTop w:val="168"/>
          <w:marBottom w:val="0"/>
          <w:divBdr>
            <w:top w:val="none" w:sz="0" w:space="0" w:color="auto"/>
            <w:left w:val="none" w:sz="0" w:space="0" w:color="auto"/>
            <w:bottom w:val="none" w:sz="0" w:space="0" w:color="auto"/>
            <w:right w:val="none" w:sz="0" w:space="0" w:color="auto"/>
          </w:divBdr>
        </w:div>
        <w:div w:id="665062120">
          <w:marLeft w:val="475"/>
          <w:marRight w:val="0"/>
          <w:marTop w:val="168"/>
          <w:marBottom w:val="0"/>
          <w:divBdr>
            <w:top w:val="none" w:sz="0" w:space="0" w:color="auto"/>
            <w:left w:val="none" w:sz="0" w:space="0" w:color="auto"/>
            <w:bottom w:val="none" w:sz="0" w:space="0" w:color="auto"/>
            <w:right w:val="none" w:sz="0" w:space="0" w:color="auto"/>
          </w:divBdr>
        </w:div>
        <w:div w:id="1018235334">
          <w:marLeft w:val="475"/>
          <w:marRight w:val="0"/>
          <w:marTop w:val="168"/>
          <w:marBottom w:val="0"/>
          <w:divBdr>
            <w:top w:val="none" w:sz="0" w:space="0" w:color="auto"/>
            <w:left w:val="none" w:sz="0" w:space="0" w:color="auto"/>
            <w:bottom w:val="none" w:sz="0" w:space="0" w:color="auto"/>
            <w:right w:val="none" w:sz="0" w:space="0" w:color="auto"/>
          </w:divBdr>
        </w:div>
        <w:div w:id="1395084348">
          <w:marLeft w:val="475"/>
          <w:marRight w:val="0"/>
          <w:marTop w:val="168"/>
          <w:marBottom w:val="0"/>
          <w:divBdr>
            <w:top w:val="none" w:sz="0" w:space="0" w:color="auto"/>
            <w:left w:val="none" w:sz="0" w:space="0" w:color="auto"/>
            <w:bottom w:val="none" w:sz="0" w:space="0" w:color="auto"/>
            <w:right w:val="none" w:sz="0" w:space="0" w:color="auto"/>
          </w:divBdr>
        </w:div>
        <w:div w:id="1487355287">
          <w:marLeft w:val="475"/>
          <w:marRight w:val="0"/>
          <w:marTop w:val="168"/>
          <w:marBottom w:val="0"/>
          <w:divBdr>
            <w:top w:val="none" w:sz="0" w:space="0" w:color="auto"/>
            <w:left w:val="none" w:sz="0" w:space="0" w:color="auto"/>
            <w:bottom w:val="none" w:sz="0" w:space="0" w:color="auto"/>
            <w:right w:val="none" w:sz="0" w:space="0" w:color="auto"/>
          </w:divBdr>
        </w:div>
        <w:div w:id="1759985238">
          <w:marLeft w:val="475"/>
          <w:marRight w:val="0"/>
          <w:marTop w:val="168"/>
          <w:marBottom w:val="0"/>
          <w:divBdr>
            <w:top w:val="none" w:sz="0" w:space="0" w:color="auto"/>
            <w:left w:val="none" w:sz="0" w:space="0" w:color="auto"/>
            <w:bottom w:val="none" w:sz="0" w:space="0" w:color="auto"/>
            <w:right w:val="none" w:sz="0" w:space="0" w:color="auto"/>
          </w:divBdr>
        </w:div>
        <w:div w:id="1945569930">
          <w:marLeft w:val="475"/>
          <w:marRight w:val="0"/>
          <w:marTop w:val="168"/>
          <w:marBottom w:val="0"/>
          <w:divBdr>
            <w:top w:val="none" w:sz="0" w:space="0" w:color="auto"/>
            <w:left w:val="none" w:sz="0" w:space="0" w:color="auto"/>
            <w:bottom w:val="none" w:sz="0" w:space="0" w:color="auto"/>
            <w:right w:val="none" w:sz="0" w:space="0" w:color="auto"/>
          </w:divBdr>
        </w:div>
        <w:div w:id="2112117398">
          <w:marLeft w:val="475"/>
          <w:marRight w:val="0"/>
          <w:marTop w:val="168"/>
          <w:marBottom w:val="0"/>
          <w:divBdr>
            <w:top w:val="none" w:sz="0" w:space="0" w:color="auto"/>
            <w:left w:val="none" w:sz="0" w:space="0" w:color="auto"/>
            <w:bottom w:val="none" w:sz="0" w:space="0" w:color="auto"/>
            <w:right w:val="none" w:sz="0" w:space="0" w:color="auto"/>
          </w:divBdr>
        </w:div>
      </w:divsChild>
    </w:div>
    <w:div w:id="953243382">
      <w:bodyDiv w:val="1"/>
      <w:marLeft w:val="0"/>
      <w:marRight w:val="0"/>
      <w:marTop w:val="0"/>
      <w:marBottom w:val="0"/>
      <w:divBdr>
        <w:top w:val="none" w:sz="0" w:space="0" w:color="auto"/>
        <w:left w:val="none" w:sz="0" w:space="0" w:color="auto"/>
        <w:bottom w:val="none" w:sz="0" w:space="0" w:color="auto"/>
        <w:right w:val="none" w:sz="0" w:space="0" w:color="auto"/>
      </w:divBdr>
    </w:div>
    <w:div w:id="957955083">
      <w:bodyDiv w:val="1"/>
      <w:marLeft w:val="0"/>
      <w:marRight w:val="0"/>
      <w:marTop w:val="0"/>
      <w:marBottom w:val="0"/>
      <w:divBdr>
        <w:top w:val="none" w:sz="0" w:space="0" w:color="auto"/>
        <w:left w:val="none" w:sz="0" w:space="0" w:color="auto"/>
        <w:bottom w:val="none" w:sz="0" w:space="0" w:color="auto"/>
        <w:right w:val="none" w:sz="0" w:space="0" w:color="auto"/>
      </w:divBdr>
    </w:div>
    <w:div w:id="958873591">
      <w:bodyDiv w:val="1"/>
      <w:marLeft w:val="0"/>
      <w:marRight w:val="0"/>
      <w:marTop w:val="0"/>
      <w:marBottom w:val="0"/>
      <w:divBdr>
        <w:top w:val="none" w:sz="0" w:space="0" w:color="auto"/>
        <w:left w:val="none" w:sz="0" w:space="0" w:color="auto"/>
        <w:bottom w:val="none" w:sz="0" w:space="0" w:color="auto"/>
        <w:right w:val="none" w:sz="0" w:space="0" w:color="auto"/>
      </w:divBdr>
    </w:div>
    <w:div w:id="959579029">
      <w:bodyDiv w:val="1"/>
      <w:marLeft w:val="0"/>
      <w:marRight w:val="0"/>
      <w:marTop w:val="0"/>
      <w:marBottom w:val="0"/>
      <w:divBdr>
        <w:top w:val="none" w:sz="0" w:space="0" w:color="auto"/>
        <w:left w:val="none" w:sz="0" w:space="0" w:color="auto"/>
        <w:bottom w:val="none" w:sz="0" w:space="0" w:color="auto"/>
        <w:right w:val="none" w:sz="0" w:space="0" w:color="auto"/>
      </w:divBdr>
    </w:div>
    <w:div w:id="964896198">
      <w:bodyDiv w:val="1"/>
      <w:marLeft w:val="0"/>
      <w:marRight w:val="0"/>
      <w:marTop w:val="0"/>
      <w:marBottom w:val="0"/>
      <w:divBdr>
        <w:top w:val="none" w:sz="0" w:space="0" w:color="auto"/>
        <w:left w:val="none" w:sz="0" w:space="0" w:color="auto"/>
        <w:bottom w:val="none" w:sz="0" w:space="0" w:color="auto"/>
        <w:right w:val="none" w:sz="0" w:space="0" w:color="auto"/>
      </w:divBdr>
    </w:div>
    <w:div w:id="965817138">
      <w:bodyDiv w:val="1"/>
      <w:marLeft w:val="0"/>
      <w:marRight w:val="0"/>
      <w:marTop w:val="0"/>
      <w:marBottom w:val="0"/>
      <w:divBdr>
        <w:top w:val="none" w:sz="0" w:space="0" w:color="auto"/>
        <w:left w:val="none" w:sz="0" w:space="0" w:color="auto"/>
        <w:bottom w:val="none" w:sz="0" w:space="0" w:color="auto"/>
        <w:right w:val="none" w:sz="0" w:space="0" w:color="auto"/>
      </w:divBdr>
    </w:div>
    <w:div w:id="972096318">
      <w:bodyDiv w:val="1"/>
      <w:marLeft w:val="0"/>
      <w:marRight w:val="0"/>
      <w:marTop w:val="0"/>
      <w:marBottom w:val="0"/>
      <w:divBdr>
        <w:top w:val="none" w:sz="0" w:space="0" w:color="auto"/>
        <w:left w:val="none" w:sz="0" w:space="0" w:color="auto"/>
        <w:bottom w:val="none" w:sz="0" w:space="0" w:color="auto"/>
        <w:right w:val="none" w:sz="0" w:space="0" w:color="auto"/>
      </w:divBdr>
    </w:div>
    <w:div w:id="974681062">
      <w:bodyDiv w:val="1"/>
      <w:marLeft w:val="0"/>
      <w:marRight w:val="0"/>
      <w:marTop w:val="0"/>
      <w:marBottom w:val="0"/>
      <w:divBdr>
        <w:top w:val="none" w:sz="0" w:space="0" w:color="auto"/>
        <w:left w:val="none" w:sz="0" w:space="0" w:color="auto"/>
        <w:bottom w:val="none" w:sz="0" w:space="0" w:color="auto"/>
        <w:right w:val="none" w:sz="0" w:space="0" w:color="auto"/>
      </w:divBdr>
    </w:div>
    <w:div w:id="978992955">
      <w:bodyDiv w:val="1"/>
      <w:marLeft w:val="0"/>
      <w:marRight w:val="0"/>
      <w:marTop w:val="0"/>
      <w:marBottom w:val="0"/>
      <w:divBdr>
        <w:top w:val="none" w:sz="0" w:space="0" w:color="auto"/>
        <w:left w:val="none" w:sz="0" w:space="0" w:color="auto"/>
        <w:bottom w:val="none" w:sz="0" w:space="0" w:color="auto"/>
        <w:right w:val="none" w:sz="0" w:space="0" w:color="auto"/>
      </w:divBdr>
    </w:div>
    <w:div w:id="981740519">
      <w:bodyDiv w:val="1"/>
      <w:marLeft w:val="0"/>
      <w:marRight w:val="0"/>
      <w:marTop w:val="0"/>
      <w:marBottom w:val="0"/>
      <w:divBdr>
        <w:top w:val="none" w:sz="0" w:space="0" w:color="auto"/>
        <w:left w:val="none" w:sz="0" w:space="0" w:color="auto"/>
        <w:bottom w:val="none" w:sz="0" w:space="0" w:color="auto"/>
        <w:right w:val="none" w:sz="0" w:space="0" w:color="auto"/>
      </w:divBdr>
    </w:div>
    <w:div w:id="985474872">
      <w:bodyDiv w:val="1"/>
      <w:marLeft w:val="0"/>
      <w:marRight w:val="0"/>
      <w:marTop w:val="0"/>
      <w:marBottom w:val="0"/>
      <w:divBdr>
        <w:top w:val="none" w:sz="0" w:space="0" w:color="auto"/>
        <w:left w:val="none" w:sz="0" w:space="0" w:color="auto"/>
        <w:bottom w:val="none" w:sz="0" w:space="0" w:color="auto"/>
        <w:right w:val="none" w:sz="0" w:space="0" w:color="auto"/>
      </w:divBdr>
      <w:divsChild>
        <w:div w:id="9528923">
          <w:marLeft w:val="1181"/>
          <w:marRight w:val="0"/>
          <w:marTop w:val="168"/>
          <w:marBottom w:val="0"/>
          <w:divBdr>
            <w:top w:val="none" w:sz="0" w:space="0" w:color="auto"/>
            <w:left w:val="none" w:sz="0" w:space="0" w:color="auto"/>
            <w:bottom w:val="none" w:sz="0" w:space="0" w:color="auto"/>
            <w:right w:val="none" w:sz="0" w:space="0" w:color="auto"/>
          </w:divBdr>
        </w:div>
        <w:div w:id="54862700">
          <w:marLeft w:val="1181"/>
          <w:marRight w:val="0"/>
          <w:marTop w:val="168"/>
          <w:marBottom w:val="0"/>
          <w:divBdr>
            <w:top w:val="none" w:sz="0" w:space="0" w:color="auto"/>
            <w:left w:val="none" w:sz="0" w:space="0" w:color="auto"/>
            <w:bottom w:val="none" w:sz="0" w:space="0" w:color="auto"/>
            <w:right w:val="none" w:sz="0" w:space="0" w:color="auto"/>
          </w:divBdr>
        </w:div>
        <w:div w:id="101075182">
          <w:marLeft w:val="1181"/>
          <w:marRight w:val="0"/>
          <w:marTop w:val="168"/>
          <w:marBottom w:val="0"/>
          <w:divBdr>
            <w:top w:val="none" w:sz="0" w:space="0" w:color="auto"/>
            <w:left w:val="none" w:sz="0" w:space="0" w:color="auto"/>
            <w:bottom w:val="none" w:sz="0" w:space="0" w:color="auto"/>
            <w:right w:val="none" w:sz="0" w:space="0" w:color="auto"/>
          </w:divBdr>
        </w:div>
        <w:div w:id="108744891">
          <w:marLeft w:val="475"/>
          <w:marRight w:val="0"/>
          <w:marTop w:val="168"/>
          <w:marBottom w:val="0"/>
          <w:divBdr>
            <w:top w:val="none" w:sz="0" w:space="0" w:color="auto"/>
            <w:left w:val="none" w:sz="0" w:space="0" w:color="auto"/>
            <w:bottom w:val="none" w:sz="0" w:space="0" w:color="auto"/>
            <w:right w:val="none" w:sz="0" w:space="0" w:color="auto"/>
          </w:divBdr>
        </w:div>
        <w:div w:id="807168073">
          <w:marLeft w:val="475"/>
          <w:marRight w:val="0"/>
          <w:marTop w:val="168"/>
          <w:marBottom w:val="0"/>
          <w:divBdr>
            <w:top w:val="none" w:sz="0" w:space="0" w:color="auto"/>
            <w:left w:val="none" w:sz="0" w:space="0" w:color="auto"/>
            <w:bottom w:val="none" w:sz="0" w:space="0" w:color="auto"/>
            <w:right w:val="none" w:sz="0" w:space="0" w:color="auto"/>
          </w:divBdr>
        </w:div>
        <w:div w:id="1224179474">
          <w:marLeft w:val="475"/>
          <w:marRight w:val="0"/>
          <w:marTop w:val="168"/>
          <w:marBottom w:val="0"/>
          <w:divBdr>
            <w:top w:val="none" w:sz="0" w:space="0" w:color="auto"/>
            <w:left w:val="none" w:sz="0" w:space="0" w:color="auto"/>
            <w:bottom w:val="none" w:sz="0" w:space="0" w:color="auto"/>
            <w:right w:val="none" w:sz="0" w:space="0" w:color="auto"/>
          </w:divBdr>
        </w:div>
        <w:div w:id="1508715256">
          <w:marLeft w:val="475"/>
          <w:marRight w:val="0"/>
          <w:marTop w:val="168"/>
          <w:marBottom w:val="0"/>
          <w:divBdr>
            <w:top w:val="none" w:sz="0" w:space="0" w:color="auto"/>
            <w:left w:val="none" w:sz="0" w:space="0" w:color="auto"/>
            <w:bottom w:val="none" w:sz="0" w:space="0" w:color="auto"/>
            <w:right w:val="none" w:sz="0" w:space="0" w:color="auto"/>
          </w:divBdr>
        </w:div>
        <w:div w:id="1549797969">
          <w:marLeft w:val="475"/>
          <w:marRight w:val="0"/>
          <w:marTop w:val="168"/>
          <w:marBottom w:val="0"/>
          <w:divBdr>
            <w:top w:val="none" w:sz="0" w:space="0" w:color="auto"/>
            <w:left w:val="none" w:sz="0" w:space="0" w:color="auto"/>
            <w:bottom w:val="none" w:sz="0" w:space="0" w:color="auto"/>
            <w:right w:val="none" w:sz="0" w:space="0" w:color="auto"/>
          </w:divBdr>
        </w:div>
        <w:div w:id="2031251013">
          <w:marLeft w:val="1181"/>
          <w:marRight w:val="0"/>
          <w:marTop w:val="168"/>
          <w:marBottom w:val="0"/>
          <w:divBdr>
            <w:top w:val="none" w:sz="0" w:space="0" w:color="auto"/>
            <w:left w:val="none" w:sz="0" w:space="0" w:color="auto"/>
            <w:bottom w:val="none" w:sz="0" w:space="0" w:color="auto"/>
            <w:right w:val="none" w:sz="0" w:space="0" w:color="auto"/>
          </w:divBdr>
        </w:div>
      </w:divsChild>
    </w:div>
    <w:div w:id="985862478">
      <w:bodyDiv w:val="1"/>
      <w:marLeft w:val="0"/>
      <w:marRight w:val="0"/>
      <w:marTop w:val="0"/>
      <w:marBottom w:val="0"/>
      <w:divBdr>
        <w:top w:val="none" w:sz="0" w:space="0" w:color="auto"/>
        <w:left w:val="none" w:sz="0" w:space="0" w:color="auto"/>
        <w:bottom w:val="none" w:sz="0" w:space="0" w:color="auto"/>
        <w:right w:val="none" w:sz="0" w:space="0" w:color="auto"/>
      </w:divBdr>
    </w:div>
    <w:div w:id="990718952">
      <w:bodyDiv w:val="1"/>
      <w:marLeft w:val="0"/>
      <w:marRight w:val="0"/>
      <w:marTop w:val="0"/>
      <w:marBottom w:val="0"/>
      <w:divBdr>
        <w:top w:val="none" w:sz="0" w:space="0" w:color="auto"/>
        <w:left w:val="none" w:sz="0" w:space="0" w:color="auto"/>
        <w:bottom w:val="none" w:sz="0" w:space="0" w:color="auto"/>
        <w:right w:val="none" w:sz="0" w:space="0" w:color="auto"/>
      </w:divBdr>
    </w:div>
    <w:div w:id="995961455">
      <w:bodyDiv w:val="1"/>
      <w:marLeft w:val="0"/>
      <w:marRight w:val="0"/>
      <w:marTop w:val="0"/>
      <w:marBottom w:val="0"/>
      <w:divBdr>
        <w:top w:val="none" w:sz="0" w:space="0" w:color="auto"/>
        <w:left w:val="none" w:sz="0" w:space="0" w:color="auto"/>
        <w:bottom w:val="none" w:sz="0" w:space="0" w:color="auto"/>
        <w:right w:val="none" w:sz="0" w:space="0" w:color="auto"/>
      </w:divBdr>
    </w:div>
    <w:div w:id="999772044">
      <w:bodyDiv w:val="1"/>
      <w:marLeft w:val="0"/>
      <w:marRight w:val="0"/>
      <w:marTop w:val="0"/>
      <w:marBottom w:val="0"/>
      <w:divBdr>
        <w:top w:val="none" w:sz="0" w:space="0" w:color="auto"/>
        <w:left w:val="none" w:sz="0" w:space="0" w:color="auto"/>
        <w:bottom w:val="none" w:sz="0" w:space="0" w:color="auto"/>
        <w:right w:val="none" w:sz="0" w:space="0" w:color="auto"/>
      </w:divBdr>
    </w:div>
    <w:div w:id="1005399098">
      <w:bodyDiv w:val="1"/>
      <w:marLeft w:val="0"/>
      <w:marRight w:val="0"/>
      <w:marTop w:val="0"/>
      <w:marBottom w:val="0"/>
      <w:divBdr>
        <w:top w:val="none" w:sz="0" w:space="0" w:color="auto"/>
        <w:left w:val="none" w:sz="0" w:space="0" w:color="auto"/>
        <w:bottom w:val="none" w:sz="0" w:space="0" w:color="auto"/>
        <w:right w:val="none" w:sz="0" w:space="0" w:color="auto"/>
      </w:divBdr>
    </w:div>
    <w:div w:id="1010910823">
      <w:bodyDiv w:val="1"/>
      <w:marLeft w:val="0"/>
      <w:marRight w:val="0"/>
      <w:marTop w:val="0"/>
      <w:marBottom w:val="0"/>
      <w:divBdr>
        <w:top w:val="none" w:sz="0" w:space="0" w:color="auto"/>
        <w:left w:val="none" w:sz="0" w:space="0" w:color="auto"/>
        <w:bottom w:val="none" w:sz="0" w:space="0" w:color="auto"/>
        <w:right w:val="none" w:sz="0" w:space="0" w:color="auto"/>
      </w:divBdr>
    </w:div>
    <w:div w:id="1012993448">
      <w:bodyDiv w:val="1"/>
      <w:marLeft w:val="0"/>
      <w:marRight w:val="0"/>
      <w:marTop w:val="0"/>
      <w:marBottom w:val="0"/>
      <w:divBdr>
        <w:top w:val="none" w:sz="0" w:space="0" w:color="auto"/>
        <w:left w:val="none" w:sz="0" w:space="0" w:color="auto"/>
        <w:bottom w:val="none" w:sz="0" w:space="0" w:color="auto"/>
        <w:right w:val="none" w:sz="0" w:space="0" w:color="auto"/>
      </w:divBdr>
    </w:div>
    <w:div w:id="1015228029">
      <w:bodyDiv w:val="1"/>
      <w:marLeft w:val="0"/>
      <w:marRight w:val="0"/>
      <w:marTop w:val="0"/>
      <w:marBottom w:val="0"/>
      <w:divBdr>
        <w:top w:val="none" w:sz="0" w:space="0" w:color="auto"/>
        <w:left w:val="none" w:sz="0" w:space="0" w:color="auto"/>
        <w:bottom w:val="none" w:sz="0" w:space="0" w:color="auto"/>
        <w:right w:val="none" w:sz="0" w:space="0" w:color="auto"/>
      </w:divBdr>
    </w:div>
    <w:div w:id="1016493158">
      <w:bodyDiv w:val="1"/>
      <w:marLeft w:val="0"/>
      <w:marRight w:val="0"/>
      <w:marTop w:val="0"/>
      <w:marBottom w:val="0"/>
      <w:divBdr>
        <w:top w:val="none" w:sz="0" w:space="0" w:color="auto"/>
        <w:left w:val="none" w:sz="0" w:space="0" w:color="auto"/>
        <w:bottom w:val="none" w:sz="0" w:space="0" w:color="auto"/>
        <w:right w:val="none" w:sz="0" w:space="0" w:color="auto"/>
      </w:divBdr>
    </w:div>
    <w:div w:id="1019505736">
      <w:bodyDiv w:val="1"/>
      <w:marLeft w:val="0"/>
      <w:marRight w:val="0"/>
      <w:marTop w:val="0"/>
      <w:marBottom w:val="0"/>
      <w:divBdr>
        <w:top w:val="none" w:sz="0" w:space="0" w:color="auto"/>
        <w:left w:val="none" w:sz="0" w:space="0" w:color="auto"/>
        <w:bottom w:val="none" w:sz="0" w:space="0" w:color="auto"/>
        <w:right w:val="none" w:sz="0" w:space="0" w:color="auto"/>
      </w:divBdr>
    </w:div>
    <w:div w:id="1023627580">
      <w:bodyDiv w:val="1"/>
      <w:marLeft w:val="0"/>
      <w:marRight w:val="0"/>
      <w:marTop w:val="0"/>
      <w:marBottom w:val="0"/>
      <w:divBdr>
        <w:top w:val="none" w:sz="0" w:space="0" w:color="auto"/>
        <w:left w:val="none" w:sz="0" w:space="0" w:color="auto"/>
        <w:bottom w:val="none" w:sz="0" w:space="0" w:color="auto"/>
        <w:right w:val="none" w:sz="0" w:space="0" w:color="auto"/>
      </w:divBdr>
    </w:div>
    <w:div w:id="1024794664">
      <w:bodyDiv w:val="1"/>
      <w:marLeft w:val="0"/>
      <w:marRight w:val="0"/>
      <w:marTop w:val="0"/>
      <w:marBottom w:val="0"/>
      <w:divBdr>
        <w:top w:val="none" w:sz="0" w:space="0" w:color="auto"/>
        <w:left w:val="none" w:sz="0" w:space="0" w:color="auto"/>
        <w:bottom w:val="none" w:sz="0" w:space="0" w:color="auto"/>
        <w:right w:val="none" w:sz="0" w:space="0" w:color="auto"/>
      </w:divBdr>
    </w:div>
    <w:div w:id="1036663832">
      <w:bodyDiv w:val="1"/>
      <w:marLeft w:val="0"/>
      <w:marRight w:val="0"/>
      <w:marTop w:val="0"/>
      <w:marBottom w:val="0"/>
      <w:divBdr>
        <w:top w:val="none" w:sz="0" w:space="0" w:color="auto"/>
        <w:left w:val="none" w:sz="0" w:space="0" w:color="auto"/>
        <w:bottom w:val="none" w:sz="0" w:space="0" w:color="auto"/>
        <w:right w:val="none" w:sz="0" w:space="0" w:color="auto"/>
      </w:divBdr>
    </w:div>
    <w:div w:id="1040058535">
      <w:bodyDiv w:val="1"/>
      <w:marLeft w:val="0"/>
      <w:marRight w:val="0"/>
      <w:marTop w:val="0"/>
      <w:marBottom w:val="0"/>
      <w:divBdr>
        <w:top w:val="none" w:sz="0" w:space="0" w:color="auto"/>
        <w:left w:val="none" w:sz="0" w:space="0" w:color="auto"/>
        <w:bottom w:val="none" w:sz="0" w:space="0" w:color="auto"/>
        <w:right w:val="none" w:sz="0" w:space="0" w:color="auto"/>
      </w:divBdr>
    </w:div>
    <w:div w:id="1045255171">
      <w:bodyDiv w:val="1"/>
      <w:marLeft w:val="0"/>
      <w:marRight w:val="0"/>
      <w:marTop w:val="0"/>
      <w:marBottom w:val="0"/>
      <w:divBdr>
        <w:top w:val="none" w:sz="0" w:space="0" w:color="auto"/>
        <w:left w:val="none" w:sz="0" w:space="0" w:color="auto"/>
        <w:bottom w:val="none" w:sz="0" w:space="0" w:color="auto"/>
        <w:right w:val="none" w:sz="0" w:space="0" w:color="auto"/>
      </w:divBdr>
    </w:div>
    <w:div w:id="1047412217">
      <w:bodyDiv w:val="1"/>
      <w:marLeft w:val="0"/>
      <w:marRight w:val="0"/>
      <w:marTop w:val="0"/>
      <w:marBottom w:val="0"/>
      <w:divBdr>
        <w:top w:val="none" w:sz="0" w:space="0" w:color="auto"/>
        <w:left w:val="none" w:sz="0" w:space="0" w:color="auto"/>
        <w:bottom w:val="none" w:sz="0" w:space="0" w:color="auto"/>
        <w:right w:val="none" w:sz="0" w:space="0" w:color="auto"/>
      </w:divBdr>
    </w:div>
    <w:div w:id="1048339547">
      <w:bodyDiv w:val="1"/>
      <w:marLeft w:val="0"/>
      <w:marRight w:val="0"/>
      <w:marTop w:val="0"/>
      <w:marBottom w:val="0"/>
      <w:divBdr>
        <w:top w:val="none" w:sz="0" w:space="0" w:color="auto"/>
        <w:left w:val="none" w:sz="0" w:space="0" w:color="auto"/>
        <w:bottom w:val="none" w:sz="0" w:space="0" w:color="auto"/>
        <w:right w:val="none" w:sz="0" w:space="0" w:color="auto"/>
      </w:divBdr>
    </w:div>
    <w:div w:id="1049912401">
      <w:bodyDiv w:val="1"/>
      <w:marLeft w:val="0"/>
      <w:marRight w:val="0"/>
      <w:marTop w:val="0"/>
      <w:marBottom w:val="0"/>
      <w:divBdr>
        <w:top w:val="none" w:sz="0" w:space="0" w:color="auto"/>
        <w:left w:val="none" w:sz="0" w:space="0" w:color="auto"/>
        <w:bottom w:val="none" w:sz="0" w:space="0" w:color="auto"/>
        <w:right w:val="none" w:sz="0" w:space="0" w:color="auto"/>
      </w:divBdr>
    </w:div>
    <w:div w:id="1056052918">
      <w:bodyDiv w:val="1"/>
      <w:marLeft w:val="0"/>
      <w:marRight w:val="0"/>
      <w:marTop w:val="0"/>
      <w:marBottom w:val="0"/>
      <w:divBdr>
        <w:top w:val="none" w:sz="0" w:space="0" w:color="auto"/>
        <w:left w:val="none" w:sz="0" w:space="0" w:color="auto"/>
        <w:bottom w:val="none" w:sz="0" w:space="0" w:color="auto"/>
        <w:right w:val="none" w:sz="0" w:space="0" w:color="auto"/>
      </w:divBdr>
      <w:divsChild>
        <w:div w:id="126902245">
          <w:marLeft w:val="274"/>
          <w:marRight w:val="0"/>
          <w:marTop w:val="20"/>
          <w:marBottom w:val="0"/>
          <w:divBdr>
            <w:top w:val="none" w:sz="0" w:space="0" w:color="auto"/>
            <w:left w:val="none" w:sz="0" w:space="0" w:color="auto"/>
            <w:bottom w:val="none" w:sz="0" w:space="0" w:color="auto"/>
            <w:right w:val="none" w:sz="0" w:space="0" w:color="auto"/>
          </w:divBdr>
        </w:div>
        <w:div w:id="503977629">
          <w:marLeft w:val="274"/>
          <w:marRight w:val="0"/>
          <w:marTop w:val="20"/>
          <w:marBottom w:val="0"/>
          <w:divBdr>
            <w:top w:val="none" w:sz="0" w:space="0" w:color="auto"/>
            <w:left w:val="none" w:sz="0" w:space="0" w:color="auto"/>
            <w:bottom w:val="none" w:sz="0" w:space="0" w:color="auto"/>
            <w:right w:val="none" w:sz="0" w:space="0" w:color="auto"/>
          </w:divBdr>
        </w:div>
        <w:div w:id="960765302">
          <w:marLeft w:val="274"/>
          <w:marRight w:val="0"/>
          <w:marTop w:val="20"/>
          <w:marBottom w:val="0"/>
          <w:divBdr>
            <w:top w:val="none" w:sz="0" w:space="0" w:color="auto"/>
            <w:left w:val="none" w:sz="0" w:space="0" w:color="auto"/>
            <w:bottom w:val="none" w:sz="0" w:space="0" w:color="auto"/>
            <w:right w:val="none" w:sz="0" w:space="0" w:color="auto"/>
          </w:divBdr>
        </w:div>
        <w:div w:id="1252202182">
          <w:marLeft w:val="576"/>
          <w:marRight w:val="0"/>
          <w:marTop w:val="20"/>
          <w:marBottom w:val="0"/>
          <w:divBdr>
            <w:top w:val="none" w:sz="0" w:space="0" w:color="auto"/>
            <w:left w:val="none" w:sz="0" w:space="0" w:color="auto"/>
            <w:bottom w:val="none" w:sz="0" w:space="0" w:color="auto"/>
            <w:right w:val="none" w:sz="0" w:space="0" w:color="auto"/>
          </w:divBdr>
        </w:div>
        <w:div w:id="1336807918">
          <w:marLeft w:val="576"/>
          <w:marRight w:val="0"/>
          <w:marTop w:val="20"/>
          <w:marBottom w:val="0"/>
          <w:divBdr>
            <w:top w:val="none" w:sz="0" w:space="0" w:color="auto"/>
            <w:left w:val="none" w:sz="0" w:space="0" w:color="auto"/>
            <w:bottom w:val="none" w:sz="0" w:space="0" w:color="auto"/>
            <w:right w:val="none" w:sz="0" w:space="0" w:color="auto"/>
          </w:divBdr>
        </w:div>
        <w:div w:id="1351100510">
          <w:marLeft w:val="274"/>
          <w:marRight w:val="0"/>
          <w:marTop w:val="20"/>
          <w:marBottom w:val="0"/>
          <w:divBdr>
            <w:top w:val="none" w:sz="0" w:space="0" w:color="auto"/>
            <w:left w:val="none" w:sz="0" w:space="0" w:color="auto"/>
            <w:bottom w:val="none" w:sz="0" w:space="0" w:color="auto"/>
            <w:right w:val="none" w:sz="0" w:space="0" w:color="auto"/>
          </w:divBdr>
        </w:div>
        <w:div w:id="1490830136">
          <w:marLeft w:val="274"/>
          <w:marRight w:val="0"/>
          <w:marTop w:val="20"/>
          <w:marBottom w:val="0"/>
          <w:divBdr>
            <w:top w:val="none" w:sz="0" w:space="0" w:color="auto"/>
            <w:left w:val="none" w:sz="0" w:space="0" w:color="auto"/>
            <w:bottom w:val="none" w:sz="0" w:space="0" w:color="auto"/>
            <w:right w:val="none" w:sz="0" w:space="0" w:color="auto"/>
          </w:divBdr>
        </w:div>
        <w:div w:id="1529104738">
          <w:marLeft w:val="576"/>
          <w:marRight w:val="0"/>
          <w:marTop w:val="20"/>
          <w:marBottom w:val="0"/>
          <w:divBdr>
            <w:top w:val="none" w:sz="0" w:space="0" w:color="auto"/>
            <w:left w:val="none" w:sz="0" w:space="0" w:color="auto"/>
            <w:bottom w:val="none" w:sz="0" w:space="0" w:color="auto"/>
            <w:right w:val="none" w:sz="0" w:space="0" w:color="auto"/>
          </w:divBdr>
        </w:div>
        <w:div w:id="1691299449">
          <w:marLeft w:val="274"/>
          <w:marRight w:val="0"/>
          <w:marTop w:val="20"/>
          <w:marBottom w:val="0"/>
          <w:divBdr>
            <w:top w:val="none" w:sz="0" w:space="0" w:color="auto"/>
            <w:left w:val="none" w:sz="0" w:space="0" w:color="auto"/>
            <w:bottom w:val="none" w:sz="0" w:space="0" w:color="auto"/>
            <w:right w:val="none" w:sz="0" w:space="0" w:color="auto"/>
          </w:divBdr>
        </w:div>
        <w:div w:id="1770350121">
          <w:marLeft w:val="576"/>
          <w:marRight w:val="0"/>
          <w:marTop w:val="20"/>
          <w:marBottom w:val="0"/>
          <w:divBdr>
            <w:top w:val="none" w:sz="0" w:space="0" w:color="auto"/>
            <w:left w:val="none" w:sz="0" w:space="0" w:color="auto"/>
            <w:bottom w:val="none" w:sz="0" w:space="0" w:color="auto"/>
            <w:right w:val="none" w:sz="0" w:space="0" w:color="auto"/>
          </w:divBdr>
        </w:div>
        <w:div w:id="2090152158">
          <w:marLeft w:val="576"/>
          <w:marRight w:val="0"/>
          <w:marTop w:val="20"/>
          <w:marBottom w:val="0"/>
          <w:divBdr>
            <w:top w:val="none" w:sz="0" w:space="0" w:color="auto"/>
            <w:left w:val="none" w:sz="0" w:space="0" w:color="auto"/>
            <w:bottom w:val="none" w:sz="0" w:space="0" w:color="auto"/>
            <w:right w:val="none" w:sz="0" w:space="0" w:color="auto"/>
          </w:divBdr>
        </w:div>
      </w:divsChild>
    </w:div>
    <w:div w:id="1060597274">
      <w:bodyDiv w:val="1"/>
      <w:marLeft w:val="0"/>
      <w:marRight w:val="0"/>
      <w:marTop w:val="0"/>
      <w:marBottom w:val="0"/>
      <w:divBdr>
        <w:top w:val="none" w:sz="0" w:space="0" w:color="auto"/>
        <w:left w:val="none" w:sz="0" w:space="0" w:color="auto"/>
        <w:bottom w:val="none" w:sz="0" w:space="0" w:color="auto"/>
        <w:right w:val="none" w:sz="0" w:space="0" w:color="auto"/>
      </w:divBdr>
    </w:div>
    <w:div w:id="1062024686">
      <w:bodyDiv w:val="1"/>
      <w:marLeft w:val="0"/>
      <w:marRight w:val="0"/>
      <w:marTop w:val="0"/>
      <w:marBottom w:val="0"/>
      <w:divBdr>
        <w:top w:val="none" w:sz="0" w:space="0" w:color="auto"/>
        <w:left w:val="none" w:sz="0" w:space="0" w:color="auto"/>
        <w:bottom w:val="none" w:sz="0" w:space="0" w:color="auto"/>
        <w:right w:val="none" w:sz="0" w:space="0" w:color="auto"/>
      </w:divBdr>
    </w:div>
    <w:div w:id="1062601634">
      <w:bodyDiv w:val="1"/>
      <w:marLeft w:val="0"/>
      <w:marRight w:val="0"/>
      <w:marTop w:val="0"/>
      <w:marBottom w:val="0"/>
      <w:divBdr>
        <w:top w:val="none" w:sz="0" w:space="0" w:color="auto"/>
        <w:left w:val="none" w:sz="0" w:space="0" w:color="auto"/>
        <w:bottom w:val="none" w:sz="0" w:space="0" w:color="auto"/>
        <w:right w:val="none" w:sz="0" w:space="0" w:color="auto"/>
      </w:divBdr>
      <w:divsChild>
        <w:div w:id="297222577">
          <w:marLeft w:val="475"/>
          <w:marRight w:val="0"/>
          <w:marTop w:val="168"/>
          <w:marBottom w:val="0"/>
          <w:divBdr>
            <w:top w:val="none" w:sz="0" w:space="0" w:color="auto"/>
            <w:left w:val="none" w:sz="0" w:space="0" w:color="auto"/>
            <w:bottom w:val="none" w:sz="0" w:space="0" w:color="auto"/>
            <w:right w:val="none" w:sz="0" w:space="0" w:color="auto"/>
          </w:divBdr>
        </w:div>
        <w:div w:id="796753147">
          <w:marLeft w:val="475"/>
          <w:marRight w:val="0"/>
          <w:marTop w:val="168"/>
          <w:marBottom w:val="0"/>
          <w:divBdr>
            <w:top w:val="none" w:sz="0" w:space="0" w:color="auto"/>
            <w:left w:val="none" w:sz="0" w:space="0" w:color="auto"/>
            <w:bottom w:val="none" w:sz="0" w:space="0" w:color="auto"/>
            <w:right w:val="none" w:sz="0" w:space="0" w:color="auto"/>
          </w:divBdr>
        </w:div>
        <w:div w:id="924218057">
          <w:marLeft w:val="1181"/>
          <w:marRight w:val="0"/>
          <w:marTop w:val="168"/>
          <w:marBottom w:val="0"/>
          <w:divBdr>
            <w:top w:val="none" w:sz="0" w:space="0" w:color="auto"/>
            <w:left w:val="none" w:sz="0" w:space="0" w:color="auto"/>
            <w:bottom w:val="none" w:sz="0" w:space="0" w:color="auto"/>
            <w:right w:val="none" w:sz="0" w:space="0" w:color="auto"/>
          </w:divBdr>
        </w:div>
        <w:div w:id="1049039276">
          <w:marLeft w:val="475"/>
          <w:marRight w:val="0"/>
          <w:marTop w:val="168"/>
          <w:marBottom w:val="0"/>
          <w:divBdr>
            <w:top w:val="none" w:sz="0" w:space="0" w:color="auto"/>
            <w:left w:val="none" w:sz="0" w:space="0" w:color="auto"/>
            <w:bottom w:val="none" w:sz="0" w:space="0" w:color="auto"/>
            <w:right w:val="none" w:sz="0" w:space="0" w:color="auto"/>
          </w:divBdr>
        </w:div>
        <w:div w:id="1396002988">
          <w:marLeft w:val="475"/>
          <w:marRight w:val="0"/>
          <w:marTop w:val="168"/>
          <w:marBottom w:val="0"/>
          <w:divBdr>
            <w:top w:val="none" w:sz="0" w:space="0" w:color="auto"/>
            <w:left w:val="none" w:sz="0" w:space="0" w:color="auto"/>
            <w:bottom w:val="none" w:sz="0" w:space="0" w:color="auto"/>
            <w:right w:val="none" w:sz="0" w:space="0" w:color="auto"/>
          </w:divBdr>
        </w:div>
        <w:div w:id="2088067551">
          <w:marLeft w:val="1181"/>
          <w:marRight w:val="0"/>
          <w:marTop w:val="168"/>
          <w:marBottom w:val="0"/>
          <w:divBdr>
            <w:top w:val="none" w:sz="0" w:space="0" w:color="auto"/>
            <w:left w:val="none" w:sz="0" w:space="0" w:color="auto"/>
            <w:bottom w:val="none" w:sz="0" w:space="0" w:color="auto"/>
            <w:right w:val="none" w:sz="0" w:space="0" w:color="auto"/>
          </w:divBdr>
        </w:div>
        <w:div w:id="2099013746">
          <w:marLeft w:val="1181"/>
          <w:marRight w:val="0"/>
          <w:marTop w:val="168"/>
          <w:marBottom w:val="0"/>
          <w:divBdr>
            <w:top w:val="none" w:sz="0" w:space="0" w:color="auto"/>
            <w:left w:val="none" w:sz="0" w:space="0" w:color="auto"/>
            <w:bottom w:val="none" w:sz="0" w:space="0" w:color="auto"/>
            <w:right w:val="none" w:sz="0" w:space="0" w:color="auto"/>
          </w:divBdr>
        </w:div>
      </w:divsChild>
    </w:div>
    <w:div w:id="1065180869">
      <w:bodyDiv w:val="1"/>
      <w:marLeft w:val="0"/>
      <w:marRight w:val="0"/>
      <w:marTop w:val="0"/>
      <w:marBottom w:val="0"/>
      <w:divBdr>
        <w:top w:val="none" w:sz="0" w:space="0" w:color="auto"/>
        <w:left w:val="none" w:sz="0" w:space="0" w:color="auto"/>
        <w:bottom w:val="none" w:sz="0" w:space="0" w:color="auto"/>
        <w:right w:val="none" w:sz="0" w:space="0" w:color="auto"/>
      </w:divBdr>
    </w:div>
    <w:div w:id="1076434688">
      <w:bodyDiv w:val="1"/>
      <w:marLeft w:val="0"/>
      <w:marRight w:val="0"/>
      <w:marTop w:val="0"/>
      <w:marBottom w:val="0"/>
      <w:divBdr>
        <w:top w:val="none" w:sz="0" w:space="0" w:color="auto"/>
        <w:left w:val="none" w:sz="0" w:space="0" w:color="auto"/>
        <w:bottom w:val="none" w:sz="0" w:space="0" w:color="auto"/>
        <w:right w:val="none" w:sz="0" w:space="0" w:color="auto"/>
      </w:divBdr>
    </w:div>
    <w:div w:id="1077439980">
      <w:bodyDiv w:val="1"/>
      <w:marLeft w:val="0"/>
      <w:marRight w:val="0"/>
      <w:marTop w:val="0"/>
      <w:marBottom w:val="0"/>
      <w:divBdr>
        <w:top w:val="none" w:sz="0" w:space="0" w:color="auto"/>
        <w:left w:val="none" w:sz="0" w:space="0" w:color="auto"/>
        <w:bottom w:val="none" w:sz="0" w:space="0" w:color="auto"/>
        <w:right w:val="none" w:sz="0" w:space="0" w:color="auto"/>
      </w:divBdr>
      <w:divsChild>
        <w:div w:id="38167954">
          <w:marLeft w:val="0"/>
          <w:marRight w:val="0"/>
          <w:marTop w:val="0"/>
          <w:marBottom w:val="0"/>
          <w:divBdr>
            <w:top w:val="none" w:sz="0" w:space="0" w:color="auto"/>
            <w:left w:val="none" w:sz="0" w:space="0" w:color="auto"/>
            <w:bottom w:val="none" w:sz="0" w:space="0" w:color="auto"/>
            <w:right w:val="none" w:sz="0" w:space="0" w:color="auto"/>
          </w:divBdr>
        </w:div>
        <w:div w:id="188027581">
          <w:marLeft w:val="0"/>
          <w:marRight w:val="0"/>
          <w:marTop w:val="0"/>
          <w:marBottom w:val="0"/>
          <w:divBdr>
            <w:top w:val="none" w:sz="0" w:space="0" w:color="auto"/>
            <w:left w:val="none" w:sz="0" w:space="0" w:color="auto"/>
            <w:bottom w:val="none" w:sz="0" w:space="0" w:color="auto"/>
            <w:right w:val="none" w:sz="0" w:space="0" w:color="auto"/>
          </w:divBdr>
        </w:div>
        <w:div w:id="618150464">
          <w:marLeft w:val="0"/>
          <w:marRight w:val="0"/>
          <w:marTop w:val="0"/>
          <w:marBottom w:val="0"/>
          <w:divBdr>
            <w:top w:val="none" w:sz="0" w:space="0" w:color="auto"/>
            <w:left w:val="none" w:sz="0" w:space="0" w:color="auto"/>
            <w:bottom w:val="none" w:sz="0" w:space="0" w:color="auto"/>
            <w:right w:val="none" w:sz="0" w:space="0" w:color="auto"/>
          </w:divBdr>
        </w:div>
        <w:div w:id="906652225">
          <w:marLeft w:val="0"/>
          <w:marRight w:val="0"/>
          <w:marTop w:val="0"/>
          <w:marBottom w:val="0"/>
          <w:divBdr>
            <w:top w:val="none" w:sz="0" w:space="0" w:color="auto"/>
            <w:left w:val="none" w:sz="0" w:space="0" w:color="auto"/>
            <w:bottom w:val="none" w:sz="0" w:space="0" w:color="auto"/>
            <w:right w:val="none" w:sz="0" w:space="0" w:color="auto"/>
          </w:divBdr>
        </w:div>
        <w:div w:id="989359904">
          <w:marLeft w:val="0"/>
          <w:marRight w:val="0"/>
          <w:marTop w:val="0"/>
          <w:marBottom w:val="0"/>
          <w:divBdr>
            <w:top w:val="none" w:sz="0" w:space="0" w:color="auto"/>
            <w:left w:val="none" w:sz="0" w:space="0" w:color="auto"/>
            <w:bottom w:val="none" w:sz="0" w:space="0" w:color="auto"/>
            <w:right w:val="none" w:sz="0" w:space="0" w:color="auto"/>
          </w:divBdr>
        </w:div>
        <w:div w:id="1329097792">
          <w:marLeft w:val="0"/>
          <w:marRight w:val="0"/>
          <w:marTop w:val="0"/>
          <w:marBottom w:val="0"/>
          <w:divBdr>
            <w:top w:val="none" w:sz="0" w:space="0" w:color="auto"/>
            <w:left w:val="none" w:sz="0" w:space="0" w:color="auto"/>
            <w:bottom w:val="none" w:sz="0" w:space="0" w:color="auto"/>
            <w:right w:val="none" w:sz="0" w:space="0" w:color="auto"/>
          </w:divBdr>
        </w:div>
        <w:div w:id="1680110347">
          <w:marLeft w:val="0"/>
          <w:marRight w:val="0"/>
          <w:marTop w:val="0"/>
          <w:marBottom w:val="0"/>
          <w:divBdr>
            <w:top w:val="none" w:sz="0" w:space="0" w:color="auto"/>
            <w:left w:val="none" w:sz="0" w:space="0" w:color="auto"/>
            <w:bottom w:val="none" w:sz="0" w:space="0" w:color="auto"/>
            <w:right w:val="none" w:sz="0" w:space="0" w:color="auto"/>
          </w:divBdr>
        </w:div>
        <w:div w:id="1894580965">
          <w:marLeft w:val="0"/>
          <w:marRight w:val="0"/>
          <w:marTop w:val="0"/>
          <w:marBottom w:val="0"/>
          <w:divBdr>
            <w:top w:val="none" w:sz="0" w:space="0" w:color="auto"/>
            <w:left w:val="none" w:sz="0" w:space="0" w:color="auto"/>
            <w:bottom w:val="none" w:sz="0" w:space="0" w:color="auto"/>
            <w:right w:val="none" w:sz="0" w:space="0" w:color="auto"/>
          </w:divBdr>
        </w:div>
      </w:divsChild>
    </w:div>
    <w:div w:id="1079408458">
      <w:bodyDiv w:val="1"/>
      <w:marLeft w:val="0"/>
      <w:marRight w:val="0"/>
      <w:marTop w:val="0"/>
      <w:marBottom w:val="0"/>
      <w:divBdr>
        <w:top w:val="none" w:sz="0" w:space="0" w:color="auto"/>
        <w:left w:val="none" w:sz="0" w:space="0" w:color="auto"/>
        <w:bottom w:val="none" w:sz="0" w:space="0" w:color="auto"/>
        <w:right w:val="none" w:sz="0" w:space="0" w:color="auto"/>
      </w:divBdr>
    </w:div>
    <w:div w:id="1079790540">
      <w:bodyDiv w:val="1"/>
      <w:marLeft w:val="0"/>
      <w:marRight w:val="0"/>
      <w:marTop w:val="0"/>
      <w:marBottom w:val="0"/>
      <w:divBdr>
        <w:top w:val="none" w:sz="0" w:space="0" w:color="auto"/>
        <w:left w:val="none" w:sz="0" w:space="0" w:color="auto"/>
        <w:bottom w:val="none" w:sz="0" w:space="0" w:color="auto"/>
        <w:right w:val="none" w:sz="0" w:space="0" w:color="auto"/>
      </w:divBdr>
    </w:div>
    <w:div w:id="1081173349">
      <w:bodyDiv w:val="1"/>
      <w:marLeft w:val="0"/>
      <w:marRight w:val="0"/>
      <w:marTop w:val="0"/>
      <w:marBottom w:val="0"/>
      <w:divBdr>
        <w:top w:val="none" w:sz="0" w:space="0" w:color="auto"/>
        <w:left w:val="none" w:sz="0" w:space="0" w:color="auto"/>
        <w:bottom w:val="none" w:sz="0" w:space="0" w:color="auto"/>
        <w:right w:val="none" w:sz="0" w:space="0" w:color="auto"/>
      </w:divBdr>
    </w:div>
    <w:div w:id="1081681794">
      <w:bodyDiv w:val="1"/>
      <w:marLeft w:val="0"/>
      <w:marRight w:val="0"/>
      <w:marTop w:val="0"/>
      <w:marBottom w:val="0"/>
      <w:divBdr>
        <w:top w:val="none" w:sz="0" w:space="0" w:color="auto"/>
        <w:left w:val="none" w:sz="0" w:space="0" w:color="auto"/>
        <w:bottom w:val="none" w:sz="0" w:space="0" w:color="auto"/>
        <w:right w:val="none" w:sz="0" w:space="0" w:color="auto"/>
      </w:divBdr>
      <w:divsChild>
        <w:div w:id="369888797">
          <w:marLeft w:val="288"/>
          <w:marRight w:val="0"/>
          <w:marTop w:val="0"/>
          <w:marBottom w:val="96"/>
          <w:divBdr>
            <w:top w:val="none" w:sz="0" w:space="0" w:color="auto"/>
            <w:left w:val="none" w:sz="0" w:space="0" w:color="auto"/>
            <w:bottom w:val="none" w:sz="0" w:space="0" w:color="auto"/>
            <w:right w:val="none" w:sz="0" w:space="0" w:color="auto"/>
          </w:divBdr>
        </w:div>
        <w:div w:id="450827316">
          <w:marLeft w:val="288"/>
          <w:marRight w:val="0"/>
          <w:marTop w:val="0"/>
          <w:marBottom w:val="96"/>
          <w:divBdr>
            <w:top w:val="none" w:sz="0" w:space="0" w:color="auto"/>
            <w:left w:val="none" w:sz="0" w:space="0" w:color="auto"/>
            <w:bottom w:val="none" w:sz="0" w:space="0" w:color="auto"/>
            <w:right w:val="none" w:sz="0" w:space="0" w:color="auto"/>
          </w:divBdr>
        </w:div>
        <w:div w:id="651056059">
          <w:marLeft w:val="288"/>
          <w:marRight w:val="0"/>
          <w:marTop w:val="0"/>
          <w:marBottom w:val="96"/>
          <w:divBdr>
            <w:top w:val="none" w:sz="0" w:space="0" w:color="auto"/>
            <w:left w:val="none" w:sz="0" w:space="0" w:color="auto"/>
            <w:bottom w:val="none" w:sz="0" w:space="0" w:color="auto"/>
            <w:right w:val="none" w:sz="0" w:space="0" w:color="auto"/>
          </w:divBdr>
        </w:div>
        <w:div w:id="1254896865">
          <w:marLeft w:val="288"/>
          <w:marRight w:val="0"/>
          <w:marTop w:val="0"/>
          <w:marBottom w:val="96"/>
          <w:divBdr>
            <w:top w:val="none" w:sz="0" w:space="0" w:color="auto"/>
            <w:left w:val="none" w:sz="0" w:space="0" w:color="auto"/>
            <w:bottom w:val="none" w:sz="0" w:space="0" w:color="auto"/>
            <w:right w:val="none" w:sz="0" w:space="0" w:color="auto"/>
          </w:divBdr>
        </w:div>
        <w:div w:id="1345785355">
          <w:marLeft w:val="288"/>
          <w:marRight w:val="0"/>
          <w:marTop w:val="0"/>
          <w:marBottom w:val="96"/>
          <w:divBdr>
            <w:top w:val="none" w:sz="0" w:space="0" w:color="auto"/>
            <w:left w:val="none" w:sz="0" w:space="0" w:color="auto"/>
            <w:bottom w:val="none" w:sz="0" w:space="0" w:color="auto"/>
            <w:right w:val="none" w:sz="0" w:space="0" w:color="auto"/>
          </w:divBdr>
        </w:div>
        <w:div w:id="1792822905">
          <w:marLeft w:val="288"/>
          <w:marRight w:val="0"/>
          <w:marTop w:val="0"/>
          <w:marBottom w:val="96"/>
          <w:divBdr>
            <w:top w:val="none" w:sz="0" w:space="0" w:color="auto"/>
            <w:left w:val="none" w:sz="0" w:space="0" w:color="auto"/>
            <w:bottom w:val="none" w:sz="0" w:space="0" w:color="auto"/>
            <w:right w:val="none" w:sz="0" w:space="0" w:color="auto"/>
          </w:divBdr>
        </w:div>
      </w:divsChild>
    </w:div>
    <w:div w:id="1085760591">
      <w:bodyDiv w:val="1"/>
      <w:marLeft w:val="0"/>
      <w:marRight w:val="0"/>
      <w:marTop w:val="0"/>
      <w:marBottom w:val="0"/>
      <w:divBdr>
        <w:top w:val="none" w:sz="0" w:space="0" w:color="auto"/>
        <w:left w:val="none" w:sz="0" w:space="0" w:color="auto"/>
        <w:bottom w:val="none" w:sz="0" w:space="0" w:color="auto"/>
        <w:right w:val="none" w:sz="0" w:space="0" w:color="auto"/>
      </w:divBdr>
    </w:div>
    <w:div w:id="1088231164">
      <w:bodyDiv w:val="1"/>
      <w:marLeft w:val="0"/>
      <w:marRight w:val="0"/>
      <w:marTop w:val="0"/>
      <w:marBottom w:val="0"/>
      <w:divBdr>
        <w:top w:val="none" w:sz="0" w:space="0" w:color="auto"/>
        <w:left w:val="none" w:sz="0" w:space="0" w:color="auto"/>
        <w:bottom w:val="none" w:sz="0" w:space="0" w:color="auto"/>
        <w:right w:val="none" w:sz="0" w:space="0" w:color="auto"/>
      </w:divBdr>
    </w:div>
    <w:div w:id="1088431339">
      <w:bodyDiv w:val="1"/>
      <w:marLeft w:val="0"/>
      <w:marRight w:val="0"/>
      <w:marTop w:val="0"/>
      <w:marBottom w:val="0"/>
      <w:divBdr>
        <w:top w:val="none" w:sz="0" w:space="0" w:color="auto"/>
        <w:left w:val="none" w:sz="0" w:space="0" w:color="auto"/>
        <w:bottom w:val="none" w:sz="0" w:space="0" w:color="auto"/>
        <w:right w:val="none" w:sz="0" w:space="0" w:color="auto"/>
      </w:divBdr>
    </w:div>
    <w:div w:id="1095977330">
      <w:bodyDiv w:val="1"/>
      <w:marLeft w:val="0"/>
      <w:marRight w:val="0"/>
      <w:marTop w:val="0"/>
      <w:marBottom w:val="0"/>
      <w:divBdr>
        <w:top w:val="none" w:sz="0" w:space="0" w:color="auto"/>
        <w:left w:val="none" w:sz="0" w:space="0" w:color="auto"/>
        <w:bottom w:val="none" w:sz="0" w:space="0" w:color="auto"/>
        <w:right w:val="none" w:sz="0" w:space="0" w:color="auto"/>
      </w:divBdr>
    </w:div>
    <w:div w:id="1097823903">
      <w:bodyDiv w:val="1"/>
      <w:marLeft w:val="0"/>
      <w:marRight w:val="0"/>
      <w:marTop w:val="0"/>
      <w:marBottom w:val="0"/>
      <w:divBdr>
        <w:top w:val="none" w:sz="0" w:space="0" w:color="auto"/>
        <w:left w:val="none" w:sz="0" w:space="0" w:color="auto"/>
        <w:bottom w:val="none" w:sz="0" w:space="0" w:color="auto"/>
        <w:right w:val="none" w:sz="0" w:space="0" w:color="auto"/>
      </w:divBdr>
    </w:div>
    <w:div w:id="1098677269">
      <w:bodyDiv w:val="1"/>
      <w:marLeft w:val="0"/>
      <w:marRight w:val="0"/>
      <w:marTop w:val="0"/>
      <w:marBottom w:val="0"/>
      <w:divBdr>
        <w:top w:val="none" w:sz="0" w:space="0" w:color="auto"/>
        <w:left w:val="none" w:sz="0" w:space="0" w:color="auto"/>
        <w:bottom w:val="none" w:sz="0" w:space="0" w:color="auto"/>
        <w:right w:val="none" w:sz="0" w:space="0" w:color="auto"/>
      </w:divBdr>
    </w:div>
    <w:div w:id="1103455555">
      <w:bodyDiv w:val="1"/>
      <w:marLeft w:val="0"/>
      <w:marRight w:val="0"/>
      <w:marTop w:val="0"/>
      <w:marBottom w:val="0"/>
      <w:divBdr>
        <w:top w:val="none" w:sz="0" w:space="0" w:color="auto"/>
        <w:left w:val="none" w:sz="0" w:space="0" w:color="auto"/>
        <w:bottom w:val="none" w:sz="0" w:space="0" w:color="auto"/>
        <w:right w:val="none" w:sz="0" w:space="0" w:color="auto"/>
      </w:divBdr>
    </w:div>
    <w:div w:id="1103919017">
      <w:bodyDiv w:val="1"/>
      <w:marLeft w:val="0"/>
      <w:marRight w:val="0"/>
      <w:marTop w:val="0"/>
      <w:marBottom w:val="0"/>
      <w:divBdr>
        <w:top w:val="none" w:sz="0" w:space="0" w:color="auto"/>
        <w:left w:val="none" w:sz="0" w:space="0" w:color="auto"/>
        <w:bottom w:val="none" w:sz="0" w:space="0" w:color="auto"/>
        <w:right w:val="none" w:sz="0" w:space="0" w:color="auto"/>
      </w:divBdr>
    </w:div>
    <w:div w:id="1104615917">
      <w:bodyDiv w:val="1"/>
      <w:marLeft w:val="0"/>
      <w:marRight w:val="0"/>
      <w:marTop w:val="0"/>
      <w:marBottom w:val="0"/>
      <w:divBdr>
        <w:top w:val="none" w:sz="0" w:space="0" w:color="auto"/>
        <w:left w:val="none" w:sz="0" w:space="0" w:color="auto"/>
        <w:bottom w:val="none" w:sz="0" w:space="0" w:color="auto"/>
        <w:right w:val="none" w:sz="0" w:space="0" w:color="auto"/>
      </w:divBdr>
    </w:div>
    <w:div w:id="1106122913">
      <w:bodyDiv w:val="1"/>
      <w:marLeft w:val="0"/>
      <w:marRight w:val="0"/>
      <w:marTop w:val="0"/>
      <w:marBottom w:val="0"/>
      <w:divBdr>
        <w:top w:val="none" w:sz="0" w:space="0" w:color="auto"/>
        <w:left w:val="none" w:sz="0" w:space="0" w:color="auto"/>
        <w:bottom w:val="none" w:sz="0" w:space="0" w:color="auto"/>
        <w:right w:val="none" w:sz="0" w:space="0" w:color="auto"/>
      </w:divBdr>
    </w:div>
    <w:div w:id="1107119640">
      <w:bodyDiv w:val="1"/>
      <w:marLeft w:val="0"/>
      <w:marRight w:val="0"/>
      <w:marTop w:val="0"/>
      <w:marBottom w:val="0"/>
      <w:divBdr>
        <w:top w:val="none" w:sz="0" w:space="0" w:color="auto"/>
        <w:left w:val="none" w:sz="0" w:space="0" w:color="auto"/>
        <w:bottom w:val="none" w:sz="0" w:space="0" w:color="auto"/>
        <w:right w:val="none" w:sz="0" w:space="0" w:color="auto"/>
      </w:divBdr>
    </w:div>
    <w:div w:id="1107624921">
      <w:bodyDiv w:val="1"/>
      <w:marLeft w:val="0"/>
      <w:marRight w:val="0"/>
      <w:marTop w:val="0"/>
      <w:marBottom w:val="0"/>
      <w:divBdr>
        <w:top w:val="none" w:sz="0" w:space="0" w:color="auto"/>
        <w:left w:val="none" w:sz="0" w:space="0" w:color="auto"/>
        <w:bottom w:val="none" w:sz="0" w:space="0" w:color="auto"/>
        <w:right w:val="none" w:sz="0" w:space="0" w:color="auto"/>
      </w:divBdr>
    </w:div>
    <w:div w:id="1113210503">
      <w:bodyDiv w:val="1"/>
      <w:marLeft w:val="0"/>
      <w:marRight w:val="0"/>
      <w:marTop w:val="0"/>
      <w:marBottom w:val="0"/>
      <w:divBdr>
        <w:top w:val="none" w:sz="0" w:space="0" w:color="auto"/>
        <w:left w:val="none" w:sz="0" w:space="0" w:color="auto"/>
        <w:bottom w:val="none" w:sz="0" w:space="0" w:color="auto"/>
        <w:right w:val="none" w:sz="0" w:space="0" w:color="auto"/>
      </w:divBdr>
    </w:div>
    <w:div w:id="1119035561">
      <w:bodyDiv w:val="1"/>
      <w:marLeft w:val="0"/>
      <w:marRight w:val="0"/>
      <w:marTop w:val="0"/>
      <w:marBottom w:val="0"/>
      <w:divBdr>
        <w:top w:val="none" w:sz="0" w:space="0" w:color="auto"/>
        <w:left w:val="none" w:sz="0" w:space="0" w:color="auto"/>
        <w:bottom w:val="none" w:sz="0" w:space="0" w:color="auto"/>
        <w:right w:val="none" w:sz="0" w:space="0" w:color="auto"/>
      </w:divBdr>
    </w:div>
    <w:div w:id="1122117813">
      <w:bodyDiv w:val="1"/>
      <w:marLeft w:val="0"/>
      <w:marRight w:val="0"/>
      <w:marTop w:val="0"/>
      <w:marBottom w:val="0"/>
      <w:divBdr>
        <w:top w:val="none" w:sz="0" w:space="0" w:color="auto"/>
        <w:left w:val="none" w:sz="0" w:space="0" w:color="auto"/>
        <w:bottom w:val="none" w:sz="0" w:space="0" w:color="auto"/>
        <w:right w:val="none" w:sz="0" w:space="0" w:color="auto"/>
      </w:divBdr>
    </w:div>
    <w:div w:id="1123573405">
      <w:bodyDiv w:val="1"/>
      <w:marLeft w:val="0"/>
      <w:marRight w:val="0"/>
      <w:marTop w:val="0"/>
      <w:marBottom w:val="0"/>
      <w:divBdr>
        <w:top w:val="none" w:sz="0" w:space="0" w:color="auto"/>
        <w:left w:val="none" w:sz="0" w:space="0" w:color="auto"/>
        <w:bottom w:val="none" w:sz="0" w:space="0" w:color="auto"/>
        <w:right w:val="none" w:sz="0" w:space="0" w:color="auto"/>
      </w:divBdr>
    </w:div>
    <w:div w:id="1128013698">
      <w:bodyDiv w:val="1"/>
      <w:marLeft w:val="0"/>
      <w:marRight w:val="0"/>
      <w:marTop w:val="0"/>
      <w:marBottom w:val="0"/>
      <w:divBdr>
        <w:top w:val="none" w:sz="0" w:space="0" w:color="auto"/>
        <w:left w:val="none" w:sz="0" w:space="0" w:color="auto"/>
        <w:bottom w:val="none" w:sz="0" w:space="0" w:color="auto"/>
        <w:right w:val="none" w:sz="0" w:space="0" w:color="auto"/>
      </w:divBdr>
    </w:div>
    <w:div w:id="1129393271">
      <w:bodyDiv w:val="1"/>
      <w:marLeft w:val="0"/>
      <w:marRight w:val="0"/>
      <w:marTop w:val="0"/>
      <w:marBottom w:val="0"/>
      <w:divBdr>
        <w:top w:val="none" w:sz="0" w:space="0" w:color="auto"/>
        <w:left w:val="none" w:sz="0" w:space="0" w:color="auto"/>
        <w:bottom w:val="none" w:sz="0" w:space="0" w:color="auto"/>
        <w:right w:val="none" w:sz="0" w:space="0" w:color="auto"/>
      </w:divBdr>
    </w:div>
    <w:div w:id="1129395626">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134131915">
      <w:bodyDiv w:val="1"/>
      <w:marLeft w:val="0"/>
      <w:marRight w:val="0"/>
      <w:marTop w:val="0"/>
      <w:marBottom w:val="0"/>
      <w:divBdr>
        <w:top w:val="none" w:sz="0" w:space="0" w:color="auto"/>
        <w:left w:val="none" w:sz="0" w:space="0" w:color="auto"/>
        <w:bottom w:val="none" w:sz="0" w:space="0" w:color="auto"/>
        <w:right w:val="none" w:sz="0" w:space="0" w:color="auto"/>
      </w:divBdr>
      <w:divsChild>
        <w:div w:id="75904966">
          <w:marLeft w:val="144"/>
          <w:marRight w:val="0"/>
          <w:marTop w:val="0"/>
          <w:marBottom w:val="0"/>
          <w:divBdr>
            <w:top w:val="none" w:sz="0" w:space="0" w:color="auto"/>
            <w:left w:val="none" w:sz="0" w:space="0" w:color="auto"/>
            <w:bottom w:val="none" w:sz="0" w:space="0" w:color="auto"/>
            <w:right w:val="none" w:sz="0" w:space="0" w:color="auto"/>
          </w:divBdr>
        </w:div>
        <w:div w:id="165631405">
          <w:marLeft w:val="144"/>
          <w:marRight w:val="0"/>
          <w:marTop w:val="0"/>
          <w:marBottom w:val="0"/>
          <w:divBdr>
            <w:top w:val="none" w:sz="0" w:space="0" w:color="auto"/>
            <w:left w:val="none" w:sz="0" w:space="0" w:color="auto"/>
            <w:bottom w:val="none" w:sz="0" w:space="0" w:color="auto"/>
            <w:right w:val="none" w:sz="0" w:space="0" w:color="auto"/>
          </w:divBdr>
        </w:div>
        <w:div w:id="208341028">
          <w:marLeft w:val="144"/>
          <w:marRight w:val="0"/>
          <w:marTop w:val="0"/>
          <w:marBottom w:val="0"/>
          <w:divBdr>
            <w:top w:val="none" w:sz="0" w:space="0" w:color="auto"/>
            <w:left w:val="none" w:sz="0" w:space="0" w:color="auto"/>
            <w:bottom w:val="none" w:sz="0" w:space="0" w:color="auto"/>
            <w:right w:val="none" w:sz="0" w:space="0" w:color="auto"/>
          </w:divBdr>
        </w:div>
        <w:div w:id="327489918">
          <w:marLeft w:val="144"/>
          <w:marRight w:val="0"/>
          <w:marTop w:val="0"/>
          <w:marBottom w:val="0"/>
          <w:divBdr>
            <w:top w:val="none" w:sz="0" w:space="0" w:color="auto"/>
            <w:left w:val="none" w:sz="0" w:space="0" w:color="auto"/>
            <w:bottom w:val="none" w:sz="0" w:space="0" w:color="auto"/>
            <w:right w:val="none" w:sz="0" w:space="0" w:color="auto"/>
          </w:divBdr>
        </w:div>
        <w:div w:id="398134158">
          <w:marLeft w:val="144"/>
          <w:marRight w:val="0"/>
          <w:marTop w:val="0"/>
          <w:marBottom w:val="0"/>
          <w:divBdr>
            <w:top w:val="none" w:sz="0" w:space="0" w:color="auto"/>
            <w:left w:val="none" w:sz="0" w:space="0" w:color="auto"/>
            <w:bottom w:val="none" w:sz="0" w:space="0" w:color="auto"/>
            <w:right w:val="none" w:sz="0" w:space="0" w:color="auto"/>
          </w:divBdr>
        </w:div>
        <w:div w:id="512106412">
          <w:marLeft w:val="144"/>
          <w:marRight w:val="0"/>
          <w:marTop w:val="0"/>
          <w:marBottom w:val="0"/>
          <w:divBdr>
            <w:top w:val="none" w:sz="0" w:space="0" w:color="auto"/>
            <w:left w:val="none" w:sz="0" w:space="0" w:color="auto"/>
            <w:bottom w:val="none" w:sz="0" w:space="0" w:color="auto"/>
            <w:right w:val="none" w:sz="0" w:space="0" w:color="auto"/>
          </w:divBdr>
        </w:div>
        <w:div w:id="961427303">
          <w:marLeft w:val="144"/>
          <w:marRight w:val="0"/>
          <w:marTop w:val="0"/>
          <w:marBottom w:val="0"/>
          <w:divBdr>
            <w:top w:val="none" w:sz="0" w:space="0" w:color="auto"/>
            <w:left w:val="none" w:sz="0" w:space="0" w:color="auto"/>
            <w:bottom w:val="none" w:sz="0" w:space="0" w:color="auto"/>
            <w:right w:val="none" w:sz="0" w:space="0" w:color="auto"/>
          </w:divBdr>
        </w:div>
        <w:div w:id="1268545358">
          <w:marLeft w:val="144"/>
          <w:marRight w:val="0"/>
          <w:marTop w:val="0"/>
          <w:marBottom w:val="0"/>
          <w:divBdr>
            <w:top w:val="none" w:sz="0" w:space="0" w:color="auto"/>
            <w:left w:val="none" w:sz="0" w:space="0" w:color="auto"/>
            <w:bottom w:val="none" w:sz="0" w:space="0" w:color="auto"/>
            <w:right w:val="none" w:sz="0" w:space="0" w:color="auto"/>
          </w:divBdr>
        </w:div>
        <w:div w:id="1341548684">
          <w:marLeft w:val="144"/>
          <w:marRight w:val="0"/>
          <w:marTop w:val="0"/>
          <w:marBottom w:val="0"/>
          <w:divBdr>
            <w:top w:val="none" w:sz="0" w:space="0" w:color="auto"/>
            <w:left w:val="none" w:sz="0" w:space="0" w:color="auto"/>
            <w:bottom w:val="none" w:sz="0" w:space="0" w:color="auto"/>
            <w:right w:val="none" w:sz="0" w:space="0" w:color="auto"/>
          </w:divBdr>
        </w:div>
        <w:div w:id="1454639779">
          <w:marLeft w:val="144"/>
          <w:marRight w:val="0"/>
          <w:marTop w:val="0"/>
          <w:marBottom w:val="0"/>
          <w:divBdr>
            <w:top w:val="none" w:sz="0" w:space="0" w:color="auto"/>
            <w:left w:val="none" w:sz="0" w:space="0" w:color="auto"/>
            <w:bottom w:val="none" w:sz="0" w:space="0" w:color="auto"/>
            <w:right w:val="none" w:sz="0" w:space="0" w:color="auto"/>
          </w:divBdr>
        </w:div>
        <w:div w:id="1518932663">
          <w:marLeft w:val="144"/>
          <w:marRight w:val="0"/>
          <w:marTop w:val="0"/>
          <w:marBottom w:val="0"/>
          <w:divBdr>
            <w:top w:val="none" w:sz="0" w:space="0" w:color="auto"/>
            <w:left w:val="none" w:sz="0" w:space="0" w:color="auto"/>
            <w:bottom w:val="none" w:sz="0" w:space="0" w:color="auto"/>
            <w:right w:val="none" w:sz="0" w:space="0" w:color="auto"/>
          </w:divBdr>
        </w:div>
        <w:div w:id="1544174163">
          <w:marLeft w:val="144"/>
          <w:marRight w:val="0"/>
          <w:marTop w:val="0"/>
          <w:marBottom w:val="0"/>
          <w:divBdr>
            <w:top w:val="none" w:sz="0" w:space="0" w:color="auto"/>
            <w:left w:val="none" w:sz="0" w:space="0" w:color="auto"/>
            <w:bottom w:val="none" w:sz="0" w:space="0" w:color="auto"/>
            <w:right w:val="none" w:sz="0" w:space="0" w:color="auto"/>
          </w:divBdr>
        </w:div>
        <w:div w:id="1592739459">
          <w:marLeft w:val="144"/>
          <w:marRight w:val="0"/>
          <w:marTop w:val="0"/>
          <w:marBottom w:val="0"/>
          <w:divBdr>
            <w:top w:val="none" w:sz="0" w:space="0" w:color="auto"/>
            <w:left w:val="none" w:sz="0" w:space="0" w:color="auto"/>
            <w:bottom w:val="none" w:sz="0" w:space="0" w:color="auto"/>
            <w:right w:val="none" w:sz="0" w:space="0" w:color="auto"/>
          </w:divBdr>
        </w:div>
        <w:div w:id="1598715778">
          <w:marLeft w:val="144"/>
          <w:marRight w:val="0"/>
          <w:marTop w:val="0"/>
          <w:marBottom w:val="0"/>
          <w:divBdr>
            <w:top w:val="none" w:sz="0" w:space="0" w:color="auto"/>
            <w:left w:val="none" w:sz="0" w:space="0" w:color="auto"/>
            <w:bottom w:val="none" w:sz="0" w:space="0" w:color="auto"/>
            <w:right w:val="none" w:sz="0" w:space="0" w:color="auto"/>
          </w:divBdr>
        </w:div>
        <w:div w:id="1613904412">
          <w:marLeft w:val="144"/>
          <w:marRight w:val="0"/>
          <w:marTop w:val="0"/>
          <w:marBottom w:val="0"/>
          <w:divBdr>
            <w:top w:val="none" w:sz="0" w:space="0" w:color="auto"/>
            <w:left w:val="none" w:sz="0" w:space="0" w:color="auto"/>
            <w:bottom w:val="none" w:sz="0" w:space="0" w:color="auto"/>
            <w:right w:val="none" w:sz="0" w:space="0" w:color="auto"/>
          </w:divBdr>
        </w:div>
        <w:div w:id="1962227190">
          <w:marLeft w:val="144"/>
          <w:marRight w:val="0"/>
          <w:marTop w:val="0"/>
          <w:marBottom w:val="0"/>
          <w:divBdr>
            <w:top w:val="none" w:sz="0" w:space="0" w:color="auto"/>
            <w:left w:val="none" w:sz="0" w:space="0" w:color="auto"/>
            <w:bottom w:val="none" w:sz="0" w:space="0" w:color="auto"/>
            <w:right w:val="none" w:sz="0" w:space="0" w:color="auto"/>
          </w:divBdr>
        </w:div>
        <w:div w:id="1997371267">
          <w:marLeft w:val="144"/>
          <w:marRight w:val="0"/>
          <w:marTop w:val="0"/>
          <w:marBottom w:val="0"/>
          <w:divBdr>
            <w:top w:val="none" w:sz="0" w:space="0" w:color="auto"/>
            <w:left w:val="none" w:sz="0" w:space="0" w:color="auto"/>
            <w:bottom w:val="none" w:sz="0" w:space="0" w:color="auto"/>
            <w:right w:val="none" w:sz="0" w:space="0" w:color="auto"/>
          </w:divBdr>
        </w:div>
        <w:div w:id="2120836515">
          <w:marLeft w:val="144"/>
          <w:marRight w:val="0"/>
          <w:marTop w:val="0"/>
          <w:marBottom w:val="0"/>
          <w:divBdr>
            <w:top w:val="none" w:sz="0" w:space="0" w:color="auto"/>
            <w:left w:val="none" w:sz="0" w:space="0" w:color="auto"/>
            <w:bottom w:val="none" w:sz="0" w:space="0" w:color="auto"/>
            <w:right w:val="none" w:sz="0" w:space="0" w:color="auto"/>
          </w:divBdr>
        </w:div>
      </w:divsChild>
    </w:div>
    <w:div w:id="1138839353">
      <w:bodyDiv w:val="1"/>
      <w:marLeft w:val="0"/>
      <w:marRight w:val="0"/>
      <w:marTop w:val="0"/>
      <w:marBottom w:val="0"/>
      <w:divBdr>
        <w:top w:val="none" w:sz="0" w:space="0" w:color="auto"/>
        <w:left w:val="none" w:sz="0" w:space="0" w:color="auto"/>
        <w:bottom w:val="none" w:sz="0" w:space="0" w:color="auto"/>
        <w:right w:val="none" w:sz="0" w:space="0" w:color="auto"/>
      </w:divBdr>
    </w:div>
    <w:div w:id="1139306449">
      <w:bodyDiv w:val="1"/>
      <w:marLeft w:val="0"/>
      <w:marRight w:val="0"/>
      <w:marTop w:val="0"/>
      <w:marBottom w:val="0"/>
      <w:divBdr>
        <w:top w:val="none" w:sz="0" w:space="0" w:color="auto"/>
        <w:left w:val="none" w:sz="0" w:space="0" w:color="auto"/>
        <w:bottom w:val="none" w:sz="0" w:space="0" w:color="auto"/>
        <w:right w:val="none" w:sz="0" w:space="0" w:color="auto"/>
      </w:divBdr>
    </w:div>
    <w:div w:id="1141919450">
      <w:bodyDiv w:val="1"/>
      <w:marLeft w:val="0"/>
      <w:marRight w:val="0"/>
      <w:marTop w:val="0"/>
      <w:marBottom w:val="0"/>
      <w:divBdr>
        <w:top w:val="none" w:sz="0" w:space="0" w:color="auto"/>
        <w:left w:val="none" w:sz="0" w:space="0" w:color="auto"/>
        <w:bottom w:val="none" w:sz="0" w:space="0" w:color="auto"/>
        <w:right w:val="none" w:sz="0" w:space="0" w:color="auto"/>
      </w:divBdr>
    </w:div>
    <w:div w:id="1143237993">
      <w:bodyDiv w:val="1"/>
      <w:marLeft w:val="0"/>
      <w:marRight w:val="0"/>
      <w:marTop w:val="0"/>
      <w:marBottom w:val="0"/>
      <w:divBdr>
        <w:top w:val="none" w:sz="0" w:space="0" w:color="auto"/>
        <w:left w:val="none" w:sz="0" w:space="0" w:color="auto"/>
        <w:bottom w:val="none" w:sz="0" w:space="0" w:color="auto"/>
        <w:right w:val="none" w:sz="0" w:space="0" w:color="auto"/>
      </w:divBdr>
    </w:div>
    <w:div w:id="1148592346">
      <w:bodyDiv w:val="1"/>
      <w:marLeft w:val="0"/>
      <w:marRight w:val="0"/>
      <w:marTop w:val="0"/>
      <w:marBottom w:val="0"/>
      <w:divBdr>
        <w:top w:val="none" w:sz="0" w:space="0" w:color="auto"/>
        <w:left w:val="none" w:sz="0" w:space="0" w:color="auto"/>
        <w:bottom w:val="none" w:sz="0" w:space="0" w:color="auto"/>
        <w:right w:val="none" w:sz="0" w:space="0" w:color="auto"/>
      </w:divBdr>
    </w:div>
    <w:div w:id="1156847903">
      <w:bodyDiv w:val="1"/>
      <w:marLeft w:val="0"/>
      <w:marRight w:val="0"/>
      <w:marTop w:val="0"/>
      <w:marBottom w:val="0"/>
      <w:divBdr>
        <w:top w:val="none" w:sz="0" w:space="0" w:color="auto"/>
        <w:left w:val="none" w:sz="0" w:space="0" w:color="auto"/>
        <w:bottom w:val="none" w:sz="0" w:space="0" w:color="auto"/>
        <w:right w:val="none" w:sz="0" w:space="0" w:color="auto"/>
      </w:divBdr>
    </w:div>
    <w:div w:id="1157069546">
      <w:bodyDiv w:val="1"/>
      <w:marLeft w:val="0"/>
      <w:marRight w:val="0"/>
      <w:marTop w:val="0"/>
      <w:marBottom w:val="0"/>
      <w:divBdr>
        <w:top w:val="none" w:sz="0" w:space="0" w:color="auto"/>
        <w:left w:val="none" w:sz="0" w:space="0" w:color="auto"/>
        <w:bottom w:val="none" w:sz="0" w:space="0" w:color="auto"/>
        <w:right w:val="none" w:sz="0" w:space="0" w:color="auto"/>
      </w:divBdr>
    </w:div>
    <w:div w:id="1159079787">
      <w:bodyDiv w:val="1"/>
      <w:marLeft w:val="0"/>
      <w:marRight w:val="0"/>
      <w:marTop w:val="0"/>
      <w:marBottom w:val="0"/>
      <w:divBdr>
        <w:top w:val="none" w:sz="0" w:space="0" w:color="auto"/>
        <w:left w:val="none" w:sz="0" w:space="0" w:color="auto"/>
        <w:bottom w:val="none" w:sz="0" w:space="0" w:color="auto"/>
        <w:right w:val="none" w:sz="0" w:space="0" w:color="auto"/>
      </w:divBdr>
    </w:div>
    <w:div w:id="1162937216">
      <w:bodyDiv w:val="1"/>
      <w:marLeft w:val="0"/>
      <w:marRight w:val="0"/>
      <w:marTop w:val="0"/>
      <w:marBottom w:val="0"/>
      <w:divBdr>
        <w:top w:val="none" w:sz="0" w:space="0" w:color="auto"/>
        <w:left w:val="none" w:sz="0" w:space="0" w:color="auto"/>
        <w:bottom w:val="none" w:sz="0" w:space="0" w:color="auto"/>
        <w:right w:val="none" w:sz="0" w:space="0" w:color="auto"/>
      </w:divBdr>
    </w:div>
    <w:div w:id="1163744461">
      <w:bodyDiv w:val="1"/>
      <w:marLeft w:val="0"/>
      <w:marRight w:val="0"/>
      <w:marTop w:val="0"/>
      <w:marBottom w:val="0"/>
      <w:divBdr>
        <w:top w:val="none" w:sz="0" w:space="0" w:color="auto"/>
        <w:left w:val="none" w:sz="0" w:space="0" w:color="auto"/>
        <w:bottom w:val="none" w:sz="0" w:space="0" w:color="auto"/>
        <w:right w:val="none" w:sz="0" w:space="0" w:color="auto"/>
      </w:divBdr>
    </w:div>
    <w:div w:id="1171486266">
      <w:bodyDiv w:val="1"/>
      <w:marLeft w:val="0"/>
      <w:marRight w:val="0"/>
      <w:marTop w:val="0"/>
      <w:marBottom w:val="0"/>
      <w:divBdr>
        <w:top w:val="none" w:sz="0" w:space="0" w:color="auto"/>
        <w:left w:val="none" w:sz="0" w:space="0" w:color="auto"/>
        <w:bottom w:val="none" w:sz="0" w:space="0" w:color="auto"/>
        <w:right w:val="none" w:sz="0" w:space="0" w:color="auto"/>
      </w:divBdr>
    </w:div>
    <w:div w:id="1179269964">
      <w:bodyDiv w:val="1"/>
      <w:marLeft w:val="0"/>
      <w:marRight w:val="0"/>
      <w:marTop w:val="0"/>
      <w:marBottom w:val="0"/>
      <w:divBdr>
        <w:top w:val="none" w:sz="0" w:space="0" w:color="auto"/>
        <w:left w:val="none" w:sz="0" w:space="0" w:color="auto"/>
        <w:bottom w:val="none" w:sz="0" w:space="0" w:color="auto"/>
        <w:right w:val="none" w:sz="0" w:space="0" w:color="auto"/>
      </w:divBdr>
    </w:div>
    <w:div w:id="1190677205">
      <w:bodyDiv w:val="1"/>
      <w:marLeft w:val="0"/>
      <w:marRight w:val="0"/>
      <w:marTop w:val="0"/>
      <w:marBottom w:val="0"/>
      <w:divBdr>
        <w:top w:val="none" w:sz="0" w:space="0" w:color="auto"/>
        <w:left w:val="none" w:sz="0" w:space="0" w:color="auto"/>
        <w:bottom w:val="none" w:sz="0" w:space="0" w:color="auto"/>
        <w:right w:val="none" w:sz="0" w:space="0" w:color="auto"/>
      </w:divBdr>
    </w:div>
    <w:div w:id="1191064340">
      <w:bodyDiv w:val="1"/>
      <w:marLeft w:val="0"/>
      <w:marRight w:val="0"/>
      <w:marTop w:val="0"/>
      <w:marBottom w:val="0"/>
      <w:divBdr>
        <w:top w:val="none" w:sz="0" w:space="0" w:color="auto"/>
        <w:left w:val="none" w:sz="0" w:space="0" w:color="auto"/>
        <w:bottom w:val="none" w:sz="0" w:space="0" w:color="auto"/>
        <w:right w:val="none" w:sz="0" w:space="0" w:color="auto"/>
      </w:divBdr>
    </w:div>
    <w:div w:id="1191338959">
      <w:bodyDiv w:val="1"/>
      <w:marLeft w:val="0"/>
      <w:marRight w:val="0"/>
      <w:marTop w:val="0"/>
      <w:marBottom w:val="0"/>
      <w:divBdr>
        <w:top w:val="none" w:sz="0" w:space="0" w:color="auto"/>
        <w:left w:val="none" w:sz="0" w:space="0" w:color="auto"/>
        <w:bottom w:val="none" w:sz="0" w:space="0" w:color="auto"/>
        <w:right w:val="none" w:sz="0" w:space="0" w:color="auto"/>
      </w:divBdr>
    </w:div>
    <w:div w:id="1191727695">
      <w:bodyDiv w:val="1"/>
      <w:marLeft w:val="0"/>
      <w:marRight w:val="0"/>
      <w:marTop w:val="0"/>
      <w:marBottom w:val="0"/>
      <w:divBdr>
        <w:top w:val="none" w:sz="0" w:space="0" w:color="auto"/>
        <w:left w:val="none" w:sz="0" w:space="0" w:color="auto"/>
        <w:bottom w:val="none" w:sz="0" w:space="0" w:color="auto"/>
        <w:right w:val="none" w:sz="0" w:space="0" w:color="auto"/>
      </w:divBdr>
    </w:div>
    <w:div w:id="1193108881">
      <w:bodyDiv w:val="1"/>
      <w:marLeft w:val="0"/>
      <w:marRight w:val="0"/>
      <w:marTop w:val="0"/>
      <w:marBottom w:val="0"/>
      <w:divBdr>
        <w:top w:val="none" w:sz="0" w:space="0" w:color="auto"/>
        <w:left w:val="none" w:sz="0" w:space="0" w:color="auto"/>
        <w:bottom w:val="none" w:sz="0" w:space="0" w:color="auto"/>
        <w:right w:val="none" w:sz="0" w:space="0" w:color="auto"/>
      </w:divBdr>
      <w:divsChild>
        <w:div w:id="435907173">
          <w:marLeft w:val="107"/>
          <w:marRight w:val="107"/>
          <w:marTop w:val="0"/>
          <w:marBottom w:val="0"/>
          <w:divBdr>
            <w:top w:val="none" w:sz="0" w:space="0" w:color="auto"/>
            <w:left w:val="none" w:sz="0" w:space="0" w:color="auto"/>
            <w:bottom w:val="none" w:sz="0" w:space="0" w:color="auto"/>
            <w:right w:val="none" w:sz="0" w:space="0" w:color="auto"/>
          </w:divBdr>
        </w:div>
        <w:div w:id="1319505280">
          <w:marLeft w:val="0"/>
          <w:marRight w:val="107"/>
          <w:marTop w:val="0"/>
          <w:marBottom w:val="0"/>
          <w:divBdr>
            <w:top w:val="none" w:sz="0" w:space="0" w:color="auto"/>
            <w:left w:val="none" w:sz="0" w:space="0" w:color="auto"/>
            <w:bottom w:val="none" w:sz="0" w:space="0" w:color="auto"/>
            <w:right w:val="none" w:sz="0" w:space="0" w:color="auto"/>
          </w:divBdr>
        </w:div>
        <w:div w:id="1398699745">
          <w:marLeft w:val="107"/>
          <w:marRight w:val="0"/>
          <w:marTop w:val="0"/>
          <w:marBottom w:val="0"/>
          <w:divBdr>
            <w:top w:val="none" w:sz="0" w:space="0" w:color="auto"/>
            <w:left w:val="none" w:sz="0" w:space="0" w:color="auto"/>
            <w:bottom w:val="none" w:sz="0" w:space="0" w:color="auto"/>
            <w:right w:val="none" w:sz="0" w:space="0" w:color="auto"/>
          </w:divBdr>
        </w:div>
        <w:div w:id="2047826764">
          <w:marLeft w:val="107"/>
          <w:marRight w:val="107"/>
          <w:marTop w:val="0"/>
          <w:marBottom w:val="0"/>
          <w:divBdr>
            <w:top w:val="none" w:sz="0" w:space="0" w:color="auto"/>
            <w:left w:val="none" w:sz="0" w:space="0" w:color="auto"/>
            <w:bottom w:val="none" w:sz="0" w:space="0" w:color="auto"/>
            <w:right w:val="none" w:sz="0" w:space="0" w:color="auto"/>
          </w:divBdr>
        </w:div>
      </w:divsChild>
    </w:div>
    <w:div w:id="1193497382">
      <w:bodyDiv w:val="1"/>
      <w:marLeft w:val="0"/>
      <w:marRight w:val="0"/>
      <w:marTop w:val="0"/>
      <w:marBottom w:val="0"/>
      <w:divBdr>
        <w:top w:val="none" w:sz="0" w:space="0" w:color="auto"/>
        <w:left w:val="none" w:sz="0" w:space="0" w:color="auto"/>
        <w:bottom w:val="none" w:sz="0" w:space="0" w:color="auto"/>
        <w:right w:val="none" w:sz="0" w:space="0" w:color="auto"/>
      </w:divBdr>
      <w:divsChild>
        <w:div w:id="675766584">
          <w:marLeft w:val="0"/>
          <w:marRight w:val="0"/>
          <w:marTop w:val="0"/>
          <w:marBottom w:val="0"/>
          <w:divBdr>
            <w:top w:val="none" w:sz="0" w:space="0" w:color="auto"/>
            <w:left w:val="none" w:sz="0" w:space="0" w:color="auto"/>
            <w:bottom w:val="none" w:sz="0" w:space="0" w:color="auto"/>
            <w:right w:val="none" w:sz="0" w:space="0" w:color="auto"/>
          </w:divBdr>
        </w:div>
      </w:divsChild>
    </w:div>
    <w:div w:id="1196237213">
      <w:bodyDiv w:val="1"/>
      <w:marLeft w:val="0"/>
      <w:marRight w:val="0"/>
      <w:marTop w:val="0"/>
      <w:marBottom w:val="0"/>
      <w:divBdr>
        <w:top w:val="none" w:sz="0" w:space="0" w:color="auto"/>
        <w:left w:val="none" w:sz="0" w:space="0" w:color="auto"/>
        <w:bottom w:val="none" w:sz="0" w:space="0" w:color="auto"/>
        <w:right w:val="none" w:sz="0" w:space="0" w:color="auto"/>
      </w:divBdr>
      <w:divsChild>
        <w:div w:id="913319317">
          <w:marLeft w:val="475"/>
          <w:marRight w:val="0"/>
          <w:marTop w:val="168"/>
          <w:marBottom w:val="0"/>
          <w:divBdr>
            <w:top w:val="none" w:sz="0" w:space="0" w:color="auto"/>
            <w:left w:val="none" w:sz="0" w:space="0" w:color="auto"/>
            <w:bottom w:val="none" w:sz="0" w:space="0" w:color="auto"/>
            <w:right w:val="none" w:sz="0" w:space="0" w:color="auto"/>
          </w:divBdr>
        </w:div>
        <w:div w:id="1348410793">
          <w:marLeft w:val="475"/>
          <w:marRight w:val="0"/>
          <w:marTop w:val="168"/>
          <w:marBottom w:val="0"/>
          <w:divBdr>
            <w:top w:val="none" w:sz="0" w:space="0" w:color="auto"/>
            <w:left w:val="none" w:sz="0" w:space="0" w:color="auto"/>
            <w:bottom w:val="none" w:sz="0" w:space="0" w:color="auto"/>
            <w:right w:val="none" w:sz="0" w:space="0" w:color="auto"/>
          </w:divBdr>
        </w:div>
        <w:div w:id="1556626048">
          <w:marLeft w:val="475"/>
          <w:marRight w:val="0"/>
          <w:marTop w:val="168"/>
          <w:marBottom w:val="0"/>
          <w:divBdr>
            <w:top w:val="none" w:sz="0" w:space="0" w:color="auto"/>
            <w:left w:val="none" w:sz="0" w:space="0" w:color="auto"/>
            <w:bottom w:val="none" w:sz="0" w:space="0" w:color="auto"/>
            <w:right w:val="none" w:sz="0" w:space="0" w:color="auto"/>
          </w:divBdr>
        </w:div>
        <w:div w:id="1585383563">
          <w:marLeft w:val="475"/>
          <w:marRight w:val="0"/>
          <w:marTop w:val="168"/>
          <w:marBottom w:val="0"/>
          <w:divBdr>
            <w:top w:val="none" w:sz="0" w:space="0" w:color="auto"/>
            <w:left w:val="none" w:sz="0" w:space="0" w:color="auto"/>
            <w:bottom w:val="none" w:sz="0" w:space="0" w:color="auto"/>
            <w:right w:val="none" w:sz="0" w:space="0" w:color="auto"/>
          </w:divBdr>
        </w:div>
        <w:div w:id="1908998873">
          <w:marLeft w:val="475"/>
          <w:marRight w:val="0"/>
          <w:marTop w:val="168"/>
          <w:marBottom w:val="0"/>
          <w:divBdr>
            <w:top w:val="none" w:sz="0" w:space="0" w:color="auto"/>
            <w:left w:val="none" w:sz="0" w:space="0" w:color="auto"/>
            <w:bottom w:val="none" w:sz="0" w:space="0" w:color="auto"/>
            <w:right w:val="none" w:sz="0" w:space="0" w:color="auto"/>
          </w:divBdr>
        </w:div>
      </w:divsChild>
    </w:div>
    <w:div w:id="1202746224">
      <w:bodyDiv w:val="1"/>
      <w:marLeft w:val="0"/>
      <w:marRight w:val="0"/>
      <w:marTop w:val="0"/>
      <w:marBottom w:val="0"/>
      <w:divBdr>
        <w:top w:val="none" w:sz="0" w:space="0" w:color="auto"/>
        <w:left w:val="none" w:sz="0" w:space="0" w:color="auto"/>
        <w:bottom w:val="none" w:sz="0" w:space="0" w:color="auto"/>
        <w:right w:val="none" w:sz="0" w:space="0" w:color="auto"/>
      </w:divBdr>
    </w:div>
    <w:div w:id="1205945404">
      <w:bodyDiv w:val="1"/>
      <w:marLeft w:val="0"/>
      <w:marRight w:val="0"/>
      <w:marTop w:val="0"/>
      <w:marBottom w:val="0"/>
      <w:divBdr>
        <w:top w:val="none" w:sz="0" w:space="0" w:color="auto"/>
        <w:left w:val="none" w:sz="0" w:space="0" w:color="auto"/>
        <w:bottom w:val="none" w:sz="0" w:space="0" w:color="auto"/>
        <w:right w:val="none" w:sz="0" w:space="0" w:color="auto"/>
      </w:divBdr>
    </w:div>
    <w:div w:id="1210844450">
      <w:bodyDiv w:val="1"/>
      <w:marLeft w:val="0"/>
      <w:marRight w:val="0"/>
      <w:marTop w:val="0"/>
      <w:marBottom w:val="0"/>
      <w:divBdr>
        <w:top w:val="none" w:sz="0" w:space="0" w:color="auto"/>
        <w:left w:val="none" w:sz="0" w:space="0" w:color="auto"/>
        <w:bottom w:val="none" w:sz="0" w:space="0" w:color="auto"/>
        <w:right w:val="none" w:sz="0" w:space="0" w:color="auto"/>
      </w:divBdr>
    </w:div>
    <w:div w:id="1229455731">
      <w:bodyDiv w:val="1"/>
      <w:marLeft w:val="0"/>
      <w:marRight w:val="0"/>
      <w:marTop w:val="0"/>
      <w:marBottom w:val="0"/>
      <w:divBdr>
        <w:top w:val="none" w:sz="0" w:space="0" w:color="auto"/>
        <w:left w:val="none" w:sz="0" w:space="0" w:color="auto"/>
        <w:bottom w:val="none" w:sz="0" w:space="0" w:color="auto"/>
        <w:right w:val="none" w:sz="0" w:space="0" w:color="auto"/>
      </w:divBdr>
    </w:div>
    <w:div w:id="1235776298">
      <w:bodyDiv w:val="1"/>
      <w:marLeft w:val="0"/>
      <w:marRight w:val="0"/>
      <w:marTop w:val="0"/>
      <w:marBottom w:val="0"/>
      <w:divBdr>
        <w:top w:val="none" w:sz="0" w:space="0" w:color="auto"/>
        <w:left w:val="none" w:sz="0" w:space="0" w:color="auto"/>
        <w:bottom w:val="none" w:sz="0" w:space="0" w:color="auto"/>
        <w:right w:val="none" w:sz="0" w:space="0" w:color="auto"/>
      </w:divBdr>
    </w:div>
    <w:div w:id="1237326335">
      <w:bodyDiv w:val="1"/>
      <w:marLeft w:val="0"/>
      <w:marRight w:val="0"/>
      <w:marTop w:val="0"/>
      <w:marBottom w:val="0"/>
      <w:divBdr>
        <w:top w:val="none" w:sz="0" w:space="0" w:color="auto"/>
        <w:left w:val="none" w:sz="0" w:space="0" w:color="auto"/>
        <w:bottom w:val="none" w:sz="0" w:space="0" w:color="auto"/>
        <w:right w:val="none" w:sz="0" w:space="0" w:color="auto"/>
      </w:divBdr>
    </w:div>
    <w:div w:id="1239361639">
      <w:bodyDiv w:val="1"/>
      <w:marLeft w:val="0"/>
      <w:marRight w:val="0"/>
      <w:marTop w:val="0"/>
      <w:marBottom w:val="0"/>
      <w:divBdr>
        <w:top w:val="none" w:sz="0" w:space="0" w:color="auto"/>
        <w:left w:val="none" w:sz="0" w:space="0" w:color="auto"/>
        <w:bottom w:val="none" w:sz="0" w:space="0" w:color="auto"/>
        <w:right w:val="none" w:sz="0" w:space="0" w:color="auto"/>
      </w:divBdr>
    </w:div>
    <w:div w:id="1255212871">
      <w:bodyDiv w:val="1"/>
      <w:marLeft w:val="0"/>
      <w:marRight w:val="0"/>
      <w:marTop w:val="0"/>
      <w:marBottom w:val="0"/>
      <w:divBdr>
        <w:top w:val="none" w:sz="0" w:space="0" w:color="auto"/>
        <w:left w:val="none" w:sz="0" w:space="0" w:color="auto"/>
        <w:bottom w:val="none" w:sz="0" w:space="0" w:color="auto"/>
        <w:right w:val="none" w:sz="0" w:space="0" w:color="auto"/>
      </w:divBdr>
    </w:div>
    <w:div w:id="1256745225">
      <w:bodyDiv w:val="1"/>
      <w:marLeft w:val="0"/>
      <w:marRight w:val="0"/>
      <w:marTop w:val="0"/>
      <w:marBottom w:val="0"/>
      <w:divBdr>
        <w:top w:val="none" w:sz="0" w:space="0" w:color="auto"/>
        <w:left w:val="none" w:sz="0" w:space="0" w:color="auto"/>
        <w:bottom w:val="none" w:sz="0" w:space="0" w:color="auto"/>
        <w:right w:val="none" w:sz="0" w:space="0" w:color="auto"/>
      </w:divBdr>
    </w:div>
    <w:div w:id="1258102840">
      <w:bodyDiv w:val="1"/>
      <w:marLeft w:val="0"/>
      <w:marRight w:val="0"/>
      <w:marTop w:val="0"/>
      <w:marBottom w:val="0"/>
      <w:divBdr>
        <w:top w:val="none" w:sz="0" w:space="0" w:color="auto"/>
        <w:left w:val="none" w:sz="0" w:space="0" w:color="auto"/>
        <w:bottom w:val="none" w:sz="0" w:space="0" w:color="auto"/>
        <w:right w:val="none" w:sz="0" w:space="0" w:color="auto"/>
      </w:divBdr>
      <w:divsChild>
        <w:div w:id="229389878">
          <w:marLeft w:val="1181"/>
          <w:marRight w:val="0"/>
          <w:marTop w:val="168"/>
          <w:marBottom w:val="0"/>
          <w:divBdr>
            <w:top w:val="none" w:sz="0" w:space="0" w:color="auto"/>
            <w:left w:val="none" w:sz="0" w:space="0" w:color="auto"/>
            <w:bottom w:val="none" w:sz="0" w:space="0" w:color="auto"/>
            <w:right w:val="none" w:sz="0" w:space="0" w:color="auto"/>
          </w:divBdr>
        </w:div>
        <w:div w:id="942498345">
          <w:marLeft w:val="475"/>
          <w:marRight w:val="0"/>
          <w:marTop w:val="168"/>
          <w:marBottom w:val="0"/>
          <w:divBdr>
            <w:top w:val="none" w:sz="0" w:space="0" w:color="auto"/>
            <w:left w:val="none" w:sz="0" w:space="0" w:color="auto"/>
            <w:bottom w:val="none" w:sz="0" w:space="0" w:color="auto"/>
            <w:right w:val="none" w:sz="0" w:space="0" w:color="auto"/>
          </w:divBdr>
        </w:div>
        <w:div w:id="1305699610">
          <w:marLeft w:val="1181"/>
          <w:marRight w:val="0"/>
          <w:marTop w:val="168"/>
          <w:marBottom w:val="0"/>
          <w:divBdr>
            <w:top w:val="none" w:sz="0" w:space="0" w:color="auto"/>
            <w:left w:val="none" w:sz="0" w:space="0" w:color="auto"/>
            <w:bottom w:val="none" w:sz="0" w:space="0" w:color="auto"/>
            <w:right w:val="none" w:sz="0" w:space="0" w:color="auto"/>
          </w:divBdr>
        </w:div>
        <w:div w:id="1309751332">
          <w:marLeft w:val="475"/>
          <w:marRight w:val="0"/>
          <w:marTop w:val="168"/>
          <w:marBottom w:val="0"/>
          <w:divBdr>
            <w:top w:val="none" w:sz="0" w:space="0" w:color="auto"/>
            <w:left w:val="none" w:sz="0" w:space="0" w:color="auto"/>
            <w:bottom w:val="none" w:sz="0" w:space="0" w:color="auto"/>
            <w:right w:val="none" w:sz="0" w:space="0" w:color="auto"/>
          </w:divBdr>
        </w:div>
        <w:div w:id="1565599879">
          <w:marLeft w:val="475"/>
          <w:marRight w:val="0"/>
          <w:marTop w:val="168"/>
          <w:marBottom w:val="0"/>
          <w:divBdr>
            <w:top w:val="none" w:sz="0" w:space="0" w:color="auto"/>
            <w:left w:val="none" w:sz="0" w:space="0" w:color="auto"/>
            <w:bottom w:val="none" w:sz="0" w:space="0" w:color="auto"/>
            <w:right w:val="none" w:sz="0" w:space="0" w:color="auto"/>
          </w:divBdr>
        </w:div>
        <w:div w:id="1718163631">
          <w:marLeft w:val="475"/>
          <w:marRight w:val="0"/>
          <w:marTop w:val="168"/>
          <w:marBottom w:val="0"/>
          <w:divBdr>
            <w:top w:val="none" w:sz="0" w:space="0" w:color="auto"/>
            <w:left w:val="none" w:sz="0" w:space="0" w:color="auto"/>
            <w:bottom w:val="none" w:sz="0" w:space="0" w:color="auto"/>
            <w:right w:val="none" w:sz="0" w:space="0" w:color="auto"/>
          </w:divBdr>
        </w:div>
      </w:divsChild>
    </w:div>
    <w:div w:id="1258948231">
      <w:bodyDiv w:val="1"/>
      <w:marLeft w:val="0"/>
      <w:marRight w:val="0"/>
      <w:marTop w:val="0"/>
      <w:marBottom w:val="0"/>
      <w:divBdr>
        <w:top w:val="none" w:sz="0" w:space="0" w:color="auto"/>
        <w:left w:val="none" w:sz="0" w:space="0" w:color="auto"/>
        <w:bottom w:val="none" w:sz="0" w:space="0" w:color="auto"/>
        <w:right w:val="none" w:sz="0" w:space="0" w:color="auto"/>
      </w:divBdr>
    </w:div>
    <w:div w:id="1260065439">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67230261">
      <w:bodyDiv w:val="1"/>
      <w:marLeft w:val="0"/>
      <w:marRight w:val="0"/>
      <w:marTop w:val="0"/>
      <w:marBottom w:val="0"/>
      <w:divBdr>
        <w:top w:val="none" w:sz="0" w:space="0" w:color="auto"/>
        <w:left w:val="none" w:sz="0" w:space="0" w:color="auto"/>
        <w:bottom w:val="none" w:sz="0" w:space="0" w:color="auto"/>
        <w:right w:val="none" w:sz="0" w:space="0" w:color="auto"/>
      </w:divBdr>
    </w:div>
    <w:div w:id="1272709482">
      <w:bodyDiv w:val="1"/>
      <w:marLeft w:val="0"/>
      <w:marRight w:val="0"/>
      <w:marTop w:val="0"/>
      <w:marBottom w:val="0"/>
      <w:divBdr>
        <w:top w:val="none" w:sz="0" w:space="0" w:color="auto"/>
        <w:left w:val="none" w:sz="0" w:space="0" w:color="auto"/>
        <w:bottom w:val="none" w:sz="0" w:space="0" w:color="auto"/>
        <w:right w:val="none" w:sz="0" w:space="0" w:color="auto"/>
      </w:divBdr>
    </w:div>
    <w:div w:id="1275748685">
      <w:bodyDiv w:val="1"/>
      <w:marLeft w:val="0"/>
      <w:marRight w:val="0"/>
      <w:marTop w:val="0"/>
      <w:marBottom w:val="0"/>
      <w:divBdr>
        <w:top w:val="none" w:sz="0" w:space="0" w:color="auto"/>
        <w:left w:val="none" w:sz="0" w:space="0" w:color="auto"/>
        <w:bottom w:val="none" w:sz="0" w:space="0" w:color="auto"/>
        <w:right w:val="none" w:sz="0" w:space="0" w:color="auto"/>
      </w:divBdr>
      <w:divsChild>
        <w:div w:id="296643988">
          <w:marLeft w:val="475"/>
          <w:marRight w:val="0"/>
          <w:marTop w:val="168"/>
          <w:marBottom w:val="0"/>
          <w:divBdr>
            <w:top w:val="none" w:sz="0" w:space="0" w:color="auto"/>
            <w:left w:val="none" w:sz="0" w:space="0" w:color="auto"/>
            <w:bottom w:val="none" w:sz="0" w:space="0" w:color="auto"/>
            <w:right w:val="none" w:sz="0" w:space="0" w:color="auto"/>
          </w:divBdr>
        </w:div>
        <w:div w:id="317995985">
          <w:marLeft w:val="1181"/>
          <w:marRight w:val="0"/>
          <w:marTop w:val="168"/>
          <w:marBottom w:val="0"/>
          <w:divBdr>
            <w:top w:val="none" w:sz="0" w:space="0" w:color="auto"/>
            <w:left w:val="none" w:sz="0" w:space="0" w:color="auto"/>
            <w:bottom w:val="none" w:sz="0" w:space="0" w:color="auto"/>
            <w:right w:val="none" w:sz="0" w:space="0" w:color="auto"/>
          </w:divBdr>
        </w:div>
        <w:div w:id="516309485">
          <w:marLeft w:val="1181"/>
          <w:marRight w:val="0"/>
          <w:marTop w:val="168"/>
          <w:marBottom w:val="0"/>
          <w:divBdr>
            <w:top w:val="none" w:sz="0" w:space="0" w:color="auto"/>
            <w:left w:val="none" w:sz="0" w:space="0" w:color="auto"/>
            <w:bottom w:val="none" w:sz="0" w:space="0" w:color="auto"/>
            <w:right w:val="none" w:sz="0" w:space="0" w:color="auto"/>
          </w:divBdr>
        </w:div>
        <w:div w:id="962661482">
          <w:marLeft w:val="475"/>
          <w:marRight w:val="0"/>
          <w:marTop w:val="168"/>
          <w:marBottom w:val="0"/>
          <w:divBdr>
            <w:top w:val="none" w:sz="0" w:space="0" w:color="auto"/>
            <w:left w:val="none" w:sz="0" w:space="0" w:color="auto"/>
            <w:bottom w:val="none" w:sz="0" w:space="0" w:color="auto"/>
            <w:right w:val="none" w:sz="0" w:space="0" w:color="auto"/>
          </w:divBdr>
        </w:div>
        <w:div w:id="1107889847">
          <w:marLeft w:val="1181"/>
          <w:marRight w:val="0"/>
          <w:marTop w:val="168"/>
          <w:marBottom w:val="0"/>
          <w:divBdr>
            <w:top w:val="none" w:sz="0" w:space="0" w:color="auto"/>
            <w:left w:val="none" w:sz="0" w:space="0" w:color="auto"/>
            <w:bottom w:val="none" w:sz="0" w:space="0" w:color="auto"/>
            <w:right w:val="none" w:sz="0" w:space="0" w:color="auto"/>
          </w:divBdr>
        </w:div>
        <w:div w:id="1354919357">
          <w:marLeft w:val="1181"/>
          <w:marRight w:val="0"/>
          <w:marTop w:val="168"/>
          <w:marBottom w:val="0"/>
          <w:divBdr>
            <w:top w:val="none" w:sz="0" w:space="0" w:color="auto"/>
            <w:left w:val="none" w:sz="0" w:space="0" w:color="auto"/>
            <w:bottom w:val="none" w:sz="0" w:space="0" w:color="auto"/>
            <w:right w:val="none" w:sz="0" w:space="0" w:color="auto"/>
          </w:divBdr>
        </w:div>
        <w:div w:id="1702391360">
          <w:marLeft w:val="1181"/>
          <w:marRight w:val="0"/>
          <w:marTop w:val="168"/>
          <w:marBottom w:val="0"/>
          <w:divBdr>
            <w:top w:val="none" w:sz="0" w:space="0" w:color="auto"/>
            <w:left w:val="none" w:sz="0" w:space="0" w:color="auto"/>
            <w:bottom w:val="none" w:sz="0" w:space="0" w:color="auto"/>
            <w:right w:val="none" w:sz="0" w:space="0" w:color="auto"/>
          </w:divBdr>
        </w:div>
      </w:divsChild>
    </w:div>
    <w:div w:id="1277637842">
      <w:bodyDiv w:val="1"/>
      <w:marLeft w:val="0"/>
      <w:marRight w:val="0"/>
      <w:marTop w:val="0"/>
      <w:marBottom w:val="0"/>
      <w:divBdr>
        <w:top w:val="none" w:sz="0" w:space="0" w:color="auto"/>
        <w:left w:val="none" w:sz="0" w:space="0" w:color="auto"/>
        <w:bottom w:val="none" w:sz="0" w:space="0" w:color="auto"/>
        <w:right w:val="none" w:sz="0" w:space="0" w:color="auto"/>
      </w:divBdr>
    </w:div>
    <w:div w:id="1277711411">
      <w:bodyDiv w:val="1"/>
      <w:marLeft w:val="0"/>
      <w:marRight w:val="0"/>
      <w:marTop w:val="0"/>
      <w:marBottom w:val="0"/>
      <w:divBdr>
        <w:top w:val="none" w:sz="0" w:space="0" w:color="auto"/>
        <w:left w:val="none" w:sz="0" w:space="0" w:color="auto"/>
        <w:bottom w:val="none" w:sz="0" w:space="0" w:color="auto"/>
        <w:right w:val="none" w:sz="0" w:space="0" w:color="auto"/>
      </w:divBdr>
    </w:div>
    <w:div w:id="1284964538">
      <w:bodyDiv w:val="1"/>
      <w:marLeft w:val="0"/>
      <w:marRight w:val="0"/>
      <w:marTop w:val="0"/>
      <w:marBottom w:val="0"/>
      <w:divBdr>
        <w:top w:val="none" w:sz="0" w:space="0" w:color="auto"/>
        <w:left w:val="none" w:sz="0" w:space="0" w:color="auto"/>
        <w:bottom w:val="none" w:sz="0" w:space="0" w:color="auto"/>
        <w:right w:val="none" w:sz="0" w:space="0" w:color="auto"/>
      </w:divBdr>
    </w:div>
    <w:div w:id="1286234052">
      <w:bodyDiv w:val="1"/>
      <w:marLeft w:val="0"/>
      <w:marRight w:val="0"/>
      <w:marTop w:val="0"/>
      <w:marBottom w:val="0"/>
      <w:divBdr>
        <w:top w:val="none" w:sz="0" w:space="0" w:color="auto"/>
        <w:left w:val="none" w:sz="0" w:space="0" w:color="auto"/>
        <w:bottom w:val="none" w:sz="0" w:space="0" w:color="auto"/>
        <w:right w:val="none" w:sz="0" w:space="0" w:color="auto"/>
      </w:divBdr>
    </w:div>
    <w:div w:id="1301613019">
      <w:bodyDiv w:val="1"/>
      <w:marLeft w:val="0"/>
      <w:marRight w:val="0"/>
      <w:marTop w:val="0"/>
      <w:marBottom w:val="0"/>
      <w:divBdr>
        <w:top w:val="none" w:sz="0" w:space="0" w:color="auto"/>
        <w:left w:val="none" w:sz="0" w:space="0" w:color="auto"/>
        <w:bottom w:val="none" w:sz="0" w:space="0" w:color="auto"/>
        <w:right w:val="none" w:sz="0" w:space="0" w:color="auto"/>
      </w:divBdr>
    </w:div>
    <w:div w:id="1303119943">
      <w:bodyDiv w:val="1"/>
      <w:marLeft w:val="0"/>
      <w:marRight w:val="0"/>
      <w:marTop w:val="0"/>
      <w:marBottom w:val="0"/>
      <w:divBdr>
        <w:top w:val="none" w:sz="0" w:space="0" w:color="auto"/>
        <w:left w:val="none" w:sz="0" w:space="0" w:color="auto"/>
        <w:bottom w:val="none" w:sz="0" w:space="0" w:color="auto"/>
        <w:right w:val="none" w:sz="0" w:space="0" w:color="auto"/>
      </w:divBdr>
    </w:div>
    <w:div w:id="1308511803">
      <w:bodyDiv w:val="1"/>
      <w:marLeft w:val="0"/>
      <w:marRight w:val="0"/>
      <w:marTop w:val="0"/>
      <w:marBottom w:val="0"/>
      <w:divBdr>
        <w:top w:val="none" w:sz="0" w:space="0" w:color="auto"/>
        <w:left w:val="none" w:sz="0" w:space="0" w:color="auto"/>
        <w:bottom w:val="none" w:sz="0" w:space="0" w:color="auto"/>
        <w:right w:val="none" w:sz="0" w:space="0" w:color="auto"/>
      </w:divBdr>
    </w:div>
    <w:div w:id="1309089335">
      <w:bodyDiv w:val="1"/>
      <w:marLeft w:val="0"/>
      <w:marRight w:val="0"/>
      <w:marTop w:val="0"/>
      <w:marBottom w:val="0"/>
      <w:divBdr>
        <w:top w:val="none" w:sz="0" w:space="0" w:color="auto"/>
        <w:left w:val="none" w:sz="0" w:space="0" w:color="auto"/>
        <w:bottom w:val="none" w:sz="0" w:space="0" w:color="auto"/>
        <w:right w:val="none" w:sz="0" w:space="0" w:color="auto"/>
      </w:divBdr>
    </w:div>
    <w:div w:id="1309283574">
      <w:bodyDiv w:val="1"/>
      <w:marLeft w:val="0"/>
      <w:marRight w:val="0"/>
      <w:marTop w:val="0"/>
      <w:marBottom w:val="0"/>
      <w:divBdr>
        <w:top w:val="none" w:sz="0" w:space="0" w:color="auto"/>
        <w:left w:val="none" w:sz="0" w:space="0" w:color="auto"/>
        <w:bottom w:val="none" w:sz="0" w:space="0" w:color="auto"/>
        <w:right w:val="none" w:sz="0" w:space="0" w:color="auto"/>
      </w:divBdr>
      <w:divsChild>
        <w:div w:id="1124225849">
          <w:marLeft w:val="0"/>
          <w:marRight w:val="0"/>
          <w:marTop w:val="0"/>
          <w:marBottom w:val="0"/>
          <w:divBdr>
            <w:top w:val="none" w:sz="0" w:space="0" w:color="auto"/>
            <w:left w:val="none" w:sz="0" w:space="0" w:color="auto"/>
            <w:bottom w:val="none" w:sz="0" w:space="0" w:color="auto"/>
            <w:right w:val="none" w:sz="0" w:space="0" w:color="auto"/>
          </w:divBdr>
        </w:div>
      </w:divsChild>
    </w:div>
    <w:div w:id="1311595759">
      <w:bodyDiv w:val="1"/>
      <w:marLeft w:val="0"/>
      <w:marRight w:val="0"/>
      <w:marTop w:val="0"/>
      <w:marBottom w:val="0"/>
      <w:divBdr>
        <w:top w:val="none" w:sz="0" w:space="0" w:color="auto"/>
        <w:left w:val="none" w:sz="0" w:space="0" w:color="auto"/>
        <w:bottom w:val="none" w:sz="0" w:space="0" w:color="auto"/>
        <w:right w:val="none" w:sz="0" w:space="0" w:color="auto"/>
      </w:divBdr>
    </w:div>
    <w:div w:id="1318724836">
      <w:bodyDiv w:val="1"/>
      <w:marLeft w:val="0"/>
      <w:marRight w:val="0"/>
      <w:marTop w:val="0"/>
      <w:marBottom w:val="0"/>
      <w:divBdr>
        <w:top w:val="none" w:sz="0" w:space="0" w:color="auto"/>
        <w:left w:val="none" w:sz="0" w:space="0" w:color="auto"/>
        <w:bottom w:val="none" w:sz="0" w:space="0" w:color="auto"/>
        <w:right w:val="none" w:sz="0" w:space="0" w:color="auto"/>
      </w:divBdr>
    </w:div>
    <w:div w:id="1319266182">
      <w:bodyDiv w:val="1"/>
      <w:marLeft w:val="0"/>
      <w:marRight w:val="0"/>
      <w:marTop w:val="0"/>
      <w:marBottom w:val="0"/>
      <w:divBdr>
        <w:top w:val="none" w:sz="0" w:space="0" w:color="auto"/>
        <w:left w:val="none" w:sz="0" w:space="0" w:color="auto"/>
        <w:bottom w:val="none" w:sz="0" w:space="0" w:color="auto"/>
        <w:right w:val="none" w:sz="0" w:space="0" w:color="auto"/>
      </w:divBdr>
    </w:div>
    <w:div w:id="1320184651">
      <w:bodyDiv w:val="1"/>
      <w:marLeft w:val="0"/>
      <w:marRight w:val="0"/>
      <w:marTop w:val="0"/>
      <w:marBottom w:val="0"/>
      <w:divBdr>
        <w:top w:val="none" w:sz="0" w:space="0" w:color="auto"/>
        <w:left w:val="none" w:sz="0" w:space="0" w:color="auto"/>
        <w:bottom w:val="none" w:sz="0" w:space="0" w:color="auto"/>
        <w:right w:val="none" w:sz="0" w:space="0" w:color="auto"/>
      </w:divBdr>
    </w:div>
    <w:div w:id="1320577063">
      <w:bodyDiv w:val="1"/>
      <w:marLeft w:val="0"/>
      <w:marRight w:val="0"/>
      <w:marTop w:val="0"/>
      <w:marBottom w:val="0"/>
      <w:divBdr>
        <w:top w:val="none" w:sz="0" w:space="0" w:color="auto"/>
        <w:left w:val="none" w:sz="0" w:space="0" w:color="auto"/>
        <w:bottom w:val="none" w:sz="0" w:space="0" w:color="auto"/>
        <w:right w:val="none" w:sz="0" w:space="0" w:color="auto"/>
      </w:divBdr>
      <w:divsChild>
        <w:div w:id="185217210">
          <w:marLeft w:val="475"/>
          <w:marRight w:val="0"/>
          <w:marTop w:val="168"/>
          <w:marBottom w:val="0"/>
          <w:divBdr>
            <w:top w:val="none" w:sz="0" w:space="0" w:color="auto"/>
            <w:left w:val="none" w:sz="0" w:space="0" w:color="auto"/>
            <w:bottom w:val="none" w:sz="0" w:space="0" w:color="auto"/>
            <w:right w:val="none" w:sz="0" w:space="0" w:color="auto"/>
          </w:divBdr>
        </w:div>
        <w:div w:id="605506261">
          <w:marLeft w:val="475"/>
          <w:marRight w:val="0"/>
          <w:marTop w:val="168"/>
          <w:marBottom w:val="0"/>
          <w:divBdr>
            <w:top w:val="none" w:sz="0" w:space="0" w:color="auto"/>
            <w:left w:val="none" w:sz="0" w:space="0" w:color="auto"/>
            <w:bottom w:val="none" w:sz="0" w:space="0" w:color="auto"/>
            <w:right w:val="none" w:sz="0" w:space="0" w:color="auto"/>
          </w:divBdr>
        </w:div>
        <w:div w:id="976029398">
          <w:marLeft w:val="1181"/>
          <w:marRight w:val="0"/>
          <w:marTop w:val="168"/>
          <w:marBottom w:val="0"/>
          <w:divBdr>
            <w:top w:val="none" w:sz="0" w:space="0" w:color="auto"/>
            <w:left w:val="none" w:sz="0" w:space="0" w:color="auto"/>
            <w:bottom w:val="none" w:sz="0" w:space="0" w:color="auto"/>
            <w:right w:val="none" w:sz="0" w:space="0" w:color="auto"/>
          </w:divBdr>
        </w:div>
        <w:div w:id="1238516462">
          <w:marLeft w:val="1181"/>
          <w:marRight w:val="0"/>
          <w:marTop w:val="168"/>
          <w:marBottom w:val="0"/>
          <w:divBdr>
            <w:top w:val="none" w:sz="0" w:space="0" w:color="auto"/>
            <w:left w:val="none" w:sz="0" w:space="0" w:color="auto"/>
            <w:bottom w:val="none" w:sz="0" w:space="0" w:color="auto"/>
            <w:right w:val="none" w:sz="0" w:space="0" w:color="auto"/>
          </w:divBdr>
        </w:div>
        <w:div w:id="1463646016">
          <w:marLeft w:val="475"/>
          <w:marRight w:val="0"/>
          <w:marTop w:val="168"/>
          <w:marBottom w:val="0"/>
          <w:divBdr>
            <w:top w:val="none" w:sz="0" w:space="0" w:color="auto"/>
            <w:left w:val="none" w:sz="0" w:space="0" w:color="auto"/>
            <w:bottom w:val="none" w:sz="0" w:space="0" w:color="auto"/>
            <w:right w:val="none" w:sz="0" w:space="0" w:color="auto"/>
          </w:divBdr>
        </w:div>
        <w:div w:id="1626279530">
          <w:marLeft w:val="475"/>
          <w:marRight w:val="0"/>
          <w:marTop w:val="168"/>
          <w:marBottom w:val="0"/>
          <w:divBdr>
            <w:top w:val="none" w:sz="0" w:space="0" w:color="auto"/>
            <w:left w:val="none" w:sz="0" w:space="0" w:color="auto"/>
            <w:bottom w:val="none" w:sz="0" w:space="0" w:color="auto"/>
            <w:right w:val="none" w:sz="0" w:space="0" w:color="auto"/>
          </w:divBdr>
        </w:div>
        <w:div w:id="1824811314">
          <w:marLeft w:val="475"/>
          <w:marRight w:val="0"/>
          <w:marTop w:val="168"/>
          <w:marBottom w:val="0"/>
          <w:divBdr>
            <w:top w:val="none" w:sz="0" w:space="0" w:color="auto"/>
            <w:left w:val="none" w:sz="0" w:space="0" w:color="auto"/>
            <w:bottom w:val="none" w:sz="0" w:space="0" w:color="auto"/>
            <w:right w:val="none" w:sz="0" w:space="0" w:color="auto"/>
          </w:divBdr>
        </w:div>
        <w:div w:id="1836385047">
          <w:marLeft w:val="475"/>
          <w:marRight w:val="0"/>
          <w:marTop w:val="168"/>
          <w:marBottom w:val="0"/>
          <w:divBdr>
            <w:top w:val="none" w:sz="0" w:space="0" w:color="auto"/>
            <w:left w:val="none" w:sz="0" w:space="0" w:color="auto"/>
            <w:bottom w:val="none" w:sz="0" w:space="0" w:color="auto"/>
            <w:right w:val="none" w:sz="0" w:space="0" w:color="auto"/>
          </w:divBdr>
        </w:div>
        <w:div w:id="2108234326">
          <w:marLeft w:val="475"/>
          <w:marRight w:val="0"/>
          <w:marTop w:val="168"/>
          <w:marBottom w:val="0"/>
          <w:divBdr>
            <w:top w:val="none" w:sz="0" w:space="0" w:color="auto"/>
            <w:left w:val="none" w:sz="0" w:space="0" w:color="auto"/>
            <w:bottom w:val="none" w:sz="0" w:space="0" w:color="auto"/>
            <w:right w:val="none" w:sz="0" w:space="0" w:color="auto"/>
          </w:divBdr>
        </w:div>
      </w:divsChild>
    </w:div>
    <w:div w:id="1321156504">
      <w:bodyDiv w:val="1"/>
      <w:marLeft w:val="0"/>
      <w:marRight w:val="0"/>
      <w:marTop w:val="0"/>
      <w:marBottom w:val="0"/>
      <w:divBdr>
        <w:top w:val="none" w:sz="0" w:space="0" w:color="auto"/>
        <w:left w:val="none" w:sz="0" w:space="0" w:color="auto"/>
        <w:bottom w:val="none" w:sz="0" w:space="0" w:color="auto"/>
        <w:right w:val="none" w:sz="0" w:space="0" w:color="auto"/>
      </w:divBdr>
    </w:div>
    <w:div w:id="1321274542">
      <w:bodyDiv w:val="1"/>
      <w:marLeft w:val="0"/>
      <w:marRight w:val="0"/>
      <w:marTop w:val="0"/>
      <w:marBottom w:val="0"/>
      <w:divBdr>
        <w:top w:val="none" w:sz="0" w:space="0" w:color="auto"/>
        <w:left w:val="none" w:sz="0" w:space="0" w:color="auto"/>
        <w:bottom w:val="none" w:sz="0" w:space="0" w:color="auto"/>
        <w:right w:val="none" w:sz="0" w:space="0" w:color="auto"/>
      </w:divBdr>
    </w:div>
    <w:div w:id="1328248436">
      <w:bodyDiv w:val="1"/>
      <w:marLeft w:val="0"/>
      <w:marRight w:val="0"/>
      <w:marTop w:val="0"/>
      <w:marBottom w:val="0"/>
      <w:divBdr>
        <w:top w:val="none" w:sz="0" w:space="0" w:color="auto"/>
        <w:left w:val="none" w:sz="0" w:space="0" w:color="auto"/>
        <w:bottom w:val="none" w:sz="0" w:space="0" w:color="auto"/>
        <w:right w:val="none" w:sz="0" w:space="0" w:color="auto"/>
      </w:divBdr>
    </w:div>
    <w:div w:id="1328904644">
      <w:bodyDiv w:val="1"/>
      <w:marLeft w:val="0"/>
      <w:marRight w:val="0"/>
      <w:marTop w:val="0"/>
      <w:marBottom w:val="0"/>
      <w:divBdr>
        <w:top w:val="none" w:sz="0" w:space="0" w:color="auto"/>
        <w:left w:val="none" w:sz="0" w:space="0" w:color="auto"/>
        <w:bottom w:val="none" w:sz="0" w:space="0" w:color="auto"/>
        <w:right w:val="none" w:sz="0" w:space="0" w:color="auto"/>
      </w:divBdr>
    </w:div>
    <w:div w:id="1331519089">
      <w:bodyDiv w:val="1"/>
      <w:marLeft w:val="0"/>
      <w:marRight w:val="0"/>
      <w:marTop w:val="0"/>
      <w:marBottom w:val="0"/>
      <w:divBdr>
        <w:top w:val="none" w:sz="0" w:space="0" w:color="auto"/>
        <w:left w:val="none" w:sz="0" w:space="0" w:color="auto"/>
        <w:bottom w:val="none" w:sz="0" w:space="0" w:color="auto"/>
        <w:right w:val="none" w:sz="0" w:space="0" w:color="auto"/>
      </w:divBdr>
    </w:div>
    <w:div w:id="1334064803">
      <w:bodyDiv w:val="1"/>
      <w:marLeft w:val="0"/>
      <w:marRight w:val="0"/>
      <w:marTop w:val="0"/>
      <w:marBottom w:val="0"/>
      <w:divBdr>
        <w:top w:val="none" w:sz="0" w:space="0" w:color="auto"/>
        <w:left w:val="none" w:sz="0" w:space="0" w:color="auto"/>
        <w:bottom w:val="none" w:sz="0" w:space="0" w:color="auto"/>
        <w:right w:val="none" w:sz="0" w:space="0" w:color="auto"/>
      </w:divBdr>
    </w:div>
    <w:div w:id="1344820882">
      <w:bodyDiv w:val="1"/>
      <w:marLeft w:val="0"/>
      <w:marRight w:val="0"/>
      <w:marTop w:val="0"/>
      <w:marBottom w:val="0"/>
      <w:divBdr>
        <w:top w:val="none" w:sz="0" w:space="0" w:color="auto"/>
        <w:left w:val="none" w:sz="0" w:space="0" w:color="auto"/>
        <w:bottom w:val="none" w:sz="0" w:space="0" w:color="auto"/>
        <w:right w:val="none" w:sz="0" w:space="0" w:color="auto"/>
      </w:divBdr>
    </w:div>
    <w:div w:id="1356274307">
      <w:bodyDiv w:val="1"/>
      <w:marLeft w:val="0"/>
      <w:marRight w:val="0"/>
      <w:marTop w:val="0"/>
      <w:marBottom w:val="0"/>
      <w:divBdr>
        <w:top w:val="none" w:sz="0" w:space="0" w:color="auto"/>
        <w:left w:val="none" w:sz="0" w:space="0" w:color="auto"/>
        <w:bottom w:val="none" w:sz="0" w:space="0" w:color="auto"/>
        <w:right w:val="none" w:sz="0" w:space="0" w:color="auto"/>
      </w:divBdr>
    </w:div>
    <w:div w:id="1356348969">
      <w:bodyDiv w:val="1"/>
      <w:marLeft w:val="0"/>
      <w:marRight w:val="0"/>
      <w:marTop w:val="0"/>
      <w:marBottom w:val="0"/>
      <w:divBdr>
        <w:top w:val="none" w:sz="0" w:space="0" w:color="auto"/>
        <w:left w:val="none" w:sz="0" w:space="0" w:color="auto"/>
        <w:bottom w:val="none" w:sz="0" w:space="0" w:color="auto"/>
        <w:right w:val="none" w:sz="0" w:space="0" w:color="auto"/>
      </w:divBdr>
      <w:divsChild>
        <w:div w:id="1033001505">
          <w:marLeft w:val="0"/>
          <w:marRight w:val="0"/>
          <w:marTop w:val="0"/>
          <w:marBottom w:val="81"/>
          <w:divBdr>
            <w:top w:val="none" w:sz="0" w:space="0" w:color="auto"/>
            <w:left w:val="none" w:sz="0" w:space="0" w:color="auto"/>
            <w:bottom w:val="none" w:sz="0" w:space="0" w:color="auto"/>
            <w:right w:val="none" w:sz="0" w:space="0" w:color="auto"/>
          </w:divBdr>
          <w:divsChild>
            <w:div w:id="242446743">
              <w:marLeft w:val="0"/>
              <w:marRight w:val="0"/>
              <w:marTop w:val="0"/>
              <w:marBottom w:val="81"/>
              <w:divBdr>
                <w:top w:val="none" w:sz="0" w:space="0" w:color="auto"/>
                <w:left w:val="none" w:sz="0" w:space="0" w:color="auto"/>
                <w:bottom w:val="none" w:sz="0" w:space="0" w:color="auto"/>
                <w:right w:val="none" w:sz="0" w:space="0" w:color="auto"/>
              </w:divBdr>
            </w:div>
            <w:div w:id="1919093319">
              <w:marLeft w:val="0"/>
              <w:marRight w:val="0"/>
              <w:marTop w:val="0"/>
              <w:marBottom w:val="0"/>
              <w:divBdr>
                <w:top w:val="none" w:sz="0" w:space="0" w:color="auto"/>
                <w:left w:val="none" w:sz="0" w:space="0" w:color="auto"/>
                <w:bottom w:val="none" w:sz="0" w:space="0" w:color="auto"/>
                <w:right w:val="none" w:sz="0" w:space="0" w:color="auto"/>
              </w:divBdr>
              <w:divsChild>
                <w:div w:id="1645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9193">
          <w:marLeft w:val="0"/>
          <w:marRight w:val="0"/>
          <w:marTop w:val="0"/>
          <w:marBottom w:val="0"/>
          <w:divBdr>
            <w:top w:val="none" w:sz="0" w:space="0" w:color="auto"/>
            <w:left w:val="none" w:sz="0" w:space="0" w:color="auto"/>
            <w:bottom w:val="none" w:sz="0" w:space="0" w:color="auto"/>
            <w:right w:val="none" w:sz="0" w:space="0" w:color="auto"/>
          </w:divBdr>
        </w:div>
      </w:divsChild>
    </w:div>
    <w:div w:id="1368720881">
      <w:bodyDiv w:val="1"/>
      <w:marLeft w:val="0"/>
      <w:marRight w:val="0"/>
      <w:marTop w:val="0"/>
      <w:marBottom w:val="0"/>
      <w:divBdr>
        <w:top w:val="none" w:sz="0" w:space="0" w:color="auto"/>
        <w:left w:val="none" w:sz="0" w:space="0" w:color="auto"/>
        <w:bottom w:val="none" w:sz="0" w:space="0" w:color="auto"/>
        <w:right w:val="none" w:sz="0" w:space="0" w:color="auto"/>
      </w:divBdr>
    </w:div>
    <w:div w:id="1370953506">
      <w:bodyDiv w:val="1"/>
      <w:marLeft w:val="0"/>
      <w:marRight w:val="0"/>
      <w:marTop w:val="0"/>
      <w:marBottom w:val="0"/>
      <w:divBdr>
        <w:top w:val="none" w:sz="0" w:space="0" w:color="auto"/>
        <w:left w:val="none" w:sz="0" w:space="0" w:color="auto"/>
        <w:bottom w:val="none" w:sz="0" w:space="0" w:color="auto"/>
        <w:right w:val="none" w:sz="0" w:space="0" w:color="auto"/>
      </w:divBdr>
      <w:divsChild>
        <w:div w:id="1438284271">
          <w:marLeft w:val="100"/>
          <w:marRight w:val="0"/>
          <w:marTop w:val="0"/>
          <w:marBottom w:val="0"/>
          <w:divBdr>
            <w:top w:val="none" w:sz="0" w:space="0" w:color="auto"/>
            <w:left w:val="none" w:sz="0" w:space="0" w:color="auto"/>
            <w:bottom w:val="none" w:sz="0" w:space="0" w:color="auto"/>
            <w:right w:val="none" w:sz="0" w:space="0" w:color="auto"/>
          </w:divBdr>
        </w:div>
        <w:div w:id="1770733911">
          <w:marLeft w:val="100"/>
          <w:marRight w:val="0"/>
          <w:marTop w:val="0"/>
          <w:marBottom w:val="0"/>
          <w:divBdr>
            <w:top w:val="none" w:sz="0" w:space="0" w:color="auto"/>
            <w:left w:val="none" w:sz="0" w:space="0" w:color="auto"/>
            <w:bottom w:val="none" w:sz="0" w:space="0" w:color="auto"/>
            <w:right w:val="none" w:sz="0" w:space="0" w:color="auto"/>
          </w:divBdr>
          <w:divsChild>
            <w:div w:id="1099525727">
              <w:marLeft w:val="0"/>
              <w:marRight w:val="0"/>
              <w:marTop w:val="0"/>
              <w:marBottom w:val="0"/>
              <w:divBdr>
                <w:top w:val="none" w:sz="0" w:space="0" w:color="auto"/>
                <w:left w:val="none" w:sz="0" w:space="0" w:color="auto"/>
                <w:bottom w:val="none" w:sz="0" w:space="0" w:color="auto"/>
                <w:right w:val="none" w:sz="0" w:space="0" w:color="auto"/>
              </w:divBdr>
              <w:divsChild>
                <w:div w:id="45762422">
                  <w:marLeft w:val="0"/>
                  <w:marRight w:val="0"/>
                  <w:marTop w:val="240"/>
                  <w:marBottom w:val="120"/>
                  <w:divBdr>
                    <w:top w:val="none" w:sz="0" w:space="0" w:color="auto"/>
                    <w:left w:val="none" w:sz="0" w:space="0" w:color="auto"/>
                    <w:bottom w:val="none" w:sz="0" w:space="0" w:color="auto"/>
                    <w:right w:val="none" w:sz="0" w:space="0" w:color="auto"/>
                  </w:divBdr>
                </w:div>
                <w:div w:id="763722365">
                  <w:marLeft w:val="0"/>
                  <w:marRight w:val="0"/>
                  <w:marTop w:val="0"/>
                  <w:marBottom w:val="0"/>
                  <w:divBdr>
                    <w:top w:val="none" w:sz="0" w:space="0" w:color="auto"/>
                    <w:left w:val="none" w:sz="0" w:space="0" w:color="auto"/>
                    <w:bottom w:val="none" w:sz="0" w:space="0" w:color="auto"/>
                    <w:right w:val="none" w:sz="0" w:space="0" w:color="auto"/>
                  </w:divBdr>
                  <w:divsChild>
                    <w:div w:id="69851022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 w:id="1373993277">
      <w:bodyDiv w:val="1"/>
      <w:marLeft w:val="0"/>
      <w:marRight w:val="0"/>
      <w:marTop w:val="0"/>
      <w:marBottom w:val="0"/>
      <w:divBdr>
        <w:top w:val="none" w:sz="0" w:space="0" w:color="auto"/>
        <w:left w:val="none" w:sz="0" w:space="0" w:color="auto"/>
        <w:bottom w:val="none" w:sz="0" w:space="0" w:color="auto"/>
        <w:right w:val="none" w:sz="0" w:space="0" w:color="auto"/>
      </w:divBdr>
    </w:div>
    <w:div w:id="1393457009">
      <w:bodyDiv w:val="1"/>
      <w:marLeft w:val="0"/>
      <w:marRight w:val="0"/>
      <w:marTop w:val="0"/>
      <w:marBottom w:val="0"/>
      <w:divBdr>
        <w:top w:val="none" w:sz="0" w:space="0" w:color="auto"/>
        <w:left w:val="none" w:sz="0" w:space="0" w:color="auto"/>
        <w:bottom w:val="none" w:sz="0" w:space="0" w:color="auto"/>
        <w:right w:val="none" w:sz="0" w:space="0" w:color="auto"/>
      </w:divBdr>
    </w:div>
    <w:div w:id="1394739360">
      <w:bodyDiv w:val="1"/>
      <w:marLeft w:val="0"/>
      <w:marRight w:val="0"/>
      <w:marTop w:val="0"/>
      <w:marBottom w:val="0"/>
      <w:divBdr>
        <w:top w:val="none" w:sz="0" w:space="0" w:color="auto"/>
        <w:left w:val="none" w:sz="0" w:space="0" w:color="auto"/>
        <w:bottom w:val="none" w:sz="0" w:space="0" w:color="auto"/>
        <w:right w:val="none" w:sz="0" w:space="0" w:color="auto"/>
      </w:divBdr>
    </w:div>
    <w:div w:id="1397782088">
      <w:bodyDiv w:val="1"/>
      <w:marLeft w:val="0"/>
      <w:marRight w:val="0"/>
      <w:marTop w:val="0"/>
      <w:marBottom w:val="0"/>
      <w:divBdr>
        <w:top w:val="none" w:sz="0" w:space="0" w:color="auto"/>
        <w:left w:val="none" w:sz="0" w:space="0" w:color="auto"/>
        <w:bottom w:val="none" w:sz="0" w:space="0" w:color="auto"/>
        <w:right w:val="none" w:sz="0" w:space="0" w:color="auto"/>
      </w:divBdr>
    </w:div>
    <w:div w:id="1405100835">
      <w:bodyDiv w:val="1"/>
      <w:marLeft w:val="0"/>
      <w:marRight w:val="0"/>
      <w:marTop w:val="0"/>
      <w:marBottom w:val="0"/>
      <w:divBdr>
        <w:top w:val="none" w:sz="0" w:space="0" w:color="auto"/>
        <w:left w:val="none" w:sz="0" w:space="0" w:color="auto"/>
        <w:bottom w:val="none" w:sz="0" w:space="0" w:color="auto"/>
        <w:right w:val="none" w:sz="0" w:space="0" w:color="auto"/>
      </w:divBdr>
      <w:divsChild>
        <w:div w:id="82576811">
          <w:marLeft w:val="0"/>
          <w:marRight w:val="54"/>
          <w:marTop w:val="0"/>
          <w:marBottom w:val="0"/>
          <w:divBdr>
            <w:top w:val="none" w:sz="0" w:space="0" w:color="auto"/>
            <w:left w:val="none" w:sz="0" w:space="0" w:color="auto"/>
            <w:bottom w:val="none" w:sz="0" w:space="0" w:color="auto"/>
            <w:right w:val="none" w:sz="0" w:space="0" w:color="auto"/>
          </w:divBdr>
        </w:div>
        <w:div w:id="2141455589">
          <w:marLeft w:val="0"/>
          <w:marRight w:val="54"/>
          <w:marTop w:val="0"/>
          <w:marBottom w:val="0"/>
          <w:divBdr>
            <w:top w:val="none" w:sz="0" w:space="0" w:color="auto"/>
            <w:left w:val="none" w:sz="0" w:space="0" w:color="auto"/>
            <w:bottom w:val="none" w:sz="0" w:space="0" w:color="auto"/>
            <w:right w:val="none" w:sz="0" w:space="0" w:color="auto"/>
          </w:divBdr>
        </w:div>
      </w:divsChild>
    </w:div>
    <w:div w:id="1409300958">
      <w:bodyDiv w:val="1"/>
      <w:marLeft w:val="0"/>
      <w:marRight w:val="0"/>
      <w:marTop w:val="0"/>
      <w:marBottom w:val="0"/>
      <w:divBdr>
        <w:top w:val="none" w:sz="0" w:space="0" w:color="auto"/>
        <w:left w:val="none" w:sz="0" w:space="0" w:color="auto"/>
        <w:bottom w:val="none" w:sz="0" w:space="0" w:color="auto"/>
        <w:right w:val="none" w:sz="0" w:space="0" w:color="auto"/>
      </w:divBdr>
    </w:div>
    <w:div w:id="1412049003">
      <w:bodyDiv w:val="1"/>
      <w:marLeft w:val="0"/>
      <w:marRight w:val="0"/>
      <w:marTop w:val="0"/>
      <w:marBottom w:val="0"/>
      <w:divBdr>
        <w:top w:val="none" w:sz="0" w:space="0" w:color="auto"/>
        <w:left w:val="none" w:sz="0" w:space="0" w:color="auto"/>
        <w:bottom w:val="none" w:sz="0" w:space="0" w:color="auto"/>
        <w:right w:val="none" w:sz="0" w:space="0" w:color="auto"/>
      </w:divBdr>
      <w:divsChild>
        <w:div w:id="407844433">
          <w:marLeft w:val="475"/>
          <w:marRight w:val="0"/>
          <w:marTop w:val="168"/>
          <w:marBottom w:val="0"/>
          <w:divBdr>
            <w:top w:val="none" w:sz="0" w:space="0" w:color="auto"/>
            <w:left w:val="none" w:sz="0" w:space="0" w:color="auto"/>
            <w:bottom w:val="none" w:sz="0" w:space="0" w:color="auto"/>
            <w:right w:val="none" w:sz="0" w:space="0" w:color="auto"/>
          </w:divBdr>
        </w:div>
        <w:div w:id="683628843">
          <w:marLeft w:val="1181"/>
          <w:marRight w:val="0"/>
          <w:marTop w:val="168"/>
          <w:marBottom w:val="0"/>
          <w:divBdr>
            <w:top w:val="none" w:sz="0" w:space="0" w:color="auto"/>
            <w:left w:val="none" w:sz="0" w:space="0" w:color="auto"/>
            <w:bottom w:val="none" w:sz="0" w:space="0" w:color="auto"/>
            <w:right w:val="none" w:sz="0" w:space="0" w:color="auto"/>
          </w:divBdr>
        </w:div>
        <w:div w:id="688138183">
          <w:marLeft w:val="475"/>
          <w:marRight w:val="0"/>
          <w:marTop w:val="168"/>
          <w:marBottom w:val="0"/>
          <w:divBdr>
            <w:top w:val="none" w:sz="0" w:space="0" w:color="auto"/>
            <w:left w:val="none" w:sz="0" w:space="0" w:color="auto"/>
            <w:bottom w:val="none" w:sz="0" w:space="0" w:color="auto"/>
            <w:right w:val="none" w:sz="0" w:space="0" w:color="auto"/>
          </w:divBdr>
        </w:div>
        <w:div w:id="1113475300">
          <w:marLeft w:val="1181"/>
          <w:marRight w:val="0"/>
          <w:marTop w:val="168"/>
          <w:marBottom w:val="0"/>
          <w:divBdr>
            <w:top w:val="none" w:sz="0" w:space="0" w:color="auto"/>
            <w:left w:val="none" w:sz="0" w:space="0" w:color="auto"/>
            <w:bottom w:val="none" w:sz="0" w:space="0" w:color="auto"/>
            <w:right w:val="none" w:sz="0" w:space="0" w:color="auto"/>
          </w:divBdr>
        </w:div>
        <w:div w:id="1270972120">
          <w:marLeft w:val="475"/>
          <w:marRight w:val="0"/>
          <w:marTop w:val="168"/>
          <w:marBottom w:val="0"/>
          <w:divBdr>
            <w:top w:val="none" w:sz="0" w:space="0" w:color="auto"/>
            <w:left w:val="none" w:sz="0" w:space="0" w:color="auto"/>
            <w:bottom w:val="none" w:sz="0" w:space="0" w:color="auto"/>
            <w:right w:val="none" w:sz="0" w:space="0" w:color="auto"/>
          </w:divBdr>
        </w:div>
        <w:div w:id="1362585178">
          <w:marLeft w:val="1181"/>
          <w:marRight w:val="0"/>
          <w:marTop w:val="168"/>
          <w:marBottom w:val="0"/>
          <w:divBdr>
            <w:top w:val="none" w:sz="0" w:space="0" w:color="auto"/>
            <w:left w:val="none" w:sz="0" w:space="0" w:color="auto"/>
            <w:bottom w:val="none" w:sz="0" w:space="0" w:color="auto"/>
            <w:right w:val="none" w:sz="0" w:space="0" w:color="auto"/>
          </w:divBdr>
        </w:div>
        <w:div w:id="1433696365">
          <w:marLeft w:val="475"/>
          <w:marRight w:val="0"/>
          <w:marTop w:val="168"/>
          <w:marBottom w:val="0"/>
          <w:divBdr>
            <w:top w:val="none" w:sz="0" w:space="0" w:color="auto"/>
            <w:left w:val="none" w:sz="0" w:space="0" w:color="auto"/>
            <w:bottom w:val="none" w:sz="0" w:space="0" w:color="auto"/>
            <w:right w:val="none" w:sz="0" w:space="0" w:color="auto"/>
          </w:divBdr>
        </w:div>
        <w:div w:id="1992055847">
          <w:marLeft w:val="475"/>
          <w:marRight w:val="0"/>
          <w:marTop w:val="168"/>
          <w:marBottom w:val="0"/>
          <w:divBdr>
            <w:top w:val="none" w:sz="0" w:space="0" w:color="auto"/>
            <w:left w:val="none" w:sz="0" w:space="0" w:color="auto"/>
            <w:bottom w:val="none" w:sz="0" w:space="0" w:color="auto"/>
            <w:right w:val="none" w:sz="0" w:space="0" w:color="auto"/>
          </w:divBdr>
        </w:div>
        <w:div w:id="2057391545">
          <w:marLeft w:val="475"/>
          <w:marRight w:val="0"/>
          <w:marTop w:val="168"/>
          <w:marBottom w:val="0"/>
          <w:divBdr>
            <w:top w:val="none" w:sz="0" w:space="0" w:color="auto"/>
            <w:left w:val="none" w:sz="0" w:space="0" w:color="auto"/>
            <w:bottom w:val="none" w:sz="0" w:space="0" w:color="auto"/>
            <w:right w:val="none" w:sz="0" w:space="0" w:color="auto"/>
          </w:divBdr>
        </w:div>
        <w:div w:id="2069913685">
          <w:marLeft w:val="1181"/>
          <w:marRight w:val="0"/>
          <w:marTop w:val="168"/>
          <w:marBottom w:val="0"/>
          <w:divBdr>
            <w:top w:val="none" w:sz="0" w:space="0" w:color="auto"/>
            <w:left w:val="none" w:sz="0" w:space="0" w:color="auto"/>
            <w:bottom w:val="none" w:sz="0" w:space="0" w:color="auto"/>
            <w:right w:val="none" w:sz="0" w:space="0" w:color="auto"/>
          </w:divBdr>
        </w:div>
      </w:divsChild>
    </w:div>
    <w:div w:id="1414618938">
      <w:bodyDiv w:val="1"/>
      <w:marLeft w:val="0"/>
      <w:marRight w:val="0"/>
      <w:marTop w:val="0"/>
      <w:marBottom w:val="0"/>
      <w:divBdr>
        <w:top w:val="none" w:sz="0" w:space="0" w:color="auto"/>
        <w:left w:val="none" w:sz="0" w:space="0" w:color="auto"/>
        <w:bottom w:val="none" w:sz="0" w:space="0" w:color="auto"/>
        <w:right w:val="none" w:sz="0" w:space="0" w:color="auto"/>
      </w:divBdr>
      <w:divsChild>
        <w:div w:id="309991607">
          <w:marLeft w:val="475"/>
          <w:marRight w:val="0"/>
          <w:marTop w:val="168"/>
          <w:marBottom w:val="0"/>
          <w:divBdr>
            <w:top w:val="none" w:sz="0" w:space="0" w:color="auto"/>
            <w:left w:val="none" w:sz="0" w:space="0" w:color="auto"/>
            <w:bottom w:val="none" w:sz="0" w:space="0" w:color="auto"/>
            <w:right w:val="none" w:sz="0" w:space="0" w:color="auto"/>
          </w:divBdr>
        </w:div>
        <w:div w:id="624696848">
          <w:marLeft w:val="475"/>
          <w:marRight w:val="0"/>
          <w:marTop w:val="168"/>
          <w:marBottom w:val="0"/>
          <w:divBdr>
            <w:top w:val="none" w:sz="0" w:space="0" w:color="auto"/>
            <w:left w:val="none" w:sz="0" w:space="0" w:color="auto"/>
            <w:bottom w:val="none" w:sz="0" w:space="0" w:color="auto"/>
            <w:right w:val="none" w:sz="0" w:space="0" w:color="auto"/>
          </w:divBdr>
        </w:div>
        <w:div w:id="915555613">
          <w:marLeft w:val="475"/>
          <w:marRight w:val="0"/>
          <w:marTop w:val="168"/>
          <w:marBottom w:val="0"/>
          <w:divBdr>
            <w:top w:val="none" w:sz="0" w:space="0" w:color="auto"/>
            <w:left w:val="none" w:sz="0" w:space="0" w:color="auto"/>
            <w:bottom w:val="none" w:sz="0" w:space="0" w:color="auto"/>
            <w:right w:val="none" w:sz="0" w:space="0" w:color="auto"/>
          </w:divBdr>
        </w:div>
        <w:div w:id="1010136249">
          <w:marLeft w:val="475"/>
          <w:marRight w:val="0"/>
          <w:marTop w:val="168"/>
          <w:marBottom w:val="0"/>
          <w:divBdr>
            <w:top w:val="none" w:sz="0" w:space="0" w:color="auto"/>
            <w:left w:val="none" w:sz="0" w:space="0" w:color="auto"/>
            <w:bottom w:val="none" w:sz="0" w:space="0" w:color="auto"/>
            <w:right w:val="none" w:sz="0" w:space="0" w:color="auto"/>
          </w:divBdr>
        </w:div>
        <w:div w:id="1470784858">
          <w:marLeft w:val="475"/>
          <w:marRight w:val="0"/>
          <w:marTop w:val="168"/>
          <w:marBottom w:val="0"/>
          <w:divBdr>
            <w:top w:val="none" w:sz="0" w:space="0" w:color="auto"/>
            <w:left w:val="none" w:sz="0" w:space="0" w:color="auto"/>
            <w:bottom w:val="none" w:sz="0" w:space="0" w:color="auto"/>
            <w:right w:val="none" w:sz="0" w:space="0" w:color="auto"/>
          </w:divBdr>
        </w:div>
        <w:div w:id="1931502540">
          <w:marLeft w:val="475"/>
          <w:marRight w:val="0"/>
          <w:marTop w:val="168"/>
          <w:marBottom w:val="0"/>
          <w:divBdr>
            <w:top w:val="none" w:sz="0" w:space="0" w:color="auto"/>
            <w:left w:val="none" w:sz="0" w:space="0" w:color="auto"/>
            <w:bottom w:val="none" w:sz="0" w:space="0" w:color="auto"/>
            <w:right w:val="none" w:sz="0" w:space="0" w:color="auto"/>
          </w:divBdr>
        </w:div>
        <w:div w:id="2038504541">
          <w:marLeft w:val="475"/>
          <w:marRight w:val="0"/>
          <w:marTop w:val="168"/>
          <w:marBottom w:val="0"/>
          <w:divBdr>
            <w:top w:val="none" w:sz="0" w:space="0" w:color="auto"/>
            <w:left w:val="none" w:sz="0" w:space="0" w:color="auto"/>
            <w:bottom w:val="none" w:sz="0" w:space="0" w:color="auto"/>
            <w:right w:val="none" w:sz="0" w:space="0" w:color="auto"/>
          </w:divBdr>
        </w:div>
        <w:div w:id="2086489591">
          <w:marLeft w:val="475"/>
          <w:marRight w:val="0"/>
          <w:marTop w:val="168"/>
          <w:marBottom w:val="0"/>
          <w:divBdr>
            <w:top w:val="none" w:sz="0" w:space="0" w:color="auto"/>
            <w:left w:val="none" w:sz="0" w:space="0" w:color="auto"/>
            <w:bottom w:val="none" w:sz="0" w:space="0" w:color="auto"/>
            <w:right w:val="none" w:sz="0" w:space="0" w:color="auto"/>
          </w:divBdr>
        </w:div>
      </w:divsChild>
    </w:div>
    <w:div w:id="1414624120">
      <w:bodyDiv w:val="1"/>
      <w:marLeft w:val="0"/>
      <w:marRight w:val="0"/>
      <w:marTop w:val="0"/>
      <w:marBottom w:val="0"/>
      <w:divBdr>
        <w:top w:val="none" w:sz="0" w:space="0" w:color="auto"/>
        <w:left w:val="none" w:sz="0" w:space="0" w:color="auto"/>
        <w:bottom w:val="none" w:sz="0" w:space="0" w:color="auto"/>
        <w:right w:val="none" w:sz="0" w:space="0" w:color="auto"/>
      </w:divBdr>
    </w:div>
    <w:div w:id="1417628723">
      <w:bodyDiv w:val="1"/>
      <w:marLeft w:val="0"/>
      <w:marRight w:val="0"/>
      <w:marTop w:val="0"/>
      <w:marBottom w:val="0"/>
      <w:divBdr>
        <w:top w:val="none" w:sz="0" w:space="0" w:color="auto"/>
        <w:left w:val="none" w:sz="0" w:space="0" w:color="auto"/>
        <w:bottom w:val="none" w:sz="0" w:space="0" w:color="auto"/>
        <w:right w:val="none" w:sz="0" w:space="0" w:color="auto"/>
      </w:divBdr>
    </w:div>
    <w:div w:id="1417903779">
      <w:bodyDiv w:val="1"/>
      <w:marLeft w:val="0"/>
      <w:marRight w:val="0"/>
      <w:marTop w:val="0"/>
      <w:marBottom w:val="0"/>
      <w:divBdr>
        <w:top w:val="none" w:sz="0" w:space="0" w:color="auto"/>
        <w:left w:val="none" w:sz="0" w:space="0" w:color="auto"/>
        <w:bottom w:val="none" w:sz="0" w:space="0" w:color="auto"/>
        <w:right w:val="none" w:sz="0" w:space="0" w:color="auto"/>
      </w:divBdr>
    </w:div>
    <w:div w:id="1419711429">
      <w:bodyDiv w:val="1"/>
      <w:marLeft w:val="0"/>
      <w:marRight w:val="0"/>
      <w:marTop w:val="0"/>
      <w:marBottom w:val="0"/>
      <w:divBdr>
        <w:top w:val="none" w:sz="0" w:space="0" w:color="auto"/>
        <w:left w:val="none" w:sz="0" w:space="0" w:color="auto"/>
        <w:bottom w:val="none" w:sz="0" w:space="0" w:color="auto"/>
        <w:right w:val="none" w:sz="0" w:space="0" w:color="auto"/>
      </w:divBdr>
    </w:div>
    <w:div w:id="1422333691">
      <w:bodyDiv w:val="1"/>
      <w:marLeft w:val="0"/>
      <w:marRight w:val="0"/>
      <w:marTop w:val="0"/>
      <w:marBottom w:val="0"/>
      <w:divBdr>
        <w:top w:val="none" w:sz="0" w:space="0" w:color="auto"/>
        <w:left w:val="none" w:sz="0" w:space="0" w:color="auto"/>
        <w:bottom w:val="none" w:sz="0" w:space="0" w:color="auto"/>
        <w:right w:val="none" w:sz="0" w:space="0" w:color="auto"/>
      </w:divBdr>
    </w:div>
    <w:div w:id="1424303794">
      <w:bodyDiv w:val="1"/>
      <w:marLeft w:val="0"/>
      <w:marRight w:val="0"/>
      <w:marTop w:val="0"/>
      <w:marBottom w:val="0"/>
      <w:divBdr>
        <w:top w:val="none" w:sz="0" w:space="0" w:color="auto"/>
        <w:left w:val="none" w:sz="0" w:space="0" w:color="auto"/>
        <w:bottom w:val="none" w:sz="0" w:space="0" w:color="auto"/>
        <w:right w:val="none" w:sz="0" w:space="0" w:color="auto"/>
      </w:divBdr>
    </w:div>
    <w:div w:id="1424567206">
      <w:bodyDiv w:val="1"/>
      <w:marLeft w:val="0"/>
      <w:marRight w:val="0"/>
      <w:marTop w:val="0"/>
      <w:marBottom w:val="0"/>
      <w:divBdr>
        <w:top w:val="none" w:sz="0" w:space="0" w:color="auto"/>
        <w:left w:val="none" w:sz="0" w:space="0" w:color="auto"/>
        <w:bottom w:val="none" w:sz="0" w:space="0" w:color="auto"/>
        <w:right w:val="none" w:sz="0" w:space="0" w:color="auto"/>
      </w:divBdr>
    </w:div>
    <w:div w:id="1426800362">
      <w:bodyDiv w:val="1"/>
      <w:marLeft w:val="0"/>
      <w:marRight w:val="0"/>
      <w:marTop w:val="0"/>
      <w:marBottom w:val="0"/>
      <w:divBdr>
        <w:top w:val="none" w:sz="0" w:space="0" w:color="auto"/>
        <w:left w:val="none" w:sz="0" w:space="0" w:color="auto"/>
        <w:bottom w:val="none" w:sz="0" w:space="0" w:color="auto"/>
        <w:right w:val="none" w:sz="0" w:space="0" w:color="auto"/>
      </w:divBdr>
    </w:div>
    <w:div w:id="1429696256">
      <w:bodyDiv w:val="1"/>
      <w:marLeft w:val="0"/>
      <w:marRight w:val="0"/>
      <w:marTop w:val="0"/>
      <w:marBottom w:val="0"/>
      <w:divBdr>
        <w:top w:val="none" w:sz="0" w:space="0" w:color="auto"/>
        <w:left w:val="none" w:sz="0" w:space="0" w:color="auto"/>
        <w:bottom w:val="none" w:sz="0" w:space="0" w:color="auto"/>
        <w:right w:val="none" w:sz="0" w:space="0" w:color="auto"/>
      </w:divBdr>
    </w:div>
    <w:div w:id="1431047517">
      <w:bodyDiv w:val="1"/>
      <w:marLeft w:val="0"/>
      <w:marRight w:val="0"/>
      <w:marTop w:val="0"/>
      <w:marBottom w:val="0"/>
      <w:divBdr>
        <w:top w:val="none" w:sz="0" w:space="0" w:color="auto"/>
        <w:left w:val="none" w:sz="0" w:space="0" w:color="auto"/>
        <w:bottom w:val="none" w:sz="0" w:space="0" w:color="auto"/>
        <w:right w:val="none" w:sz="0" w:space="0" w:color="auto"/>
      </w:divBdr>
    </w:div>
    <w:div w:id="1431660688">
      <w:bodyDiv w:val="1"/>
      <w:marLeft w:val="0"/>
      <w:marRight w:val="0"/>
      <w:marTop w:val="0"/>
      <w:marBottom w:val="0"/>
      <w:divBdr>
        <w:top w:val="none" w:sz="0" w:space="0" w:color="auto"/>
        <w:left w:val="none" w:sz="0" w:space="0" w:color="auto"/>
        <w:bottom w:val="none" w:sz="0" w:space="0" w:color="auto"/>
        <w:right w:val="none" w:sz="0" w:space="0" w:color="auto"/>
      </w:divBdr>
    </w:div>
    <w:div w:id="1431855220">
      <w:bodyDiv w:val="1"/>
      <w:marLeft w:val="0"/>
      <w:marRight w:val="0"/>
      <w:marTop w:val="0"/>
      <w:marBottom w:val="0"/>
      <w:divBdr>
        <w:top w:val="none" w:sz="0" w:space="0" w:color="auto"/>
        <w:left w:val="none" w:sz="0" w:space="0" w:color="auto"/>
        <w:bottom w:val="none" w:sz="0" w:space="0" w:color="auto"/>
        <w:right w:val="none" w:sz="0" w:space="0" w:color="auto"/>
      </w:divBdr>
    </w:div>
    <w:div w:id="1432240489">
      <w:bodyDiv w:val="1"/>
      <w:marLeft w:val="0"/>
      <w:marRight w:val="0"/>
      <w:marTop w:val="0"/>
      <w:marBottom w:val="0"/>
      <w:divBdr>
        <w:top w:val="none" w:sz="0" w:space="0" w:color="auto"/>
        <w:left w:val="none" w:sz="0" w:space="0" w:color="auto"/>
        <w:bottom w:val="none" w:sz="0" w:space="0" w:color="auto"/>
        <w:right w:val="none" w:sz="0" w:space="0" w:color="auto"/>
      </w:divBdr>
      <w:divsChild>
        <w:div w:id="1440103092">
          <w:marLeft w:val="0"/>
          <w:marRight w:val="0"/>
          <w:marTop w:val="0"/>
          <w:marBottom w:val="450"/>
          <w:divBdr>
            <w:top w:val="none" w:sz="0" w:space="0" w:color="auto"/>
            <w:left w:val="none" w:sz="0" w:space="0" w:color="auto"/>
            <w:bottom w:val="none" w:sz="0" w:space="0" w:color="auto"/>
            <w:right w:val="none" w:sz="0" w:space="0" w:color="auto"/>
          </w:divBdr>
        </w:div>
        <w:div w:id="742534697">
          <w:marLeft w:val="0"/>
          <w:marRight w:val="0"/>
          <w:marTop w:val="375"/>
          <w:marBottom w:val="0"/>
          <w:divBdr>
            <w:top w:val="none" w:sz="0" w:space="0" w:color="auto"/>
            <w:left w:val="none" w:sz="0" w:space="0" w:color="auto"/>
            <w:bottom w:val="none" w:sz="0" w:space="0" w:color="auto"/>
            <w:right w:val="none" w:sz="0" w:space="0" w:color="auto"/>
          </w:divBdr>
        </w:div>
        <w:div w:id="1773013101">
          <w:marLeft w:val="0"/>
          <w:marRight w:val="0"/>
          <w:marTop w:val="0"/>
          <w:marBottom w:val="375"/>
          <w:divBdr>
            <w:top w:val="none" w:sz="0" w:space="1" w:color="auto"/>
            <w:left w:val="none" w:sz="0" w:space="8" w:color="auto"/>
            <w:bottom w:val="single" w:sz="24" w:space="1" w:color="BD1B21"/>
            <w:right w:val="none" w:sz="0" w:space="8" w:color="auto"/>
          </w:divBdr>
        </w:div>
        <w:div w:id="1468740958">
          <w:marLeft w:val="0"/>
          <w:marRight w:val="0"/>
          <w:marTop w:val="375"/>
          <w:marBottom w:val="0"/>
          <w:divBdr>
            <w:top w:val="none" w:sz="0" w:space="0" w:color="auto"/>
            <w:left w:val="none" w:sz="0" w:space="0" w:color="auto"/>
            <w:bottom w:val="none" w:sz="0" w:space="0" w:color="auto"/>
            <w:right w:val="none" w:sz="0" w:space="0" w:color="auto"/>
          </w:divBdr>
        </w:div>
        <w:div w:id="1927493724">
          <w:marLeft w:val="0"/>
          <w:marRight w:val="0"/>
          <w:marTop w:val="0"/>
          <w:marBottom w:val="375"/>
          <w:divBdr>
            <w:top w:val="none" w:sz="0" w:space="1" w:color="auto"/>
            <w:left w:val="none" w:sz="0" w:space="8" w:color="auto"/>
            <w:bottom w:val="single" w:sz="24" w:space="1" w:color="BD1B21"/>
            <w:right w:val="none" w:sz="0" w:space="8" w:color="auto"/>
          </w:divBdr>
        </w:div>
        <w:div w:id="1243098455">
          <w:marLeft w:val="0"/>
          <w:marRight w:val="0"/>
          <w:marTop w:val="375"/>
          <w:marBottom w:val="0"/>
          <w:divBdr>
            <w:top w:val="none" w:sz="0" w:space="0" w:color="auto"/>
            <w:left w:val="none" w:sz="0" w:space="0" w:color="auto"/>
            <w:bottom w:val="none" w:sz="0" w:space="0" w:color="auto"/>
            <w:right w:val="none" w:sz="0" w:space="0" w:color="auto"/>
          </w:divBdr>
        </w:div>
        <w:div w:id="125897175">
          <w:marLeft w:val="0"/>
          <w:marRight w:val="0"/>
          <w:marTop w:val="0"/>
          <w:marBottom w:val="375"/>
          <w:divBdr>
            <w:top w:val="none" w:sz="0" w:space="1" w:color="auto"/>
            <w:left w:val="none" w:sz="0" w:space="8" w:color="auto"/>
            <w:bottom w:val="single" w:sz="24" w:space="1" w:color="BD1B21"/>
            <w:right w:val="none" w:sz="0" w:space="8" w:color="auto"/>
          </w:divBdr>
        </w:div>
        <w:div w:id="216821816">
          <w:marLeft w:val="0"/>
          <w:marRight w:val="0"/>
          <w:marTop w:val="375"/>
          <w:marBottom w:val="0"/>
          <w:divBdr>
            <w:top w:val="none" w:sz="0" w:space="0" w:color="auto"/>
            <w:left w:val="none" w:sz="0" w:space="0" w:color="auto"/>
            <w:bottom w:val="none" w:sz="0" w:space="0" w:color="auto"/>
            <w:right w:val="none" w:sz="0" w:space="0" w:color="auto"/>
          </w:divBdr>
        </w:div>
        <w:div w:id="853767738">
          <w:marLeft w:val="0"/>
          <w:marRight w:val="0"/>
          <w:marTop w:val="0"/>
          <w:marBottom w:val="375"/>
          <w:divBdr>
            <w:top w:val="none" w:sz="0" w:space="1" w:color="auto"/>
            <w:left w:val="none" w:sz="0" w:space="8" w:color="auto"/>
            <w:bottom w:val="single" w:sz="24" w:space="1" w:color="BD1B21"/>
            <w:right w:val="none" w:sz="0" w:space="8" w:color="auto"/>
          </w:divBdr>
        </w:div>
        <w:div w:id="1274745889">
          <w:marLeft w:val="0"/>
          <w:marRight w:val="0"/>
          <w:marTop w:val="300"/>
          <w:marBottom w:val="300"/>
          <w:divBdr>
            <w:top w:val="none" w:sz="0" w:space="0" w:color="auto"/>
            <w:left w:val="none" w:sz="0" w:space="0" w:color="auto"/>
            <w:bottom w:val="none" w:sz="0" w:space="0" w:color="auto"/>
            <w:right w:val="none" w:sz="0" w:space="0" w:color="auto"/>
          </w:divBdr>
          <w:divsChild>
            <w:div w:id="746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1879">
      <w:bodyDiv w:val="1"/>
      <w:marLeft w:val="0"/>
      <w:marRight w:val="0"/>
      <w:marTop w:val="0"/>
      <w:marBottom w:val="0"/>
      <w:divBdr>
        <w:top w:val="none" w:sz="0" w:space="0" w:color="auto"/>
        <w:left w:val="none" w:sz="0" w:space="0" w:color="auto"/>
        <w:bottom w:val="none" w:sz="0" w:space="0" w:color="auto"/>
        <w:right w:val="none" w:sz="0" w:space="0" w:color="auto"/>
      </w:divBdr>
    </w:div>
    <w:div w:id="1446389067">
      <w:bodyDiv w:val="1"/>
      <w:marLeft w:val="0"/>
      <w:marRight w:val="0"/>
      <w:marTop w:val="0"/>
      <w:marBottom w:val="0"/>
      <w:divBdr>
        <w:top w:val="none" w:sz="0" w:space="0" w:color="auto"/>
        <w:left w:val="none" w:sz="0" w:space="0" w:color="auto"/>
        <w:bottom w:val="none" w:sz="0" w:space="0" w:color="auto"/>
        <w:right w:val="none" w:sz="0" w:space="0" w:color="auto"/>
      </w:divBdr>
    </w:div>
    <w:div w:id="1466318232">
      <w:bodyDiv w:val="1"/>
      <w:marLeft w:val="0"/>
      <w:marRight w:val="0"/>
      <w:marTop w:val="0"/>
      <w:marBottom w:val="0"/>
      <w:divBdr>
        <w:top w:val="none" w:sz="0" w:space="0" w:color="auto"/>
        <w:left w:val="none" w:sz="0" w:space="0" w:color="auto"/>
        <w:bottom w:val="none" w:sz="0" w:space="0" w:color="auto"/>
        <w:right w:val="none" w:sz="0" w:space="0" w:color="auto"/>
      </w:divBdr>
    </w:div>
    <w:div w:id="1466897492">
      <w:bodyDiv w:val="1"/>
      <w:marLeft w:val="0"/>
      <w:marRight w:val="0"/>
      <w:marTop w:val="0"/>
      <w:marBottom w:val="0"/>
      <w:divBdr>
        <w:top w:val="none" w:sz="0" w:space="0" w:color="auto"/>
        <w:left w:val="none" w:sz="0" w:space="0" w:color="auto"/>
        <w:bottom w:val="none" w:sz="0" w:space="0" w:color="auto"/>
        <w:right w:val="none" w:sz="0" w:space="0" w:color="auto"/>
      </w:divBdr>
    </w:div>
    <w:div w:id="1476143722">
      <w:bodyDiv w:val="1"/>
      <w:marLeft w:val="0"/>
      <w:marRight w:val="0"/>
      <w:marTop w:val="0"/>
      <w:marBottom w:val="0"/>
      <w:divBdr>
        <w:top w:val="none" w:sz="0" w:space="0" w:color="auto"/>
        <w:left w:val="none" w:sz="0" w:space="0" w:color="auto"/>
        <w:bottom w:val="none" w:sz="0" w:space="0" w:color="auto"/>
        <w:right w:val="none" w:sz="0" w:space="0" w:color="auto"/>
      </w:divBdr>
    </w:div>
    <w:div w:id="1476527356">
      <w:bodyDiv w:val="1"/>
      <w:marLeft w:val="0"/>
      <w:marRight w:val="0"/>
      <w:marTop w:val="0"/>
      <w:marBottom w:val="0"/>
      <w:divBdr>
        <w:top w:val="none" w:sz="0" w:space="0" w:color="auto"/>
        <w:left w:val="none" w:sz="0" w:space="0" w:color="auto"/>
        <w:bottom w:val="none" w:sz="0" w:space="0" w:color="auto"/>
        <w:right w:val="none" w:sz="0" w:space="0" w:color="auto"/>
      </w:divBdr>
      <w:divsChild>
        <w:div w:id="815222945">
          <w:marLeft w:val="475"/>
          <w:marRight w:val="0"/>
          <w:marTop w:val="168"/>
          <w:marBottom w:val="0"/>
          <w:divBdr>
            <w:top w:val="none" w:sz="0" w:space="0" w:color="auto"/>
            <w:left w:val="none" w:sz="0" w:space="0" w:color="auto"/>
            <w:bottom w:val="none" w:sz="0" w:space="0" w:color="auto"/>
            <w:right w:val="none" w:sz="0" w:space="0" w:color="auto"/>
          </w:divBdr>
        </w:div>
        <w:div w:id="1409230391">
          <w:marLeft w:val="475"/>
          <w:marRight w:val="0"/>
          <w:marTop w:val="168"/>
          <w:marBottom w:val="0"/>
          <w:divBdr>
            <w:top w:val="none" w:sz="0" w:space="0" w:color="auto"/>
            <w:left w:val="none" w:sz="0" w:space="0" w:color="auto"/>
            <w:bottom w:val="none" w:sz="0" w:space="0" w:color="auto"/>
            <w:right w:val="none" w:sz="0" w:space="0" w:color="auto"/>
          </w:divBdr>
        </w:div>
        <w:div w:id="1510413819">
          <w:marLeft w:val="475"/>
          <w:marRight w:val="0"/>
          <w:marTop w:val="168"/>
          <w:marBottom w:val="0"/>
          <w:divBdr>
            <w:top w:val="none" w:sz="0" w:space="0" w:color="auto"/>
            <w:left w:val="none" w:sz="0" w:space="0" w:color="auto"/>
            <w:bottom w:val="none" w:sz="0" w:space="0" w:color="auto"/>
            <w:right w:val="none" w:sz="0" w:space="0" w:color="auto"/>
          </w:divBdr>
        </w:div>
      </w:divsChild>
    </w:div>
    <w:div w:id="1483698986">
      <w:bodyDiv w:val="1"/>
      <w:marLeft w:val="0"/>
      <w:marRight w:val="0"/>
      <w:marTop w:val="0"/>
      <w:marBottom w:val="0"/>
      <w:divBdr>
        <w:top w:val="none" w:sz="0" w:space="0" w:color="auto"/>
        <w:left w:val="none" w:sz="0" w:space="0" w:color="auto"/>
        <w:bottom w:val="none" w:sz="0" w:space="0" w:color="auto"/>
        <w:right w:val="none" w:sz="0" w:space="0" w:color="auto"/>
      </w:divBdr>
    </w:div>
    <w:div w:id="1485854136">
      <w:bodyDiv w:val="1"/>
      <w:marLeft w:val="0"/>
      <w:marRight w:val="0"/>
      <w:marTop w:val="0"/>
      <w:marBottom w:val="0"/>
      <w:divBdr>
        <w:top w:val="none" w:sz="0" w:space="0" w:color="auto"/>
        <w:left w:val="none" w:sz="0" w:space="0" w:color="auto"/>
        <w:bottom w:val="none" w:sz="0" w:space="0" w:color="auto"/>
        <w:right w:val="none" w:sz="0" w:space="0" w:color="auto"/>
      </w:divBdr>
    </w:div>
    <w:div w:id="1486122028">
      <w:bodyDiv w:val="1"/>
      <w:marLeft w:val="0"/>
      <w:marRight w:val="0"/>
      <w:marTop w:val="0"/>
      <w:marBottom w:val="0"/>
      <w:divBdr>
        <w:top w:val="none" w:sz="0" w:space="0" w:color="auto"/>
        <w:left w:val="none" w:sz="0" w:space="0" w:color="auto"/>
        <w:bottom w:val="none" w:sz="0" w:space="0" w:color="auto"/>
        <w:right w:val="none" w:sz="0" w:space="0" w:color="auto"/>
      </w:divBdr>
    </w:div>
    <w:div w:id="1492720388">
      <w:bodyDiv w:val="1"/>
      <w:marLeft w:val="0"/>
      <w:marRight w:val="0"/>
      <w:marTop w:val="0"/>
      <w:marBottom w:val="0"/>
      <w:divBdr>
        <w:top w:val="none" w:sz="0" w:space="0" w:color="auto"/>
        <w:left w:val="none" w:sz="0" w:space="0" w:color="auto"/>
        <w:bottom w:val="none" w:sz="0" w:space="0" w:color="auto"/>
        <w:right w:val="none" w:sz="0" w:space="0" w:color="auto"/>
      </w:divBdr>
    </w:div>
    <w:div w:id="1495801810">
      <w:bodyDiv w:val="1"/>
      <w:marLeft w:val="0"/>
      <w:marRight w:val="0"/>
      <w:marTop w:val="0"/>
      <w:marBottom w:val="0"/>
      <w:divBdr>
        <w:top w:val="none" w:sz="0" w:space="0" w:color="auto"/>
        <w:left w:val="none" w:sz="0" w:space="0" w:color="auto"/>
        <w:bottom w:val="none" w:sz="0" w:space="0" w:color="auto"/>
        <w:right w:val="none" w:sz="0" w:space="0" w:color="auto"/>
      </w:divBdr>
      <w:divsChild>
        <w:div w:id="487332744">
          <w:marLeft w:val="0"/>
          <w:marRight w:val="0"/>
          <w:marTop w:val="0"/>
          <w:marBottom w:val="0"/>
          <w:divBdr>
            <w:top w:val="none" w:sz="0" w:space="0" w:color="auto"/>
            <w:left w:val="none" w:sz="0" w:space="0" w:color="auto"/>
            <w:bottom w:val="none" w:sz="0" w:space="0" w:color="auto"/>
            <w:right w:val="none" w:sz="0" w:space="0" w:color="auto"/>
          </w:divBdr>
          <w:divsChild>
            <w:div w:id="609894348">
              <w:marLeft w:val="0"/>
              <w:marRight w:val="0"/>
              <w:marTop w:val="0"/>
              <w:marBottom w:val="0"/>
              <w:divBdr>
                <w:top w:val="none" w:sz="0" w:space="0" w:color="auto"/>
                <w:left w:val="none" w:sz="0" w:space="0" w:color="auto"/>
                <w:bottom w:val="none" w:sz="0" w:space="0" w:color="auto"/>
                <w:right w:val="none" w:sz="0" w:space="0" w:color="auto"/>
              </w:divBdr>
              <w:divsChild>
                <w:div w:id="1099177647">
                  <w:marLeft w:val="0"/>
                  <w:marRight w:val="0"/>
                  <w:marTop w:val="0"/>
                  <w:marBottom w:val="0"/>
                  <w:divBdr>
                    <w:top w:val="none" w:sz="0" w:space="0" w:color="auto"/>
                    <w:left w:val="none" w:sz="0" w:space="0" w:color="auto"/>
                    <w:bottom w:val="none" w:sz="0" w:space="0" w:color="auto"/>
                    <w:right w:val="none" w:sz="0" w:space="0" w:color="auto"/>
                  </w:divBdr>
                </w:div>
              </w:divsChild>
            </w:div>
            <w:div w:id="2129464326">
              <w:marLeft w:val="0"/>
              <w:marRight w:val="0"/>
              <w:marTop w:val="0"/>
              <w:marBottom w:val="0"/>
              <w:divBdr>
                <w:top w:val="none" w:sz="0" w:space="0" w:color="auto"/>
                <w:left w:val="none" w:sz="0" w:space="0" w:color="auto"/>
                <w:bottom w:val="none" w:sz="0" w:space="0" w:color="auto"/>
                <w:right w:val="none" w:sz="0" w:space="0" w:color="auto"/>
              </w:divBdr>
              <w:divsChild>
                <w:div w:id="5809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00795">
          <w:marLeft w:val="0"/>
          <w:marRight w:val="0"/>
          <w:marTop w:val="0"/>
          <w:marBottom w:val="0"/>
          <w:divBdr>
            <w:top w:val="none" w:sz="0" w:space="0" w:color="auto"/>
            <w:left w:val="none" w:sz="0" w:space="0" w:color="auto"/>
            <w:bottom w:val="none" w:sz="0" w:space="0" w:color="auto"/>
            <w:right w:val="none" w:sz="0" w:space="0" w:color="auto"/>
          </w:divBdr>
        </w:div>
        <w:div w:id="1945992470">
          <w:marLeft w:val="0"/>
          <w:marRight w:val="0"/>
          <w:marTop w:val="0"/>
          <w:marBottom w:val="0"/>
          <w:divBdr>
            <w:top w:val="none" w:sz="0" w:space="0" w:color="auto"/>
            <w:left w:val="none" w:sz="0" w:space="0" w:color="auto"/>
            <w:bottom w:val="none" w:sz="0" w:space="0" w:color="auto"/>
            <w:right w:val="none" w:sz="0" w:space="0" w:color="auto"/>
          </w:divBdr>
          <w:divsChild>
            <w:div w:id="8568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0098">
      <w:bodyDiv w:val="1"/>
      <w:marLeft w:val="0"/>
      <w:marRight w:val="0"/>
      <w:marTop w:val="0"/>
      <w:marBottom w:val="0"/>
      <w:divBdr>
        <w:top w:val="none" w:sz="0" w:space="0" w:color="auto"/>
        <w:left w:val="none" w:sz="0" w:space="0" w:color="auto"/>
        <w:bottom w:val="none" w:sz="0" w:space="0" w:color="auto"/>
        <w:right w:val="none" w:sz="0" w:space="0" w:color="auto"/>
      </w:divBdr>
    </w:div>
    <w:div w:id="1497576044">
      <w:bodyDiv w:val="1"/>
      <w:marLeft w:val="0"/>
      <w:marRight w:val="0"/>
      <w:marTop w:val="0"/>
      <w:marBottom w:val="0"/>
      <w:divBdr>
        <w:top w:val="none" w:sz="0" w:space="0" w:color="auto"/>
        <w:left w:val="none" w:sz="0" w:space="0" w:color="auto"/>
        <w:bottom w:val="none" w:sz="0" w:space="0" w:color="auto"/>
        <w:right w:val="none" w:sz="0" w:space="0" w:color="auto"/>
      </w:divBdr>
    </w:div>
    <w:div w:id="1500534823">
      <w:bodyDiv w:val="1"/>
      <w:marLeft w:val="0"/>
      <w:marRight w:val="0"/>
      <w:marTop w:val="0"/>
      <w:marBottom w:val="0"/>
      <w:divBdr>
        <w:top w:val="none" w:sz="0" w:space="0" w:color="auto"/>
        <w:left w:val="none" w:sz="0" w:space="0" w:color="auto"/>
        <w:bottom w:val="none" w:sz="0" w:space="0" w:color="auto"/>
        <w:right w:val="none" w:sz="0" w:space="0" w:color="auto"/>
      </w:divBdr>
    </w:div>
    <w:div w:id="1500734895">
      <w:bodyDiv w:val="1"/>
      <w:marLeft w:val="0"/>
      <w:marRight w:val="0"/>
      <w:marTop w:val="0"/>
      <w:marBottom w:val="0"/>
      <w:divBdr>
        <w:top w:val="none" w:sz="0" w:space="0" w:color="auto"/>
        <w:left w:val="none" w:sz="0" w:space="0" w:color="auto"/>
        <w:bottom w:val="none" w:sz="0" w:space="0" w:color="auto"/>
        <w:right w:val="none" w:sz="0" w:space="0" w:color="auto"/>
      </w:divBdr>
      <w:divsChild>
        <w:div w:id="111899066">
          <w:marLeft w:val="0"/>
          <w:marRight w:val="0"/>
          <w:marTop w:val="0"/>
          <w:marBottom w:val="0"/>
          <w:divBdr>
            <w:top w:val="none" w:sz="0" w:space="0" w:color="auto"/>
            <w:left w:val="none" w:sz="0" w:space="0" w:color="auto"/>
            <w:bottom w:val="none" w:sz="0" w:space="0" w:color="auto"/>
            <w:right w:val="none" w:sz="0" w:space="0" w:color="auto"/>
          </w:divBdr>
          <w:divsChild>
            <w:div w:id="806437239">
              <w:marLeft w:val="0"/>
              <w:marRight w:val="0"/>
              <w:marTop w:val="0"/>
              <w:marBottom w:val="0"/>
              <w:divBdr>
                <w:top w:val="none" w:sz="0" w:space="0" w:color="auto"/>
                <w:left w:val="none" w:sz="0" w:space="0" w:color="auto"/>
                <w:bottom w:val="none" w:sz="0" w:space="0" w:color="auto"/>
                <w:right w:val="none" w:sz="0" w:space="0" w:color="auto"/>
              </w:divBdr>
              <w:divsChild>
                <w:div w:id="1559127362">
                  <w:marLeft w:val="0"/>
                  <w:marRight w:val="0"/>
                  <w:marTop w:val="0"/>
                  <w:marBottom w:val="0"/>
                  <w:divBdr>
                    <w:top w:val="none" w:sz="0" w:space="0" w:color="auto"/>
                    <w:left w:val="none" w:sz="0" w:space="0" w:color="auto"/>
                    <w:bottom w:val="none" w:sz="0" w:space="0" w:color="auto"/>
                    <w:right w:val="none" w:sz="0" w:space="0" w:color="auto"/>
                  </w:divBdr>
                </w:div>
              </w:divsChild>
            </w:div>
            <w:div w:id="896819626">
              <w:marLeft w:val="0"/>
              <w:marRight w:val="0"/>
              <w:marTop w:val="0"/>
              <w:marBottom w:val="0"/>
              <w:divBdr>
                <w:top w:val="none" w:sz="0" w:space="0" w:color="auto"/>
                <w:left w:val="none" w:sz="0" w:space="0" w:color="auto"/>
                <w:bottom w:val="none" w:sz="0" w:space="0" w:color="auto"/>
                <w:right w:val="none" w:sz="0" w:space="0" w:color="auto"/>
              </w:divBdr>
              <w:divsChild>
                <w:div w:id="5634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671">
          <w:marLeft w:val="0"/>
          <w:marRight w:val="0"/>
          <w:marTop w:val="0"/>
          <w:marBottom w:val="0"/>
          <w:divBdr>
            <w:top w:val="none" w:sz="0" w:space="0" w:color="auto"/>
            <w:left w:val="none" w:sz="0" w:space="0" w:color="auto"/>
            <w:bottom w:val="none" w:sz="0" w:space="0" w:color="auto"/>
            <w:right w:val="none" w:sz="0" w:space="0" w:color="auto"/>
          </w:divBdr>
        </w:div>
        <w:div w:id="1623608016">
          <w:marLeft w:val="0"/>
          <w:marRight w:val="0"/>
          <w:marTop w:val="0"/>
          <w:marBottom w:val="0"/>
          <w:divBdr>
            <w:top w:val="none" w:sz="0" w:space="0" w:color="auto"/>
            <w:left w:val="none" w:sz="0" w:space="0" w:color="auto"/>
            <w:bottom w:val="none" w:sz="0" w:space="0" w:color="auto"/>
            <w:right w:val="none" w:sz="0" w:space="0" w:color="auto"/>
          </w:divBdr>
          <w:divsChild>
            <w:div w:id="4258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9840">
      <w:bodyDiv w:val="1"/>
      <w:marLeft w:val="0"/>
      <w:marRight w:val="0"/>
      <w:marTop w:val="0"/>
      <w:marBottom w:val="0"/>
      <w:divBdr>
        <w:top w:val="none" w:sz="0" w:space="0" w:color="auto"/>
        <w:left w:val="none" w:sz="0" w:space="0" w:color="auto"/>
        <w:bottom w:val="none" w:sz="0" w:space="0" w:color="auto"/>
        <w:right w:val="none" w:sz="0" w:space="0" w:color="auto"/>
      </w:divBdr>
    </w:div>
    <w:div w:id="1503204139">
      <w:bodyDiv w:val="1"/>
      <w:marLeft w:val="0"/>
      <w:marRight w:val="0"/>
      <w:marTop w:val="0"/>
      <w:marBottom w:val="0"/>
      <w:divBdr>
        <w:top w:val="none" w:sz="0" w:space="0" w:color="auto"/>
        <w:left w:val="none" w:sz="0" w:space="0" w:color="auto"/>
        <w:bottom w:val="none" w:sz="0" w:space="0" w:color="auto"/>
        <w:right w:val="none" w:sz="0" w:space="0" w:color="auto"/>
      </w:divBdr>
    </w:div>
    <w:div w:id="1504515112">
      <w:bodyDiv w:val="1"/>
      <w:marLeft w:val="0"/>
      <w:marRight w:val="0"/>
      <w:marTop w:val="0"/>
      <w:marBottom w:val="0"/>
      <w:divBdr>
        <w:top w:val="none" w:sz="0" w:space="0" w:color="auto"/>
        <w:left w:val="none" w:sz="0" w:space="0" w:color="auto"/>
        <w:bottom w:val="none" w:sz="0" w:space="0" w:color="auto"/>
        <w:right w:val="none" w:sz="0" w:space="0" w:color="auto"/>
      </w:divBdr>
    </w:div>
    <w:div w:id="1504934930">
      <w:bodyDiv w:val="1"/>
      <w:marLeft w:val="0"/>
      <w:marRight w:val="0"/>
      <w:marTop w:val="0"/>
      <w:marBottom w:val="0"/>
      <w:divBdr>
        <w:top w:val="none" w:sz="0" w:space="0" w:color="auto"/>
        <w:left w:val="none" w:sz="0" w:space="0" w:color="auto"/>
        <w:bottom w:val="none" w:sz="0" w:space="0" w:color="auto"/>
        <w:right w:val="none" w:sz="0" w:space="0" w:color="auto"/>
      </w:divBdr>
    </w:div>
    <w:div w:id="1508323661">
      <w:bodyDiv w:val="1"/>
      <w:marLeft w:val="0"/>
      <w:marRight w:val="0"/>
      <w:marTop w:val="0"/>
      <w:marBottom w:val="0"/>
      <w:divBdr>
        <w:top w:val="none" w:sz="0" w:space="0" w:color="auto"/>
        <w:left w:val="none" w:sz="0" w:space="0" w:color="auto"/>
        <w:bottom w:val="none" w:sz="0" w:space="0" w:color="auto"/>
        <w:right w:val="none" w:sz="0" w:space="0" w:color="auto"/>
      </w:divBdr>
    </w:div>
    <w:div w:id="1510364568">
      <w:bodyDiv w:val="1"/>
      <w:marLeft w:val="0"/>
      <w:marRight w:val="0"/>
      <w:marTop w:val="0"/>
      <w:marBottom w:val="0"/>
      <w:divBdr>
        <w:top w:val="none" w:sz="0" w:space="0" w:color="auto"/>
        <w:left w:val="none" w:sz="0" w:space="0" w:color="auto"/>
        <w:bottom w:val="none" w:sz="0" w:space="0" w:color="auto"/>
        <w:right w:val="none" w:sz="0" w:space="0" w:color="auto"/>
      </w:divBdr>
    </w:div>
    <w:div w:id="1511023176">
      <w:bodyDiv w:val="1"/>
      <w:marLeft w:val="0"/>
      <w:marRight w:val="0"/>
      <w:marTop w:val="0"/>
      <w:marBottom w:val="0"/>
      <w:divBdr>
        <w:top w:val="none" w:sz="0" w:space="0" w:color="auto"/>
        <w:left w:val="none" w:sz="0" w:space="0" w:color="auto"/>
        <w:bottom w:val="none" w:sz="0" w:space="0" w:color="auto"/>
        <w:right w:val="none" w:sz="0" w:space="0" w:color="auto"/>
      </w:divBdr>
      <w:divsChild>
        <w:div w:id="326830138">
          <w:marLeft w:val="0"/>
          <w:marRight w:val="0"/>
          <w:marTop w:val="0"/>
          <w:marBottom w:val="81"/>
          <w:divBdr>
            <w:top w:val="none" w:sz="0" w:space="0" w:color="auto"/>
            <w:left w:val="none" w:sz="0" w:space="0" w:color="auto"/>
            <w:bottom w:val="none" w:sz="0" w:space="0" w:color="auto"/>
            <w:right w:val="none" w:sz="0" w:space="0" w:color="auto"/>
          </w:divBdr>
        </w:div>
        <w:div w:id="672493505">
          <w:marLeft w:val="0"/>
          <w:marRight w:val="0"/>
          <w:marTop w:val="0"/>
          <w:marBottom w:val="0"/>
          <w:divBdr>
            <w:top w:val="none" w:sz="0" w:space="0" w:color="auto"/>
            <w:left w:val="none" w:sz="0" w:space="0" w:color="auto"/>
            <w:bottom w:val="none" w:sz="0" w:space="0" w:color="auto"/>
            <w:right w:val="none" w:sz="0" w:space="0" w:color="auto"/>
          </w:divBdr>
        </w:div>
        <w:div w:id="1046638453">
          <w:marLeft w:val="0"/>
          <w:marRight w:val="0"/>
          <w:marTop w:val="0"/>
          <w:marBottom w:val="0"/>
          <w:divBdr>
            <w:top w:val="none" w:sz="0" w:space="0" w:color="auto"/>
            <w:left w:val="none" w:sz="0" w:space="0" w:color="auto"/>
            <w:bottom w:val="none" w:sz="0" w:space="0" w:color="auto"/>
            <w:right w:val="none" w:sz="0" w:space="0" w:color="auto"/>
          </w:divBdr>
        </w:div>
      </w:divsChild>
    </w:div>
    <w:div w:id="1513834053">
      <w:bodyDiv w:val="1"/>
      <w:marLeft w:val="0"/>
      <w:marRight w:val="0"/>
      <w:marTop w:val="0"/>
      <w:marBottom w:val="0"/>
      <w:divBdr>
        <w:top w:val="none" w:sz="0" w:space="0" w:color="auto"/>
        <w:left w:val="none" w:sz="0" w:space="0" w:color="auto"/>
        <w:bottom w:val="none" w:sz="0" w:space="0" w:color="auto"/>
        <w:right w:val="none" w:sz="0" w:space="0" w:color="auto"/>
      </w:divBdr>
    </w:div>
    <w:div w:id="1518694767">
      <w:bodyDiv w:val="1"/>
      <w:marLeft w:val="0"/>
      <w:marRight w:val="0"/>
      <w:marTop w:val="0"/>
      <w:marBottom w:val="0"/>
      <w:divBdr>
        <w:top w:val="none" w:sz="0" w:space="0" w:color="auto"/>
        <w:left w:val="none" w:sz="0" w:space="0" w:color="auto"/>
        <w:bottom w:val="none" w:sz="0" w:space="0" w:color="auto"/>
        <w:right w:val="none" w:sz="0" w:space="0" w:color="auto"/>
      </w:divBdr>
    </w:div>
    <w:div w:id="1518886769">
      <w:bodyDiv w:val="1"/>
      <w:marLeft w:val="0"/>
      <w:marRight w:val="0"/>
      <w:marTop w:val="0"/>
      <w:marBottom w:val="0"/>
      <w:divBdr>
        <w:top w:val="none" w:sz="0" w:space="0" w:color="auto"/>
        <w:left w:val="none" w:sz="0" w:space="0" w:color="auto"/>
        <w:bottom w:val="none" w:sz="0" w:space="0" w:color="auto"/>
        <w:right w:val="none" w:sz="0" w:space="0" w:color="auto"/>
      </w:divBdr>
    </w:div>
    <w:div w:id="1519538898">
      <w:bodyDiv w:val="1"/>
      <w:marLeft w:val="0"/>
      <w:marRight w:val="0"/>
      <w:marTop w:val="0"/>
      <w:marBottom w:val="0"/>
      <w:divBdr>
        <w:top w:val="none" w:sz="0" w:space="0" w:color="auto"/>
        <w:left w:val="none" w:sz="0" w:space="0" w:color="auto"/>
        <w:bottom w:val="none" w:sz="0" w:space="0" w:color="auto"/>
        <w:right w:val="none" w:sz="0" w:space="0" w:color="auto"/>
      </w:divBdr>
      <w:divsChild>
        <w:div w:id="116339753">
          <w:marLeft w:val="1181"/>
          <w:marRight w:val="0"/>
          <w:marTop w:val="168"/>
          <w:marBottom w:val="0"/>
          <w:divBdr>
            <w:top w:val="none" w:sz="0" w:space="0" w:color="auto"/>
            <w:left w:val="none" w:sz="0" w:space="0" w:color="auto"/>
            <w:bottom w:val="none" w:sz="0" w:space="0" w:color="auto"/>
            <w:right w:val="none" w:sz="0" w:space="0" w:color="auto"/>
          </w:divBdr>
        </w:div>
        <w:div w:id="382410977">
          <w:marLeft w:val="1181"/>
          <w:marRight w:val="0"/>
          <w:marTop w:val="168"/>
          <w:marBottom w:val="0"/>
          <w:divBdr>
            <w:top w:val="none" w:sz="0" w:space="0" w:color="auto"/>
            <w:left w:val="none" w:sz="0" w:space="0" w:color="auto"/>
            <w:bottom w:val="none" w:sz="0" w:space="0" w:color="auto"/>
            <w:right w:val="none" w:sz="0" w:space="0" w:color="auto"/>
          </w:divBdr>
        </w:div>
        <w:div w:id="489323867">
          <w:marLeft w:val="1181"/>
          <w:marRight w:val="0"/>
          <w:marTop w:val="168"/>
          <w:marBottom w:val="0"/>
          <w:divBdr>
            <w:top w:val="none" w:sz="0" w:space="0" w:color="auto"/>
            <w:left w:val="none" w:sz="0" w:space="0" w:color="auto"/>
            <w:bottom w:val="none" w:sz="0" w:space="0" w:color="auto"/>
            <w:right w:val="none" w:sz="0" w:space="0" w:color="auto"/>
          </w:divBdr>
        </w:div>
        <w:div w:id="745347629">
          <w:marLeft w:val="475"/>
          <w:marRight w:val="0"/>
          <w:marTop w:val="168"/>
          <w:marBottom w:val="0"/>
          <w:divBdr>
            <w:top w:val="none" w:sz="0" w:space="0" w:color="auto"/>
            <w:left w:val="none" w:sz="0" w:space="0" w:color="auto"/>
            <w:bottom w:val="none" w:sz="0" w:space="0" w:color="auto"/>
            <w:right w:val="none" w:sz="0" w:space="0" w:color="auto"/>
          </w:divBdr>
        </w:div>
        <w:div w:id="954822578">
          <w:marLeft w:val="1181"/>
          <w:marRight w:val="0"/>
          <w:marTop w:val="168"/>
          <w:marBottom w:val="0"/>
          <w:divBdr>
            <w:top w:val="none" w:sz="0" w:space="0" w:color="auto"/>
            <w:left w:val="none" w:sz="0" w:space="0" w:color="auto"/>
            <w:bottom w:val="none" w:sz="0" w:space="0" w:color="auto"/>
            <w:right w:val="none" w:sz="0" w:space="0" w:color="auto"/>
          </w:divBdr>
        </w:div>
        <w:div w:id="1078789049">
          <w:marLeft w:val="1181"/>
          <w:marRight w:val="0"/>
          <w:marTop w:val="168"/>
          <w:marBottom w:val="0"/>
          <w:divBdr>
            <w:top w:val="none" w:sz="0" w:space="0" w:color="auto"/>
            <w:left w:val="none" w:sz="0" w:space="0" w:color="auto"/>
            <w:bottom w:val="none" w:sz="0" w:space="0" w:color="auto"/>
            <w:right w:val="none" w:sz="0" w:space="0" w:color="auto"/>
          </w:divBdr>
        </w:div>
        <w:div w:id="1388452652">
          <w:marLeft w:val="475"/>
          <w:marRight w:val="0"/>
          <w:marTop w:val="168"/>
          <w:marBottom w:val="0"/>
          <w:divBdr>
            <w:top w:val="none" w:sz="0" w:space="0" w:color="auto"/>
            <w:left w:val="none" w:sz="0" w:space="0" w:color="auto"/>
            <w:bottom w:val="none" w:sz="0" w:space="0" w:color="auto"/>
            <w:right w:val="none" w:sz="0" w:space="0" w:color="auto"/>
          </w:divBdr>
        </w:div>
        <w:div w:id="1743722176">
          <w:marLeft w:val="1181"/>
          <w:marRight w:val="0"/>
          <w:marTop w:val="168"/>
          <w:marBottom w:val="0"/>
          <w:divBdr>
            <w:top w:val="none" w:sz="0" w:space="0" w:color="auto"/>
            <w:left w:val="none" w:sz="0" w:space="0" w:color="auto"/>
            <w:bottom w:val="none" w:sz="0" w:space="0" w:color="auto"/>
            <w:right w:val="none" w:sz="0" w:space="0" w:color="auto"/>
          </w:divBdr>
        </w:div>
        <w:div w:id="2022705031">
          <w:marLeft w:val="1181"/>
          <w:marRight w:val="0"/>
          <w:marTop w:val="168"/>
          <w:marBottom w:val="0"/>
          <w:divBdr>
            <w:top w:val="none" w:sz="0" w:space="0" w:color="auto"/>
            <w:left w:val="none" w:sz="0" w:space="0" w:color="auto"/>
            <w:bottom w:val="none" w:sz="0" w:space="0" w:color="auto"/>
            <w:right w:val="none" w:sz="0" w:space="0" w:color="auto"/>
          </w:divBdr>
        </w:div>
      </w:divsChild>
    </w:div>
    <w:div w:id="1529492583">
      <w:bodyDiv w:val="1"/>
      <w:marLeft w:val="0"/>
      <w:marRight w:val="0"/>
      <w:marTop w:val="0"/>
      <w:marBottom w:val="0"/>
      <w:divBdr>
        <w:top w:val="none" w:sz="0" w:space="0" w:color="auto"/>
        <w:left w:val="none" w:sz="0" w:space="0" w:color="auto"/>
        <w:bottom w:val="none" w:sz="0" w:space="0" w:color="auto"/>
        <w:right w:val="none" w:sz="0" w:space="0" w:color="auto"/>
      </w:divBdr>
    </w:div>
    <w:div w:id="1530140207">
      <w:bodyDiv w:val="1"/>
      <w:marLeft w:val="0"/>
      <w:marRight w:val="0"/>
      <w:marTop w:val="0"/>
      <w:marBottom w:val="0"/>
      <w:divBdr>
        <w:top w:val="none" w:sz="0" w:space="0" w:color="auto"/>
        <w:left w:val="none" w:sz="0" w:space="0" w:color="auto"/>
        <w:bottom w:val="none" w:sz="0" w:space="0" w:color="auto"/>
        <w:right w:val="none" w:sz="0" w:space="0" w:color="auto"/>
      </w:divBdr>
    </w:div>
    <w:div w:id="1532065375">
      <w:bodyDiv w:val="1"/>
      <w:marLeft w:val="0"/>
      <w:marRight w:val="0"/>
      <w:marTop w:val="0"/>
      <w:marBottom w:val="0"/>
      <w:divBdr>
        <w:top w:val="none" w:sz="0" w:space="0" w:color="auto"/>
        <w:left w:val="none" w:sz="0" w:space="0" w:color="auto"/>
        <w:bottom w:val="none" w:sz="0" w:space="0" w:color="auto"/>
        <w:right w:val="none" w:sz="0" w:space="0" w:color="auto"/>
      </w:divBdr>
      <w:divsChild>
        <w:div w:id="190068168">
          <w:marLeft w:val="475"/>
          <w:marRight w:val="0"/>
          <w:marTop w:val="168"/>
          <w:marBottom w:val="0"/>
          <w:divBdr>
            <w:top w:val="none" w:sz="0" w:space="0" w:color="auto"/>
            <w:left w:val="none" w:sz="0" w:space="0" w:color="auto"/>
            <w:bottom w:val="none" w:sz="0" w:space="0" w:color="auto"/>
            <w:right w:val="none" w:sz="0" w:space="0" w:color="auto"/>
          </w:divBdr>
        </w:div>
        <w:div w:id="739720039">
          <w:marLeft w:val="475"/>
          <w:marRight w:val="0"/>
          <w:marTop w:val="168"/>
          <w:marBottom w:val="0"/>
          <w:divBdr>
            <w:top w:val="none" w:sz="0" w:space="0" w:color="auto"/>
            <w:left w:val="none" w:sz="0" w:space="0" w:color="auto"/>
            <w:bottom w:val="none" w:sz="0" w:space="0" w:color="auto"/>
            <w:right w:val="none" w:sz="0" w:space="0" w:color="auto"/>
          </w:divBdr>
        </w:div>
        <w:div w:id="1075470482">
          <w:marLeft w:val="475"/>
          <w:marRight w:val="0"/>
          <w:marTop w:val="168"/>
          <w:marBottom w:val="0"/>
          <w:divBdr>
            <w:top w:val="none" w:sz="0" w:space="0" w:color="auto"/>
            <w:left w:val="none" w:sz="0" w:space="0" w:color="auto"/>
            <w:bottom w:val="none" w:sz="0" w:space="0" w:color="auto"/>
            <w:right w:val="none" w:sz="0" w:space="0" w:color="auto"/>
          </w:divBdr>
        </w:div>
        <w:div w:id="1493595893">
          <w:marLeft w:val="475"/>
          <w:marRight w:val="0"/>
          <w:marTop w:val="168"/>
          <w:marBottom w:val="0"/>
          <w:divBdr>
            <w:top w:val="none" w:sz="0" w:space="0" w:color="auto"/>
            <w:left w:val="none" w:sz="0" w:space="0" w:color="auto"/>
            <w:bottom w:val="none" w:sz="0" w:space="0" w:color="auto"/>
            <w:right w:val="none" w:sz="0" w:space="0" w:color="auto"/>
          </w:divBdr>
        </w:div>
        <w:div w:id="1859926576">
          <w:marLeft w:val="1181"/>
          <w:marRight w:val="0"/>
          <w:marTop w:val="168"/>
          <w:marBottom w:val="0"/>
          <w:divBdr>
            <w:top w:val="none" w:sz="0" w:space="0" w:color="auto"/>
            <w:left w:val="none" w:sz="0" w:space="0" w:color="auto"/>
            <w:bottom w:val="none" w:sz="0" w:space="0" w:color="auto"/>
            <w:right w:val="none" w:sz="0" w:space="0" w:color="auto"/>
          </w:divBdr>
        </w:div>
      </w:divsChild>
    </w:div>
    <w:div w:id="1535726905">
      <w:bodyDiv w:val="1"/>
      <w:marLeft w:val="0"/>
      <w:marRight w:val="0"/>
      <w:marTop w:val="0"/>
      <w:marBottom w:val="0"/>
      <w:divBdr>
        <w:top w:val="none" w:sz="0" w:space="0" w:color="auto"/>
        <w:left w:val="none" w:sz="0" w:space="0" w:color="auto"/>
        <w:bottom w:val="none" w:sz="0" w:space="0" w:color="auto"/>
        <w:right w:val="none" w:sz="0" w:space="0" w:color="auto"/>
      </w:divBdr>
    </w:div>
    <w:div w:id="1535730910">
      <w:bodyDiv w:val="1"/>
      <w:marLeft w:val="0"/>
      <w:marRight w:val="0"/>
      <w:marTop w:val="0"/>
      <w:marBottom w:val="0"/>
      <w:divBdr>
        <w:top w:val="none" w:sz="0" w:space="0" w:color="auto"/>
        <w:left w:val="none" w:sz="0" w:space="0" w:color="auto"/>
        <w:bottom w:val="none" w:sz="0" w:space="0" w:color="auto"/>
        <w:right w:val="none" w:sz="0" w:space="0" w:color="auto"/>
      </w:divBdr>
    </w:div>
    <w:div w:id="1536771640">
      <w:bodyDiv w:val="1"/>
      <w:marLeft w:val="0"/>
      <w:marRight w:val="0"/>
      <w:marTop w:val="0"/>
      <w:marBottom w:val="0"/>
      <w:divBdr>
        <w:top w:val="none" w:sz="0" w:space="0" w:color="auto"/>
        <w:left w:val="none" w:sz="0" w:space="0" w:color="auto"/>
        <w:bottom w:val="none" w:sz="0" w:space="0" w:color="auto"/>
        <w:right w:val="none" w:sz="0" w:space="0" w:color="auto"/>
      </w:divBdr>
    </w:div>
    <w:div w:id="1537041355">
      <w:bodyDiv w:val="1"/>
      <w:marLeft w:val="0"/>
      <w:marRight w:val="0"/>
      <w:marTop w:val="0"/>
      <w:marBottom w:val="0"/>
      <w:divBdr>
        <w:top w:val="none" w:sz="0" w:space="0" w:color="auto"/>
        <w:left w:val="none" w:sz="0" w:space="0" w:color="auto"/>
        <w:bottom w:val="none" w:sz="0" w:space="0" w:color="auto"/>
        <w:right w:val="none" w:sz="0" w:space="0" w:color="auto"/>
      </w:divBdr>
    </w:div>
    <w:div w:id="1544514779">
      <w:bodyDiv w:val="1"/>
      <w:marLeft w:val="0"/>
      <w:marRight w:val="0"/>
      <w:marTop w:val="0"/>
      <w:marBottom w:val="0"/>
      <w:divBdr>
        <w:top w:val="none" w:sz="0" w:space="0" w:color="auto"/>
        <w:left w:val="none" w:sz="0" w:space="0" w:color="auto"/>
        <w:bottom w:val="none" w:sz="0" w:space="0" w:color="auto"/>
        <w:right w:val="none" w:sz="0" w:space="0" w:color="auto"/>
      </w:divBdr>
    </w:div>
    <w:div w:id="1547452556">
      <w:bodyDiv w:val="1"/>
      <w:marLeft w:val="0"/>
      <w:marRight w:val="0"/>
      <w:marTop w:val="0"/>
      <w:marBottom w:val="0"/>
      <w:divBdr>
        <w:top w:val="none" w:sz="0" w:space="0" w:color="auto"/>
        <w:left w:val="none" w:sz="0" w:space="0" w:color="auto"/>
        <w:bottom w:val="none" w:sz="0" w:space="0" w:color="auto"/>
        <w:right w:val="none" w:sz="0" w:space="0" w:color="auto"/>
      </w:divBdr>
    </w:div>
    <w:div w:id="1547453010">
      <w:bodyDiv w:val="1"/>
      <w:marLeft w:val="0"/>
      <w:marRight w:val="0"/>
      <w:marTop w:val="0"/>
      <w:marBottom w:val="0"/>
      <w:divBdr>
        <w:top w:val="none" w:sz="0" w:space="0" w:color="auto"/>
        <w:left w:val="none" w:sz="0" w:space="0" w:color="auto"/>
        <w:bottom w:val="none" w:sz="0" w:space="0" w:color="auto"/>
        <w:right w:val="none" w:sz="0" w:space="0" w:color="auto"/>
      </w:divBdr>
    </w:div>
    <w:div w:id="1548955648">
      <w:bodyDiv w:val="1"/>
      <w:marLeft w:val="0"/>
      <w:marRight w:val="0"/>
      <w:marTop w:val="0"/>
      <w:marBottom w:val="0"/>
      <w:divBdr>
        <w:top w:val="none" w:sz="0" w:space="0" w:color="auto"/>
        <w:left w:val="none" w:sz="0" w:space="0" w:color="auto"/>
        <w:bottom w:val="none" w:sz="0" w:space="0" w:color="auto"/>
        <w:right w:val="none" w:sz="0" w:space="0" w:color="auto"/>
      </w:divBdr>
    </w:div>
    <w:div w:id="1550453752">
      <w:bodyDiv w:val="1"/>
      <w:marLeft w:val="0"/>
      <w:marRight w:val="0"/>
      <w:marTop w:val="0"/>
      <w:marBottom w:val="0"/>
      <w:divBdr>
        <w:top w:val="none" w:sz="0" w:space="0" w:color="auto"/>
        <w:left w:val="none" w:sz="0" w:space="0" w:color="auto"/>
        <w:bottom w:val="none" w:sz="0" w:space="0" w:color="auto"/>
        <w:right w:val="none" w:sz="0" w:space="0" w:color="auto"/>
      </w:divBdr>
    </w:div>
    <w:div w:id="1551988821">
      <w:bodyDiv w:val="1"/>
      <w:marLeft w:val="0"/>
      <w:marRight w:val="0"/>
      <w:marTop w:val="0"/>
      <w:marBottom w:val="0"/>
      <w:divBdr>
        <w:top w:val="none" w:sz="0" w:space="0" w:color="auto"/>
        <w:left w:val="none" w:sz="0" w:space="0" w:color="auto"/>
        <w:bottom w:val="none" w:sz="0" w:space="0" w:color="auto"/>
        <w:right w:val="none" w:sz="0" w:space="0" w:color="auto"/>
      </w:divBdr>
    </w:div>
    <w:div w:id="1552690082">
      <w:bodyDiv w:val="1"/>
      <w:marLeft w:val="0"/>
      <w:marRight w:val="0"/>
      <w:marTop w:val="0"/>
      <w:marBottom w:val="0"/>
      <w:divBdr>
        <w:top w:val="none" w:sz="0" w:space="0" w:color="auto"/>
        <w:left w:val="none" w:sz="0" w:space="0" w:color="auto"/>
        <w:bottom w:val="none" w:sz="0" w:space="0" w:color="auto"/>
        <w:right w:val="none" w:sz="0" w:space="0" w:color="auto"/>
      </w:divBdr>
    </w:div>
    <w:div w:id="1556162717">
      <w:bodyDiv w:val="1"/>
      <w:marLeft w:val="0"/>
      <w:marRight w:val="0"/>
      <w:marTop w:val="0"/>
      <w:marBottom w:val="0"/>
      <w:divBdr>
        <w:top w:val="none" w:sz="0" w:space="0" w:color="auto"/>
        <w:left w:val="none" w:sz="0" w:space="0" w:color="auto"/>
        <w:bottom w:val="none" w:sz="0" w:space="0" w:color="auto"/>
        <w:right w:val="none" w:sz="0" w:space="0" w:color="auto"/>
      </w:divBdr>
    </w:div>
    <w:div w:id="1559782343">
      <w:bodyDiv w:val="1"/>
      <w:marLeft w:val="0"/>
      <w:marRight w:val="0"/>
      <w:marTop w:val="0"/>
      <w:marBottom w:val="0"/>
      <w:divBdr>
        <w:top w:val="none" w:sz="0" w:space="0" w:color="auto"/>
        <w:left w:val="none" w:sz="0" w:space="0" w:color="auto"/>
        <w:bottom w:val="none" w:sz="0" w:space="0" w:color="auto"/>
        <w:right w:val="none" w:sz="0" w:space="0" w:color="auto"/>
      </w:divBdr>
    </w:div>
    <w:div w:id="1561290116">
      <w:bodyDiv w:val="1"/>
      <w:marLeft w:val="0"/>
      <w:marRight w:val="0"/>
      <w:marTop w:val="0"/>
      <w:marBottom w:val="0"/>
      <w:divBdr>
        <w:top w:val="none" w:sz="0" w:space="0" w:color="auto"/>
        <w:left w:val="none" w:sz="0" w:space="0" w:color="auto"/>
        <w:bottom w:val="none" w:sz="0" w:space="0" w:color="auto"/>
        <w:right w:val="none" w:sz="0" w:space="0" w:color="auto"/>
      </w:divBdr>
    </w:div>
    <w:div w:id="1562324635">
      <w:bodyDiv w:val="1"/>
      <w:marLeft w:val="0"/>
      <w:marRight w:val="0"/>
      <w:marTop w:val="0"/>
      <w:marBottom w:val="0"/>
      <w:divBdr>
        <w:top w:val="none" w:sz="0" w:space="0" w:color="auto"/>
        <w:left w:val="none" w:sz="0" w:space="0" w:color="auto"/>
        <w:bottom w:val="none" w:sz="0" w:space="0" w:color="auto"/>
        <w:right w:val="none" w:sz="0" w:space="0" w:color="auto"/>
      </w:divBdr>
    </w:div>
    <w:div w:id="1566649724">
      <w:bodyDiv w:val="1"/>
      <w:marLeft w:val="0"/>
      <w:marRight w:val="0"/>
      <w:marTop w:val="0"/>
      <w:marBottom w:val="0"/>
      <w:divBdr>
        <w:top w:val="none" w:sz="0" w:space="0" w:color="auto"/>
        <w:left w:val="none" w:sz="0" w:space="0" w:color="auto"/>
        <w:bottom w:val="none" w:sz="0" w:space="0" w:color="auto"/>
        <w:right w:val="none" w:sz="0" w:space="0" w:color="auto"/>
      </w:divBdr>
    </w:div>
    <w:div w:id="1568418814">
      <w:bodyDiv w:val="1"/>
      <w:marLeft w:val="0"/>
      <w:marRight w:val="0"/>
      <w:marTop w:val="0"/>
      <w:marBottom w:val="0"/>
      <w:divBdr>
        <w:top w:val="none" w:sz="0" w:space="0" w:color="auto"/>
        <w:left w:val="none" w:sz="0" w:space="0" w:color="auto"/>
        <w:bottom w:val="none" w:sz="0" w:space="0" w:color="auto"/>
        <w:right w:val="none" w:sz="0" w:space="0" w:color="auto"/>
      </w:divBdr>
    </w:div>
    <w:div w:id="1569345676">
      <w:bodyDiv w:val="1"/>
      <w:marLeft w:val="0"/>
      <w:marRight w:val="0"/>
      <w:marTop w:val="0"/>
      <w:marBottom w:val="0"/>
      <w:divBdr>
        <w:top w:val="none" w:sz="0" w:space="0" w:color="auto"/>
        <w:left w:val="none" w:sz="0" w:space="0" w:color="auto"/>
        <w:bottom w:val="none" w:sz="0" w:space="0" w:color="auto"/>
        <w:right w:val="none" w:sz="0" w:space="0" w:color="auto"/>
      </w:divBdr>
    </w:div>
    <w:div w:id="1570530652">
      <w:bodyDiv w:val="1"/>
      <w:marLeft w:val="0"/>
      <w:marRight w:val="0"/>
      <w:marTop w:val="0"/>
      <w:marBottom w:val="0"/>
      <w:divBdr>
        <w:top w:val="none" w:sz="0" w:space="0" w:color="auto"/>
        <w:left w:val="none" w:sz="0" w:space="0" w:color="auto"/>
        <w:bottom w:val="none" w:sz="0" w:space="0" w:color="auto"/>
        <w:right w:val="none" w:sz="0" w:space="0" w:color="auto"/>
      </w:divBdr>
    </w:div>
    <w:div w:id="1572157846">
      <w:bodyDiv w:val="1"/>
      <w:marLeft w:val="0"/>
      <w:marRight w:val="0"/>
      <w:marTop w:val="0"/>
      <w:marBottom w:val="0"/>
      <w:divBdr>
        <w:top w:val="none" w:sz="0" w:space="0" w:color="auto"/>
        <w:left w:val="none" w:sz="0" w:space="0" w:color="auto"/>
        <w:bottom w:val="none" w:sz="0" w:space="0" w:color="auto"/>
        <w:right w:val="none" w:sz="0" w:space="0" w:color="auto"/>
      </w:divBdr>
    </w:div>
    <w:div w:id="1586377229">
      <w:bodyDiv w:val="1"/>
      <w:marLeft w:val="0"/>
      <w:marRight w:val="0"/>
      <w:marTop w:val="0"/>
      <w:marBottom w:val="0"/>
      <w:divBdr>
        <w:top w:val="none" w:sz="0" w:space="0" w:color="auto"/>
        <w:left w:val="none" w:sz="0" w:space="0" w:color="auto"/>
        <w:bottom w:val="none" w:sz="0" w:space="0" w:color="auto"/>
        <w:right w:val="none" w:sz="0" w:space="0" w:color="auto"/>
      </w:divBdr>
    </w:div>
    <w:div w:id="1590196173">
      <w:bodyDiv w:val="1"/>
      <w:marLeft w:val="0"/>
      <w:marRight w:val="0"/>
      <w:marTop w:val="0"/>
      <w:marBottom w:val="0"/>
      <w:divBdr>
        <w:top w:val="none" w:sz="0" w:space="0" w:color="auto"/>
        <w:left w:val="none" w:sz="0" w:space="0" w:color="auto"/>
        <w:bottom w:val="none" w:sz="0" w:space="0" w:color="auto"/>
        <w:right w:val="none" w:sz="0" w:space="0" w:color="auto"/>
      </w:divBdr>
    </w:div>
    <w:div w:id="1591239225">
      <w:bodyDiv w:val="1"/>
      <w:marLeft w:val="0"/>
      <w:marRight w:val="0"/>
      <w:marTop w:val="0"/>
      <w:marBottom w:val="0"/>
      <w:divBdr>
        <w:top w:val="none" w:sz="0" w:space="0" w:color="auto"/>
        <w:left w:val="none" w:sz="0" w:space="0" w:color="auto"/>
        <w:bottom w:val="none" w:sz="0" w:space="0" w:color="auto"/>
        <w:right w:val="none" w:sz="0" w:space="0" w:color="auto"/>
      </w:divBdr>
    </w:div>
    <w:div w:id="1593705001">
      <w:bodyDiv w:val="1"/>
      <w:marLeft w:val="0"/>
      <w:marRight w:val="0"/>
      <w:marTop w:val="0"/>
      <w:marBottom w:val="0"/>
      <w:divBdr>
        <w:top w:val="none" w:sz="0" w:space="0" w:color="auto"/>
        <w:left w:val="none" w:sz="0" w:space="0" w:color="auto"/>
        <w:bottom w:val="none" w:sz="0" w:space="0" w:color="auto"/>
        <w:right w:val="none" w:sz="0" w:space="0" w:color="auto"/>
      </w:divBdr>
    </w:div>
    <w:div w:id="1596480139">
      <w:bodyDiv w:val="1"/>
      <w:marLeft w:val="0"/>
      <w:marRight w:val="0"/>
      <w:marTop w:val="0"/>
      <w:marBottom w:val="0"/>
      <w:divBdr>
        <w:top w:val="none" w:sz="0" w:space="0" w:color="auto"/>
        <w:left w:val="none" w:sz="0" w:space="0" w:color="auto"/>
        <w:bottom w:val="none" w:sz="0" w:space="0" w:color="auto"/>
        <w:right w:val="none" w:sz="0" w:space="0" w:color="auto"/>
      </w:divBdr>
    </w:div>
    <w:div w:id="1598562876">
      <w:bodyDiv w:val="1"/>
      <w:marLeft w:val="0"/>
      <w:marRight w:val="0"/>
      <w:marTop w:val="0"/>
      <w:marBottom w:val="0"/>
      <w:divBdr>
        <w:top w:val="none" w:sz="0" w:space="0" w:color="auto"/>
        <w:left w:val="none" w:sz="0" w:space="0" w:color="auto"/>
        <w:bottom w:val="none" w:sz="0" w:space="0" w:color="auto"/>
        <w:right w:val="none" w:sz="0" w:space="0" w:color="auto"/>
      </w:divBdr>
    </w:div>
    <w:div w:id="1601257275">
      <w:bodyDiv w:val="1"/>
      <w:marLeft w:val="0"/>
      <w:marRight w:val="0"/>
      <w:marTop w:val="0"/>
      <w:marBottom w:val="0"/>
      <w:divBdr>
        <w:top w:val="none" w:sz="0" w:space="0" w:color="auto"/>
        <w:left w:val="none" w:sz="0" w:space="0" w:color="auto"/>
        <w:bottom w:val="none" w:sz="0" w:space="0" w:color="auto"/>
        <w:right w:val="none" w:sz="0" w:space="0" w:color="auto"/>
      </w:divBdr>
    </w:div>
    <w:div w:id="1603224658">
      <w:bodyDiv w:val="1"/>
      <w:marLeft w:val="0"/>
      <w:marRight w:val="0"/>
      <w:marTop w:val="0"/>
      <w:marBottom w:val="0"/>
      <w:divBdr>
        <w:top w:val="none" w:sz="0" w:space="0" w:color="auto"/>
        <w:left w:val="none" w:sz="0" w:space="0" w:color="auto"/>
        <w:bottom w:val="none" w:sz="0" w:space="0" w:color="auto"/>
        <w:right w:val="none" w:sz="0" w:space="0" w:color="auto"/>
      </w:divBdr>
    </w:div>
    <w:div w:id="1609772892">
      <w:bodyDiv w:val="1"/>
      <w:marLeft w:val="0"/>
      <w:marRight w:val="0"/>
      <w:marTop w:val="0"/>
      <w:marBottom w:val="0"/>
      <w:divBdr>
        <w:top w:val="none" w:sz="0" w:space="0" w:color="auto"/>
        <w:left w:val="none" w:sz="0" w:space="0" w:color="auto"/>
        <w:bottom w:val="none" w:sz="0" w:space="0" w:color="auto"/>
        <w:right w:val="none" w:sz="0" w:space="0" w:color="auto"/>
      </w:divBdr>
    </w:div>
    <w:div w:id="1612858788">
      <w:bodyDiv w:val="1"/>
      <w:marLeft w:val="0"/>
      <w:marRight w:val="0"/>
      <w:marTop w:val="0"/>
      <w:marBottom w:val="0"/>
      <w:divBdr>
        <w:top w:val="none" w:sz="0" w:space="0" w:color="auto"/>
        <w:left w:val="none" w:sz="0" w:space="0" w:color="auto"/>
        <w:bottom w:val="none" w:sz="0" w:space="0" w:color="auto"/>
        <w:right w:val="none" w:sz="0" w:space="0" w:color="auto"/>
      </w:divBdr>
      <w:divsChild>
        <w:div w:id="642346371">
          <w:marLeft w:val="0"/>
          <w:marRight w:val="0"/>
          <w:marTop w:val="0"/>
          <w:marBottom w:val="0"/>
          <w:divBdr>
            <w:top w:val="none" w:sz="0" w:space="0" w:color="auto"/>
            <w:left w:val="none" w:sz="0" w:space="0" w:color="auto"/>
            <w:bottom w:val="none" w:sz="0" w:space="0" w:color="auto"/>
            <w:right w:val="none" w:sz="0" w:space="0" w:color="auto"/>
          </w:divBdr>
          <w:divsChild>
            <w:div w:id="1253318008">
              <w:marLeft w:val="0"/>
              <w:marRight w:val="0"/>
              <w:marTop w:val="0"/>
              <w:marBottom w:val="0"/>
              <w:divBdr>
                <w:top w:val="none" w:sz="0" w:space="0" w:color="auto"/>
                <w:left w:val="none" w:sz="0" w:space="0" w:color="auto"/>
                <w:bottom w:val="none" w:sz="0" w:space="0" w:color="auto"/>
                <w:right w:val="none" w:sz="0" w:space="0" w:color="auto"/>
              </w:divBdr>
              <w:divsChild>
                <w:div w:id="2014070200">
                  <w:marLeft w:val="0"/>
                  <w:marRight w:val="0"/>
                  <w:marTop w:val="0"/>
                  <w:marBottom w:val="0"/>
                  <w:divBdr>
                    <w:top w:val="none" w:sz="0" w:space="0" w:color="auto"/>
                    <w:left w:val="none" w:sz="0" w:space="0" w:color="auto"/>
                    <w:bottom w:val="none" w:sz="0" w:space="0" w:color="auto"/>
                    <w:right w:val="none" w:sz="0" w:space="0" w:color="auto"/>
                  </w:divBdr>
                  <w:divsChild>
                    <w:div w:id="1464736926">
                      <w:marLeft w:val="0"/>
                      <w:marRight w:val="0"/>
                      <w:marTop w:val="0"/>
                      <w:marBottom w:val="0"/>
                      <w:divBdr>
                        <w:top w:val="none" w:sz="0" w:space="0" w:color="auto"/>
                        <w:left w:val="none" w:sz="0" w:space="0" w:color="auto"/>
                        <w:bottom w:val="none" w:sz="0" w:space="0" w:color="auto"/>
                        <w:right w:val="none" w:sz="0" w:space="0" w:color="auto"/>
                      </w:divBdr>
                      <w:divsChild>
                        <w:div w:id="1713186264">
                          <w:marLeft w:val="0"/>
                          <w:marRight w:val="0"/>
                          <w:marTop w:val="0"/>
                          <w:marBottom w:val="0"/>
                          <w:divBdr>
                            <w:top w:val="none" w:sz="0" w:space="0" w:color="auto"/>
                            <w:left w:val="none" w:sz="0" w:space="0" w:color="auto"/>
                            <w:bottom w:val="none" w:sz="0" w:space="0" w:color="auto"/>
                            <w:right w:val="none" w:sz="0" w:space="0" w:color="auto"/>
                          </w:divBdr>
                          <w:divsChild>
                            <w:div w:id="1260604898">
                              <w:marLeft w:val="0"/>
                              <w:marRight w:val="0"/>
                              <w:marTop w:val="0"/>
                              <w:marBottom w:val="0"/>
                              <w:divBdr>
                                <w:top w:val="none" w:sz="0" w:space="0" w:color="auto"/>
                                <w:left w:val="none" w:sz="0" w:space="0" w:color="auto"/>
                                <w:bottom w:val="none" w:sz="0" w:space="0" w:color="auto"/>
                                <w:right w:val="none" w:sz="0" w:space="0" w:color="auto"/>
                              </w:divBdr>
                              <w:divsChild>
                                <w:div w:id="1580603542">
                                  <w:marLeft w:val="0"/>
                                  <w:marRight w:val="0"/>
                                  <w:marTop w:val="0"/>
                                  <w:marBottom w:val="0"/>
                                  <w:divBdr>
                                    <w:top w:val="none" w:sz="0" w:space="0" w:color="auto"/>
                                    <w:left w:val="none" w:sz="0" w:space="0" w:color="auto"/>
                                    <w:bottom w:val="none" w:sz="0" w:space="0" w:color="auto"/>
                                    <w:right w:val="none" w:sz="0" w:space="0" w:color="auto"/>
                                  </w:divBdr>
                                  <w:divsChild>
                                    <w:div w:id="14880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864435">
      <w:bodyDiv w:val="1"/>
      <w:marLeft w:val="0"/>
      <w:marRight w:val="0"/>
      <w:marTop w:val="0"/>
      <w:marBottom w:val="0"/>
      <w:divBdr>
        <w:top w:val="none" w:sz="0" w:space="0" w:color="auto"/>
        <w:left w:val="none" w:sz="0" w:space="0" w:color="auto"/>
        <w:bottom w:val="none" w:sz="0" w:space="0" w:color="auto"/>
        <w:right w:val="none" w:sz="0" w:space="0" w:color="auto"/>
      </w:divBdr>
    </w:div>
    <w:div w:id="1621691229">
      <w:bodyDiv w:val="1"/>
      <w:marLeft w:val="0"/>
      <w:marRight w:val="0"/>
      <w:marTop w:val="0"/>
      <w:marBottom w:val="0"/>
      <w:divBdr>
        <w:top w:val="none" w:sz="0" w:space="0" w:color="auto"/>
        <w:left w:val="none" w:sz="0" w:space="0" w:color="auto"/>
        <w:bottom w:val="none" w:sz="0" w:space="0" w:color="auto"/>
        <w:right w:val="none" w:sz="0" w:space="0" w:color="auto"/>
      </w:divBdr>
    </w:div>
    <w:div w:id="1625647816">
      <w:bodyDiv w:val="1"/>
      <w:marLeft w:val="0"/>
      <w:marRight w:val="0"/>
      <w:marTop w:val="0"/>
      <w:marBottom w:val="0"/>
      <w:divBdr>
        <w:top w:val="none" w:sz="0" w:space="0" w:color="auto"/>
        <w:left w:val="none" w:sz="0" w:space="0" w:color="auto"/>
        <w:bottom w:val="none" w:sz="0" w:space="0" w:color="auto"/>
        <w:right w:val="none" w:sz="0" w:space="0" w:color="auto"/>
      </w:divBdr>
      <w:divsChild>
        <w:div w:id="232205394">
          <w:marLeft w:val="0"/>
          <w:marRight w:val="0"/>
          <w:marTop w:val="0"/>
          <w:marBottom w:val="0"/>
          <w:divBdr>
            <w:top w:val="none" w:sz="0" w:space="0" w:color="auto"/>
            <w:left w:val="none" w:sz="0" w:space="0" w:color="auto"/>
            <w:bottom w:val="none" w:sz="0" w:space="0" w:color="auto"/>
            <w:right w:val="none" w:sz="0" w:space="0" w:color="auto"/>
          </w:divBdr>
        </w:div>
      </w:divsChild>
    </w:div>
    <w:div w:id="1628655852">
      <w:bodyDiv w:val="1"/>
      <w:marLeft w:val="0"/>
      <w:marRight w:val="0"/>
      <w:marTop w:val="0"/>
      <w:marBottom w:val="0"/>
      <w:divBdr>
        <w:top w:val="none" w:sz="0" w:space="0" w:color="auto"/>
        <w:left w:val="none" w:sz="0" w:space="0" w:color="auto"/>
        <w:bottom w:val="none" w:sz="0" w:space="0" w:color="auto"/>
        <w:right w:val="none" w:sz="0" w:space="0" w:color="auto"/>
      </w:divBdr>
    </w:div>
    <w:div w:id="1629503885">
      <w:bodyDiv w:val="1"/>
      <w:marLeft w:val="0"/>
      <w:marRight w:val="0"/>
      <w:marTop w:val="0"/>
      <w:marBottom w:val="0"/>
      <w:divBdr>
        <w:top w:val="none" w:sz="0" w:space="0" w:color="auto"/>
        <w:left w:val="none" w:sz="0" w:space="0" w:color="auto"/>
        <w:bottom w:val="none" w:sz="0" w:space="0" w:color="auto"/>
        <w:right w:val="none" w:sz="0" w:space="0" w:color="auto"/>
      </w:divBdr>
      <w:divsChild>
        <w:div w:id="2136026431">
          <w:marLeft w:val="0"/>
          <w:marRight w:val="0"/>
          <w:marTop w:val="0"/>
          <w:marBottom w:val="0"/>
          <w:divBdr>
            <w:top w:val="none" w:sz="0" w:space="0" w:color="auto"/>
            <w:left w:val="none" w:sz="0" w:space="0" w:color="auto"/>
            <w:bottom w:val="none" w:sz="0" w:space="0" w:color="auto"/>
            <w:right w:val="none" w:sz="0" w:space="0" w:color="auto"/>
          </w:divBdr>
          <w:divsChild>
            <w:div w:id="573585909">
              <w:marLeft w:val="0"/>
              <w:marRight w:val="0"/>
              <w:marTop w:val="0"/>
              <w:marBottom w:val="0"/>
              <w:divBdr>
                <w:top w:val="none" w:sz="0" w:space="0" w:color="auto"/>
                <w:left w:val="none" w:sz="0" w:space="0" w:color="auto"/>
                <w:bottom w:val="none" w:sz="0" w:space="0" w:color="auto"/>
                <w:right w:val="none" w:sz="0" w:space="0" w:color="auto"/>
              </w:divBdr>
              <w:divsChild>
                <w:div w:id="1999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6952">
      <w:bodyDiv w:val="1"/>
      <w:marLeft w:val="0"/>
      <w:marRight w:val="0"/>
      <w:marTop w:val="0"/>
      <w:marBottom w:val="0"/>
      <w:divBdr>
        <w:top w:val="none" w:sz="0" w:space="0" w:color="auto"/>
        <w:left w:val="none" w:sz="0" w:space="0" w:color="auto"/>
        <w:bottom w:val="none" w:sz="0" w:space="0" w:color="auto"/>
        <w:right w:val="none" w:sz="0" w:space="0" w:color="auto"/>
      </w:divBdr>
      <w:divsChild>
        <w:div w:id="429088917">
          <w:marLeft w:val="475"/>
          <w:marRight w:val="0"/>
          <w:marTop w:val="168"/>
          <w:marBottom w:val="0"/>
          <w:divBdr>
            <w:top w:val="none" w:sz="0" w:space="0" w:color="auto"/>
            <w:left w:val="none" w:sz="0" w:space="0" w:color="auto"/>
            <w:bottom w:val="none" w:sz="0" w:space="0" w:color="auto"/>
            <w:right w:val="none" w:sz="0" w:space="0" w:color="auto"/>
          </w:divBdr>
        </w:div>
        <w:div w:id="461001334">
          <w:marLeft w:val="475"/>
          <w:marRight w:val="0"/>
          <w:marTop w:val="168"/>
          <w:marBottom w:val="0"/>
          <w:divBdr>
            <w:top w:val="none" w:sz="0" w:space="0" w:color="auto"/>
            <w:left w:val="none" w:sz="0" w:space="0" w:color="auto"/>
            <w:bottom w:val="none" w:sz="0" w:space="0" w:color="auto"/>
            <w:right w:val="none" w:sz="0" w:space="0" w:color="auto"/>
          </w:divBdr>
        </w:div>
        <w:div w:id="541214631">
          <w:marLeft w:val="1181"/>
          <w:marRight w:val="0"/>
          <w:marTop w:val="168"/>
          <w:marBottom w:val="0"/>
          <w:divBdr>
            <w:top w:val="none" w:sz="0" w:space="0" w:color="auto"/>
            <w:left w:val="none" w:sz="0" w:space="0" w:color="auto"/>
            <w:bottom w:val="none" w:sz="0" w:space="0" w:color="auto"/>
            <w:right w:val="none" w:sz="0" w:space="0" w:color="auto"/>
          </w:divBdr>
        </w:div>
        <w:div w:id="588778132">
          <w:marLeft w:val="475"/>
          <w:marRight w:val="0"/>
          <w:marTop w:val="168"/>
          <w:marBottom w:val="0"/>
          <w:divBdr>
            <w:top w:val="none" w:sz="0" w:space="0" w:color="auto"/>
            <w:left w:val="none" w:sz="0" w:space="0" w:color="auto"/>
            <w:bottom w:val="none" w:sz="0" w:space="0" w:color="auto"/>
            <w:right w:val="none" w:sz="0" w:space="0" w:color="auto"/>
          </w:divBdr>
        </w:div>
        <w:div w:id="633830249">
          <w:marLeft w:val="475"/>
          <w:marRight w:val="0"/>
          <w:marTop w:val="168"/>
          <w:marBottom w:val="0"/>
          <w:divBdr>
            <w:top w:val="none" w:sz="0" w:space="0" w:color="auto"/>
            <w:left w:val="none" w:sz="0" w:space="0" w:color="auto"/>
            <w:bottom w:val="none" w:sz="0" w:space="0" w:color="auto"/>
            <w:right w:val="none" w:sz="0" w:space="0" w:color="auto"/>
          </w:divBdr>
        </w:div>
        <w:div w:id="1123497722">
          <w:marLeft w:val="475"/>
          <w:marRight w:val="0"/>
          <w:marTop w:val="168"/>
          <w:marBottom w:val="0"/>
          <w:divBdr>
            <w:top w:val="none" w:sz="0" w:space="0" w:color="auto"/>
            <w:left w:val="none" w:sz="0" w:space="0" w:color="auto"/>
            <w:bottom w:val="none" w:sz="0" w:space="0" w:color="auto"/>
            <w:right w:val="none" w:sz="0" w:space="0" w:color="auto"/>
          </w:divBdr>
        </w:div>
        <w:div w:id="1426269135">
          <w:marLeft w:val="1181"/>
          <w:marRight w:val="0"/>
          <w:marTop w:val="168"/>
          <w:marBottom w:val="0"/>
          <w:divBdr>
            <w:top w:val="none" w:sz="0" w:space="0" w:color="auto"/>
            <w:left w:val="none" w:sz="0" w:space="0" w:color="auto"/>
            <w:bottom w:val="none" w:sz="0" w:space="0" w:color="auto"/>
            <w:right w:val="none" w:sz="0" w:space="0" w:color="auto"/>
          </w:divBdr>
        </w:div>
        <w:div w:id="1722091379">
          <w:marLeft w:val="475"/>
          <w:marRight w:val="0"/>
          <w:marTop w:val="168"/>
          <w:marBottom w:val="0"/>
          <w:divBdr>
            <w:top w:val="none" w:sz="0" w:space="0" w:color="auto"/>
            <w:left w:val="none" w:sz="0" w:space="0" w:color="auto"/>
            <w:bottom w:val="none" w:sz="0" w:space="0" w:color="auto"/>
            <w:right w:val="none" w:sz="0" w:space="0" w:color="auto"/>
          </w:divBdr>
        </w:div>
        <w:div w:id="1757167943">
          <w:marLeft w:val="1181"/>
          <w:marRight w:val="0"/>
          <w:marTop w:val="168"/>
          <w:marBottom w:val="0"/>
          <w:divBdr>
            <w:top w:val="none" w:sz="0" w:space="0" w:color="auto"/>
            <w:left w:val="none" w:sz="0" w:space="0" w:color="auto"/>
            <w:bottom w:val="none" w:sz="0" w:space="0" w:color="auto"/>
            <w:right w:val="none" w:sz="0" w:space="0" w:color="auto"/>
          </w:divBdr>
        </w:div>
        <w:div w:id="2029479223">
          <w:marLeft w:val="1181"/>
          <w:marRight w:val="0"/>
          <w:marTop w:val="168"/>
          <w:marBottom w:val="0"/>
          <w:divBdr>
            <w:top w:val="none" w:sz="0" w:space="0" w:color="auto"/>
            <w:left w:val="none" w:sz="0" w:space="0" w:color="auto"/>
            <w:bottom w:val="none" w:sz="0" w:space="0" w:color="auto"/>
            <w:right w:val="none" w:sz="0" w:space="0" w:color="auto"/>
          </w:divBdr>
        </w:div>
      </w:divsChild>
    </w:div>
    <w:div w:id="1635719717">
      <w:bodyDiv w:val="1"/>
      <w:marLeft w:val="0"/>
      <w:marRight w:val="0"/>
      <w:marTop w:val="0"/>
      <w:marBottom w:val="0"/>
      <w:divBdr>
        <w:top w:val="none" w:sz="0" w:space="0" w:color="auto"/>
        <w:left w:val="none" w:sz="0" w:space="0" w:color="auto"/>
        <w:bottom w:val="none" w:sz="0" w:space="0" w:color="auto"/>
        <w:right w:val="none" w:sz="0" w:space="0" w:color="auto"/>
      </w:divBdr>
    </w:div>
    <w:div w:id="1639215761">
      <w:bodyDiv w:val="1"/>
      <w:marLeft w:val="0"/>
      <w:marRight w:val="0"/>
      <w:marTop w:val="0"/>
      <w:marBottom w:val="0"/>
      <w:divBdr>
        <w:top w:val="none" w:sz="0" w:space="0" w:color="auto"/>
        <w:left w:val="none" w:sz="0" w:space="0" w:color="auto"/>
        <w:bottom w:val="none" w:sz="0" w:space="0" w:color="auto"/>
        <w:right w:val="none" w:sz="0" w:space="0" w:color="auto"/>
      </w:divBdr>
    </w:div>
    <w:div w:id="1643466709">
      <w:bodyDiv w:val="1"/>
      <w:marLeft w:val="0"/>
      <w:marRight w:val="0"/>
      <w:marTop w:val="0"/>
      <w:marBottom w:val="0"/>
      <w:divBdr>
        <w:top w:val="none" w:sz="0" w:space="0" w:color="auto"/>
        <w:left w:val="none" w:sz="0" w:space="0" w:color="auto"/>
        <w:bottom w:val="none" w:sz="0" w:space="0" w:color="auto"/>
        <w:right w:val="none" w:sz="0" w:space="0" w:color="auto"/>
      </w:divBdr>
      <w:divsChild>
        <w:div w:id="558322636">
          <w:marLeft w:val="0"/>
          <w:marRight w:val="0"/>
          <w:marTop w:val="0"/>
          <w:marBottom w:val="0"/>
          <w:divBdr>
            <w:top w:val="none" w:sz="0" w:space="0" w:color="auto"/>
            <w:left w:val="none" w:sz="0" w:space="0" w:color="auto"/>
            <w:bottom w:val="none" w:sz="0" w:space="0" w:color="auto"/>
            <w:right w:val="none" w:sz="0" w:space="0" w:color="auto"/>
          </w:divBdr>
        </w:div>
      </w:divsChild>
    </w:div>
    <w:div w:id="1645160940">
      <w:bodyDiv w:val="1"/>
      <w:marLeft w:val="0"/>
      <w:marRight w:val="0"/>
      <w:marTop w:val="0"/>
      <w:marBottom w:val="0"/>
      <w:divBdr>
        <w:top w:val="none" w:sz="0" w:space="0" w:color="auto"/>
        <w:left w:val="none" w:sz="0" w:space="0" w:color="auto"/>
        <w:bottom w:val="none" w:sz="0" w:space="0" w:color="auto"/>
        <w:right w:val="none" w:sz="0" w:space="0" w:color="auto"/>
      </w:divBdr>
    </w:div>
    <w:div w:id="1647314489">
      <w:bodyDiv w:val="1"/>
      <w:marLeft w:val="0"/>
      <w:marRight w:val="0"/>
      <w:marTop w:val="0"/>
      <w:marBottom w:val="0"/>
      <w:divBdr>
        <w:top w:val="none" w:sz="0" w:space="0" w:color="auto"/>
        <w:left w:val="none" w:sz="0" w:space="0" w:color="auto"/>
        <w:bottom w:val="none" w:sz="0" w:space="0" w:color="auto"/>
        <w:right w:val="none" w:sz="0" w:space="0" w:color="auto"/>
      </w:divBdr>
    </w:div>
    <w:div w:id="1654064893">
      <w:bodyDiv w:val="1"/>
      <w:marLeft w:val="0"/>
      <w:marRight w:val="0"/>
      <w:marTop w:val="0"/>
      <w:marBottom w:val="0"/>
      <w:divBdr>
        <w:top w:val="none" w:sz="0" w:space="0" w:color="auto"/>
        <w:left w:val="none" w:sz="0" w:space="0" w:color="auto"/>
        <w:bottom w:val="none" w:sz="0" w:space="0" w:color="auto"/>
        <w:right w:val="none" w:sz="0" w:space="0" w:color="auto"/>
      </w:divBdr>
    </w:div>
    <w:div w:id="1657343033">
      <w:bodyDiv w:val="1"/>
      <w:marLeft w:val="0"/>
      <w:marRight w:val="0"/>
      <w:marTop w:val="0"/>
      <w:marBottom w:val="0"/>
      <w:divBdr>
        <w:top w:val="none" w:sz="0" w:space="0" w:color="auto"/>
        <w:left w:val="none" w:sz="0" w:space="0" w:color="auto"/>
        <w:bottom w:val="none" w:sz="0" w:space="0" w:color="auto"/>
        <w:right w:val="none" w:sz="0" w:space="0" w:color="auto"/>
      </w:divBdr>
    </w:div>
    <w:div w:id="1662394205">
      <w:bodyDiv w:val="1"/>
      <w:marLeft w:val="0"/>
      <w:marRight w:val="0"/>
      <w:marTop w:val="0"/>
      <w:marBottom w:val="0"/>
      <w:divBdr>
        <w:top w:val="none" w:sz="0" w:space="0" w:color="auto"/>
        <w:left w:val="none" w:sz="0" w:space="0" w:color="auto"/>
        <w:bottom w:val="none" w:sz="0" w:space="0" w:color="auto"/>
        <w:right w:val="none" w:sz="0" w:space="0" w:color="auto"/>
      </w:divBdr>
    </w:div>
    <w:div w:id="1663577878">
      <w:bodyDiv w:val="1"/>
      <w:marLeft w:val="0"/>
      <w:marRight w:val="0"/>
      <w:marTop w:val="0"/>
      <w:marBottom w:val="0"/>
      <w:divBdr>
        <w:top w:val="none" w:sz="0" w:space="0" w:color="auto"/>
        <w:left w:val="none" w:sz="0" w:space="0" w:color="auto"/>
        <w:bottom w:val="none" w:sz="0" w:space="0" w:color="auto"/>
        <w:right w:val="none" w:sz="0" w:space="0" w:color="auto"/>
      </w:divBdr>
    </w:div>
    <w:div w:id="1663896291">
      <w:bodyDiv w:val="1"/>
      <w:marLeft w:val="0"/>
      <w:marRight w:val="0"/>
      <w:marTop w:val="0"/>
      <w:marBottom w:val="0"/>
      <w:divBdr>
        <w:top w:val="none" w:sz="0" w:space="0" w:color="auto"/>
        <w:left w:val="none" w:sz="0" w:space="0" w:color="auto"/>
        <w:bottom w:val="none" w:sz="0" w:space="0" w:color="auto"/>
        <w:right w:val="none" w:sz="0" w:space="0" w:color="auto"/>
      </w:divBdr>
    </w:div>
    <w:div w:id="1671179024">
      <w:bodyDiv w:val="1"/>
      <w:marLeft w:val="0"/>
      <w:marRight w:val="0"/>
      <w:marTop w:val="0"/>
      <w:marBottom w:val="0"/>
      <w:divBdr>
        <w:top w:val="none" w:sz="0" w:space="0" w:color="auto"/>
        <w:left w:val="none" w:sz="0" w:space="0" w:color="auto"/>
        <w:bottom w:val="none" w:sz="0" w:space="0" w:color="auto"/>
        <w:right w:val="none" w:sz="0" w:space="0" w:color="auto"/>
      </w:divBdr>
      <w:divsChild>
        <w:div w:id="53822895">
          <w:marLeft w:val="475"/>
          <w:marRight w:val="0"/>
          <w:marTop w:val="168"/>
          <w:marBottom w:val="0"/>
          <w:divBdr>
            <w:top w:val="none" w:sz="0" w:space="0" w:color="auto"/>
            <w:left w:val="none" w:sz="0" w:space="0" w:color="auto"/>
            <w:bottom w:val="none" w:sz="0" w:space="0" w:color="auto"/>
            <w:right w:val="none" w:sz="0" w:space="0" w:color="auto"/>
          </w:divBdr>
        </w:div>
        <w:div w:id="411202597">
          <w:marLeft w:val="475"/>
          <w:marRight w:val="0"/>
          <w:marTop w:val="168"/>
          <w:marBottom w:val="0"/>
          <w:divBdr>
            <w:top w:val="none" w:sz="0" w:space="0" w:color="auto"/>
            <w:left w:val="none" w:sz="0" w:space="0" w:color="auto"/>
            <w:bottom w:val="none" w:sz="0" w:space="0" w:color="auto"/>
            <w:right w:val="none" w:sz="0" w:space="0" w:color="auto"/>
          </w:divBdr>
        </w:div>
        <w:div w:id="723649952">
          <w:marLeft w:val="475"/>
          <w:marRight w:val="0"/>
          <w:marTop w:val="168"/>
          <w:marBottom w:val="0"/>
          <w:divBdr>
            <w:top w:val="none" w:sz="0" w:space="0" w:color="auto"/>
            <w:left w:val="none" w:sz="0" w:space="0" w:color="auto"/>
            <w:bottom w:val="none" w:sz="0" w:space="0" w:color="auto"/>
            <w:right w:val="none" w:sz="0" w:space="0" w:color="auto"/>
          </w:divBdr>
        </w:div>
        <w:div w:id="1242175464">
          <w:marLeft w:val="475"/>
          <w:marRight w:val="0"/>
          <w:marTop w:val="168"/>
          <w:marBottom w:val="0"/>
          <w:divBdr>
            <w:top w:val="none" w:sz="0" w:space="0" w:color="auto"/>
            <w:left w:val="none" w:sz="0" w:space="0" w:color="auto"/>
            <w:bottom w:val="none" w:sz="0" w:space="0" w:color="auto"/>
            <w:right w:val="none" w:sz="0" w:space="0" w:color="auto"/>
          </w:divBdr>
        </w:div>
        <w:div w:id="1251546589">
          <w:marLeft w:val="475"/>
          <w:marRight w:val="0"/>
          <w:marTop w:val="168"/>
          <w:marBottom w:val="0"/>
          <w:divBdr>
            <w:top w:val="none" w:sz="0" w:space="0" w:color="auto"/>
            <w:left w:val="none" w:sz="0" w:space="0" w:color="auto"/>
            <w:bottom w:val="none" w:sz="0" w:space="0" w:color="auto"/>
            <w:right w:val="none" w:sz="0" w:space="0" w:color="auto"/>
          </w:divBdr>
        </w:div>
        <w:div w:id="1560508864">
          <w:marLeft w:val="475"/>
          <w:marRight w:val="0"/>
          <w:marTop w:val="168"/>
          <w:marBottom w:val="0"/>
          <w:divBdr>
            <w:top w:val="none" w:sz="0" w:space="0" w:color="auto"/>
            <w:left w:val="none" w:sz="0" w:space="0" w:color="auto"/>
            <w:bottom w:val="none" w:sz="0" w:space="0" w:color="auto"/>
            <w:right w:val="none" w:sz="0" w:space="0" w:color="auto"/>
          </w:divBdr>
        </w:div>
        <w:div w:id="1680083405">
          <w:marLeft w:val="475"/>
          <w:marRight w:val="0"/>
          <w:marTop w:val="168"/>
          <w:marBottom w:val="0"/>
          <w:divBdr>
            <w:top w:val="none" w:sz="0" w:space="0" w:color="auto"/>
            <w:left w:val="none" w:sz="0" w:space="0" w:color="auto"/>
            <w:bottom w:val="none" w:sz="0" w:space="0" w:color="auto"/>
            <w:right w:val="none" w:sz="0" w:space="0" w:color="auto"/>
          </w:divBdr>
        </w:div>
      </w:divsChild>
    </w:div>
    <w:div w:id="1671710657">
      <w:bodyDiv w:val="1"/>
      <w:marLeft w:val="0"/>
      <w:marRight w:val="0"/>
      <w:marTop w:val="0"/>
      <w:marBottom w:val="0"/>
      <w:divBdr>
        <w:top w:val="none" w:sz="0" w:space="0" w:color="auto"/>
        <w:left w:val="none" w:sz="0" w:space="0" w:color="auto"/>
        <w:bottom w:val="none" w:sz="0" w:space="0" w:color="auto"/>
        <w:right w:val="none" w:sz="0" w:space="0" w:color="auto"/>
      </w:divBdr>
    </w:div>
    <w:div w:id="1672636440">
      <w:bodyDiv w:val="1"/>
      <w:marLeft w:val="0"/>
      <w:marRight w:val="0"/>
      <w:marTop w:val="0"/>
      <w:marBottom w:val="0"/>
      <w:divBdr>
        <w:top w:val="none" w:sz="0" w:space="0" w:color="auto"/>
        <w:left w:val="none" w:sz="0" w:space="0" w:color="auto"/>
        <w:bottom w:val="none" w:sz="0" w:space="0" w:color="auto"/>
        <w:right w:val="none" w:sz="0" w:space="0" w:color="auto"/>
      </w:divBdr>
      <w:divsChild>
        <w:div w:id="530647604">
          <w:marLeft w:val="0"/>
          <w:marRight w:val="0"/>
          <w:marTop w:val="0"/>
          <w:marBottom w:val="0"/>
          <w:divBdr>
            <w:top w:val="none" w:sz="0" w:space="0" w:color="auto"/>
            <w:left w:val="none" w:sz="0" w:space="0" w:color="auto"/>
            <w:bottom w:val="none" w:sz="0" w:space="0" w:color="auto"/>
            <w:right w:val="none" w:sz="0" w:space="0" w:color="auto"/>
          </w:divBdr>
        </w:div>
        <w:div w:id="989334313">
          <w:marLeft w:val="0"/>
          <w:marRight w:val="0"/>
          <w:marTop w:val="0"/>
          <w:marBottom w:val="0"/>
          <w:divBdr>
            <w:top w:val="none" w:sz="0" w:space="0" w:color="auto"/>
            <w:left w:val="none" w:sz="0" w:space="0" w:color="auto"/>
            <w:bottom w:val="none" w:sz="0" w:space="0" w:color="auto"/>
            <w:right w:val="none" w:sz="0" w:space="0" w:color="auto"/>
          </w:divBdr>
        </w:div>
        <w:div w:id="1974360559">
          <w:marLeft w:val="0"/>
          <w:marRight w:val="0"/>
          <w:marTop w:val="0"/>
          <w:marBottom w:val="0"/>
          <w:divBdr>
            <w:top w:val="none" w:sz="0" w:space="0" w:color="auto"/>
            <w:left w:val="none" w:sz="0" w:space="0" w:color="auto"/>
            <w:bottom w:val="none" w:sz="0" w:space="0" w:color="auto"/>
            <w:right w:val="none" w:sz="0" w:space="0" w:color="auto"/>
          </w:divBdr>
        </w:div>
      </w:divsChild>
    </w:div>
    <w:div w:id="1673602148">
      <w:bodyDiv w:val="1"/>
      <w:marLeft w:val="0"/>
      <w:marRight w:val="0"/>
      <w:marTop w:val="0"/>
      <w:marBottom w:val="0"/>
      <w:divBdr>
        <w:top w:val="none" w:sz="0" w:space="0" w:color="auto"/>
        <w:left w:val="none" w:sz="0" w:space="0" w:color="auto"/>
        <w:bottom w:val="none" w:sz="0" w:space="0" w:color="auto"/>
        <w:right w:val="none" w:sz="0" w:space="0" w:color="auto"/>
      </w:divBdr>
    </w:div>
    <w:div w:id="1673793639">
      <w:bodyDiv w:val="1"/>
      <w:marLeft w:val="0"/>
      <w:marRight w:val="0"/>
      <w:marTop w:val="0"/>
      <w:marBottom w:val="0"/>
      <w:divBdr>
        <w:top w:val="none" w:sz="0" w:space="0" w:color="auto"/>
        <w:left w:val="none" w:sz="0" w:space="0" w:color="auto"/>
        <w:bottom w:val="none" w:sz="0" w:space="0" w:color="auto"/>
        <w:right w:val="none" w:sz="0" w:space="0" w:color="auto"/>
      </w:divBdr>
    </w:div>
    <w:div w:id="1680736670">
      <w:bodyDiv w:val="1"/>
      <w:marLeft w:val="0"/>
      <w:marRight w:val="0"/>
      <w:marTop w:val="0"/>
      <w:marBottom w:val="0"/>
      <w:divBdr>
        <w:top w:val="none" w:sz="0" w:space="0" w:color="auto"/>
        <w:left w:val="none" w:sz="0" w:space="0" w:color="auto"/>
        <w:bottom w:val="none" w:sz="0" w:space="0" w:color="auto"/>
        <w:right w:val="none" w:sz="0" w:space="0" w:color="auto"/>
      </w:divBdr>
      <w:divsChild>
        <w:div w:id="106892526">
          <w:marLeft w:val="475"/>
          <w:marRight w:val="0"/>
          <w:marTop w:val="168"/>
          <w:marBottom w:val="0"/>
          <w:divBdr>
            <w:top w:val="none" w:sz="0" w:space="0" w:color="auto"/>
            <w:left w:val="none" w:sz="0" w:space="0" w:color="auto"/>
            <w:bottom w:val="none" w:sz="0" w:space="0" w:color="auto"/>
            <w:right w:val="none" w:sz="0" w:space="0" w:color="auto"/>
          </w:divBdr>
        </w:div>
        <w:div w:id="124856968">
          <w:marLeft w:val="475"/>
          <w:marRight w:val="0"/>
          <w:marTop w:val="168"/>
          <w:marBottom w:val="0"/>
          <w:divBdr>
            <w:top w:val="none" w:sz="0" w:space="0" w:color="auto"/>
            <w:left w:val="none" w:sz="0" w:space="0" w:color="auto"/>
            <w:bottom w:val="none" w:sz="0" w:space="0" w:color="auto"/>
            <w:right w:val="none" w:sz="0" w:space="0" w:color="auto"/>
          </w:divBdr>
        </w:div>
        <w:div w:id="768820378">
          <w:marLeft w:val="475"/>
          <w:marRight w:val="0"/>
          <w:marTop w:val="168"/>
          <w:marBottom w:val="0"/>
          <w:divBdr>
            <w:top w:val="none" w:sz="0" w:space="0" w:color="auto"/>
            <w:left w:val="none" w:sz="0" w:space="0" w:color="auto"/>
            <w:bottom w:val="none" w:sz="0" w:space="0" w:color="auto"/>
            <w:right w:val="none" w:sz="0" w:space="0" w:color="auto"/>
          </w:divBdr>
        </w:div>
      </w:divsChild>
    </w:div>
    <w:div w:id="1688436170">
      <w:bodyDiv w:val="1"/>
      <w:marLeft w:val="0"/>
      <w:marRight w:val="0"/>
      <w:marTop w:val="0"/>
      <w:marBottom w:val="0"/>
      <w:divBdr>
        <w:top w:val="none" w:sz="0" w:space="0" w:color="auto"/>
        <w:left w:val="none" w:sz="0" w:space="0" w:color="auto"/>
        <w:bottom w:val="none" w:sz="0" w:space="0" w:color="auto"/>
        <w:right w:val="none" w:sz="0" w:space="0" w:color="auto"/>
      </w:divBdr>
    </w:div>
    <w:div w:id="1694376638">
      <w:bodyDiv w:val="1"/>
      <w:marLeft w:val="0"/>
      <w:marRight w:val="0"/>
      <w:marTop w:val="0"/>
      <w:marBottom w:val="0"/>
      <w:divBdr>
        <w:top w:val="none" w:sz="0" w:space="0" w:color="auto"/>
        <w:left w:val="none" w:sz="0" w:space="0" w:color="auto"/>
        <w:bottom w:val="none" w:sz="0" w:space="0" w:color="auto"/>
        <w:right w:val="none" w:sz="0" w:space="0" w:color="auto"/>
      </w:divBdr>
    </w:div>
    <w:div w:id="1694529018">
      <w:bodyDiv w:val="1"/>
      <w:marLeft w:val="0"/>
      <w:marRight w:val="0"/>
      <w:marTop w:val="0"/>
      <w:marBottom w:val="0"/>
      <w:divBdr>
        <w:top w:val="none" w:sz="0" w:space="0" w:color="auto"/>
        <w:left w:val="none" w:sz="0" w:space="0" w:color="auto"/>
        <w:bottom w:val="none" w:sz="0" w:space="0" w:color="auto"/>
        <w:right w:val="none" w:sz="0" w:space="0" w:color="auto"/>
      </w:divBdr>
    </w:div>
    <w:div w:id="1696807346">
      <w:bodyDiv w:val="1"/>
      <w:marLeft w:val="0"/>
      <w:marRight w:val="0"/>
      <w:marTop w:val="0"/>
      <w:marBottom w:val="0"/>
      <w:divBdr>
        <w:top w:val="none" w:sz="0" w:space="0" w:color="auto"/>
        <w:left w:val="none" w:sz="0" w:space="0" w:color="auto"/>
        <w:bottom w:val="none" w:sz="0" w:space="0" w:color="auto"/>
        <w:right w:val="none" w:sz="0" w:space="0" w:color="auto"/>
      </w:divBdr>
    </w:div>
    <w:div w:id="1697465818">
      <w:bodyDiv w:val="1"/>
      <w:marLeft w:val="0"/>
      <w:marRight w:val="0"/>
      <w:marTop w:val="0"/>
      <w:marBottom w:val="0"/>
      <w:divBdr>
        <w:top w:val="none" w:sz="0" w:space="0" w:color="auto"/>
        <w:left w:val="none" w:sz="0" w:space="0" w:color="auto"/>
        <w:bottom w:val="none" w:sz="0" w:space="0" w:color="auto"/>
        <w:right w:val="none" w:sz="0" w:space="0" w:color="auto"/>
      </w:divBdr>
    </w:div>
    <w:div w:id="1701010961">
      <w:bodyDiv w:val="1"/>
      <w:marLeft w:val="0"/>
      <w:marRight w:val="0"/>
      <w:marTop w:val="0"/>
      <w:marBottom w:val="0"/>
      <w:divBdr>
        <w:top w:val="none" w:sz="0" w:space="0" w:color="auto"/>
        <w:left w:val="none" w:sz="0" w:space="0" w:color="auto"/>
        <w:bottom w:val="none" w:sz="0" w:space="0" w:color="auto"/>
        <w:right w:val="none" w:sz="0" w:space="0" w:color="auto"/>
      </w:divBdr>
    </w:div>
    <w:div w:id="1702626769">
      <w:bodyDiv w:val="1"/>
      <w:marLeft w:val="0"/>
      <w:marRight w:val="0"/>
      <w:marTop w:val="0"/>
      <w:marBottom w:val="0"/>
      <w:divBdr>
        <w:top w:val="none" w:sz="0" w:space="0" w:color="auto"/>
        <w:left w:val="none" w:sz="0" w:space="0" w:color="auto"/>
        <w:bottom w:val="none" w:sz="0" w:space="0" w:color="auto"/>
        <w:right w:val="none" w:sz="0" w:space="0" w:color="auto"/>
      </w:divBdr>
    </w:div>
    <w:div w:id="1724787765">
      <w:bodyDiv w:val="1"/>
      <w:marLeft w:val="0"/>
      <w:marRight w:val="0"/>
      <w:marTop w:val="0"/>
      <w:marBottom w:val="0"/>
      <w:divBdr>
        <w:top w:val="none" w:sz="0" w:space="0" w:color="auto"/>
        <w:left w:val="none" w:sz="0" w:space="0" w:color="auto"/>
        <w:bottom w:val="none" w:sz="0" w:space="0" w:color="auto"/>
        <w:right w:val="none" w:sz="0" w:space="0" w:color="auto"/>
      </w:divBdr>
    </w:div>
    <w:div w:id="1727677202">
      <w:bodyDiv w:val="1"/>
      <w:marLeft w:val="0"/>
      <w:marRight w:val="0"/>
      <w:marTop w:val="0"/>
      <w:marBottom w:val="0"/>
      <w:divBdr>
        <w:top w:val="none" w:sz="0" w:space="0" w:color="auto"/>
        <w:left w:val="none" w:sz="0" w:space="0" w:color="auto"/>
        <w:bottom w:val="none" w:sz="0" w:space="0" w:color="auto"/>
        <w:right w:val="none" w:sz="0" w:space="0" w:color="auto"/>
      </w:divBdr>
    </w:div>
    <w:div w:id="1728454102">
      <w:bodyDiv w:val="1"/>
      <w:marLeft w:val="0"/>
      <w:marRight w:val="0"/>
      <w:marTop w:val="0"/>
      <w:marBottom w:val="0"/>
      <w:divBdr>
        <w:top w:val="none" w:sz="0" w:space="0" w:color="auto"/>
        <w:left w:val="none" w:sz="0" w:space="0" w:color="auto"/>
        <w:bottom w:val="none" w:sz="0" w:space="0" w:color="auto"/>
        <w:right w:val="none" w:sz="0" w:space="0" w:color="auto"/>
      </w:divBdr>
    </w:div>
    <w:div w:id="1730571382">
      <w:bodyDiv w:val="1"/>
      <w:marLeft w:val="0"/>
      <w:marRight w:val="0"/>
      <w:marTop w:val="0"/>
      <w:marBottom w:val="0"/>
      <w:divBdr>
        <w:top w:val="none" w:sz="0" w:space="0" w:color="auto"/>
        <w:left w:val="none" w:sz="0" w:space="0" w:color="auto"/>
        <w:bottom w:val="none" w:sz="0" w:space="0" w:color="auto"/>
        <w:right w:val="none" w:sz="0" w:space="0" w:color="auto"/>
      </w:divBdr>
    </w:div>
    <w:div w:id="1733191152">
      <w:bodyDiv w:val="1"/>
      <w:marLeft w:val="0"/>
      <w:marRight w:val="0"/>
      <w:marTop w:val="0"/>
      <w:marBottom w:val="0"/>
      <w:divBdr>
        <w:top w:val="none" w:sz="0" w:space="0" w:color="auto"/>
        <w:left w:val="none" w:sz="0" w:space="0" w:color="auto"/>
        <w:bottom w:val="none" w:sz="0" w:space="0" w:color="auto"/>
        <w:right w:val="none" w:sz="0" w:space="0" w:color="auto"/>
      </w:divBdr>
      <w:divsChild>
        <w:div w:id="100882550">
          <w:marLeft w:val="0"/>
          <w:marRight w:val="0"/>
          <w:marTop w:val="0"/>
          <w:marBottom w:val="0"/>
          <w:divBdr>
            <w:top w:val="none" w:sz="0" w:space="0" w:color="auto"/>
            <w:left w:val="none" w:sz="0" w:space="0" w:color="auto"/>
            <w:bottom w:val="none" w:sz="0" w:space="0" w:color="auto"/>
            <w:right w:val="none" w:sz="0" w:space="0" w:color="auto"/>
          </w:divBdr>
        </w:div>
        <w:div w:id="1088768925">
          <w:marLeft w:val="0"/>
          <w:marRight w:val="0"/>
          <w:marTop w:val="0"/>
          <w:marBottom w:val="0"/>
          <w:divBdr>
            <w:top w:val="none" w:sz="0" w:space="0" w:color="auto"/>
            <w:left w:val="none" w:sz="0" w:space="0" w:color="auto"/>
            <w:bottom w:val="none" w:sz="0" w:space="0" w:color="auto"/>
            <w:right w:val="none" w:sz="0" w:space="0" w:color="auto"/>
          </w:divBdr>
        </w:div>
        <w:div w:id="1272125265">
          <w:marLeft w:val="0"/>
          <w:marRight w:val="0"/>
          <w:marTop w:val="0"/>
          <w:marBottom w:val="0"/>
          <w:divBdr>
            <w:top w:val="none" w:sz="0" w:space="0" w:color="auto"/>
            <w:left w:val="none" w:sz="0" w:space="0" w:color="auto"/>
            <w:bottom w:val="none" w:sz="0" w:space="0" w:color="auto"/>
            <w:right w:val="none" w:sz="0" w:space="0" w:color="auto"/>
          </w:divBdr>
        </w:div>
      </w:divsChild>
    </w:div>
    <w:div w:id="1733651796">
      <w:bodyDiv w:val="1"/>
      <w:marLeft w:val="0"/>
      <w:marRight w:val="0"/>
      <w:marTop w:val="0"/>
      <w:marBottom w:val="0"/>
      <w:divBdr>
        <w:top w:val="none" w:sz="0" w:space="0" w:color="auto"/>
        <w:left w:val="none" w:sz="0" w:space="0" w:color="auto"/>
        <w:bottom w:val="none" w:sz="0" w:space="0" w:color="auto"/>
        <w:right w:val="none" w:sz="0" w:space="0" w:color="auto"/>
      </w:divBdr>
      <w:divsChild>
        <w:div w:id="214465543">
          <w:marLeft w:val="475"/>
          <w:marRight w:val="0"/>
          <w:marTop w:val="168"/>
          <w:marBottom w:val="0"/>
          <w:divBdr>
            <w:top w:val="none" w:sz="0" w:space="0" w:color="auto"/>
            <w:left w:val="none" w:sz="0" w:space="0" w:color="auto"/>
            <w:bottom w:val="none" w:sz="0" w:space="0" w:color="auto"/>
            <w:right w:val="none" w:sz="0" w:space="0" w:color="auto"/>
          </w:divBdr>
        </w:div>
        <w:div w:id="455099322">
          <w:marLeft w:val="475"/>
          <w:marRight w:val="0"/>
          <w:marTop w:val="168"/>
          <w:marBottom w:val="0"/>
          <w:divBdr>
            <w:top w:val="none" w:sz="0" w:space="0" w:color="auto"/>
            <w:left w:val="none" w:sz="0" w:space="0" w:color="auto"/>
            <w:bottom w:val="none" w:sz="0" w:space="0" w:color="auto"/>
            <w:right w:val="none" w:sz="0" w:space="0" w:color="auto"/>
          </w:divBdr>
        </w:div>
        <w:div w:id="634600643">
          <w:marLeft w:val="475"/>
          <w:marRight w:val="0"/>
          <w:marTop w:val="168"/>
          <w:marBottom w:val="0"/>
          <w:divBdr>
            <w:top w:val="none" w:sz="0" w:space="0" w:color="auto"/>
            <w:left w:val="none" w:sz="0" w:space="0" w:color="auto"/>
            <w:bottom w:val="none" w:sz="0" w:space="0" w:color="auto"/>
            <w:right w:val="none" w:sz="0" w:space="0" w:color="auto"/>
          </w:divBdr>
        </w:div>
        <w:div w:id="1409811392">
          <w:marLeft w:val="475"/>
          <w:marRight w:val="0"/>
          <w:marTop w:val="168"/>
          <w:marBottom w:val="0"/>
          <w:divBdr>
            <w:top w:val="none" w:sz="0" w:space="0" w:color="auto"/>
            <w:left w:val="none" w:sz="0" w:space="0" w:color="auto"/>
            <w:bottom w:val="none" w:sz="0" w:space="0" w:color="auto"/>
            <w:right w:val="none" w:sz="0" w:space="0" w:color="auto"/>
          </w:divBdr>
        </w:div>
        <w:div w:id="1430349590">
          <w:marLeft w:val="475"/>
          <w:marRight w:val="0"/>
          <w:marTop w:val="168"/>
          <w:marBottom w:val="0"/>
          <w:divBdr>
            <w:top w:val="none" w:sz="0" w:space="0" w:color="auto"/>
            <w:left w:val="none" w:sz="0" w:space="0" w:color="auto"/>
            <w:bottom w:val="none" w:sz="0" w:space="0" w:color="auto"/>
            <w:right w:val="none" w:sz="0" w:space="0" w:color="auto"/>
          </w:divBdr>
        </w:div>
        <w:div w:id="1595942670">
          <w:marLeft w:val="475"/>
          <w:marRight w:val="0"/>
          <w:marTop w:val="168"/>
          <w:marBottom w:val="0"/>
          <w:divBdr>
            <w:top w:val="none" w:sz="0" w:space="0" w:color="auto"/>
            <w:left w:val="none" w:sz="0" w:space="0" w:color="auto"/>
            <w:bottom w:val="none" w:sz="0" w:space="0" w:color="auto"/>
            <w:right w:val="none" w:sz="0" w:space="0" w:color="auto"/>
          </w:divBdr>
        </w:div>
        <w:div w:id="1710496978">
          <w:marLeft w:val="475"/>
          <w:marRight w:val="0"/>
          <w:marTop w:val="168"/>
          <w:marBottom w:val="0"/>
          <w:divBdr>
            <w:top w:val="none" w:sz="0" w:space="0" w:color="auto"/>
            <w:left w:val="none" w:sz="0" w:space="0" w:color="auto"/>
            <w:bottom w:val="none" w:sz="0" w:space="0" w:color="auto"/>
            <w:right w:val="none" w:sz="0" w:space="0" w:color="auto"/>
          </w:divBdr>
        </w:div>
        <w:div w:id="1713846116">
          <w:marLeft w:val="475"/>
          <w:marRight w:val="0"/>
          <w:marTop w:val="168"/>
          <w:marBottom w:val="0"/>
          <w:divBdr>
            <w:top w:val="none" w:sz="0" w:space="0" w:color="auto"/>
            <w:left w:val="none" w:sz="0" w:space="0" w:color="auto"/>
            <w:bottom w:val="none" w:sz="0" w:space="0" w:color="auto"/>
            <w:right w:val="none" w:sz="0" w:space="0" w:color="auto"/>
          </w:divBdr>
        </w:div>
        <w:div w:id="1806268193">
          <w:marLeft w:val="475"/>
          <w:marRight w:val="0"/>
          <w:marTop w:val="168"/>
          <w:marBottom w:val="0"/>
          <w:divBdr>
            <w:top w:val="none" w:sz="0" w:space="0" w:color="auto"/>
            <w:left w:val="none" w:sz="0" w:space="0" w:color="auto"/>
            <w:bottom w:val="none" w:sz="0" w:space="0" w:color="auto"/>
            <w:right w:val="none" w:sz="0" w:space="0" w:color="auto"/>
          </w:divBdr>
        </w:div>
        <w:div w:id="1850484144">
          <w:marLeft w:val="475"/>
          <w:marRight w:val="0"/>
          <w:marTop w:val="168"/>
          <w:marBottom w:val="0"/>
          <w:divBdr>
            <w:top w:val="none" w:sz="0" w:space="0" w:color="auto"/>
            <w:left w:val="none" w:sz="0" w:space="0" w:color="auto"/>
            <w:bottom w:val="none" w:sz="0" w:space="0" w:color="auto"/>
            <w:right w:val="none" w:sz="0" w:space="0" w:color="auto"/>
          </w:divBdr>
        </w:div>
      </w:divsChild>
    </w:div>
    <w:div w:id="1735473380">
      <w:bodyDiv w:val="1"/>
      <w:marLeft w:val="0"/>
      <w:marRight w:val="0"/>
      <w:marTop w:val="0"/>
      <w:marBottom w:val="0"/>
      <w:divBdr>
        <w:top w:val="none" w:sz="0" w:space="0" w:color="auto"/>
        <w:left w:val="none" w:sz="0" w:space="0" w:color="auto"/>
        <w:bottom w:val="none" w:sz="0" w:space="0" w:color="auto"/>
        <w:right w:val="none" w:sz="0" w:space="0" w:color="auto"/>
      </w:divBdr>
    </w:div>
    <w:div w:id="1737587384">
      <w:bodyDiv w:val="1"/>
      <w:marLeft w:val="0"/>
      <w:marRight w:val="0"/>
      <w:marTop w:val="0"/>
      <w:marBottom w:val="0"/>
      <w:divBdr>
        <w:top w:val="none" w:sz="0" w:space="0" w:color="auto"/>
        <w:left w:val="none" w:sz="0" w:space="0" w:color="auto"/>
        <w:bottom w:val="none" w:sz="0" w:space="0" w:color="auto"/>
        <w:right w:val="none" w:sz="0" w:space="0" w:color="auto"/>
      </w:divBdr>
    </w:div>
    <w:div w:id="1744063901">
      <w:bodyDiv w:val="1"/>
      <w:marLeft w:val="0"/>
      <w:marRight w:val="0"/>
      <w:marTop w:val="0"/>
      <w:marBottom w:val="0"/>
      <w:divBdr>
        <w:top w:val="none" w:sz="0" w:space="0" w:color="auto"/>
        <w:left w:val="none" w:sz="0" w:space="0" w:color="auto"/>
        <w:bottom w:val="none" w:sz="0" w:space="0" w:color="auto"/>
        <w:right w:val="none" w:sz="0" w:space="0" w:color="auto"/>
      </w:divBdr>
    </w:div>
    <w:div w:id="1746026492">
      <w:bodyDiv w:val="1"/>
      <w:marLeft w:val="0"/>
      <w:marRight w:val="0"/>
      <w:marTop w:val="0"/>
      <w:marBottom w:val="0"/>
      <w:divBdr>
        <w:top w:val="none" w:sz="0" w:space="0" w:color="auto"/>
        <w:left w:val="none" w:sz="0" w:space="0" w:color="auto"/>
        <w:bottom w:val="none" w:sz="0" w:space="0" w:color="auto"/>
        <w:right w:val="none" w:sz="0" w:space="0" w:color="auto"/>
      </w:divBdr>
    </w:div>
    <w:div w:id="1746489312">
      <w:bodyDiv w:val="1"/>
      <w:marLeft w:val="0"/>
      <w:marRight w:val="0"/>
      <w:marTop w:val="0"/>
      <w:marBottom w:val="0"/>
      <w:divBdr>
        <w:top w:val="none" w:sz="0" w:space="0" w:color="auto"/>
        <w:left w:val="none" w:sz="0" w:space="0" w:color="auto"/>
        <w:bottom w:val="none" w:sz="0" w:space="0" w:color="auto"/>
        <w:right w:val="none" w:sz="0" w:space="0" w:color="auto"/>
      </w:divBdr>
    </w:div>
    <w:div w:id="1749227463">
      <w:bodyDiv w:val="1"/>
      <w:marLeft w:val="0"/>
      <w:marRight w:val="0"/>
      <w:marTop w:val="0"/>
      <w:marBottom w:val="0"/>
      <w:divBdr>
        <w:top w:val="none" w:sz="0" w:space="0" w:color="auto"/>
        <w:left w:val="none" w:sz="0" w:space="0" w:color="auto"/>
        <w:bottom w:val="none" w:sz="0" w:space="0" w:color="auto"/>
        <w:right w:val="none" w:sz="0" w:space="0" w:color="auto"/>
      </w:divBdr>
    </w:div>
    <w:div w:id="1752433927">
      <w:bodyDiv w:val="1"/>
      <w:marLeft w:val="0"/>
      <w:marRight w:val="0"/>
      <w:marTop w:val="0"/>
      <w:marBottom w:val="0"/>
      <w:divBdr>
        <w:top w:val="none" w:sz="0" w:space="0" w:color="auto"/>
        <w:left w:val="none" w:sz="0" w:space="0" w:color="auto"/>
        <w:bottom w:val="none" w:sz="0" w:space="0" w:color="auto"/>
        <w:right w:val="none" w:sz="0" w:space="0" w:color="auto"/>
      </w:divBdr>
    </w:div>
    <w:div w:id="1761178692">
      <w:bodyDiv w:val="1"/>
      <w:marLeft w:val="0"/>
      <w:marRight w:val="0"/>
      <w:marTop w:val="0"/>
      <w:marBottom w:val="0"/>
      <w:divBdr>
        <w:top w:val="none" w:sz="0" w:space="0" w:color="auto"/>
        <w:left w:val="none" w:sz="0" w:space="0" w:color="auto"/>
        <w:bottom w:val="none" w:sz="0" w:space="0" w:color="auto"/>
        <w:right w:val="none" w:sz="0" w:space="0" w:color="auto"/>
      </w:divBdr>
    </w:div>
    <w:div w:id="1764304443">
      <w:bodyDiv w:val="1"/>
      <w:marLeft w:val="0"/>
      <w:marRight w:val="0"/>
      <w:marTop w:val="0"/>
      <w:marBottom w:val="0"/>
      <w:divBdr>
        <w:top w:val="none" w:sz="0" w:space="0" w:color="auto"/>
        <w:left w:val="none" w:sz="0" w:space="0" w:color="auto"/>
        <w:bottom w:val="none" w:sz="0" w:space="0" w:color="auto"/>
        <w:right w:val="none" w:sz="0" w:space="0" w:color="auto"/>
      </w:divBdr>
    </w:div>
    <w:div w:id="1775856776">
      <w:bodyDiv w:val="1"/>
      <w:marLeft w:val="0"/>
      <w:marRight w:val="0"/>
      <w:marTop w:val="0"/>
      <w:marBottom w:val="0"/>
      <w:divBdr>
        <w:top w:val="none" w:sz="0" w:space="0" w:color="auto"/>
        <w:left w:val="none" w:sz="0" w:space="0" w:color="auto"/>
        <w:bottom w:val="none" w:sz="0" w:space="0" w:color="auto"/>
        <w:right w:val="none" w:sz="0" w:space="0" w:color="auto"/>
      </w:divBdr>
    </w:div>
    <w:div w:id="1785149330">
      <w:bodyDiv w:val="1"/>
      <w:marLeft w:val="0"/>
      <w:marRight w:val="0"/>
      <w:marTop w:val="0"/>
      <w:marBottom w:val="0"/>
      <w:divBdr>
        <w:top w:val="none" w:sz="0" w:space="0" w:color="auto"/>
        <w:left w:val="none" w:sz="0" w:space="0" w:color="auto"/>
        <w:bottom w:val="none" w:sz="0" w:space="0" w:color="auto"/>
        <w:right w:val="none" w:sz="0" w:space="0" w:color="auto"/>
      </w:divBdr>
    </w:div>
    <w:div w:id="1787849853">
      <w:bodyDiv w:val="1"/>
      <w:marLeft w:val="0"/>
      <w:marRight w:val="0"/>
      <w:marTop w:val="0"/>
      <w:marBottom w:val="0"/>
      <w:divBdr>
        <w:top w:val="none" w:sz="0" w:space="0" w:color="auto"/>
        <w:left w:val="none" w:sz="0" w:space="0" w:color="auto"/>
        <w:bottom w:val="none" w:sz="0" w:space="0" w:color="auto"/>
        <w:right w:val="none" w:sz="0" w:space="0" w:color="auto"/>
      </w:divBdr>
      <w:divsChild>
        <w:div w:id="1013454789">
          <w:marLeft w:val="0"/>
          <w:marRight w:val="0"/>
          <w:marTop w:val="0"/>
          <w:marBottom w:val="0"/>
          <w:divBdr>
            <w:top w:val="none" w:sz="0" w:space="0" w:color="auto"/>
            <w:left w:val="none" w:sz="0" w:space="0" w:color="auto"/>
            <w:bottom w:val="none" w:sz="0" w:space="0" w:color="auto"/>
            <w:right w:val="none" w:sz="0" w:space="0" w:color="auto"/>
          </w:divBdr>
          <w:divsChild>
            <w:div w:id="1887444332">
              <w:marLeft w:val="0"/>
              <w:marRight w:val="0"/>
              <w:marTop w:val="0"/>
              <w:marBottom w:val="0"/>
              <w:divBdr>
                <w:top w:val="none" w:sz="0" w:space="0" w:color="auto"/>
                <w:left w:val="none" w:sz="0" w:space="0" w:color="auto"/>
                <w:bottom w:val="none" w:sz="0" w:space="0" w:color="auto"/>
                <w:right w:val="none" w:sz="0" w:space="0" w:color="auto"/>
              </w:divBdr>
              <w:divsChild>
                <w:div w:id="968895187">
                  <w:marLeft w:val="0"/>
                  <w:marRight w:val="0"/>
                  <w:marTop w:val="0"/>
                  <w:marBottom w:val="0"/>
                  <w:divBdr>
                    <w:top w:val="none" w:sz="0" w:space="0" w:color="auto"/>
                    <w:left w:val="none" w:sz="0" w:space="0" w:color="auto"/>
                    <w:bottom w:val="none" w:sz="0" w:space="0" w:color="auto"/>
                    <w:right w:val="none" w:sz="0" w:space="0" w:color="auto"/>
                  </w:divBdr>
                  <w:divsChild>
                    <w:div w:id="324214190">
                      <w:marLeft w:val="0"/>
                      <w:marRight w:val="0"/>
                      <w:marTop w:val="0"/>
                      <w:marBottom w:val="0"/>
                      <w:divBdr>
                        <w:top w:val="none" w:sz="0" w:space="0" w:color="auto"/>
                        <w:left w:val="none" w:sz="0" w:space="0" w:color="auto"/>
                        <w:bottom w:val="none" w:sz="0" w:space="0" w:color="auto"/>
                        <w:right w:val="none" w:sz="0" w:space="0" w:color="auto"/>
                      </w:divBdr>
                      <w:divsChild>
                        <w:div w:id="750274088">
                          <w:marLeft w:val="0"/>
                          <w:marRight w:val="0"/>
                          <w:marTop w:val="0"/>
                          <w:marBottom w:val="0"/>
                          <w:divBdr>
                            <w:top w:val="none" w:sz="0" w:space="0" w:color="auto"/>
                            <w:left w:val="none" w:sz="0" w:space="0" w:color="auto"/>
                            <w:bottom w:val="none" w:sz="0" w:space="0" w:color="auto"/>
                            <w:right w:val="none" w:sz="0" w:space="0" w:color="auto"/>
                          </w:divBdr>
                          <w:divsChild>
                            <w:div w:id="14085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750205">
      <w:bodyDiv w:val="1"/>
      <w:marLeft w:val="0"/>
      <w:marRight w:val="0"/>
      <w:marTop w:val="0"/>
      <w:marBottom w:val="0"/>
      <w:divBdr>
        <w:top w:val="none" w:sz="0" w:space="0" w:color="auto"/>
        <w:left w:val="none" w:sz="0" w:space="0" w:color="auto"/>
        <w:bottom w:val="none" w:sz="0" w:space="0" w:color="auto"/>
        <w:right w:val="none" w:sz="0" w:space="0" w:color="auto"/>
      </w:divBdr>
    </w:div>
    <w:div w:id="1814053996">
      <w:bodyDiv w:val="1"/>
      <w:marLeft w:val="0"/>
      <w:marRight w:val="0"/>
      <w:marTop w:val="0"/>
      <w:marBottom w:val="0"/>
      <w:divBdr>
        <w:top w:val="none" w:sz="0" w:space="0" w:color="auto"/>
        <w:left w:val="none" w:sz="0" w:space="0" w:color="auto"/>
        <w:bottom w:val="none" w:sz="0" w:space="0" w:color="auto"/>
        <w:right w:val="none" w:sz="0" w:space="0" w:color="auto"/>
      </w:divBdr>
      <w:divsChild>
        <w:div w:id="20908974">
          <w:marLeft w:val="475"/>
          <w:marRight w:val="0"/>
          <w:marTop w:val="168"/>
          <w:marBottom w:val="0"/>
          <w:divBdr>
            <w:top w:val="none" w:sz="0" w:space="0" w:color="auto"/>
            <w:left w:val="none" w:sz="0" w:space="0" w:color="auto"/>
            <w:bottom w:val="none" w:sz="0" w:space="0" w:color="auto"/>
            <w:right w:val="none" w:sz="0" w:space="0" w:color="auto"/>
          </w:divBdr>
        </w:div>
        <w:div w:id="203838120">
          <w:marLeft w:val="475"/>
          <w:marRight w:val="0"/>
          <w:marTop w:val="168"/>
          <w:marBottom w:val="0"/>
          <w:divBdr>
            <w:top w:val="none" w:sz="0" w:space="0" w:color="auto"/>
            <w:left w:val="none" w:sz="0" w:space="0" w:color="auto"/>
            <w:bottom w:val="none" w:sz="0" w:space="0" w:color="auto"/>
            <w:right w:val="none" w:sz="0" w:space="0" w:color="auto"/>
          </w:divBdr>
        </w:div>
        <w:div w:id="535630254">
          <w:marLeft w:val="1181"/>
          <w:marRight w:val="0"/>
          <w:marTop w:val="168"/>
          <w:marBottom w:val="0"/>
          <w:divBdr>
            <w:top w:val="none" w:sz="0" w:space="0" w:color="auto"/>
            <w:left w:val="none" w:sz="0" w:space="0" w:color="auto"/>
            <w:bottom w:val="none" w:sz="0" w:space="0" w:color="auto"/>
            <w:right w:val="none" w:sz="0" w:space="0" w:color="auto"/>
          </w:divBdr>
        </w:div>
        <w:div w:id="556168203">
          <w:marLeft w:val="475"/>
          <w:marRight w:val="0"/>
          <w:marTop w:val="168"/>
          <w:marBottom w:val="0"/>
          <w:divBdr>
            <w:top w:val="none" w:sz="0" w:space="0" w:color="auto"/>
            <w:left w:val="none" w:sz="0" w:space="0" w:color="auto"/>
            <w:bottom w:val="none" w:sz="0" w:space="0" w:color="auto"/>
            <w:right w:val="none" w:sz="0" w:space="0" w:color="auto"/>
          </w:divBdr>
        </w:div>
        <w:div w:id="780421758">
          <w:marLeft w:val="1181"/>
          <w:marRight w:val="0"/>
          <w:marTop w:val="168"/>
          <w:marBottom w:val="0"/>
          <w:divBdr>
            <w:top w:val="none" w:sz="0" w:space="0" w:color="auto"/>
            <w:left w:val="none" w:sz="0" w:space="0" w:color="auto"/>
            <w:bottom w:val="none" w:sz="0" w:space="0" w:color="auto"/>
            <w:right w:val="none" w:sz="0" w:space="0" w:color="auto"/>
          </w:divBdr>
        </w:div>
        <w:div w:id="934435814">
          <w:marLeft w:val="1181"/>
          <w:marRight w:val="0"/>
          <w:marTop w:val="168"/>
          <w:marBottom w:val="0"/>
          <w:divBdr>
            <w:top w:val="none" w:sz="0" w:space="0" w:color="auto"/>
            <w:left w:val="none" w:sz="0" w:space="0" w:color="auto"/>
            <w:bottom w:val="none" w:sz="0" w:space="0" w:color="auto"/>
            <w:right w:val="none" w:sz="0" w:space="0" w:color="auto"/>
          </w:divBdr>
        </w:div>
        <w:div w:id="1179154179">
          <w:marLeft w:val="1181"/>
          <w:marRight w:val="0"/>
          <w:marTop w:val="168"/>
          <w:marBottom w:val="0"/>
          <w:divBdr>
            <w:top w:val="none" w:sz="0" w:space="0" w:color="auto"/>
            <w:left w:val="none" w:sz="0" w:space="0" w:color="auto"/>
            <w:bottom w:val="none" w:sz="0" w:space="0" w:color="auto"/>
            <w:right w:val="none" w:sz="0" w:space="0" w:color="auto"/>
          </w:divBdr>
        </w:div>
        <w:div w:id="1400440724">
          <w:marLeft w:val="1181"/>
          <w:marRight w:val="0"/>
          <w:marTop w:val="168"/>
          <w:marBottom w:val="0"/>
          <w:divBdr>
            <w:top w:val="none" w:sz="0" w:space="0" w:color="auto"/>
            <w:left w:val="none" w:sz="0" w:space="0" w:color="auto"/>
            <w:bottom w:val="none" w:sz="0" w:space="0" w:color="auto"/>
            <w:right w:val="none" w:sz="0" w:space="0" w:color="auto"/>
          </w:divBdr>
        </w:div>
        <w:div w:id="1436706674">
          <w:marLeft w:val="1181"/>
          <w:marRight w:val="0"/>
          <w:marTop w:val="168"/>
          <w:marBottom w:val="0"/>
          <w:divBdr>
            <w:top w:val="none" w:sz="0" w:space="0" w:color="auto"/>
            <w:left w:val="none" w:sz="0" w:space="0" w:color="auto"/>
            <w:bottom w:val="none" w:sz="0" w:space="0" w:color="auto"/>
            <w:right w:val="none" w:sz="0" w:space="0" w:color="auto"/>
          </w:divBdr>
        </w:div>
        <w:div w:id="2071733814">
          <w:marLeft w:val="475"/>
          <w:marRight w:val="0"/>
          <w:marTop w:val="168"/>
          <w:marBottom w:val="0"/>
          <w:divBdr>
            <w:top w:val="none" w:sz="0" w:space="0" w:color="auto"/>
            <w:left w:val="none" w:sz="0" w:space="0" w:color="auto"/>
            <w:bottom w:val="none" w:sz="0" w:space="0" w:color="auto"/>
            <w:right w:val="none" w:sz="0" w:space="0" w:color="auto"/>
          </w:divBdr>
        </w:div>
        <w:div w:id="2108382678">
          <w:marLeft w:val="475"/>
          <w:marRight w:val="0"/>
          <w:marTop w:val="168"/>
          <w:marBottom w:val="0"/>
          <w:divBdr>
            <w:top w:val="none" w:sz="0" w:space="0" w:color="auto"/>
            <w:left w:val="none" w:sz="0" w:space="0" w:color="auto"/>
            <w:bottom w:val="none" w:sz="0" w:space="0" w:color="auto"/>
            <w:right w:val="none" w:sz="0" w:space="0" w:color="auto"/>
          </w:divBdr>
        </w:div>
      </w:divsChild>
    </w:div>
    <w:div w:id="1818262727">
      <w:bodyDiv w:val="1"/>
      <w:marLeft w:val="0"/>
      <w:marRight w:val="0"/>
      <w:marTop w:val="0"/>
      <w:marBottom w:val="0"/>
      <w:divBdr>
        <w:top w:val="none" w:sz="0" w:space="0" w:color="auto"/>
        <w:left w:val="none" w:sz="0" w:space="0" w:color="auto"/>
        <w:bottom w:val="none" w:sz="0" w:space="0" w:color="auto"/>
        <w:right w:val="none" w:sz="0" w:space="0" w:color="auto"/>
      </w:divBdr>
    </w:div>
    <w:div w:id="1822116930">
      <w:bodyDiv w:val="1"/>
      <w:marLeft w:val="0"/>
      <w:marRight w:val="0"/>
      <w:marTop w:val="0"/>
      <w:marBottom w:val="0"/>
      <w:divBdr>
        <w:top w:val="none" w:sz="0" w:space="0" w:color="auto"/>
        <w:left w:val="none" w:sz="0" w:space="0" w:color="auto"/>
        <w:bottom w:val="none" w:sz="0" w:space="0" w:color="auto"/>
        <w:right w:val="none" w:sz="0" w:space="0" w:color="auto"/>
      </w:divBdr>
    </w:div>
    <w:div w:id="1823154886">
      <w:bodyDiv w:val="1"/>
      <w:marLeft w:val="0"/>
      <w:marRight w:val="0"/>
      <w:marTop w:val="0"/>
      <w:marBottom w:val="0"/>
      <w:divBdr>
        <w:top w:val="none" w:sz="0" w:space="0" w:color="auto"/>
        <w:left w:val="none" w:sz="0" w:space="0" w:color="auto"/>
        <w:bottom w:val="none" w:sz="0" w:space="0" w:color="auto"/>
        <w:right w:val="none" w:sz="0" w:space="0" w:color="auto"/>
      </w:divBdr>
    </w:div>
    <w:div w:id="1826508418">
      <w:bodyDiv w:val="1"/>
      <w:marLeft w:val="0"/>
      <w:marRight w:val="0"/>
      <w:marTop w:val="0"/>
      <w:marBottom w:val="0"/>
      <w:divBdr>
        <w:top w:val="none" w:sz="0" w:space="0" w:color="auto"/>
        <w:left w:val="none" w:sz="0" w:space="0" w:color="auto"/>
        <w:bottom w:val="none" w:sz="0" w:space="0" w:color="auto"/>
        <w:right w:val="none" w:sz="0" w:space="0" w:color="auto"/>
      </w:divBdr>
    </w:div>
    <w:div w:id="1828664338">
      <w:bodyDiv w:val="1"/>
      <w:marLeft w:val="0"/>
      <w:marRight w:val="0"/>
      <w:marTop w:val="0"/>
      <w:marBottom w:val="0"/>
      <w:divBdr>
        <w:top w:val="none" w:sz="0" w:space="0" w:color="auto"/>
        <w:left w:val="none" w:sz="0" w:space="0" w:color="auto"/>
        <w:bottom w:val="none" w:sz="0" w:space="0" w:color="auto"/>
        <w:right w:val="none" w:sz="0" w:space="0" w:color="auto"/>
      </w:divBdr>
    </w:div>
    <w:div w:id="1831363736">
      <w:bodyDiv w:val="1"/>
      <w:marLeft w:val="0"/>
      <w:marRight w:val="0"/>
      <w:marTop w:val="0"/>
      <w:marBottom w:val="0"/>
      <w:divBdr>
        <w:top w:val="none" w:sz="0" w:space="0" w:color="auto"/>
        <w:left w:val="none" w:sz="0" w:space="0" w:color="auto"/>
        <w:bottom w:val="none" w:sz="0" w:space="0" w:color="auto"/>
        <w:right w:val="none" w:sz="0" w:space="0" w:color="auto"/>
      </w:divBdr>
    </w:div>
    <w:div w:id="1834104439">
      <w:bodyDiv w:val="1"/>
      <w:marLeft w:val="0"/>
      <w:marRight w:val="0"/>
      <w:marTop w:val="0"/>
      <w:marBottom w:val="0"/>
      <w:divBdr>
        <w:top w:val="none" w:sz="0" w:space="0" w:color="auto"/>
        <w:left w:val="none" w:sz="0" w:space="0" w:color="auto"/>
        <w:bottom w:val="none" w:sz="0" w:space="0" w:color="auto"/>
        <w:right w:val="none" w:sz="0" w:space="0" w:color="auto"/>
      </w:divBdr>
      <w:divsChild>
        <w:div w:id="26099919">
          <w:marLeft w:val="259"/>
          <w:marRight w:val="0"/>
          <w:marTop w:val="132"/>
          <w:marBottom w:val="0"/>
          <w:divBdr>
            <w:top w:val="none" w:sz="0" w:space="0" w:color="auto"/>
            <w:left w:val="none" w:sz="0" w:space="0" w:color="auto"/>
            <w:bottom w:val="none" w:sz="0" w:space="0" w:color="auto"/>
            <w:right w:val="none" w:sz="0" w:space="0" w:color="auto"/>
          </w:divBdr>
        </w:div>
        <w:div w:id="109472845">
          <w:marLeft w:val="259"/>
          <w:marRight w:val="0"/>
          <w:marTop w:val="132"/>
          <w:marBottom w:val="0"/>
          <w:divBdr>
            <w:top w:val="none" w:sz="0" w:space="0" w:color="auto"/>
            <w:left w:val="none" w:sz="0" w:space="0" w:color="auto"/>
            <w:bottom w:val="none" w:sz="0" w:space="0" w:color="auto"/>
            <w:right w:val="none" w:sz="0" w:space="0" w:color="auto"/>
          </w:divBdr>
        </w:div>
        <w:div w:id="494345258">
          <w:marLeft w:val="259"/>
          <w:marRight w:val="0"/>
          <w:marTop w:val="132"/>
          <w:marBottom w:val="0"/>
          <w:divBdr>
            <w:top w:val="none" w:sz="0" w:space="0" w:color="auto"/>
            <w:left w:val="none" w:sz="0" w:space="0" w:color="auto"/>
            <w:bottom w:val="none" w:sz="0" w:space="0" w:color="auto"/>
            <w:right w:val="none" w:sz="0" w:space="0" w:color="auto"/>
          </w:divBdr>
        </w:div>
        <w:div w:id="1026442028">
          <w:marLeft w:val="259"/>
          <w:marRight w:val="0"/>
          <w:marTop w:val="132"/>
          <w:marBottom w:val="0"/>
          <w:divBdr>
            <w:top w:val="none" w:sz="0" w:space="0" w:color="auto"/>
            <w:left w:val="none" w:sz="0" w:space="0" w:color="auto"/>
            <w:bottom w:val="none" w:sz="0" w:space="0" w:color="auto"/>
            <w:right w:val="none" w:sz="0" w:space="0" w:color="auto"/>
          </w:divBdr>
        </w:div>
        <w:div w:id="1354385109">
          <w:marLeft w:val="259"/>
          <w:marRight w:val="0"/>
          <w:marTop w:val="132"/>
          <w:marBottom w:val="0"/>
          <w:divBdr>
            <w:top w:val="none" w:sz="0" w:space="0" w:color="auto"/>
            <w:left w:val="none" w:sz="0" w:space="0" w:color="auto"/>
            <w:bottom w:val="none" w:sz="0" w:space="0" w:color="auto"/>
            <w:right w:val="none" w:sz="0" w:space="0" w:color="auto"/>
          </w:divBdr>
        </w:div>
        <w:div w:id="1389959312">
          <w:marLeft w:val="259"/>
          <w:marRight w:val="0"/>
          <w:marTop w:val="132"/>
          <w:marBottom w:val="0"/>
          <w:divBdr>
            <w:top w:val="none" w:sz="0" w:space="0" w:color="auto"/>
            <w:left w:val="none" w:sz="0" w:space="0" w:color="auto"/>
            <w:bottom w:val="none" w:sz="0" w:space="0" w:color="auto"/>
            <w:right w:val="none" w:sz="0" w:space="0" w:color="auto"/>
          </w:divBdr>
        </w:div>
        <w:div w:id="1420786946">
          <w:marLeft w:val="259"/>
          <w:marRight w:val="0"/>
          <w:marTop w:val="132"/>
          <w:marBottom w:val="0"/>
          <w:divBdr>
            <w:top w:val="none" w:sz="0" w:space="0" w:color="auto"/>
            <w:left w:val="none" w:sz="0" w:space="0" w:color="auto"/>
            <w:bottom w:val="none" w:sz="0" w:space="0" w:color="auto"/>
            <w:right w:val="none" w:sz="0" w:space="0" w:color="auto"/>
          </w:divBdr>
        </w:div>
        <w:div w:id="1511020352">
          <w:marLeft w:val="259"/>
          <w:marRight w:val="0"/>
          <w:marTop w:val="132"/>
          <w:marBottom w:val="0"/>
          <w:divBdr>
            <w:top w:val="none" w:sz="0" w:space="0" w:color="auto"/>
            <w:left w:val="none" w:sz="0" w:space="0" w:color="auto"/>
            <w:bottom w:val="none" w:sz="0" w:space="0" w:color="auto"/>
            <w:right w:val="none" w:sz="0" w:space="0" w:color="auto"/>
          </w:divBdr>
        </w:div>
        <w:div w:id="1556702995">
          <w:marLeft w:val="259"/>
          <w:marRight w:val="0"/>
          <w:marTop w:val="132"/>
          <w:marBottom w:val="0"/>
          <w:divBdr>
            <w:top w:val="none" w:sz="0" w:space="0" w:color="auto"/>
            <w:left w:val="none" w:sz="0" w:space="0" w:color="auto"/>
            <w:bottom w:val="none" w:sz="0" w:space="0" w:color="auto"/>
            <w:right w:val="none" w:sz="0" w:space="0" w:color="auto"/>
          </w:divBdr>
        </w:div>
        <w:div w:id="1600526052">
          <w:marLeft w:val="259"/>
          <w:marRight w:val="0"/>
          <w:marTop w:val="132"/>
          <w:marBottom w:val="0"/>
          <w:divBdr>
            <w:top w:val="none" w:sz="0" w:space="0" w:color="auto"/>
            <w:left w:val="none" w:sz="0" w:space="0" w:color="auto"/>
            <w:bottom w:val="none" w:sz="0" w:space="0" w:color="auto"/>
            <w:right w:val="none" w:sz="0" w:space="0" w:color="auto"/>
          </w:divBdr>
        </w:div>
        <w:div w:id="1952470561">
          <w:marLeft w:val="259"/>
          <w:marRight w:val="0"/>
          <w:marTop w:val="132"/>
          <w:marBottom w:val="0"/>
          <w:divBdr>
            <w:top w:val="none" w:sz="0" w:space="0" w:color="auto"/>
            <w:left w:val="none" w:sz="0" w:space="0" w:color="auto"/>
            <w:bottom w:val="none" w:sz="0" w:space="0" w:color="auto"/>
            <w:right w:val="none" w:sz="0" w:space="0" w:color="auto"/>
          </w:divBdr>
        </w:div>
        <w:div w:id="2133013313">
          <w:marLeft w:val="259"/>
          <w:marRight w:val="0"/>
          <w:marTop w:val="132"/>
          <w:marBottom w:val="0"/>
          <w:divBdr>
            <w:top w:val="none" w:sz="0" w:space="0" w:color="auto"/>
            <w:left w:val="none" w:sz="0" w:space="0" w:color="auto"/>
            <w:bottom w:val="none" w:sz="0" w:space="0" w:color="auto"/>
            <w:right w:val="none" w:sz="0" w:space="0" w:color="auto"/>
          </w:divBdr>
        </w:div>
      </w:divsChild>
    </w:div>
    <w:div w:id="1835951420">
      <w:bodyDiv w:val="1"/>
      <w:marLeft w:val="0"/>
      <w:marRight w:val="0"/>
      <w:marTop w:val="0"/>
      <w:marBottom w:val="0"/>
      <w:divBdr>
        <w:top w:val="none" w:sz="0" w:space="0" w:color="auto"/>
        <w:left w:val="none" w:sz="0" w:space="0" w:color="auto"/>
        <w:bottom w:val="none" w:sz="0" w:space="0" w:color="auto"/>
        <w:right w:val="none" w:sz="0" w:space="0" w:color="auto"/>
      </w:divBdr>
    </w:div>
    <w:div w:id="1837107337">
      <w:bodyDiv w:val="1"/>
      <w:marLeft w:val="0"/>
      <w:marRight w:val="0"/>
      <w:marTop w:val="0"/>
      <w:marBottom w:val="0"/>
      <w:divBdr>
        <w:top w:val="none" w:sz="0" w:space="0" w:color="auto"/>
        <w:left w:val="none" w:sz="0" w:space="0" w:color="auto"/>
        <w:bottom w:val="none" w:sz="0" w:space="0" w:color="auto"/>
        <w:right w:val="none" w:sz="0" w:space="0" w:color="auto"/>
      </w:divBdr>
    </w:div>
    <w:div w:id="1842160146">
      <w:bodyDiv w:val="1"/>
      <w:marLeft w:val="0"/>
      <w:marRight w:val="0"/>
      <w:marTop w:val="0"/>
      <w:marBottom w:val="0"/>
      <w:divBdr>
        <w:top w:val="none" w:sz="0" w:space="0" w:color="auto"/>
        <w:left w:val="none" w:sz="0" w:space="0" w:color="auto"/>
        <w:bottom w:val="none" w:sz="0" w:space="0" w:color="auto"/>
        <w:right w:val="none" w:sz="0" w:space="0" w:color="auto"/>
      </w:divBdr>
      <w:divsChild>
        <w:div w:id="6746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035223">
      <w:bodyDiv w:val="1"/>
      <w:marLeft w:val="0"/>
      <w:marRight w:val="0"/>
      <w:marTop w:val="0"/>
      <w:marBottom w:val="0"/>
      <w:divBdr>
        <w:top w:val="none" w:sz="0" w:space="0" w:color="auto"/>
        <w:left w:val="none" w:sz="0" w:space="0" w:color="auto"/>
        <w:bottom w:val="none" w:sz="0" w:space="0" w:color="auto"/>
        <w:right w:val="none" w:sz="0" w:space="0" w:color="auto"/>
      </w:divBdr>
    </w:div>
    <w:div w:id="1856117486">
      <w:bodyDiv w:val="1"/>
      <w:marLeft w:val="0"/>
      <w:marRight w:val="0"/>
      <w:marTop w:val="0"/>
      <w:marBottom w:val="0"/>
      <w:divBdr>
        <w:top w:val="none" w:sz="0" w:space="0" w:color="auto"/>
        <w:left w:val="none" w:sz="0" w:space="0" w:color="auto"/>
        <w:bottom w:val="none" w:sz="0" w:space="0" w:color="auto"/>
        <w:right w:val="none" w:sz="0" w:space="0" w:color="auto"/>
      </w:divBdr>
    </w:div>
    <w:div w:id="1856530478">
      <w:bodyDiv w:val="1"/>
      <w:marLeft w:val="0"/>
      <w:marRight w:val="0"/>
      <w:marTop w:val="0"/>
      <w:marBottom w:val="0"/>
      <w:divBdr>
        <w:top w:val="none" w:sz="0" w:space="0" w:color="auto"/>
        <w:left w:val="none" w:sz="0" w:space="0" w:color="auto"/>
        <w:bottom w:val="none" w:sz="0" w:space="0" w:color="auto"/>
        <w:right w:val="none" w:sz="0" w:space="0" w:color="auto"/>
      </w:divBdr>
    </w:div>
    <w:div w:id="1861503749">
      <w:bodyDiv w:val="1"/>
      <w:marLeft w:val="0"/>
      <w:marRight w:val="0"/>
      <w:marTop w:val="0"/>
      <w:marBottom w:val="0"/>
      <w:divBdr>
        <w:top w:val="none" w:sz="0" w:space="0" w:color="auto"/>
        <w:left w:val="none" w:sz="0" w:space="0" w:color="auto"/>
        <w:bottom w:val="none" w:sz="0" w:space="0" w:color="auto"/>
        <w:right w:val="none" w:sz="0" w:space="0" w:color="auto"/>
      </w:divBdr>
    </w:div>
    <w:div w:id="1861700095">
      <w:bodyDiv w:val="1"/>
      <w:marLeft w:val="0"/>
      <w:marRight w:val="0"/>
      <w:marTop w:val="0"/>
      <w:marBottom w:val="0"/>
      <w:divBdr>
        <w:top w:val="none" w:sz="0" w:space="0" w:color="auto"/>
        <w:left w:val="none" w:sz="0" w:space="0" w:color="auto"/>
        <w:bottom w:val="none" w:sz="0" w:space="0" w:color="auto"/>
        <w:right w:val="none" w:sz="0" w:space="0" w:color="auto"/>
      </w:divBdr>
    </w:div>
    <w:div w:id="1865628846">
      <w:bodyDiv w:val="1"/>
      <w:marLeft w:val="0"/>
      <w:marRight w:val="0"/>
      <w:marTop w:val="0"/>
      <w:marBottom w:val="0"/>
      <w:divBdr>
        <w:top w:val="none" w:sz="0" w:space="0" w:color="auto"/>
        <w:left w:val="none" w:sz="0" w:space="0" w:color="auto"/>
        <w:bottom w:val="none" w:sz="0" w:space="0" w:color="auto"/>
        <w:right w:val="none" w:sz="0" w:space="0" w:color="auto"/>
      </w:divBdr>
    </w:div>
    <w:div w:id="1869485188">
      <w:bodyDiv w:val="1"/>
      <w:marLeft w:val="0"/>
      <w:marRight w:val="0"/>
      <w:marTop w:val="0"/>
      <w:marBottom w:val="0"/>
      <w:divBdr>
        <w:top w:val="none" w:sz="0" w:space="0" w:color="auto"/>
        <w:left w:val="none" w:sz="0" w:space="0" w:color="auto"/>
        <w:bottom w:val="none" w:sz="0" w:space="0" w:color="auto"/>
        <w:right w:val="none" w:sz="0" w:space="0" w:color="auto"/>
      </w:divBdr>
    </w:div>
    <w:div w:id="1870877345">
      <w:bodyDiv w:val="1"/>
      <w:marLeft w:val="0"/>
      <w:marRight w:val="0"/>
      <w:marTop w:val="0"/>
      <w:marBottom w:val="0"/>
      <w:divBdr>
        <w:top w:val="none" w:sz="0" w:space="0" w:color="auto"/>
        <w:left w:val="none" w:sz="0" w:space="0" w:color="auto"/>
        <w:bottom w:val="none" w:sz="0" w:space="0" w:color="auto"/>
        <w:right w:val="none" w:sz="0" w:space="0" w:color="auto"/>
      </w:divBdr>
    </w:div>
    <w:div w:id="1878467450">
      <w:bodyDiv w:val="1"/>
      <w:marLeft w:val="0"/>
      <w:marRight w:val="0"/>
      <w:marTop w:val="0"/>
      <w:marBottom w:val="0"/>
      <w:divBdr>
        <w:top w:val="none" w:sz="0" w:space="0" w:color="auto"/>
        <w:left w:val="none" w:sz="0" w:space="0" w:color="auto"/>
        <w:bottom w:val="none" w:sz="0" w:space="0" w:color="auto"/>
        <w:right w:val="none" w:sz="0" w:space="0" w:color="auto"/>
      </w:divBdr>
      <w:divsChild>
        <w:div w:id="247201933">
          <w:marLeft w:val="288"/>
          <w:marRight w:val="0"/>
          <w:marTop w:val="65"/>
          <w:marBottom w:val="0"/>
          <w:divBdr>
            <w:top w:val="none" w:sz="0" w:space="0" w:color="auto"/>
            <w:left w:val="none" w:sz="0" w:space="0" w:color="auto"/>
            <w:bottom w:val="none" w:sz="0" w:space="0" w:color="auto"/>
            <w:right w:val="none" w:sz="0" w:space="0" w:color="auto"/>
          </w:divBdr>
        </w:div>
        <w:div w:id="404884113">
          <w:marLeft w:val="288"/>
          <w:marRight w:val="0"/>
          <w:marTop w:val="65"/>
          <w:marBottom w:val="0"/>
          <w:divBdr>
            <w:top w:val="none" w:sz="0" w:space="0" w:color="auto"/>
            <w:left w:val="none" w:sz="0" w:space="0" w:color="auto"/>
            <w:bottom w:val="none" w:sz="0" w:space="0" w:color="auto"/>
            <w:right w:val="none" w:sz="0" w:space="0" w:color="auto"/>
          </w:divBdr>
        </w:div>
        <w:div w:id="618873272">
          <w:marLeft w:val="288"/>
          <w:marRight w:val="0"/>
          <w:marTop w:val="65"/>
          <w:marBottom w:val="0"/>
          <w:divBdr>
            <w:top w:val="none" w:sz="0" w:space="0" w:color="auto"/>
            <w:left w:val="none" w:sz="0" w:space="0" w:color="auto"/>
            <w:bottom w:val="none" w:sz="0" w:space="0" w:color="auto"/>
            <w:right w:val="none" w:sz="0" w:space="0" w:color="auto"/>
          </w:divBdr>
        </w:div>
        <w:div w:id="858085858">
          <w:marLeft w:val="288"/>
          <w:marRight w:val="0"/>
          <w:marTop w:val="65"/>
          <w:marBottom w:val="0"/>
          <w:divBdr>
            <w:top w:val="none" w:sz="0" w:space="0" w:color="auto"/>
            <w:left w:val="none" w:sz="0" w:space="0" w:color="auto"/>
            <w:bottom w:val="none" w:sz="0" w:space="0" w:color="auto"/>
            <w:right w:val="none" w:sz="0" w:space="0" w:color="auto"/>
          </w:divBdr>
        </w:div>
        <w:div w:id="1261525541">
          <w:marLeft w:val="288"/>
          <w:marRight w:val="0"/>
          <w:marTop w:val="65"/>
          <w:marBottom w:val="0"/>
          <w:divBdr>
            <w:top w:val="none" w:sz="0" w:space="0" w:color="auto"/>
            <w:left w:val="none" w:sz="0" w:space="0" w:color="auto"/>
            <w:bottom w:val="none" w:sz="0" w:space="0" w:color="auto"/>
            <w:right w:val="none" w:sz="0" w:space="0" w:color="auto"/>
          </w:divBdr>
        </w:div>
        <w:div w:id="1471512548">
          <w:marLeft w:val="288"/>
          <w:marRight w:val="0"/>
          <w:marTop w:val="65"/>
          <w:marBottom w:val="0"/>
          <w:divBdr>
            <w:top w:val="none" w:sz="0" w:space="0" w:color="auto"/>
            <w:left w:val="none" w:sz="0" w:space="0" w:color="auto"/>
            <w:bottom w:val="none" w:sz="0" w:space="0" w:color="auto"/>
            <w:right w:val="none" w:sz="0" w:space="0" w:color="auto"/>
          </w:divBdr>
        </w:div>
        <w:div w:id="1746219509">
          <w:marLeft w:val="288"/>
          <w:marRight w:val="0"/>
          <w:marTop w:val="65"/>
          <w:marBottom w:val="0"/>
          <w:divBdr>
            <w:top w:val="none" w:sz="0" w:space="0" w:color="auto"/>
            <w:left w:val="none" w:sz="0" w:space="0" w:color="auto"/>
            <w:bottom w:val="none" w:sz="0" w:space="0" w:color="auto"/>
            <w:right w:val="none" w:sz="0" w:space="0" w:color="auto"/>
          </w:divBdr>
        </w:div>
        <w:div w:id="1763911397">
          <w:marLeft w:val="288"/>
          <w:marRight w:val="0"/>
          <w:marTop w:val="65"/>
          <w:marBottom w:val="0"/>
          <w:divBdr>
            <w:top w:val="none" w:sz="0" w:space="0" w:color="auto"/>
            <w:left w:val="none" w:sz="0" w:space="0" w:color="auto"/>
            <w:bottom w:val="none" w:sz="0" w:space="0" w:color="auto"/>
            <w:right w:val="none" w:sz="0" w:space="0" w:color="auto"/>
          </w:divBdr>
        </w:div>
      </w:divsChild>
    </w:div>
    <w:div w:id="1884250562">
      <w:bodyDiv w:val="1"/>
      <w:marLeft w:val="0"/>
      <w:marRight w:val="0"/>
      <w:marTop w:val="0"/>
      <w:marBottom w:val="0"/>
      <w:divBdr>
        <w:top w:val="none" w:sz="0" w:space="0" w:color="auto"/>
        <w:left w:val="none" w:sz="0" w:space="0" w:color="auto"/>
        <w:bottom w:val="none" w:sz="0" w:space="0" w:color="auto"/>
        <w:right w:val="none" w:sz="0" w:space="0" w:color="auto"/>
      </w:divBdr>
    </w:div>
    <w:div w:id="1885097606">
      <w:bodyDiv w:val="1"/>
      <w:marLeft w:val="0"/>
      <w:marRight w:val="0"/>
      <w:marTop w:val="0"/>
      <w:marBottom w:val="0"/>
      <w:divBdr>
        <w:top w:val="none" w:sz="0" w:space="0" w:color="auto"/>
        <w:left w:val="none" w:sz="0" w:space="0" w:color="auto"/>
        <w:bottom w:val="none" w:sz="0" w:space="0" w:color="auto"/>
        <w:right w:val="none" w:sz="0" w:space="0" w:color="auto"/>
      </w:divBdr>
    </w:div>
    <w:div w:id="1887334530">
      <w:bodyDiv w:val="1"/>
      <w:marLeft w:val="0"/>
      <w:marRight w:val="0"/>
      <w:marTop w:val="0"/>
      <w:marBottom w:val="0"/>
      <w:divBdr>
        <w:top w:val="none" w:sz="0" w:space="0" w:color="auto"/>
        <w:left w:val="none" w:sz="0" w:space="0" w:color="auto"/>
        <w:bottom w:val="none" w:sz="0" w:space="0" w:color="auto"/>
        <w:right w:val="none" w:sz="0" w:space="0" w:color="auto"/>
      </w:divBdr>
    </w:div>
    <w:div w:id="1887835807">
      <w:bodyDiv w:val="1"/>
      <w:marLeft w:val="0"/>
      <w:marRight w:val="0"/>
      <w:marTop w:val="0"/>
      <w:marBottom w:val="0"/>
      <w:divBdr>
        <w:top w:val="none" w:sz="0" w:space="0" w:color="auto"/>
        <w:left w:val="none" w:sz="0" w:space="0" w:color="auto"/>
        <w:bottom w:val="none" w:sz="0" w:space="0" w:color="auto"/>
        <w:right w:val="none" w:sz="0" w:space="0" w:color="auto"/>
      </w:divBdr>
    </w:div>
    <w:div w:id="1888682388">
      <w:bodyDiv w:val="1"/>
      <w:marLeft w:val="0"/>
      <w:marRight w:val="0"/>
      <w:marTop w:val="0"/>
      <w:marBottom w:val="0"/>
      <w:divBdr>
        <w:top w:val="none" w:sz="0" w:space="0" w:color="auto"/>
        <w:left w:val="none" w:sz="0" w:space="0" w:color="auto"/>
        <w:bottom w:val="none" w:sz="0" w:space="0" w:color="auto"/>
        <w:right w:val="none" w:sz="0" w:space="0" w:color="auto"/>
      </w:divBdr>
      <w:divsChild>
        <w:div w:id="1157460729">
          <w:marLeft w:val="0"/>
          <w:marRight w:val="0"/>
          <w:marTop w:val="0"/>
          <w:marBottom w:val="0"/>
          <w:divBdr>
            <w:top w:val="none" w:sz="0" w:space="0" w:color="auto"/>
            <w:left w:val="none" w:sz="0" w:space="0" w:color="auto"/>
            <w:bottom w:val="none" w:sz="0" w:space="0" w:color="auto"/>
            <w:right w:val="none" w:sz="0" w:space="0" w:color="auto"/>
          </w:divBdr>
          <w:divsChild>
            <w:div w:id="274793274">
              <w:marLeft w:val="0"/>
              <w:marRight w:val="0"/>
              <w:marTop w:val="0"/>
              <w:marBottom w:val="0"/>
              <w:divBdr>
                <w:top w:val="none" w:sz="0" w:space="0" w:color="auto"/>
                <w:left w:val="none" w:sz="0" w:space="0" w:color="auto"/>
                <w:bottom w:val="none" w:sz="0" w:space="0" w:color="auto"/>
                <w:right w:val="none" w:sz="0" w:space="0" w:color="auto"/>
              </w:divBdr>
              <w:divsChild>
                <w:div w:id="662391877">
                  <w:marLeft w:val="0"/>
                  <w:marRight w:val="0"/>
                  <w:marTop w:val="0"/>
                  <w:marBottom w:val="0"/>
                  <w:divBdr>
                    <w:top w:val="none" w:sz="0" w:space="0" w:color="auto"/>
                    <w:left w:val="none" w:sz="0" w:space="0" w:color="auto"/>
                    <w:bottom w:val="none" w:sz="0" w:space="0" w:color="auto"/>
                    <w:right w:val="none" w:sz="0" w:space="0" w:color="auto"/>
                  </w:divBdr>
                  <w:divsChild>
                    <w:div w:id="1842506881">
                      <w:marLeft w:val="0"/>
                      <w:marRight w:val="0"/>
                      <w:marTop w:val="0"/>
                      <w:marBottom w:val="0"/>
                      <w:divBdr>
                        <w:top w:val="none" w:sz="0" w:space="0" w:color="auto"/>
                        <w:left w:val="none" w:sz="0" w:space="0" w:color="auto"/>
                        <w:bottom w:val="none" w:sz="0" w:space="0" w:color="auto"/>
                        <w:right w:val="none" w:sz="0" w:space="0" w:color="auto"/>
                      </w:divBdr>
                      <w:divsChild>
                        <w:div w:id="3241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4107">
      <w:bodyDiv w:val="1"/>
      <w:marLeft w:val="0"/>
      <w:marRight w:val="0"/>
      <w:marTop w:val="0"/>
      <w:marBottom w:val="0"/>
      <w:divBdr>
        <w:top w:val="none" w:sz="0" w:space="0" w:color="auto"/>
        <w:left w:val="none" w:sz="0" w:space="0" w:color="auto"/>
        <w:bottom w:val="none" w:sz="0" w:space="0" w:color="auto"/>
        <w:right w:val="none" w:sz="0" w:space="0" w:color="auto"/>
      </w:divBdr>
    </w:div>
    <w:div w:id="1899171866">
      <w:bodyDiv w:val="1"/>
      <w:marLeft w:val="0"/>
      <w:marRight w:val="0"/>
      <w:marTop w:val="0"/>
      <w:marBottom w:val="0"/>
      <w:divBdr>
        <w:top w:val="none" w:sz="0" w:space="0" w:color="auto"/>
        <w:left w:val="none" w:sz="0" w:space="0" w:color="auto"/>
        <w:bottom w:val="none" w:sz="0" w:space="0" w:color="auto"/>
        <w:right w:val="none" w:sz="0" w:space="0" w:color="auto"/>
      </w:divBdr>
    </w:div>
    <w:div w:id="1903834295">
      <w:bodyDiv w:val="1"/>
      <w:marLeft w:val="0"/>
      <w:marRight w:val="0"/>
      <w:marTop w:val="0"/>
      <w:marBottom w:val="0"/>
      <w:divBdr>
        <w:top w:val="none" w:sz="0" w:space="0" w:color="auto"/>
        <w:left w:val="none" w:sz="0" w:space="0" w:color="auto"/>
        <w:bottom w:val="none" w:sz="0" w:space="0" w:color="auto"/>
        <w:right w:val="none" w:sz="0" w:space="0" w:color="auto"/>
      </w:divBdr>
    </w:div>
    <w:div w:id="1907494533">
      <w:bodyDiv w:val="1"/>
      <w:marLeft w:val="0"/>
      <w:marRight w:val="0"/>
      <w:marTop w:val="0"/>
      <w:marBottom w:val="0"/>
      <w:divBdr>
        <w:top w:val="none" w:sz="0" w:space="0" w:color="auto"/>
        <w:left w:val="none" w:sz="0" w:space="0" w:color="auto"/>
        <w:bottom w:val="none" w:sz="0" w:space="0" w:color="auto"/>
        <w:right w:val="none" w:sz="0" w:space="0" w:color="auto"/>
      </w:divBdr>
    </w:div>
    <w:div w:id="1912228892">
      <w:bodyDiv w:val="1"/>
      <w:marLeft w:val="0"/>
      <w:marRight w:val="0"/>
      <w:marTop w:val="0"/>
      <w:marBottom w:val="0"/>
      <w:divBdr>
        <w:top w:val="none" w:sz="0" w:space="0" w:color="auto"/>
        <w:left w:val="none" w:sz="0" w:space="0" w:color="auto"/>
        <w:bottom w:val="none" w:sz="0" w:space="0" w:color="auto"/>
        <w:right w:val="none" w:sz="0" w:space="0" w:color="auto"/>
      </w:divBdr>
    </w:div>
    <w:div w:id="1913732058">
      <w:bodyDiv w:val="1"/>
      <w:marLeft w:val="0"/>
      <w:marRight w:val="0"/>
      <w:marTop w:val="0"/>
      <w:marBottom w:val="0"/>
      <w:divBdr>
        <w:top w:val="none" w:sz="0" w:space="0" w:color="auto"/>
        <w:left w:val="none" w:sz="0" w:space="0" w:color="auto"/>
        <w:bottom w:val="none" w:sz="0" w:space="0" w:color="auto"/>
        <w:right w:val="none" w:sz="0" w:space="0" w:color="auto"/>
      </w:divBdr>
      <w:divsChild>
        <w:div w:id="103381273">
          <w:marLeft w:val="274"/>
          <w:marRight w:val="0"/>
          <w:marTop w:val="20"/>
          <w:marBottom w:val="0"/>
          <w:divBdr>
            <w:top w:val="none" w:sz="0" w:space="0" w:color="auto"/>
            <w:left w:val="none" w:sz="0" w:space="0" w:color="auto"/>
            <w:bottom w:val="none" w:sz="0" w:space="0" w:color="auto"/>
            <w:right w:val="none" w:sz="0" w:space="0" w:color="auto"/>
          </w:divBdr>
        </w:div>
        <w:div w:id="942759239">
          <w:marLeft w:val="274"/>
          <w:marRight w:val="0"/>
          <w:marTop w:val="60"/>
          <w:marBottom w:val="0"/>
          <w:divBdr>
            <w:top w:val="none" w:sz="0" w:space="0" w:color="auto"/>
            <w:left w:val="none" w:sz="0" w:space="0" w:color="auto"/>
            <w:bottom w:val="none" w:sz="0" w:space="0" w:color="auto"/>
            <w:right w:val="none" w:sz="0" w:space="0" w:color="auto"/>
          </w:divBdr>
        </w:div>
        <w:div w:id="962544154">
          <w:marLeft w:val="274"/>
          <w:marRight w:val="0"/>
          <w:marTop w:val="60"/>
          <w:marBottom w:val="0"/>
          <w:divBdr>
            <w:top w:val="none" w:sz="0" w:space="0" w:color="auto"/>
            <w:left w:val="none" w:sz="0" w:space="0" w:color="auto"/>
            <w:bottom w:val="none" w:sz="0" w:space="0" w:color="auto"/>
            <w:right w:val="none" w:sz="0" w:space="0" w:color="auto"/>
          </w:divBdr>
        </w:div>
        <w:div w:id="1752117461">
          <w:marLeft w:val="274"/>
          <w:marRight w:val="0"/>
          <w:marTop w:val="60"/>
          <w:marBottom w:val="0"/>
          <w:divBdr>
            <w:top w:val="none" w:sz="0" w:space="0" w:color="auto"/>
            <w:left w:val="none" w:sz="0" w:space="0" w:color="auto"/>
            <w:bottom w:val="none" w:sz="0" w:space="0" w:color="auto"/>
            <w:right w:val="none" w:sz="0" w:space="0" w:color="auto"/>
          </w:divBdr>
        </w:div>
        <w:div w:id="1807312534">
          <w:marLeft w:val="274"/>
          <w:marRight w:val="0"/>
          <w:marTop w:val="60"/>
          <w:marBottom w:val="0"/>
          <w:divBdr>
            <w:top w:val="none" w:sz="0" w:space="0" w:color="auto"/>
            <w:left w:val="none" w:sz="0" w:space="0" w:color="auto"/>
            <w:bottom w:val="none" w:sz="0" w:space="0" w:color="auto"/>
            <w:right w:val="none" w:sz="0" w:space="0" w:color="auto"/>
          </w:divBdr>
        </w:div>
        <w:div w:id="1906329935">
          <w:marLeft w:val="274"/>
          <w:marRight w:val="0"/>
          <w:marTop w:val="60"/>
          <w:marBottom w:val="0"/>
          <w:divBdr>
            <w:top w:val="none" w:sz="0" w:space="0" w:color="auto"/>
            <w:left w:val="none" w:sz="0" w:space="0" w:color="auto"/>
            <w:bottom w:val="none" w:sz="0" w:space="0" w:color="auto"/>
            <w:right w:val="none" w:sz="0" w:space="0" w:color="auto"/>
          </w:divBdr>
        </w:div>
      </w:divsChild>
    </w:div>
    <w:div w:id="1922133791">
      <w:bodyDiv w:val="1"/>
      <w:marLeft w:val="0"/>
      <w:marRight w:val="0"/>
      <w:marTop w:val="0"/>
      <w:marBottom w:val="0"/>
      <w:divBdr>
        <w:top w:val="none" w:sz="0" w:space="0" w:color="auto"/>
        <w:left w:val="none" w:sz="0" w:space="0" w:color="auto"/>
        <w:bottom w:val="none" w:sz="0" w:space="0" w:color="auto"/>
        <w:right w:val="none" w:sz="0" w:space="0" w:color="auto"/>
      </w:divBdr>
    </w:div>
    <w:div w:id="1925602787">
      <w:bodyDiv w:val="1"/>
      <w:marLeft w:val="0"/>
      <w:marRight w:val="0"/>
      <w:marTop w:val="0"/>
      <w:marBottom w:val="0"/>
      <w:divBdr>
        <w:top w:val="none" w:sz="0" w:space="0" w:color="auto"/>
        <w:left w:val="none" w:sz="0" w:space="0" w:color="auto"/>
        <w:bottom w:val="none" w:sz="0" w:space="0" w:color="auto"/>
        <w:right w:val="none" w:sz="0" w:space="0" w:color="auto"/>
      </w:divBdr>
    </w:div>
    <w:div w:id="1927957840">
      <w:bodyDiv w:val="1"/>
      <w:marLeft w:val="0"/>
      <w:marRight w:val="0"/>
      <w:marTop w:val="0"/>
      <w:marBottom w:val="0"/>
      <w:divBdr>
        <w:top w:val="none" w:sz="0" w:space="0" w:color="auto"/>
        <w:left w:val="none" w:sz="0" w:space="0" w:color="auto"/>
        <w:bottom w:val="none" w:sz="0" w:space="0" w:color="auto"/>
        <w:right w:val="none" w:sz="0" w:space="0" w:color="auto"/>
      </w:divBdr>
      <w:divsChild>
        <w:div w:id="344555088">
          <w:marLeft w:val="274"/>
          <w:marRight w:val="0"/>
          <w:marTop w:val="60"/>
          <w:marBottom w:val="0"/>
          <w:divBdr>
            <w:top w:val="none" w:sz="0" w:space="0" w:color="auto"/>
            <w:left w:val="none" w:sz="0" w:space="0" w:color="auto"/>
            <w:bottom w:val="none" w:sz="0" w:space="0" w:color="auto"/>
            <w:right w:val="none" w:sz="0" w:space="0" w:color="auto"/>
          </w:divBdr>
        </w:div>
        <w:div w:id="525169737">
          <w:marLeft w:val="274"/>
          <w:marRight w:val="0"/>
          <w:marTop w:val="60"/>
          <w:marBottom w:val="0"/>
          <w:divBdr>
            <w:top w:val="none" w:sz="0" w:space="0" w:color="auto"/>
            <w:left w:val="none" w:sz="0" w:space="0" w:color="auto"/>
            <w:bottom w:val="none" w:sz="0" w:space="0" w:color="auto"/>
            <w:right w:val="none" w:sz="0" w:space="0" w:color="auto"/>
          </w:divBdr>
        </w:div>
        <w:div w:id="1056322552">
          <w:marLeft w:val="274"/>
          <w:marRight w:val="0"/>
          <w:marTop w:val="60"/>
          <w:marBottom w:val="0"/>
          <w:divBdr>
            <w:top w:val="none" w:sz="0" w:space="0" w:color="auto"/>
            <w:left w:val="none" w:sz="0" w:space="0" w:color="auto"/>
            <w:bottom w:val="none" w:sz="0" w:space="0" w:color="auto"/>
            <w:right w:val="none" w:sz="0" w:space="0" w:color="auto"/>
          </w:divBdr>
        </w:div>
        <w:div w:id="1296525742">
          <w:marLeft w:val="274"/>
          <w:marRight w:val="0"/>
          <w:marTop w:val="60"/>
          <w:marBottom w:val="0"/>
          <w:divBdr>
            <w:top w:val="none" w:sz="0" w:space="0" w:color="auto"/>
            <w:left w:val="none" w:sz="0" w:space="0" w:color="auto"/>
            <w:bottom w:val="none" w:sz="0" w:space="0" w:color="auto"/>
            <w:right w:val="none" w:sz="0" w:space="0" w:color="auto"/>
          </w:divBdr>
        </w:div>
        <w:div w:id="1459108607">
          <w:marLeft w:val="274"/>
          <w:marRight w:val="0"/>
          <w:marTop w:val="60"/>
          <w:marBottom w:val="0"/>
          <w:divBdr>
            <w:top w:val="none" w:sz="0" w:space="0" w:color="auto"/>
            <w:left w:val="none" w:sz="0" w:space="0" w:color="auto"/>
            <w:bottom w:val="none" w:sz="0" w:space="0" w:color="auto"/>
            <w:right w:val="none" w:sz="0" w:space="0" w:color="auto"/>
          </w:divBdr>
        </w:div>
        <w:div w:id="1773160823">
          <w:marLeft w:val="274"/>
          <w:marRight w:val="0"/>
          <w:marTop w:val="60"/>
          <w:marBottom w:val="0"/>
          <w:divBdr>
            <w:top w:val="none" w:sz="0" w:space="0" w:color="auto"/>
            <w:left w:val="none" w:sz="0" w:space="0" w:color="auto"/>
            <w:bottom w:val="none" w:sz="0" w:space="0" w:color="auto"/>
            <w:right w:val="none" w:sz="0" w:space="0" w:color="auto"/>
          </w:divBdr>
        </w:div>
        <w:div w:id="1783650589">
          <w:marLeft w:val="274"/>
          <w:marRight w:val="0"/>
          <w:marTop w:val="60"/>
          <w:marBottom w:val="0"/>
          <w:divBdr>
            <w:top w:val="none" w:sz="0" w:space="0" w:color="auto"/>
            <w:left w:val="none" w:sz="0" w:space="0" w:color="auto"/>
            <w:bottom w:val="none" w:sz="0" w:space="0" w:color="auto"/>
            <w:right w:val="none" w:sz="0" w:space="0" w:color="auto"/>
          </w:divBdr>
        </w:div>
        <w:div w:id="1832864827">
          <w:marLeft w:val="274"/>
          <w:marRight w:val="0"/>
          <w:marTop w:val="60"/>
          <w:marBottom w:val="0"/>
          <w:divBdr>
            <w:top w:val="none" w:sz="0" w:space="0" w:color="auto"/>
            <w:left w:val="none" w:sz="0" w:space="0" w:color="auto"/>
            <w:bottom w:val="none" w:sz="0" w:space="0" w:color="auto"/>
            <w:right w:val="none" w:sz="0" w:space="0" w:color="auto"/>
          </w:divBdr>
        </w:div>
        <w:div w:id="1885865423">
          <w:marLeft w:val="274"/>
          <w:marRight w:val="0"/>
          <w:marTop w:val="60"/>
          <w:marBottom w:val="0"/>
          <w:divBdr>
            <w:top w:val="none" w:sz="0" w:space="0" w:color="auto"/>
            <w:left w:val="none" w:sz="0" w:space="0" w:color="auto"/>
            <w:bottom w:val="none" w:sz="0" w:space="0" w:color="auto"/>
            <w:right w:val="none" w:sz="0" w:space="0" w:color="auto"/>
          </w:divBdr>
        </w:div>
      </w:divsChild>
    </w:div>
    <w:div w:id="1935743234">
      <w:bodyDiv w:val="1"/>
      <w:marLeft w:val="0"/>
      <w:marRight w:val="0"/>
      <w:marTop w:val="0"/>
      <w:marBottom w:val="0"/>
      <w:divBdr>
        <w:top w:val="none" w:sz="0" w:space="0" w:color="auto"/>
        <w:left w:val="none" w:sz="0" w:space="0" w:color="auto"/>
        <w:bottom w:val="none" w:sz="0" w:space="0" w:color="auto"/>
        <w:right w:val="none" w:sz="0" w:space="0" w:color="auto"/>
      </w:divBdr>
      <w:divsChild>
        <w:div w:id="389618816">
          <w:marLeft w:val="0"/>
          <w:marRight w:val="0"/>
          <w:marTop w:val="0"/>
          <w:marBottom w:val="0"/>
          <w:divBdr>
            <w:top w:val="none" w:sz="0" w:space="0" w:color="auto"/>
            <w:left w:val="none" w:sz="0" w:space="0" w:color="auto"/>
            <w:bottom w:val="none" w:sz="0" w:space="0" w:color="auto"/>
            <w:right w:val="none" w:sz="0" w:space="0" w:color="auto"/>
          </w:divBdr>
          <w:divsChild>
            <w:div w:id="1466007258">
              <w:marLeft w:val="0"/>
              <w:marRight w:val="0"/>
              <w:marTop w:val="0"/>
              <w:marBottom w:val="0"/>
              <w:divBdr>
                <w:top w:val="none" w:sz="0" w:space="0" w:color="auto"/>
                <w:left w:val="none" w:sz="0" w:space="0" w:color="auto"/>
                <w:bottom w:val="none" w:sz="0" w:space="0" w:color="auto"/>
                <w:right w:val="none" w:sz="0" w:space="0" w:color="auto"/>
              </w:divBdr>
              <w:divsChild>
                <w:div w:id="525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60347">
      <w:bodyDiv w:val="1"/>
      <w:marLeft w:val="0"/>
      <w:marRight w:val="0"/>
      <w:marTop w:val="0"/>
      <w:marBottom w:val="0"/>
      <w:divBdr>
        <w:top w:val="none" w:sz="0" w:space="0" w:color="auto"/>
        <w:left w:val="none" w:sz="0" w:space="0" w:color="auto"/>
        <w:bottom w:val="none" w:sz="0" w:space="0" w:color="auto"/>
        <w:right w:val="none" w:sz="0" w:space="0" w:color="auto"/>
      </w:divBdr>
    </w:div>
    <w:div w:id="1943949541">
      <w:bodyDiv w:val="1"/>
      <w:marLeft w:val="0"/>
      <w:marRight w:val="0"/>
      <w:marTop w:val="0"/>
      <w:marBottom w:val="0"/>
      <w:divBdr>
        <w:top w:val="none" w:sz="0" w:space="0" w:color="auto"/>
        <w:left w:val="none" w:sz="0" w:space="0" w:color="auto"/>
        <w:bottom w:val="none" w:sz="0" w:space="0" w:color="auto"/>
        <w:right w:val="none" w:sz="0" w:space="0" w:color="auto"/>
      </w:divBdr>
      <w:divsChild>
        <w:div w:id="1179345129">
          <w:marLeft w:val="0"/>
          <w:marRight w:val="0"/>
          <w:marTop w:val="0"/>
          <w:marBottom w:val="0"/>
          <w:divBdr>
            <w:top w:val="none" w:sz="0" w:space="0" w:color="auto"/>
            <w:left w:val="none" w:sz="0" w:space="0" w:color="auto"/>
            <w:bottom w:val="none" w:sz="0" w:space="0" w:color="auto"/>
            <w:right w:val="none" w:sz="0" w:space="0" w:color="auto"/>
          </w:divBdr>
        </w:div>
        <w:div w:id="1911429615">
          <w:marLeft w:val="0"/>
          <w:marRight w:val="0"/>
          <w:marTop w:val="0"/>
          <w:marBottom w:val="81"/>
          <w:divBdr>
            <w:top w:val="none" w:sz="0" w:space="0" w:color="auto"/>
            <w:left w:val="none" w:sz="0" w:space="0" w:color="auto"/>
            <w:bottom w:val="none" w:sz="0" w:space="0" w:color="auto"/>
            <w:right w:val="none" w:sz="0" w:space="0" w:color="auto"/>
          </w:divBdr>
          <w:divsChild>
            <w:div w:id="764689849">
              <w:marLeft w:val="0"/>
              <w:marRight w:val="0"/>
              <w:marTop w:val="0"/>
              <w:marBottom w:val="0"/>
              <w:divBdr>
                <w:top w:val="none" w:sz="0" w:space="0" w:color="auto"/>
                <w:left w:val="none" w:sz="0" w:space="0" w:color="auto"/>
                <w:bottom w:val="none" w:sz="0" w:space="0" w:color="auto"/>
                <w:right w:val="none" w:sz="0" w:space="0" w:color="auto"/>
              </w:divBdr>
              <w:divsChild>
                <w:div w:id="720787260">
                  <w:marLeft w:val="0"/>
                  <w:marRight w:val="0"/>
                  <w:marTop w:val="0"/>
                  <w:marBottom w:val="0"/>
                  <w:divBdr>
                    <w:top w:val="none" w:sz="0" w:space="0" w:color="auto"/>
                    <w:left w:val="none" w:sz="0" w:space="0" w:color="auto"/>
                    <w:bottom w:val="none" w:sz="0" w:space="0" w:color="auto"/>
                    <w:right w:val="none" w:sz="0" w:space="0" w:color="auto"/>
                  </w:divBdr>
                </w:div>
              </w:divsChild>
            </w:div>
            <w:div w:id="1800568442">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944455482">
      <w:bodyDiv w:val="1"/>
      <w:marLeft w:val="0"/>
      <w:marRight w:val="0"/>
      <w:marTop w:val="0"/>
      <w:marBottom w:val="0"/>
      <w:divBdr>
        <w:top w:val="none" w:sz="0" w:space="0" w:color="auto"/>
        <w:left w:val="none" w:sz="0" w:space="0" w:color="auto"/>
        <w:bottom w:val="none" w:sz="0" w:space="0" w:color="auto"/>
        <w:right w:val="none" w:sz="0" w:space="0" w:color="auto"/>
      </w:divBdr>
    </w:div>
    <w:div w:id="1945964265">
      <w:bodyDiv w:val="1"/>
      <w:marLeft w:val="0"/>
      <w:marRight w:val="0"/>
      <w:marTop w:val="0"/>
      <w:marBottom w:val="0"/>
      <w:divBdr>
        <w:top w:val="none" w:sz="0" w:space="0" w:color="auto"/>
        <w:left w:val="none" w:sz="0" w:space="0" w:color="auto"/>
        <w:bottom w:val="none" w:sz="0" w:space="0" w:color="auto"/>
        <w:right w:val="none" w:sz="0" w:space="0" w:color="auto"/>
      </w:divBdr>
    </w:div>
    <w:div w:id="1950621932">
      <w:bodyDiv w:val="1"/>
      <w:marLeft w:val="0"/>
      <w:marRight w:val="0"/>
      <w:marTop w:val="0"/>
      <w:marBottom w:val="0"/>
      <w:divBdr>
        <w:top w:val="none" w:sz="0" w:space="0" w:color="auto"/>
        <w:left w:val="none" w:sz="0" w:space="0" w:color="auto"/>
        <w:bottom w:val="none" w:sz="0" w:space="0" w:color="auto"/>
        <w:right w:val="none" w:sz="0" w:space="0" w:color="auto"/>
      </w:divBdr>
    </w:div>
    <w:div w:id="1954748752">
      <w:bodyDiv w:val="1"/>
      <w:marLeft w:val="0"/>
      <w:marRight w:val="0"/>
      <w:marTop w:val="0"/>
      <w:marBottom w:val="0"/>
      <w:divBdr>
        <w:top w:val="none" w:sz="0" w:space="0" w:color="auto"/>
        <w:left w:val="none" w:sz="0" w:space="0" w:color="auto"/>
        <w:bottom w:val="none" w:sz="0" w:space="0" w:color="auto"/>
        <w:right w:val="none" w:sz="0" w:space="0" w:color="auto"/>
      </w:divBdr>
      <w:divsChild>
        <w:div w:id="461190090">
          <w:marLeft w:val="1181"/>
          <w:marRight w:val="0"/>
          <w:marTop w:val="168"/>
          <w:marBottom w:val="0"/>
          <w:divBdr>
            <w:top w:val="none" w:sz="0" w:space="0" w:color="auto"/>
            <w:left w:val="none" w:sz="0" w:space="0" w:color="auto"/>
            <w:bottom w:val="none" w:sz="0" w:space="0" w:color="auto"/>
            <w:right w:val="none" w:sz="0" w:space="0" w:color="auto"/>
          </w:divBdr>
        </w:div>
        <w:div w:id="569924978">
          <w:marLeft w:val="475"/>
          <w:marRight w:val="0"/>
          <w:marTop w:val="168"/>
          <w:marBottom w:val="0"/>
          <w:divBdr>
            <w:top w:val="none" w:sz="0" w:space="0" w:color="auto"/>
            <w:left w:val="none" w:sz="0" w:space="0" w:color="auto"/>
            <w:bottom w:val="none" w:sz="0" w:space="0" w:color="auto"/>
            <w:right w:val="none" w:sz="0" w:space="0" w:color="auto"/>
          </w:divBdr>
        </w:div>
        <w:div w:id="775906241">
          <w:marLeft w:val="475"/>
          <w:marRight w:val="0"/>
          <w:marTop w:val="168"/>
          <w:marBottom w:val="0"/>
          <w:divBdr>
            <w:top w:val="none" w:sz="0" w:space="0" w:color="auto"/>
            <w:left w:val="none" w:sz="0" w:space="0" w:color="auto"/>
            <w:bottom w:val="none" w:sz="0" w:space="0" w:color="auto"/>
            <w:right w:val="none" w:sz="0" w:space="0" w:color="auto"/>
          </w:divBdr>
        </w:div>
        <w:div w:id="1052731890">
          <w:marLeft w:val="475"/>
          <w:marRight w:val="0"/>
          <w:marTop w:val="168"/>
          <w:marBottom w:val="0"/>
          <w:divBdr>
            <w:top w:val="none" w:sz="0" w:space="0" w:color="auto"/>
            <w:left w:val="none" w:sz="0" w:space="0" w:color="auto"/>
            <w:bottom w:val="none" w:sz="0" w:space="0" w:color="auto"/>
            <w:right w:val="none" w:sz="0" w:space="0" w:color="auto"/>
          </w:divBdr>
        </w:div>
        <w:div w:id="1054037182">
          <w:marLeft w:val="1181"/>
          <w:marRight w:val="0"/>
          <w:marTop w:val="168"/>
          <w:marBottom w:val="0"/>
          <w:divBdr>
            <w:top w:val="none" w:sz="0" w:space="0" w:color="auto"/>
            <w:left w:val="none" w:sz="0" w:space="0" w:color="auto"/>
            <w:bottom w:val="none" w:sz="0" w:space="0" w:color="auto"/>
            <w:right w:val="none" w:sz="0" w:space="0" w:color="auto"/>
          </w:divBdr>
        </w:div>
        <w:div w:id="1541163660">
          <w:marLeft w:val="1181"/>
          <w:marRight w:val="0"/>
          <w:marTop w:val="168"/>
          <w:marBottom w:val="0"/>
          <w:divBdr>
            <w:top w:val="none" w:sz="0" w:space="0" w:color="auto"/>
            <w:left w:val="none" w:sz="0" w:space="0" w:color="auto"/>
            <w:bottom w:val="none" w:sz="0" w:space="0" w:color="auto"/>
            <w:right w:val="none" w:sz="0" w:space="0" w:color="auto"/>
          </w:divBdr>
        </w:div>
        <w:div w:id="2047171612">
          <w:marLeft w:val="475"/>
          <w:marRight w:val="0"/>
          <w:marTop w:val="168"/>
          <w:marBottom w:val="0"/>
          <w:divBdr>
            <w:top w:val="none" w:sz="0" w:space="0" w:color="auto"/>
            <w:left w:val="none" w:sz="0" w:space="0" w:color="auto"/>
            <w:bottom w:val="none" w:sz="0" w:space="0" w:color="auto"/>
            <w:right w:val="none" w:sz="0" w:space="0" w:color="auto"/>
          </w:divBdr>
        </w:div>
      </w:divsChild>
    </w:div>
    <w:div w:id="1955670486">
      <w:bodyDiv w:val="1"/>
      <w:marLeft w:val="0"/>
      <w:marRight w:val="0"/>
      <w:marTop w:val="0"/>
      <w:marBottom w:val="0"/>
      <w:divBdr>
        <w:top w:val="none" w:sz="0" w:space="0" w:color="auto"/>
        <w:left w:val="none" w:sz="0" w:space="0" w:color="auto"/>
        <w:bottom w:val="none" w:sz="0" w:space="0" w:color="auto"/>
        <w:right w:val="none" w:sz="0" w:space="0" w:color="auto"/>
      </w:divBdr>
    </w:div>
    <w:div w:id="1956206990">
      <w:bodyDiv w:val="1"/>
      <w:marLeft w:val="0"/>
      <w:marRight w:val="0"/>
      <w:marTop w:val="0"/>
      <w:marBottom w:val="0"/>
      <w:divBdr>
        <w:top w:val="none" w:sz="0" w:space="0" w:color="auto"/>
        <w:left w:val="none" w:sz="0" w:space="0" w:color="auto"/>
        <w:bottom w:val="none" w:sz="0" w:space="0" w:color="auto"/>
        <w:right w:val="none" w:sz="0" w:space="0" w:color="auto"/>
      </w:divBdr>
    </w:div>
    <w:div w:id="1957174530">
      <w:bodyDiv w:val="1"/>
      <w:marLeft w:val="0"/>
      <w:marRight w:val="0"/>
      <w:marTop w:val="0"/>
      <w:marBottom w:val="0"/>
      <w:divBdr>
        <w:top w:val="none" w:sz="0" w:space="0" w:color="auto"/>
        <w:left w:val="none" w:sz="0" w:space="0" w:color="auto"/>
        <w:bottom w:val="none" w:sz="0" w:space="0" w:color="auto"/>
        <w:right w:val="none" w:sz="0" w:space="0" w:color="auto"/>
      </w:divBdr>
    </w:div>
    <w:div w:id="1957327155">
      <w:bodyDiv w:val="1"/>
      <w:marLeft w:val="0"/>
      <w:marRight w:val="0"/>
      <w:marTop w:val="0"/>
      <w:marBottom w:val="0"/>
      <w:divBdr>
        <w:top w:val="none" w:sz="0" w:space="0" w:color="auto"/>
        <w:left w:val="none" w:sz="0" w:space="0" w:color="auto"/>
        <w:bottom w:val="none" w:sz="0" w:space="0" w:color="auto"/>
        <w:right w:val="none" w:sz="0" w:space="0" w:color="auto"/>
      </w:divBdr>
    </w:div>
    <w:div w:id="1960866850">
      <w:bodyDiv w:val="1"/>
      <w:marLeft w:val="0"/>
      <w:marRight w:val="0"/>
      <w:marTop w:val="0"/>
      <w:marBottom w:val="0"/>
      <w:divBdr>
        <w:top w:val="none" w:sz="0" w:space="0" w:color="auto"/>
        <w:left w:val="none" w:sz="0" w:space="0" w:color="auto"/>
        <w:bottom w:val="none" w:sz="0" w:space="0" w:color="auto"/>
        <w:right w:val="none" w:sz="0" w:space="0" w:color="auto"/>
      </w:divBdr>
    </w:div>
    <w:div w:id="1969706040">
      <w:bodyDiv w:val="1"/>
      <w:marLeft w:val="0"/>
      <w:marRight w:val="0"/>
      <w:marTop w:val="0"/>
      <w:marBottom w:val="0"/>
      <w:divBdr>
        <w:top w:val="none" w:sz="0" w:space="0" w:color="auto"/>
        <w:left w:val="none" w:sz="0" w:space="0" w:color="auto"/>
        <w:bottom w:val="none" w:sz="0" w:space="0" w:color="auto"/>
        <w:right w:val="none" w:sz="0" w:space="0" w:color="auto"/>
      </w:divBdr>
    </w:div>
    <w:div w:id="1970277232">
      <w:bodyDiv w:val="1"/>
      <w:marLeft w:val="0"/>
      <w:marRight w:val="0"/>
      <w:marTop w:val="0"/>
      <w:marBottom w:val="0"/>
      <w:divBdr>
        <w:top w:val="none" w:sz="0" w:space="0" w:color="auto"/>
        <w:left w:val="none" w:sz="0" w:space="0" w:color="auto"/>
        <w:bottom w:val="none" w:sz="0" w:space="0" w:color="auto"/>
        <w:right w:val="none" w:sz="0" w:space="0" w:color="auto"/>
      </w:divBdr>
    </w:div>
    <w:div w:id="1980841632">
      <w:bodyDiv w:val="1"/>
      <w:marLeft w:val="0"/>
      <w:marRight w:val="0"/>
      <w:marTop w:val="0"/>
      <w:marBottom w:val="0"/>
      <w:divBdr>
        <w:top w:val="none" w:sz="0" w:space="0" w:color="auto"/>
        <w:left w:val="none" w:sz="0" w:space="0" w:color="auto"/>
        <w:bottom w:val="none" w:sz="0" w:space="0" w:color="auto"/>
        <w:right w:val="none" w:sz="0" w:space="0" w:color="auto"/>
      </w:divBdr>
    </w:div>
    <w:div w:id="1987588701">
      <w:bodyDiv w:val="1"/>
      <w:marLeft w:val="0"/>
      <w:marRight w:val="0"/>
      <w:marTop w:val="0"/>
      <w:marBottom w:val="0"/>
      <w:divBdr>
        <w:top w:val="none" w:sz="0" w:space="0" w:color="auto"/>
        <w:left w:val="none" w:sz="0" w:space="0" w:color="auto"/>
        <w:bottom w:val="none" w:sz="0" w:space="0" w:color="auto"/>
        <w:right w:val="none" w:sz="0" w:space="0" w:color="auto"/>
      </w:divBdr>
    </w:div>
    <w:div w:id="1992557301">
      <w:bodyDiv w:val="1"/>
      <w:marLeft w:val="0"/>
      <w:marRight w:val="0"/>
      <w:marTop w:val="0"/>
      <w:marBottom w:val="0"/>
      <w:divBdr>
        <w:top w:val="none" w:sz="0" w:space="0" w:color="auto"/>
        <w:left w:val="none" w:sz="0" w:space="0" w:color="auto"/>
        <w:bottom w:val="none" w:sz="0" w:space="0" w:color="auto"/>
        <w:right w:val="none" w:sz="0" w:space="0" w:color="auto"/>
      </w:divBdr>
    </w:div>
    <w:div w:id="1994288404">
      <w:bodyDiv w:val="1"/>
      <w:marLeft w:val="0"/>
      <w:marRight w:val="0"/>
      <w:marTop w:val="0"/>
      <w:marBottom w:val="0"/>
      <w:divBdr>
        <w:top w:val="none" w:sz="0" w:space="0" w:color="auto"/>
        <w:left w:val="none" w:sz="0" w:space="0" w:color="auto"/>
        <w:bottom w:val="none" w:sz="0" w:space="0" w:color="auto"/>
        <w:right w:val="none" w:sz="0" w:space="0" w:color="auto"/>
      </w:divBdr>
    </w:div>
    <w:div w:id="1995256957">
      <w:bodyDiv w:val="1"/>
      <w:marLeft w:val="0"/>
      <w:marRight w:val="0"/>
      <w:marTop w:val="0"/>
      <w:marBottom w:val="0"/>
      <w:divBdr>
        <w:top w:val="none" w:sz="0" w:space="0" w:color="auto"/>
        <w:left w:val="none" w:sz="0" w:space="0" w:color="auto"/>
        <w:bottom w:val="none" w:sz="0" w:space="0" w:color="auto"/>
        <w:right w:val="none" w:sz="0" w:space="0" w:color="auto"/>
      </w:divBdr>
    </w:div>
    <w:div w:id="2004048490">
      <w:bodyDiv w:val="1"/>
      <w:marLeft w:val="0"/>
      <w:marRight w:val="0"/>
      <w:marTop w:val="0"/>
      <w:marBottom w:val="0"/>
      <w:divBdr>
        <w:top w:val="none" w:sz="0" w:space="0" w:color="auto"/>
        <w:left w:val="none" w:sz="0" w:space="0" w:color="auto"/>
        <w:bottom w:val="none" w:sz="0" w:space="0" w:color="auto"/>
        <w:right w:val="none" w:sz="0" w:space="0" w:color="auto"/>
      </w:divBdr>
    </w:div>
    <w:div w:id="2012679321">
      <w:bodyDiv w:val="1"/>
      <w:marLeft w:val="0"/>
      <w:marRight w:val="0"/>
      <w:marTop w:val="0"/>
      <w:marBottom w:val="0"/>
      <w:divBdr>
        <w:top w:val="none" w:sz="0" w:space="0" w:color="auto"/>
        <w:left w:val="none" w:sz="0" w:space="0" w:color="auto"/>
        <w:bottom w:val="none" w:sz="0" w:space="0" w:color="auto"/>
        <w:right w:val="none" w:sz="0" w:space="0" w:color="auto"/>
      </w:divBdr>
    </w:div>
    <w:div w:id="2015262662">
      <w:bodyDiv w:val="1"/>
      <w:marLeft w:val="0"/>
      <w:marRight w:val="0"/>
      <w:marTop w:val="0"/>
      <w:marBottom w:val="0"/>
      <w:divBdr>
        <w:top w:val="none" w:sz="0" w:space="0" w:color="auto"/>
        <w:left w:val="none" w:sz="0" w:space="0" w:color="auto"/>
        <w:bottom w:val="none" w:sz="0" w:space="0" w:color="auto"/>
        <w:right w:val="none" w:sz="0" w:space="0" w:color="auto"/>
      </w:divBdr>
    </w:div>
    <w:div w:id="2017418785">
      <w:bodyDiv w:val="1"/>
      <w:marLeft w:val="0"/>
      <w:marRight w:val="0"/>
      <w:marTop w:val="0"/>
      <w:marBottom w:val="0"/>
      <w:divBdr>
        <w:top w:val="none" w:sz="0" w:space="0" w:color="auto"/>
        <w:left w:val="none" w:sz="0" w:space="0" w:color="auto"/>
        <w:bottom w:val="none" w:sz="0" w:space="0" w:color="auto"/>
        <w:right w:val="none" w:sz="0" w:space="0" w:color="auto"/>
      </w:divBdr>
    </w:div>
    <w:div w:id="2027707015">
      <w:bodyDiv w:val="1"/>
      <w:marLeft w:val="0"/>
      <w:marRight w:val="0"/>
      <w:marTop w:val="0"/>
      <w:marBottom w:val="0"/>
      <w:divBdr>
        <w:top w:val="none" w:sz="0" w:space="0" w:color="auto"/>
        <w:left w:val="none" w:sz="0" w:space="0" w:color="auto"/>
        <w:bottom w:val="none" w:sz="0" w:space="0" w:color="auto"/>
        <w:right w:val="none" w:sz="0" w:space="0" w:color="auto"/>
      </w:divBdr>
    </w:div>
    <w:div w:id="2029598753">
      <w:bodyDiv w:val="1"/>
      <w:marLeft w:val="0"/>
      <w:marRight w:val="0"/>
      <w:marTop w:val="0"/>
      <w:marBottom w:val="0"/>
      <w:divBdr>
        <w:top w:val="none" w:sz="0" w:space="0" w:color="auto"/>
        <w:left w:val="none" w:sz="0" w:space="0" w:color="auto"/>
        <w:bottom w:val="none" w:sz="0" w:space="0" w:color="auto"/>
        <w:right w:val="none" w:sz="0" w:space="0" w:color="auto"/>
      </w:divBdr>
    </w:div>
    <w:div w:id="2036492816">
      <w:bodyDiv w:val="1"/>
      <w:marLeft w:val="0"/>
      <w:marRight w:val="0"/>
      <w:marTop w:val="0"/>
      <w:marBottom w:val="0"/>
      <w:divBdr>
        <w:top w:val="none" w:sz="0" w:space="0" w:color="auto"/>
        <w:left w:val="none" w:sz="0" w:space="0" w:color="auto"/>
        <w:bottom w:val="none" w:sz="0" w:space="0" w:color="auto"/>
        <w:right w:val="none" w:sz="0" w:space="0" w:color="auto"/>
      </w:divBdr>
    </w:div>
    <w:div w:id="2036495257">
      <w:bodyDiv w:val="1"/>
      <w:marLeft w:val="0"/>
      <w:marRight w:val="0"/>
      <w:marTop w:val="0"/>
      <w:marBottom w:val="0"/>
      <w:divBdr>
        <w:top w:val="none" w:sz="0" w:space="0" w:color="auto"/>
        <w:left w:val="none" w:sz="0" w:space="0" w:color="auto"/>
        <w:bottom w:val="none" w:sz="0" w:space="0" w:color="auto"/>
        <w:right w:val="none" w:sz="0" w:space="0" w:color="auto"/>
      </w:divBdr>
      <w:divsChild>
        <w:div w:id="430246868">
          <w:marLeft w:val="1829"/>
          <w:marRight w:val="0"/>
          <w:marTop w:val="144"/>
          <w:marBottom w:val="0"/>
          <w:divBdr>
            <w:top w:val="none" w:sz="0" w:space="0" w:color="auto"/>
            <w:left w:val="none" w:sz="0" w:space="0" w:color="auto"/>
            <w:bottom w:val="none" w:sz="0" w:space="0" w:color="auto"/>
            <w:right w:val="none" w:sz="0" w:space="0" w:color="auto"/>
          </w:divBdr>
        </w:div>
        <w:div w:id="1015496954">
          <w:marLeft w:val="1181"/>
          <w:marRight w:val="0"/>
          <w:marTop w:val="168"/>
          <w:marBottom w:val="0"/>
          <w:divBdr>
            <w:top w:val="none" w:sz="0" w:space="0" w:color="auto"/>
            <w:left w:val="none" w:sz="0" w:space="0" w:color="auto"/>
            <w:bottom w:val="none" w:sz="0" w:space="0" w:color="auto"/>
            <w:right w:val="none" w:sz="0" w:space="0" w:color="auto"/>
          </w:divBdr>
        </w:div>
        <w:div w:id="1051197888">
          <w:marLeft w:val="475"/>
          <w:marRight w:val="0"/>
          <w:marTop w:val="168"/>
          <w:marBottom w:val="0"/>
          <w:divBdr>
            <w:top w:val="none" w:sz="0" w:space="0" w:color="auto"/>
            <w:left w:val="none" w:sz="0" w:space="0" w:color="auto"/>
            <w:bottom w:val="none" w:sz="0" w:space="0" w:color="auto"/>
            <w:right w:val="none" w:sz="0" w:space="0" w:color="auto"/>
          </w:divBdr>
        </w:div>
        <w:div w:id="1287735591">
          <w:marLeft w:val="475"/>
          <w:marRight w:val="0"/>
          <w:marTop w:val="168"/>
          <w:marBottom w:val="0"/>
          <w:divBdr>
            <w:top w:val="none" w:sz="0" w:space="0" w:color="auto"/>
            <w:left w:val="none" w:sz="0" w:space="0" w:color="auto"/>
            <w:bottom w:val="none" w:sz="0" w:space="0" w:color="auto"/>
            <w:right w:val="none" w:sz="0" w:space="0" w:color="auto"/>
          </w:divBdr>
        </w:div>
        <w:div w:id="1307853518">
          <w:marLeft w:val="1829"/>
          <w:marRight w:val="0"/>
          <w:marTop w:val="144"/>
          <w:marBottom w:val="0"/>
          <w:divBdr>
            <w:top w:val="none" w:sz="0" w:space="0" w:color="auto"/>
            <w:left w:val="none" w:sz="0" w:space="0" w:color="auto"/>
            <w:bottom w:val="none" w:sz="0" w:space="0" w:color="auto"/>
            <w:right w:val="none" w:sz="0" w:space="0" w:color="auto"/>
          </w:divBdr>
        </w:div>
        <w:div w:id="1772234524">
          <w:marLeft w:val="1181"/>
          <w:marRight w:val="0"/>
          <w:marTop w:val="168"/>
          <w:marBottom w:val="0"/>
          <w:divBdr>
            <w:top w:val="none" w:sz="0" w:space="0" w:color="auto"/>
            <w:left w:val="none" w:sz="0" w:space="0" w:color="auto"/>
            <w:bottom w:val="none" w:sz="0" w:space="0" w:color="auto"/>
            <w:right w:val="none" w:sz="0" w:space="0" w:color="auto"/>
          </w:divBdr>
        </w:div>
        <w:div w:id="1819573323">
          <w:marLeft w:val="1829"/>
          <w:marRight w:val="0"/>
          <w:marTop w:val="144"/>
          <w:marBottom w:val="0"/>
          <w:divBdr>
            <w:top w:val="none" w:sz="0" w:space="0" w:color="auto"/>
            <w:left w:val="none" w:sz="0" w:space="0" w:color="auto"/>
            <w:bottom w:val="none" w:sz="0" w:space="0" w:color="auto"/>
            <w:right w:val="none" w:sz="0" w:space="0" w:color="auto"/>
          </w:divBdr>
        </w:div>
        <w:div w:id="1867982440">
          <w:marLeft w:val="1181"/>
          <w:marRight w:val="0"/>
          <w:marTop w:val="168"/>
          <w:marBottom w:val="0"/>
          <w:divBdr>
            <w:top w:val="none" w:sz="0" w:space="0" w:color="auto"/>
            <w:left w:val="none" w:sz="0" w:space="0" w:color="auto"/>
            <w:bottom w:val="none" w:sz="0" w:space="0" w:color="auto"/>
            <w:right w:val="none" w:sz="0" w:space="0" w:color="auto"/>
          </w:divBdr>
        </w:div>
        <w:div w:id="2044863194">
          <w:marLeft w:val="1829"/>
          <w:marRight w:val="0"/>
          <w:marTop w:val="144"/>
          <w:marBottom w:val="0"/>
          <w:divBdr>
            <w:top w:val="none" w:sz="0" w:space="0" w:color="auto"/>
            <w:left w:val="none" w:sz="0" w:space="0" w:color="auto"/>
            <w:bottom w:val="none" w:sz="0" w:space="0" w:color="auto"/>
            <w:right w:val="none" w:sz="0" w:space="0" w:color="auto"/>
          </w:divBdr>
        </w:div>
      </w:divsChild>
    </w:div>
    <w:div w:id="2041320536">
      <w:bodyDiv w:val="1"/>
      <w:marLeft w:val="0"/>
      <w:marRight w:val="0"/>
      <w:marTop w:val="0"/>
      <w:marBottom w:val="0"/>
      <w:divBdr>
        <w:top w:val="none" w:sz="0" w:space="0" w:color="auto"/>
        <w:left w:val="none" w:sz="0" w:space="0" w:color="auto"/>
        <w:bottom w:val="none" w:sz="0" w:space="0" w:color="auto"/>
        <w:right w:val="none" w:sz="0" w:space="0" w:color="auto"/>
      </w:divBdr>
    </w:div>
    <w:div w:id="2047441094">
      <w:bodyDiv w:val="1"/>
      <w:marLeft w:val="0"/>
      <w:marRight w:val="0"/>
      <w:marTop w:val="0"/>
      <w:marBottom w:val="0"/>
      <w:divBdr>
        <w:top w:val="none" w:sz="0" w:space="0" w:color="auto"/>
        <w:left w:val="none" w:sz="0" w:space="0" w:color="auto"/>
        <w:bottom w:val="none" w:sz="0" w:space="0" w:color="auto"/>
        <w:right w:val="none" w:sz="0" w:space="0" w:color="auto"/>
      </w:divBdr>
    </w:div>
    <w:div w:id="2048024465">
      <w:bodyDiv w:val="1"/>
      <w:marLeft w:val="0"/>
      <w:marRight w:val="0"/>
      <w:marTop w:val="0"/>
      <w:marBottom w:val="0"/>
      <w:divBdr>
        <w:top w:val="none" w:sz="0" w:space="0" w:color="auto"/>
        <w:left w:val="none" w:sz="0" w:space="0" w:color="auto"/>
        <w:bottom w:val="none" w:sz="0" w:space="0" w:color="auto"/>
        <w:right w:val="none" w:sz="0" w:space="0" w:color="auto"/>
      </w:divBdr>
    </w:div>
    <w:div w:id="2048984596">
      <w:bodyDiv w:val="1"/>
      <w:marLeft w:val="0"/>
      <w:marRight w:val="0"/>
      <w:marTop w:val="0"/>
      <w:marBottom w:val="0"/>
      <w:divBdr>
        <w:top w:val="none" w:sz="0" w:space="0" w:color="auto"/>
        <w:left w:val="none" w:sz="0" w:space="0" w:color="auto"/>
        <w:bottom w:val="none" w:sz="0" w:space="0" w:color="auto"/>
        <w:right w:val="none" w:sz="0" w:space="0" w:color="auto"/>
      </w:divBdr>
    </w:div>
    <w:div w:id="2049184689">
      <w:bodyDiv w:val="1"/>
      <w:marLeft w:val="0"/>
      <w:marRight w:val="0"/>
      <w:marTop w:val="0"/>
      <w:marBottom w:val="0"/>
      <w:divBdr>
        <w:top w:val="none" w:sz="0" w:space="0" w:color="auto"/>
        <w:left w:val="none" w:sz="0" w:space="0" w:color="auto"/>
        <w:bottom w:val="none" w:sz="0" w:space="0" w:color="auto"/>
        <w:right w:val="none" w:sz="0" w:space="0" w:color="auto"/>
      </w:divBdr>
    </w:div>
    <w:div w:id="2049908296">
      <w:bodyDiv w:val="1"/>
      <w:marLeft w:val="0"/>
      <w:marRight w:val="0"/>
      <w:marTop w:val="0"/>
      <w:marBottom w:val="0"/>
      <w:divBdr>
        <w:top w:val="none" w:sz="0" w:space="0" w:color="auto"/>
        <w:left w:val="none" w:sz="0" w:space="0" w:color="auto"/>
        <w:bottom w:val="none" w:sz="0" w:space="0" w:color="auto"/>
        <w:right w:val="none" w:sz="0" w:space="0" w:color="auto"/>
      </w:divBdr>
    </w:div>
    <w:div w:id="2056854239">
      <w:marLeft w:val="0"/>
      <w:marRight w:val="0"/>
      <w:marTop w:val="0"/>
      <w:marBottom w:val="0"/>
      <w:divBdr>
        <w:top w:val="none" w:sz="0" w:space="0" w:color="auto"/>
        <w:left w:val="none" w:sz="0" w:space="0" w:color="auto"/>
        <w:bottom w:val="none" w:sz="0" w:space="0" w:color="auto"/>
        <w:right w:val="none" w:sz="0" w:space="0" w:color="auto"/>
      </w:divBdr>
    </w:div>
    <w:div w:id="2061853875">
      <w:bodyDiv w:val="1"/>
      <w:marLeft w:val="0"/>
      <w:marRight w:val="0"/>
      <w:marTop w:val="0"/>
      <w:marBottom w:val="0"/>
      <w:divBdr>
        <w:top w:val="none" w:sz="0" w:space="0" w:color="auto"/>
        <w:left w:val="none" w:sz="0" w:space="0" w:color="auto"/>
        <w:bottom w:val="none" w:sz="0" w:space="0" w:color="auto"/>
        <w:right w:val="none" w:sz="0" w:space="0" w:color="auto"/>
      </w:divBdr>
      <w:divsChild>
        <w:div w:id="724833194">
          <w:marLeft w:val="274"/>
          <w:marRight w:val="0"/>
          <w:marTop w:val="60"/>
          <w:marBottom w:val="0"/>
          <w:divBdr>
            <w:top w:val="none" w:sz="0" w:space="0" w:color="auto"/>
            <w:left w:val="none" w:sz="0" w:space="0" w:color="auto"/>
            <w:bottom w:val="none" w:sz="0" w:space="0" w:color="auto"/>
            <w:right w:val="none" w:sz="0" w:space="0" w:color="auto"/>
          </w:divBdr>
        </w:div>
        <w:div w:id="1328897840">
          <w:marLeft w:val="274"/>
          <w:marRight w:val="0"/>
          <w:marTop w:val="60"/>
          <w:marBottom w:val="0"/>
          <w:divBdr>
            <w:top w:val="none" w:sz="0" w:space="0" w:color="auto"/>
            <w:left w:val="none" w:sz="0" w:space="0" w:color="auto"/>
            <w:bottom w:val="none" w:sz="0" w:space="0" w:color="auto"/>
            <w:right w:val="none" w:sz="0" w:space="0" w:color="auto"/>
          </w:divBdr>
        </w:div>
        <w:div w:id="1578711534">
          <w:marLeft w:val="274"/>
          <w:marRight w:val="0"/>
          <w:marTop w:val="60"/>
          <w:marBottom w:val="0"/>
          <w:divBdr>
            <w:top w:val="none" w:sz="0" w:space="0" w:color="auto"/>
            <w:left w:val="none" w:sz="0" w:space="0" w:color="auto"/>
            <w:bottom w:val="none" w:sz="0" w:space="0" w:color="auto"/>
            <w:right w:val="none" w:sz="0" w:space="0" w:color="auto"/>
          </w:divBdr>
        </w:div>
        <w:div w:id="1912080953">
          <w:marLeft w:val="274"/>
          <w:marRight w:val="0"/>
          <w:marTop w:val="20"/>
          <w:marBottom w:val="0"/>
          <w:divBdr>
            <w:top w:val="none" w:sz="0" w:space="0" w:color="auto"/>
            <w:left w:val="none" w:sz="0" w:space="0" w:color="auto"/>
            <w:bottom w:val="none" w:sz="0" w:space="0" w:color="auto"/>
            <w:right w:val="none" w:sz="0" w:space="0" w:color="auto"/>
          </w:divBdr>
        </w:div>
        <w:div w:id="2042432201">
          <w:marLeft w:val="274"/>
          <w:marRight w:val="0"/>
          <w:marTop w:val="60"/>
          <w:marBottom w:val="0"/>
          <w:divBdr>
            <w:top w:val="none" w:sz="0" w:space="0" w:color="auto"/>
            <w:left w:val="none" w:sz="0" w:space="0" w:color="auto"/>
            <w:bottom w:val="none" w:sz="0" w:space="0" w:color="auto"/>
            <w:right w:val="none" w:sz="0" w:space="0" w:color="auto"/>
          </w:divBdr>
        </w:div>
        <w:div w:id="2081098272">
          <w:marLeft w:val="274"/>
          <w:marRight w:val="0"/>
          <w:marTop w:val="60"/>
          <w:marBottom w:val="0"/>
          <w:divBdr>
            <w:top w:val="none" w:sz="0" w:space="0" w:color="auto"/>
            <w:left w:val="none" w:sz="0" w:space="0" w:color="auto"/>
            <w:bottom w:val="none" w:sz="0" w:space="0" w:color="auto"/>
            <w:right w:val="none" w:sz="0" w:space="0" w:color="auto"/>
          </w:divBdr>
        </w:div>
      </w:divsChild>
    </w:div>
    <w:div w:id="2064282574">
      <w:bodyDiv w:val="1"/>
      <w:marLeft w:val="0"/>
      <w:marRight w:val="0"/>
      <w:marTop w:val="0"/>
      <w:marBottom w:val="0"/>
      <w:divBdr>
        <w:top w:val="none" w:sz="0" w:space="0" w:color="auto"/>
        <w:left w:val="none" w:sz="0" w:space="0" w:color="auto"/>
        <w:bottom w:val="none" w:sz="0" w:space="0" w:color="auto"/>
        <w:right w:val="none" w:sz="0" w:space="0" w:color="auto"/>
      </w:divBdr>
    </w:div>
    <w:div w:id="2070878988">
      <w:bodyDiv w:val="1"/>
      <w:marLeft w:val="0"/>
      <w:marRight w:val="0"/>
      <w:marTop w:val="0"/>
      <w:marBottom w:val="0"/>
      <w:divBdr>
        <w:top w:val="none" w:sz="0" w:space="0" w:color="auto"/>
        <w:left w:val="none" w:sz="0" w:space="0" w:color="auto"/>
        <w:bottom w:val="none" w:sz="0" w:space="0" w:color="auto"/>
        <w:right w:val="none" w:sz="0" w:space="0" w:color="auto"/>
      </w:divBdr>
    </w:div>
    <w:div w:id="2073574159">
      <w:bodyDiv w:val="1"/>
      <w:marLeft w:val="0"/>
      <w:marRight w:val="0"/>
      <w:marTop w:val="0"/>
      <w:marBottom w:val="0"/>
      <w:divBdr>
        <w:top w:val="none" w:sz="0" w:space="0" w:color="auto"/>
        <w:left w:val="none" w:sz="0" w:space="0" w:color="auto"/>
        <w:bottom w:val="none" w:sz="0" w:space="0" w:color="auto"/>
        <w:right w:val="none" w:sz="0" w:space="0" w:color="auto"/>
      </w:divBdr>
    </w:div>
    <w:div w:id="2074765596">
      <w:bodyDiv w:val="1"/>
      <w:marLeft w:val="0"/>
      <w:marRight w:val="0"/>
      <w:marTop w:val="0"/>
      <w:marBottom w:val="0"/>
      <w:divBdr>
        <w:top w:val="none" w:sz="0" w:space="0" w:color="auto"/>
        <w:left w:val="none" w:sz="0" w:space="0" w:color="auto"/>
        <w:bottom w:val="none" w:sz="0" w:space="0" w:color="auto"/>
        <w:right w:val="none" w:sz="0" w:space="0" w:color="auto"/>
      </w:divBdr>
    </w:div>
    <w:div w:id="2076660392">
      <w:bodyDiv w:val="1"/>
      <w:marLeft w:val="0"/>
      <w:marRight w:val="0"/>
      <w:marTop w:val="0"/>
      <w:marBottom w:val="0"/>
      <w:divBdr>
        <w:top w:val="none" w:sz="0" w:space="0" w:color="auto"/>
        <w:left w:val="none" w:sz="0" w:space="0" w:color="auto"/>
        <w:bottom w:val="none" w:sz="0" w:space="0" w:color="auto"/>
        <w:right w:val="none" w:sz="0" w:space="0" w:color="auto"/>
      </w:divBdr>
    </w:div>
    <w:div w:id="2077435744">
      <w:bodyDiv w:val="1"/>
      <w:marLeft w:val="0"/>
      <w:marRight w:val="0"/>
      <w:marTop w:val="0"/>
      <w:marBottom w:val="0"/>
      <w:divBdr>
        <w:top w:val="none" w:sz="0" w:space="0" w:color="auto"/>
        <w:left w:val="none" w:sz="0" w:space="0" w:color="auto"/>
        <w:bottom w:val="none" w:sz="0" w:space="0" w:color="auto"/>
        <w:right w:val="none" w:sz="0" w:space="0" w:color="auto"/>
      </w:divBdr>
    </w:div>
    <w:div w:id="2079089223">
      <w:bodyDiv w:val="1"/>
      <w:marLeft w:val="0"/>
      <w:marRight w:val="0"/>
      <w:marTop w:val="0"/>
      <w:marBottom w:val="0"/>
      <w:divBdr>
        <w:top w:val="none" w:sz="0" w:space="0" w:color="auto"/>
        <w:left w:val="none" w:sz="0" w:space="0" w:color="auto"/>
        <w:bottom w:val="none" w:sz="0" w:space="0" w:color="auto"/>
        <w:right w:val="none" w:sz="0" w:space="0" w:color="auto"/>
      </w:divBdr>
    </w:div>
    <w:div w:id="2081173002">
      <w:bodyDiv w:val="1"/>
      <w:marLeft w:val="0"/>
      <w:marRight w:val="0"/>
      <w:marTop w:val="0"/>
      <w:marBottom w:val="0"/>
      <w:divBdr>
        <w:top w:val="none" w:sz="0" w:space="0" w:color="auto"/>
        <w:left w:val="none" w:sz="0" w:space="0" w:color="auto"/>
        <w:bottom w:val="none" w:sz="0" w:space="0" w:color="auto"/>
        <w:right w:val="none" w:sz="0" w:space="0" w:color="auto"/>
      </w:divBdr>
    </w:div>
    <w:div w:id="2082213154">
      <w:bodyDiv w:val="1"/>
      <w:marLeft w:val="0"/>
      <w:marRight w:val="0"/>
      <w:marTop w:val="0"/>
      <w:marBottom w:val="0"/>
      <w:divBdr>
        <w:top w:val="none" w:sz="0" w:space="0" w:color="auto"/>
        <w:left w:val="none" w:sz="0" w:space="0" w:color="auto"/>
        <w:bottom w:val="none" w:sz="0" w:space="0" w:color="auto"/>
        <w:right w:val="none" w:sz="0" w:space="0" w:color="auto"/>
      </w:divBdr>
    </w:div>
    <w:div w:id="2084377129">
      <w:bodyDiv w:val="1"/>
      <w:marLeft w:val="0"/>
      <w:marRight w:val="0"/>
      <w:marTop w:val="0"/>
      <w:marBottom w:val="0"/>
      <w:divBdr>
        <w:top w:val="none" w:sz="0" w:space="0" w:color="auto"/>
        <w:left w:val="none" w:sz="0" w:space="0" w:color="auto"/>
        <w:bottom w:val="none" w:sz="0" w:space="0" w:color="auto"/>
        <w:right w:val="none" w:sz="0" w:space="0" w:color="auto"/>
      </w:divBdr>
    </w:div>
    <w:div w:id="2085032604">
      <w:bodyDiv w:val="1"/>
      <w:marLeft w:val="0"/>
      <w:marRight w:val="0"/>
      <w:marTop w:val="0"/>
      <w:marBottom w:val="0"/>
      <w:divBdr>
        <w:top w:val="none" w:sz="0" w:space="0" w:color="auto"/>
        <w:left w:val="none" w:sz="0" w:space="0" w:color="auto"/>
        <w:bottom w:val="none" w:sz="0" w:space="0" w:color="auto"/>
        <w:right w:val="none" w:sz="0" w:space="0" w:color="auto"/>
      </w:divBdr>
    </w:div>
    <w:div w:id="2086685027">
      <w:bodyDiv w:val="1"/>
      <w:marLeft w:val="0"/>
      <w:marRight w:val="0"/>
      <w:marTop w:val="0"/>
      <w:marBottom w:val="0"/>
      <w:divBdr>
        <w:top w:val="none" w:sz="0" w:space="0" w:color="auto"/>
        <w:left w:val="none" w:sz="0" w:space="0" w:color="auto"/>
        <w:bottom w:val="none" w:sz="0" w:space="0" w:color="auto"/>
        <w:right w:val="none" w:sz="0" w:space="0" w:color="auto"/>
      </w:divBdr>
    </w:div>
    <w:div w:id="2088072118">
      <w:bodyDiv w:val="1"/>
      <w:marLeft w:val="0"/>
      <w:marRight w:val="0"/>
      <w:marTop w:val="0"/>
      <w:marBottom w:val="0"/>
      <w:divBdr>
        <w:top w:val="none" w:sz="0" w:space="0" w:color="auto"/>
        <w:left w:val="none" w:sz="0" w:space="0" w:color="auto"/>
        <w:bottom w:val="none" w:sz="0" w:space="0" w:color="auto"/>
        <w:right w:val="none" w:sz="0" w:space="0" w:color="auto"/>
      </w:divBdr>
    </w:div>
    <w:div w:id="2092655323">
      <w:bodyDiv w:val="1"/>
      <w:marLeft w:val="0"/>
      <w:marRight w:val="0"/>
      <w:marTop w:val="0"/>
      <w:marBottom w:val="0"/>
      <w:divBdr>
        <w:top w:val="none" w:sz="0" w:space="0" w:color="auto"/>
        <w:left w:val="none" w:sz="0" w:space="0" w:color="auto"/>
        <w:bottom w:val="none" w:sz="0" w:space="0" w:color="auto"/>
        <w:right w:val="none" w:sz="0" w:space="0" w:color="auto"/>
      </w:divBdr>
      <w:divsChild>
        <w:div w:id="821238716">
          <w:marLeft w:val="0"/>
          <w:marRight w:val="60"/>
          <w:marTop w:val="120"/>
          <w:marBottom w:val="0"/>
          <w:divBdr>
            <w:top w:val="none" w:sz="0" w:space="0" w:color="auto"/>
            <w:left w:val="none" w:sz="0" w:space="0" w:color="auto"/>
            <w:bottom w:val="none" w:sz="0" w:space="0" w:color="auto"/>
            <w:right w:val="none" w:sz="0" w:space="0" w:color="auto"/>
          </w:divBdr>
          <w:divsChild>
            <w:div w:id="1293055898">
              <w:marLeft w:val="0"/>
              <w:marRight w:val="0"/>
              <w:marTop w:val="0"/>
              <w:marBottom w:val="219"/>
              <w:divBdr>
                <w:top w:val="none" w:sz="0" w:space="0" w:color="auto"/>
                <w:left w:val="none" w:sz="0" w:space="0" w:color="auto"/>
                <w:bottom w:val="none" w:sz="0" w:space="0" w:color="auto"/>
                <w:right w:val="none" w:sz="0" w:space="0" w:color="auto"/>
              </w:divBdr>
            </w:div>
            <w:div w:id="1886405648">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 w:id="2095009025">
      <w:bodyDiv w:val="1"/>
      <w:marLeft w:val="0"/>
      <w:marRight w:val="0"/>
      <w:marTop w:val="0"/>
      <w:marBottom w:val="0"/>
      <w:divBdr>
        <w:top w:val="none" w:sz="0" w:space="0" w:color="auto"/>
        <w:left w:val="none" w:sz="0" w:space="0" w:color="auto"/>
        <w:bottom w:val="none" w:sz="0" w:space="0" w:color="auto"/>
        <w:right w:val="none" w:sz="0" w:space="0" w:color="auto"/>
      </w:divBdr>
    </w:div>
    <w:div w:id="2096123151">
      <w:bodyDiv w:val="1"/>
      <w:marLeft w:val="0"/>
      <w:marRight w:val="0"/>
      <w:marTop w:val="0"/>
      <w:marBottom w:val="0"/>
      <w:divBdr>
        <w:top w:val="none" w:sz="0" w:space="0" w:color="auto"/>
        <w:left w:val="none" w:sz="0" w:space="0" w:color="auto"/>
        <w:bottom w:val="none" w:sz="0" w:space="0" w:color="auto"/>
        <w:right w:val="none" w:sz="0" w:space="0" w:color="auto"/>
      </w:divBdr>
    </w:div>
    <w:div w:id="2108848656">
      <w:bodyDiv w:val="1"/>
      <w:marLeft w:val="0"/>
      <w:marRight w:val="0"/>
      <w:marTop w:val="0"/>
      <w:marBottom w:val="0"/>
      <w:divBdr>
        <w:top w:val="none" w:sz="0" w:space="0" w:color="auto"/>
        <w:left w:val="none" w:sz="0" w:space="0" w:color="auto"/>
        <w:bottom w:val="none" w:sz="0" w:space="0" w:color="auto"/>
        <w:right w:val="none" w:sz="0" w:space="0" w:color="auto"/>
      </w:divBdr>
    </w:div>
    <w:div w:id="2110422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026">
          <w:marLeft w:val="475"/>
          <w:marRight w:val="0"/>
          <w:marTop w:val="168"/>
          <w:marBottom w:val="0"/>
          <w:divBdr>
            <w:top w:val="none" w:sz="0" w:space="0" w:color="auto"/>
            <w:left w:val="none" w:sz="0" w:space="0" w:color="auto"/>
            <w:bottom w:val="none" w:sz="0" w:space="0" w:color="auto"/>
            <w:right w:val="none" w:sz="0" w:space="0" w:color="auto"/>
          </w:divBdr>
        </w:div>
        <w:div w:id="128402660">
          <w:marLeft w:val="1181"/>
          <w:marRight w:val="0"/>
          <w:marTop w:val="168"/>
          <w:marBottom w:val="0"/>
          <w:divBdr>
            <w:top w:val="none" w:sz="0" w:space="0" w:color="auto"/>
            <w:left w:val="none" w:sz="0" w:space="0" w:color="auto"/>
            <w:bottom w:val="none" w:sz="0" w:space="0" w:color="auto"/>
            <w:right w:val="none" w:sz="0" w:space="0" w:color="auto"/>
          </w:divBdr>
        </w:div>
        <w:div w:id="151721153">
          <w:marLeft w:val="475"/>
          <w:marRight w:val="0"/>
          <w:marTop w:val="168"/>
          <w:marBottom w:val="0"/>
          <w:divBdr>
            <w:top w:val="none" w:sz="0" w:space="0" w:color="auto"/>
            <w:left w:val="none" w:sz="0" w:space="0" w:color="auto"/>
            <w:bottom w:val="none" w:sz="0" w:space="0" w:color="auto"/>
            <w:right w:val="none" w:sz="0" w:space="0" w:color="auto"/>
          </w:divBdr>
        </w:div>
        <w:div w:id="273833210">
          <w:marLeft w:val="475"/>
          <w:marRight w:val="0"/>
          <w:marTop w:val="168"/>
          <w:marBottom w:val="0"/>
          <w:divBdr>
            <w:top w:val="none" w:sz="0" w:space="0" w:color="auto"/>
            <w:left w:val="none" w:sz="0" w:space="0" w:color="auto"/>
            <w:bottom w:val="none" w:sz="0" w:space="0" w:color="auto"/>
            <w:right w:val="none" w:sz="0" w:space="0" w:color="auto"/>
          </w:divBdr>
        </w:div>
        <w:div w:id="312413650">
          <w:marLeft w:val="475"/>
          <w:marRight w:val="0"/>
          <w:marTop w:val="168"/>
          <w:marBottom w:val="0"/>
          <w:divBdr>
            <w:top w:val="none" w:sz="0" w:space="0" w:color="auto"/>
            <w:left w:val="none" w:sz="0" w:space="0" w:color="auto"/>
            <w:bottom w:val="none" w:sz="0" w:space="0" w:color="auto"/>
            <w:right w:val="none" w:sz="0" w:space="0" w:color="auto"/>
          </w:divBdr>
        </w:div>
        <w:div w:id="393161784">
          <w:marLeft w:val="475"/>
          <w:marRight w:val="0"/>
          <w:marTop w:val="168"/>
          <w:marBottom w:val="0"/>
          <w:divBdr>
            <w:top w:val="none" w:sz="0" w:space="0" w:color="auto"/>
            <w:left w:val="none" w:sz="0" w:space="0" w:color="auto"/>
            <w:bottom w:val="none" w:sz="0" w:space="0" w:color="auto"/>
            <w:right w:val="none" w:sz="0" w:space="0" w:color="auto"/>
          </w:divBdr>
        </w:div>
        <w:div w:id="809328944">
          <w:marLeft w:val="475"/>
          <w:marRight w:val="0"/>
          <w:marTop w:val="168"/>
          <w:marBottom w:val="0"/>
          <w:divBdr>
            <w:top w:val="none" w:sz="0" w:space="0" w:color="auto"/>
            <w:left w:val="none" w:sz="0" w:space="0" w:color="auto"/>
            <w:bottom w:val="none" w:sz="0" w:space="0" w:color="auto"/>
            <w:right w:val="none" w:sz="0" w:space="0" w:color="auto"/>
          </w:divBdr>
        </w:div>
        <w:div w:id="1006589364">
          <w:marLeft w:val="475"/>
          <w:marRight w:val="0"/>
          <w:marTop w:val="168"/>
          <w:marBottom w:val="0"/>
          <w:divBdr>
            <w:top w:val="none" w:sz="0" w:space="0" w:color="auto"/>
            <w:left w:val="none" w:sz="0" w:space="0" w:color="auto"/>
            <w:bottom w:val="none" w:sz="0" w:space="0" w:color="auto"/>
            <w:right w:val="none" w:sz="0" w:space="0" w:color="auto"/>
          </w:divBdr>
        </w:div>
        <w:div w:id="1009991136">
          <w:marLeft w:val="475"/>
          <w:marRight w:val="0"/>
          <w:marTop w:val="168"/>
          <w:marBottom w:val="0"/>
          <w:divBdr>
            <w:top w:val="none" w:sz="0" w:space="0" w:color="auto"/>
            <w:left w:val="none" w:sz="0" w:space="0" w:color="auto"/>
            <w:bottom w:val="none" w:sz="0" w:space="0" w:color="auto"/>
            <w:right w:val="none" w:sz="0" w:space="0" w:color="auto"/>
          </w:divBdr>
        </w:div>
        <w:div w:id="1216047004">
          <w:marLeft w:val="475"/>
          <w:marRight w:val="0"/>
          <w:marTop w:val="168"/>
          <w:marBottom w:val="0"/>
          <w:divBdr>
            <w:top w:val="none" w:sz="0" w:space="0" w:color="auto"/>
            <w:left w:val="none" w:sz="0" w:space="0" w:color="auto"/>
            <w:bottom w:val="none" w:sz="0" w:space="0" w:color="auto"/>
            <w:right w:val="none" w:sz="0" w:space="0" w:color="auto"/>
          </w:divBdr>
        </w:div>
        <w:div w:id="1262033172">
          <w:marLeft w:val="475"/>
          <w:marRight w:val="0"/>
          <w:marTop w:val="168"/>
          <w:marBottom w:val="0"/>
          <w:divBdr>
            <w:top w:val="none" w:sz="0" w:space="0" w:color="auto"/>
            <w:left w:val="none" w:sz="0" w:space="0" w:color="auto"/>
            <w:bottom w:val="none" w:sz="0" w:space="0" w:color="auto"/>
            <w:right w:val="none" w:sz="0" w:space="0" w:color="auto"/>
          </w:divBdr>
        </w:div>
        <w:div w:id="1522747084">
          <w:marLeft w:val="475"/>
          <w:marRight w:val="0"/>
          <w:marTop w:val="168"/>
          <w:marBottom w:val="0"/>
          <w:divBdr>
            <w:top w:val="none" w:sz="0" w:space="0" w:color="auto"/>
            <w:left w:val="none" w:sz="0" w:space="0" w:color="auto"/>
            <w:bottom w:val="none" w:sz="0" w:space="0" w:color="auto"/>
            <w:right w:val="none" w:sz="0" w:space="0" w:color="auto"/>
          </w:divBdr>
        </w:div>
        <w:div w:id="1972638309">
          <w:marLeft w:val="475"/>
          <w:marRight w:val="0"/>
          <w:marTop w:val="168"/>
          <w:marBottom w:val="0"/>
          <w:divBdr>
            <w:top w:val="none" w:sz="0" w:space="0" w:color="auto"/>
            <w:left w:val="none" w:sz="0" w:space="0" w:color="auto"/>
            <w:bottom w:val="none" w:sz="0" w:space="0" w:color="auto"/>
            <w:right w:val="none" w:sz="0" w:space="0" w:color="auto"/>
          </w:divBdr>
        </w:div>
        <w:div w:id="2052340091">
          <w:marLeft w:val="475"/>
          <w:marRight w:val="0"/>
          <w:marTop w:val="168"/>
          <w:marBottom w:val="0"/>
          <w:divBdr>
            <w:top w:val="none" w:sz="0" w:space="0" w:color="auto"/>
            <w:left w:val="none" w:sz="0" w:space="0" w:color="auto"/>
            <w:bottom w:val="none" w:sz="0" w:space="0" w:color="auto"/>
            <w:right w:val="none" w:sz="0" w:space="0" w:color="auto"/>
          </w:divBdr>
        </w:div>
      </w:divsChild>
    </w:div>
    <w:div w:id="2111197172">
      <w:bodyDiv w:val="1"/>
      <w:marLeft w:val="0"/>
      <w:marRight w:val="0"/>
      <w:marTop w:val="0"/>
      <w:marBottom w:val="0"/>
      <w:divBdr>
        <w:top w:val="none" w:sz="0" w:space="0" w:color="auto"/>
        <w:left w:val="none" w:sz="0" w:space="0" w:color="auto"/>
        <w:bottom w:val="none" w:sz="0" w:space="0" w:color="auto"/>
        <w:right w:val="none" w:sz="0" w:space="0" w:color="auto"/>
      </w:divBdr>
    </w:div>
    <w:div w:id="2120249598">
      <w:bodyDiv w:val="1"/>
      <w:marLeft w:val="0"/>
      <w:marRight w:val="0"/>
      <w:marTop w:val="0"/>
      <w:marBottom w:val="0"/>
      <w:divBdr>
        <w:top w:val="none" w:sz="0" w:space="0" w:color="auto"/>
        <w:left w:val="none" w:sz="0" w:space="0" w:color="auto"/>
        <w:bottom w:val="none" w:sz="0" w:space="0" w:color="auto"/>
        <w:right w:val="none" w:sz="0" w:space="0" w:color="auto"/>
      </w:divBdr>
    </w:div>
    <w:div w:id="2125149366">
      <w:bodyDiv w:val="1"/>
      <w:marLeft w:val="0"/>
      <w:marRight w:val="0"/>
      <w:marTop w:val="0"/>
      <w:marBottom w:val="0"/>
      <w:divBdr>
        <w:top w:val="none" w:sz="0" w:space="0" w:color="auto"/>
        <w:left w:val="none" w:sz="0" w:space="0" w:color="auto"/>
        <w:bottom w:val="none" w:sz="0" w:space="0" w:color="auto"/>
        <w:right w:val="none" w:sz="0" w:space="0" w:color="auto"/>
      </w:divBdr>
    </w:div>
    <w:div w:id="2125267228">
      <w:bodyDiv w:val="1"/>
      <w:marLeft w:val="0"/>
      <w:marRight w:val="0"/>
      <w:marTop w:val="0"/>
      <w:marBottom w:val="0"/>
      <w:divBdr>
        <w:top w:val="none" w:sz="0" w:space="0" w:color="auto"/>
        <w:left w:val="none" w:sz="0" w:space="0" w:color="auto"/>
        <w:bottom w:val="none" w:sz="0" w:space="0" w:color="auto"/>
        <w:right w:val="none" w:sz="0" w:space="0" w:color="auto"/>
      </w:divBdr>
    </w:div>
    <w:div w:id="2128694159">
      <w:bodyDiv w:val="1"/>
      <w:marLeft w:val="0"/>
      <w:marRight w:val="0"/>
      <w:marTop w:val="0"/>
      <w:marBottom w:val="0"/>
      <w:divBdr>
        <w:top w:val="none" w:sz="0" w:space="0" w:color="auto"/>
        <w:left w:val="none" w:sz="0" w:space="0" w:color="auto"/>
        <w:bottom w:val="none" w:sz="0" w:space="0" w:color="auto"/>
        <w:right w:val="none" w:sz="0" w:space="0" w:color="auto"/>
      </w:divBdr>
    </w:div>
    <w:div w:id="2130395314">
      <w:bodyDiv w:val="1"/>
      <w:marLeft w:val="0"/>
      <w:marRight w:val="0"/>
      <w:marTop w:val="0"/>
      <w:marBottom w:val="0"/>
      <w:divBdr>
        <w:top w:val="none" w:sz="0" w:space="0" w:color="auto"/>
        <w:left w:val="none" w:sz="0" w:space="0" w:color="auto"/>
        <w:bottom w:val="none" w:sz="0" w:space="0" w:color="auto"/>
        <w:right w:val="none" w:sz="0" w:space="0" w:color="auto"/>
      </w:divBdr>
    </w:div>
    <w:div w:id="2136748655">
      <w:bodyDiv w:val="1"/>
      <w:marLeft w:val="0"/>
      <w:marRight w:val="0"/>
      <w:marTop w:val="0"/>
      <w:marBottom w:val="0"/>
      <w:divBdr>
        <w:top w:val="none" w:sz="0" w:space="0" w:color="auto"/>
        <w:left w:val="none" w:sz="0" w:space="0" w:color="auto"/>
        <w:bottom w:val="none" w:sz="0" w:space="0" w:color="auto"/>
        <w:right w:val="none" w:sz="0" w:space="0" w:color="auto"/>
      </w:divBdr>
    </w:div>
    <w:div w:id="2142185478">
      <w:bodyDiv w:val="1"/>
      <w:marLeft w:val="0"/>
      <w:marRight w:val="0"/>
      <w:marTop w:val="0"/>
      <w:marBottom w:val="0"/>
      <w:divBdr>
        <w:top w:val="none" w:sz="0" w:space="0" w:color="auto"/>
        <w:left w:val="none" w:sz="0" w:space="0" w:color="auto"/>
        <w:bottom w:val="none" w:sz="0" w:space="0" w:color="auto"/>
        <w:right w:val="none" w:sz="0" w:space="0" w:color="auto"/>
      </w:divBdr>
    </w:div>
    <w:div w:id="2144610847">
      <w:bodyDiv w:val="1"/>
      <w:marLeft w:val="0"/>
      <w:marRight w:val="0"/>
      <w:marTop w:val="0"/>
      <w:marBottom w:val="0"/>
      <w:divBdr>
        <w:top w:val="none" w:sz="0" w:space="0" w:color="auto"/>
        <w:left w:val="none" w:sz="0" w:space="0" w:color="auto"/>
        <w:bottom w:val="none" w:sz="0" w:space="0" w:color="auto"/>
        <w:right w:val="none" w:sz="0" w:space="0" w:color="auto"/>
      </w:divBdr>
      <w:divsChild>
        <w:div w:id="1165515976">
          <w:marLeft w:val="0"/>
          <w:marRight w:val="0"/>
          <w:marTop w:val="0"/>
          <w:marBottom w:val="81"/>
          <w:divBdr>
            <w:top w:val="none" w:sz="0" w:space="0" w:color="auto"/>
            <w:left w:val="none" w:sz="0" w:space="0" w:color="auto"/>
            <w:bottom w:val="none" w:sz="0" w:space="0" w:color="auto"/>
            <w:right w:val="none" w:sz="0" w:space="0" w:color="auto"/>
          </w:divBdr>
          <w:divsChild>
            <w:div w:id="884756254">
              <w:marLeft w:val="0"/>
              <w:marRight w:val="0"/>
              <w:marTop w:val="0"/>
              <w:marBottom w:val="0"/>
              <w:divBdr>
                <w:top w:val="none" w:sz="0" w:space="0" w:color="auto"/>
                <w:left w:val="none" w:sz="0" w:space="0" w:color="auto"/>
                <w:bottom w:val="none" w:sz="0" w:space="0" w:color="auto"/>
                <w:right w:val="none" w:sz="0" w:space="0" w:color="auto"/>
              </w:divBdr>
              <w:divsChild>
                <w:div w:id="250044274">
                  <w:marLeft w:val="0"/>
                  <w:marRight w:val="0"/>
                  <w:marTop w:val="0"/>
                  <w:marBottom w:val="0"/>
                  <w:divBdr>
                    <w:top w:val="none" w:sz="0" w:space="0" w:color="auto"/>
                    <w:left w:val="none" w:sz="0" w:space="0" w:color="auto"/>
                    <w:bottom w:val="none" w:sz="0" w:space="0" w:color="auto"/>
                    <w:right w:val="none" w:sz="0" w:space="0" w:color="auto"/>
                  </w:divBdr>
                </w:div>
              </w:divsChild>
            </w:div>
            <w:div w:id="187526844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EEIP - 2">
      <a:dk1>
        <a:sysClr val="windowText" lastClr="000000"/>
      </a:dk1>
      <a:lt1>
        <a:sysClr val="window" lastClr="FFFFFF"/>
      </a:lt1>
      <a:dk2>
        <a:srgbClr val="B6B002"/>
      </a:dk2>
      <a:lt2>
        <a:srgbClr val="FFFFFF"/>
      </a:lt2>
      <a:accent1>
        <a:srgbClr val="B6B002"/>
      </a:accent1>
      <a:accent2>
        <a:srgbClr val="7F7F7F"/>
      </a:accent2>
      <a:accent3>
        <a:srgbClr val="FFFF99"/>
      </a:accent3>
      <a:accent4>
        <a:srgbClr val="800000"/>
      </a:accent4>
      <a:accent5>
        <a:srgbClr val="262626"/>
      </a:accent5>
      <a:accent6>
        <a:srgbClr val="CC7B3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83D35-770F-41BB-9816-28E52D3464C2}">
  <ds:schemaRefs>
    <ds:schemaRef ds:uri="http://schemas.openxmlformats.org/officeDocument/2006/bibliography"/>
  </ds:schemaRefs>
</ds:datastoreItem>
</file>

<file path=customXml/itemProps2.xml><?xml version="1.0" encoding="utf-8"?>
<ds:datastoreItem xmlns:ds="http://schemas.openxmlformats.org/officeDocument/2006/customXml" ds:itemID="{8B044F30-F1D1-4DE8-9319-C62CD846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13423</Words>
  <Characters>79202</Characters>
  <Application>Microsoft Office Word</Application>
  <DocSecurity>0</DocSecurity>
  <Lines>660</Lines>
  <Paragraphs>184</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92441</CharactersWithSpaces>
  <SharedDoc>false</SharedDoc>
  <HLinks>
    <vt:vector size="36" baseType="variant">
      <vt:variant>
        <vt:i4>2031675</vt:i4>
      </vt:variant>
      <vt:variant>
        <vt:i4>32</vt:i4>
      </vt:variant>
      <vt:variant>
        <vt:i4>0</vt:i4>
      </vt:variant>
      <vt:variant>
        <vt:i4>5</vt:i4>
      </vt:variant>
      <vt:variant>
        <vt:lpwstr/>
      </vt:variant>
      <vt:variant>
        <vt:lpwstr>_Toc290583172</vt:lpwstr>
      </vt:variant>
      <vt:variant>
        <vt:i4>2031675</vt:i4>
      </vt:variant>
      <vt:variant>
        <vt:i4>26</vt:i4>
      </vt:variant>
      <vt:variant>
        <vt:i4>0</vt:i4>
      </vt:variant>
      <vt:variant>
        <vt:i4>5</vt:i4>
      </vt:variant>
      <vt:variant>
        <vt:lpwstr/>
      </vt:variant>
      <vt:variant>
        <vt:lpwstr>_Toc290583171</vt:lpwstr>
      </vt:variant>
      <vt:variant>
        <vt:i4>2031675</vt:i4>
      </vt:variant>
      <vt:variant>
        <vt:i4>20</vt:i4>
      </vt:variant>
      <vt:variant>
        <vt:i4>0</vt:i4>
      </vt:variant>
      <vt:variant>
        <vt:i4>5</vt:i4>
      </vt:variant>
      <vt:variant>
        <vt:lpwstr/>
      </vt:variant>
      <vt:variant>
        <vt:lpwstr>_Toc290583170</vt:lpwstr>
      </vt:variant>
      <vt:variant>
        <vt:i4>1966139</vt:i4>
      </vt:variant>
      <vt:variant>
        <vt:i4>14</vt:i4>
      </vt:variant>
      <vt:variant>
        <vt:i4>0</vt:i4>
      </vt:variant>
      <vt:variant>
        <vt:i4>5</vt:i4>
      </vt:variant>
      <vt:variant>
        <vt:lpwstr/>
      </vt:variant>
      <vt:variant>
        <vt:lpwstr>_Toc290583169</vt:lpwstr>
      </vt:variant>
      <vt:variant>
        <vt:i4>1966139</vt:i4>
      </vt:variant>
      <vt:variant>
        <vt:i4>8</vt:i4>
      </vt:variant>
      <vt:variant>
        <vt:i4>0</vt:i4>
      </vt:variant>
      <vt:variant>
        <vt:i4>5</vt:i4>
      </vt:variant>
      <vt:variant>
        <vt:lpwstr/>
      </vt:variant>
      <vt:variant>
        <vt:lpwstr>_Toc290583168</vt:lpwstr>
      </vt:variant>
      <vt:variant>
        <vt:i4>1966139</vt:i4>
      </vt:variant>
      <vt:variant>
        <vt:i4>2</vt:i4>
      </vt:variant>
      <vt:variant>
        <vt:i4>0</vt:i4>
      </vt:variant>
      <vt:variant>
        <vt:i4>5</vt:i4>
      </vt:variant>
      <vt:variant>
        <vt:lpwstr/>
      </vt:variant>
      <vt:variant>
        <vt:lpwstr>_Toc290583167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2022-04-06T12:19:00Z</dcterms:created>
  <dcterms:modified xsi:type="dcterms:W3CDTF">2022-04-06T13:30:00Z</dcterms:modified>
</cp:coreProperties>
</file>