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19B9" w14:textId="613D0C2B" w:rsidR="00BA10A3" w:rsidRPr="002F3E69" w:rsidRDefault="003B693E" w:rsidP="007D0680">
      <w:pPr>
        <w:jc w:val="left"/>
        <w:outlineLvl w:val="0"/>
        <w:rPr>
          <w:rFonts w:cs="Arial"/>
          <w:b/>
          <w:color w:val="FF0000"/>
          <w:sz w:val="28"/>
          <w:szCs w:val="28"/>
          <w:u w:val="single"/>
        </w:rPr>
      </w:pPr>
      <w:r w:rsidRPr="003B693E">
        <w:rPr>
          <w:rFonts w:cs="Arial"/>
          <w:b/>
          <w:bCs/>
          <w:noProof w:val="0"/>
          <w:szCs w:val="22"/>
          <w:u w:val="single"/>
        </w:rPr>
        <w:t>VNITŘNÍ PŘIPOMÍNKOVÉ ŘÍZENÍ</w:t>
      </w:r>
      <w:r w:rsidR="002F3E69">
        <w:rPr>
          <w:rFonts w:cs="Arial"/>
          <w:b/>
          <w:bCs/>
          <w:noProof w:val="0"/>
          <w:szCs w:val="22"/>
          <w:u w:val="single"/>
        </w:rPr>
        <w:t xml:space="preserve"> </w:t>
      </w:r>
    </w:p>
    <w:p w14:paraId="4F56A4AC" w14:textId="77777777" w:rsidR="00920D19" w:rsidRDefault="00920D19" w:rsidP="007D0680">
      <w:pPr>
        <w:jc w:val="left"/>
        <w:rPr>
          <w:rFonts w:cs="Arial"/>
          <w:b/>
          <w:bCs/>
          <w:noProof w:val="0"/>
          <w:szCs w:val="22"/>
        </w:rPr>
      </w:pPr>
    </w:p>
    <w:p w14:paraId="49F84BDA" w14:textId="77777777" w:rsidR="00825626" w:rsidRPr="003B693E" w:rsidRDefault="00825626" w:rsidP="00825626">
      <w:pPr>
        <w:rPr>
          <w:b/>
          <w:u w:val="single"/>
        </w:rPr>
      </w:pPr>
      <w:r w:rsidRPr="003B693E">
        <w:rPr>
          <w:b/>
          <w:u w:val="single"/>
        </w:rPr>
        <w:t>Vysvětlivky:</w:t>
      </w:r>
    </w:p>
    <w:p w14:paraId="5582BD37" w14:textId="77777777" w:rsidR="00825626" w:rsidRPr="003B693E" w:rsidRDefault="00825626" w:rsidP="00825626">
      <w:pPr>
        <w:rPr>
          <w:b/>
        </w:rPr>
      </w:pPr>
      <w:r w:rsidRPr="003B693E">
        <w:rPr>
          <w:b/>
        </w:rPr>
        <w:t>Subjekt</w:t>
      </w:r>
    </w:p>
    <w:p w14:paraId="13A1CAB7" w14:textId="77777777" w:rsidR="00825626" w:rsidRDefault="00825626" w:rsidP="00825626">
      <w:pPr>
        <w:pStyle w:val="Odstavecseseznamem"/>
        <w:numPr>
          <w:ilvl w:val="0"/>
          <w:numId w:val="3"/>
        </w:numPr>
      </w:pPr>
      <w:r>
        <w:t>značí subjekt, který připomínky uplatňuje (v našem případě vás požádáme o uvedení názvu organizace či jména autora, po zapracování připomínek a jejich schválení budou uplatněny za OPP-Oddělení podpory práv pacientů nebo Pacientskou radu v závislosti na způsobu přijetí)</w:t>
      </w:r>
    </w:p>
    <w:p w14:paraId="40EA78E4" w14:textId="77777777" w:rsidR="00825626" w:rsidRDefault="00825626" w:rsidP="00825626"/>
    <w:p w14:paraId="7E2C9552" w14:textId="77777777" w:rsidR="00825626" w:rsidRPr="003B693E" w:rsidRDefault="00825626" w:rsidP="00825626">
      <w:pPr>
        <w:rPr>
          <w:b/>
        </w:rPr>
      </w:pPr>
      <w:r w:rsidRPr="003B693E">
        <w:rPr>
          <w:b/>
        </w:rPr>
        <w:t>Č. př.</w:t>
      </w:r>
    </w:p>
    <w:p w14:paraId="0F696A78" w14:textId="77777777" w:rsidR="00825626" w:rsidRDefault="00825626" w:rsidP="00825626">
      <w:pPr>
        <w:pStyle w:val="Odstavecseseznamem"/>
        <w:numPr>
          <w:ilvl w:val="0"/>
          <w:numId w:val="3"/>
        </w:numPr>
      </w:pPr>
      <w:r>
        <w:t xml:space="preserve">značí </w:t>
      </w:r>
      <w:r w:rsidR="007D0680">
        <w:t xml:space="preserve">pořadové </w:t>
      </w:r>
      <w:r>
        <w:t>číslo uplatňované připomínky</w:t>
      </w:r>
    </w:p>
    <w:p w14:paraId="5A2644D9" w14:textId="77777777" w:rsidR="00825626" w:rsidRDefault="00825626" w:rsidP="00825626"/>
    <w:p w14:paraId="092C2F13" w14:textId="77777777" w:rsidR="00825626" w:rsidRPr="003B693E" w:rsidRDefault="00825626" w:rsidP="00825626">
      <w:pPr>
        <w:rPr>
          <w:b/>
        </w:rPr>
      </w:pPr>
      <w:r w:rsidRPr="003B693E">
        <w:rPr>
          <w:b/>
        </w:rPr>
        <w:t>Z/D</w:t>
      </w:r>
    </w:p>
    <w:p w14:paraId="7F169123" w14:textId="77777777" w:rsidR="00825626" w:rsidRDefault="00825626" w:rsidP="00825626">
      <w:pPr>
        <w:pStyle w:val="Odstavecseseznamem"/>
        <w:numPr>
          <w:ilvl w:val="0"/>
          <w:numId w:val="3"/>
        </w:numPr>
      </w:pPr>
      <w:r>
        <w:t>značí zda je připomínka uplatňována jako zásadní nebo jako doporučující</w:t>
      </w:r>
    </w:p>
    <w:p w14:paraId="1FCAF67C" w14:textId="77777777" w:rsidR="00825626" w:rsidRDefault="00825626" w:rsidP="00825626">
      <w:pPr>
        <w:pStyle w:val="Odstavecseseznamem"/>
        <w:numPr>
          <w:ilvl w:val="0"/>
          <w:numId w:val="3"/>
        </w:numPr>
      </w:pPr>
      <w:r>
        <w:t>Z - zásadní připomínky: věcně příslušný útvar (sekce/odbor/oddělení) je povinen tyto připomínky projednat a vypořádat</w:t>
      </w:r>
    </w:p>
    <w:p w14:paraId="485EB5CF" w14:textId="77777777" w:rsidR="00825626" w:rsidRDefault="00825626" w:rsidP="00825626">
      <w:pPr>
        <w:pStyle w:val="Odstavecseseznamem"/>
        <w:numPr>
          <w:ilvl w:val="0"/>
          <w:numId w:val="3"/>
        </w:numPr>
      </w:pPr>
      <w:r>
        <w:t>D - doplňující připomínky: věcně příslušný útvar</w:t>
      </w:r>
      <w:r w:rsidRPr="00327591">
        <w:t xml:space="preserve"> </w:t>
      </w:r>
      <w:r>
        <w:t>připomínky projedná, považuje-li to za potřebné</w:t>
      </w:r>
    </w:p>
    <w:p w14:paraId="747199F7" w14:textId="77777777" w:rsidR="00825626" w:rsidRDefault="00825626" w:rsidP="00825626">
      <w:pPr>
        <w:rPr>
          <w:b/>
        </w:rPr>
      </w:pPr>
    </w:p>
    <w:p w14:paraId="452C9BC8" w14:textId="77777777" w:rsidR="00825626" w:rsidRPr="003B693E" w:rsidRDefault="00825626" w:rsidP="00825626">
      <w:pPr>
        <w:rPr>
          <w:b/>
        </w:rPr>
      </w:pPr>
      <w:r w:rsidRPr="003B693E">
        <w:rPr>
          <w:b/>
        </w:rPr>
        <w:t>Připomínky</w:t>
      </w:r>
    </w:p>
    <w:p w14:paraId="5B6115A8" w14:textId="77777777" w:rsidR="00825626" w:rsidRDefault="00825626" w:rsidP="00825626">
      <w:pPr>
        <w:pStyle w:val="Odstavecseseznamem"/>
        <w:numPr>
          <w:ilvl w:val="0"/>
          <w:numId w:val="3"/>
        </w:numPr>
      </w:pPr>
      <w:r>
        <w:t>vyplnění „kde, co a proč“ chce připomínkové místo jinak (</w:t>
      </w:r>
      <w:r w:rsidR="007D0680">
        <w:t>je nutné uvádět číslo přílohy a číslo odstavec nebo strany které se připomínka týká</w:t>
      </w:r>
      <w:r>
        <w:t xml:space="preserve">, např. </w:t>
      </w:r>
      <w:r w:rsidR="007D0680">
        <w:t xml:space="preserve">Příloha č. 1. strana č.5…. apod., dále je nutné uvádět </w:t>
      </w:r>
      <w:r>
        <w:t xml:space="preserve"> </w:t>
      </w:r>
      <w:r w:rsidR="007D0680">
        <w:t>„</w:t>
      </w:r>
      <w:r>
        <w:t>proč</w:t>
      </w:r>
      <w:r w:rsidR="007D0680">
        <w:t xml:space="preserve">“ tedy </w:t>
      </w:r>
      <w:r>
        <w:t xml:space="preserve">stručné odůvodnění) </w:t>
      </w:r>
    </w:p>
    <w:p w14:paraId="3688AB3E" w14:textId="77777777" w:rsidR="00825626" w:rsidRDefault="00825626" w:rsidP="00825626">
      <w:pPr>
        <w:pStyle w:val="Odstavecseseznamem"/>
        <w:numPr>
          <w:ilvl w:val="0"/>
          <w:numId w:val="3"/>
        </w:numPr>
      </w:pPr>
      <w:r>
        <w:t>příklady uvedeny v připomínkové tabulce červeně</w:t>
      </w:r>
    </w:p>
    <w:p w14:paraId="341E41DD" w14:textId="77777777" w:rsidR="00825626" w:rsidRDefault="00825626" w:rsidP="00825626">
      <w:pPr>
        <w:rPr>
          <w:b/>
        </w:rPr>
      </w:pPr>
    </w:p>
    <w:p w14:paraId="07D19B0C" w14:textId="77777777" w:rsidR="00825626" w:rsidRPr="003B693E" w:rsidRDefault="00825626" w:rsidP="00825626">
      <w:pPr>
        <w:rPr>
          <w:b/>
        </w:rPr>
      </w:pPr>
      <w:r w:rsidRPr="003B693E">
        <w:rPr>
          <w:b/>
        </w:rPr>
        <w:t>Vypořádání</w:t>
      </w:r>
    </w:p>
    <w:p w14:paraId="0F35D415" w14:textId="77777777" w:rsidR="00825626" w:rsidRDefault="007D0680" w:rsidP="00825626">
      <w:pPr>
        <w:pStyle w:val="Odstavecseseznamem"/>
        <w:numPr>
          <w:ilvl w:val="0"/>
          <w:numId w:val="3"/>
        </w:numPr>
      </w:pPr>
      <w:r>
        <w:t>vyplňuje věcně příslušný útvar, tedy NE pacientská organizace, OPP nebo jiný připomínkující subjekt</w:t>
      </w:r>
    </w:p>
    <w:p w14:paraId="1F15F05D" w14:textId="77777777" w:rsidR="00825626" w:rsidRDefault="00825626" w:rsidP="007D0680">
      <w:pPr>
        <w:pStyle w:val="Odstavecseseznamem"/>
      </w:pPr>
    </w:p>
    <w:p w14:paraId="27B2E53F" w14:textId="77777777" w:rsidR="00825626" w:rsidRDefault="00825626" w:rsidP="00825626">
      <w:pPr>
        <w:rPr>
          <w:rFonts w:cs="Arial"/>
          <w:b/>
          <w:noProof w:val="0"/>
          <w:szCs w:val="22"/>
        </w:rPr>
      </w:pPr>
    </w:p>
    <w:p w14:paraId="151163FA" w14:textId="77777777" w:rsidR="00825626" w:rsidRDefault="00825626" w:rsidP="00825626">
      <w:pPr>
        <w:rPr>
          <w:rFonts w:cs="Arial"/>
          <w:b/>
          <w:noProof w:val="0"/>
          <w:szCs w:val="22"/>
        </w:rPr>
      </w:pPr>
    </w:p>
    <w:p w14:paraId="5735293D" w14:textId="77777777" w:rsidR="00825626" w:rsidRDefault="00825626" w:rsidP="00825626">
      <w:pPr>
        <w:rPr>
          <w:szCs w:val="22"/>
        </w:rPr>
      </w:pPr>
    </w:p>
    <w:p w14:paraId="2D7BE493" w14:textId="77777777" w:rsidR="00825626" w:rsidRDefault="00825626" w:rsidP="00013452">
      <w:pPr>
        <w:rPr>
          <w:rFonts w:cs="Arial"/>
          <w:b/>
          <w:bCs/>
          <w:noProof w:val="0"/>
          <w:szCs w:val="22"/>
        </w:rPr>
      </w:pPr>
    </w:p>
    <w:p w14:paraId="04FCA5F6" w14:textId="77777777" w:rsidR="00F4059B" w:rsidRDefault="00F4059B" w:rsidP="00013452">
      <w:pPr>
        <w:rPr>
          <w:rFonts w:cs="Arial"/>
          <w:b/>
          <w:noProof w:val="0"/>
          <w:szCs w:val="22"/>
        </w:rPr>
      </w:pPr>
    </w:p>
    <w:p w14:paraId="6B777793" w14:textId="77777777" w:rsidR="00415569" w:rsidRDefault="00415569" w:rsidP="00013452">
      <w:pPr>
        <w:rPr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47"/>
        <w:gridCol w:w="720"/>
        <w:gridCol w:w="6938"/>
        <w:gridCol w:w="4395"/>
      </w:tblGrid>
      <w:tr w:rsidR="00013452" w14:paraId="01BC388D" w14:textId="77777777" w:rsidTr="003B69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3EDB" w14:textId="77777777" w:rsidR="00013452" w:rsidRDefault="000D576C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Subjekt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4C87" w14:textId="77777777" w:rsidR="00013452" w:rsidRDefault="0001345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Č. př.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78E9" w14:textId="77777777" w:rsidR="00013452" w:rsidRDefault="0001345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Z/D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6061" w14:textId="77777777" w:rsidR="00013452" w:rsidRDefault="00013452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Bez připomínek / Připomínky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4BFE" w14:textId="77777777" w:rsidR="00013452" w:rsidRDefault="00013452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Vypořádání</w:t>
            </w:r>
          </w:p>
        </w:tc>
      </w:tr>
      <w:tr w:rsidR="00013452" w14:paraId="769B33F4" w14:textId="77777777" w:rsidTr="003B693E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439" w14:textId="77777777" w:rsidR="00DB6BC2" w:rsidRDefault="00DB6BC2" w:rsidP="007D0680">
            <w:pPr>
              <w:jc w:val="center"/>
              <w:rPr>
                <w:b/>
                <w:bCs/>
                <w:i/>
                <w:color w:val="auto"/>
                <w:szCs w:val="22"/>
              </w:rPr>
            </w:pPr>
          </w:p>
          <w:p w14:paraId="2CD234A4" w14:textId="0C6CDEEA" w:rsidR="00013452" w:rsidRPr="00DB6BC2" w:rsidRDefault="00DB6BC2" w:rsidP="007D0680">
            <w:pPr>
              <w:jc w:val="center"/>
              <w:rPr>
                <w:b/>
                <w:bCs/>
                <w:i/>
                <w:color w:val="FF0000"/>
                <w:szCs w:val="22"/>
              </w:rPr>
            </w:pPr>
            <w:r w:rsidRPr="00DB6BC2">
              <w:rPr>
                <w:b/>
                <w:bCs/>
                <w:i/>
                <w:color w:val="auto"/>
                <w:szCs w:val="22"/>
              </w:rPr>
              <w:t>NRZP ČR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A62" w14:textId="77777777" w:rsidR="00DB6BC2" w:rsidRDefault="00DB6BC2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173A52FF" w14:textId="3C3B7A05" w:rsidR="00013452" w:rsidRPr="003B693E" w:rsidRDefault="00DB6BC2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DB6BC2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AE82" w14:textId="77777777" w:rsidR="00DB6BC2" w:rsidRPr="00DB6BC2" w:rsidRDefault="00DB6BC2">
            <w:pPr>
              <w:pStyle w:val="Nvod"/>
              <w:tabs>
                <w:tab w:val="num" w:pos="585"/>
              </w:tabs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38EBBD5" w14:textId="719E2490" w:rsidR="00013452" w:rsidRPr="00DB6BC2" w:rsidRDefault="00DB6BC2">
            <w:pPr>
              <w:pStyle w:val="Nvod"/>
              <w:tabs>
                <w:tab w:val="num" w:pos="585"/>
              </w:tabs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B6BC2">
              <w:rPr>
                <w:rFonts w:ascii="Arial" w:hAnsi="Arial" w:cs="Arial"/>
                <w:i/>
                <w:sz w:val="22"/>
                <w:szCs w:val="22"/>
              </w:rPr>
              <w:t>Z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00B1" w14:textId="33E19B18" w:rsidR="00DB6BC2" w:rsidRDefault="00DB6BC2" w:rsidP="003B693E">
            <w:pPr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FF0000"/>
                <w:sz w:val="20"/>
                <w:szCs w:val="20"/>
              </w:rPr>
              <w:t>Ke „Strategickému cíli 2“, strana 25,</w:t>
            </w:r>
            <w:r w:rsidR="00044D75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„</w:t>
            </w:r>
            <w:bookmarkStart w:id="0" w:name="_Toc89089950"/>
            <w:r w:rsidR="00044D75" w:rsidRPr="00044D75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1.3 Opatření na podporu změny složení potravin a nápojů</w:t>
            </w:r>
            <w:bookmarkEnd w:id="0"/>
            <w:r w:rsidR="00044D75" w:rsidRPr="00044D75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“,</w:t>
            </w:r>
            <w:r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044D75">
              <w:rPr>
                <w:rFonts w:cs="Arial"/>
                <w:b/>
                <w:i/>
                <w:color w:val="FF0000"/>
                <w:sz w:val="20"/>
                <w:szCs w:val="20"/>
              </w:rPr>
              <w:t>odstavec 1 a odst.3</w:t>
            </w:r>
          </w:p>
          <w:p w14:paraId="73F5D02B" w14:textId="77777777" w:rsidR="00DB6BC2" w:rsidRDefault="00DB6BC2" w:rsidP="003B693E">
            <w:pPr>
              <w:rPr>
                <w:rFonts w:cs="Arial"/>
                <w:b/>
                <w:i/>
                <w:color w:val="FF0000"/>
                <w:sz w:val="20"/>
                <w:szCs w:val="20"/>
              </w:rPr>
            </w:pPr>
          </w:p>
          <w:p w14:paraId="6E3E594F" w14:textId="77777777" w:rsidR="00466D47" w:rsidRDefault="00734F1C" w:rsidP="003B693E">
            <w:pPr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FF0000"/>
                <w:sz w:val="20"/>
                <w:szCs w:val="20"/>
              </w:rPr>
              <w:t>Znění připomínky:</w:t>
            </w:r>
            <w:r w:rsidR="00466D47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05C8A0E4" w14:textId="18116437" w:rsidR="003B693E" w:rsidRDefault="00466D47" w:rsidP="003B693E">
            <w:pPr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FF0000"/>
                <w:sz w:val="20"/>
                <w:szCs w:val="20"/>
              </w:rPr>
              <w:t>Žádáme o úplné odstranění opatření z materiálu a nesouhlasíme s „reformulacemi“ potravin tak, že by zcela ztrácely svoji výjimečnost a charakteristickou chuť.</w:t>
            </w:r>
          </w:p>
          <w:p w14:paraId="7CD0FB61" w14:textId="77777777" w:rsidR="00734F1C" w:rsidRPr="003B693E" w:rsidRDefault="00734F1C" w:rsidP="003B693E">
            <w:pPr>
              <w:rPr>
                <w:rFonts w:cs="Arial"/>
                <w:i/>
                <w:color w:val="FF0000"/>
                <w:sz w:val="20"/>
                <w:szCs w:val="20"/>
                <w:u w:val="single"/>
              </w:rPr>
            </w:pPr>
          </w:p>
          <w:p w14:paraId="7848AD0C" w14:textId="77777777" w:rsidR="003B693E" w:rsidRPr="003B693E" w:rsidRDefault="003B693E" w:rsidP="003B693E">
            <w:pPr>
              <w:rPr>
                <w:i/>
                <w:color w:val="FF0000"/>
              </w:rPr>
            </w:pPr>
            <w:r w:rsidRPr="003B693E">
              <w:rPr>
                <w:rFonts w:cs="Arial"/>
                <w:i/>
                <w:color w:val="FF0000"/>
                <w:sz w:val="20"/>
                <w:szCs w:val="20"/>
                <w:u w:val="single"/>
              </w:rPr>
              <w:t>Odůvodnění:</w:t>
            </w:r>
            <w:r w:rsidRPr="003B693E">
              <w:rPr>
                <w:rFonts w:cs="Arial"/>
                <w:i/>
                <w:color w:val="FF0000"/>
                <w:sz w:val="20"/>
                <w:szCs w:val="20"/>
              </w:rPr>
              <w:t xml:space="preserve"> </w:t>
            </w:r>
          </w:p>
          <w:p w14:paraId="1723AC75" w14:textId="690DF06C" w:rsidR="00013452" w:rsidRPr="003B693E" w:rsidRDefault="0022433E">
            <w:pPr>
              <w:rPr>
                <w:i/>
                <w:color w:val="FF0000"/>
                <w:szCs w:val="22"/>
              </w:rPr>
            </w:pPr>
            <w:r>
              <w:rPr>
                <w:i/>
                <w:color w:val="FF0000"/>
                <w:szCs w:val="22"/>
              </w:rPr>
              <w:t>Není nikterak odůvodnitelné postupně „unifikovat“ všechny potraviny a plánovanými postupnými „reformulacemi“ potravin zlikvidovat všechny potravinové speciality a krajové zvláštnosti pod zcela pomýlenou představou o ochraně zdraví spotřebitelů! Jde o zcela abs</w:t>
            </w:r>
            <w:r w:rsidR="00712985">
              <w:rPr>
                <w:i/>
                <w:color w:val="FF0000"/>
                <w:szCs w:val="22"/>
              </w:rPr>
              <w:t>u</w:t>
            </w:r>
            <w:r>
              <w:rPr>
                <w:i/>
                <w:color w:val="FF0000"/>
                <w:szCs w:val="22"/>
              </w:rPr>
              <w:t>rdní pokus státu (potažmo EU) paternalisticky a „osvíceně“</w:t>
            </w:r>
            <w:r w:rsidR="00712985">
              <w:rPr>
                <w:i/>
                <w:color w:val="FF0000"/>
                <w:szCs w:val="22"/>
              </w:rPr>
              <w:t xml:space="preserve"> velmi výrazně zasahovat do základních lidských práv a svobod člověka.</w:t>
            </w:r>
          </w:p>
          <w:p w14:paraId="4E9BCB29" w14:textId="77777777" w:rsidR="00013452" w:rsidRPr="003B693E" w:rsidRDefault="00013452">
            <w:pPr>
              <w:rPr>
                <w:i/>
                <w:color w:val="FF0000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C8BF" w14:textId="77777777" w:rsidR="00013452" w:rsidRDefault="00013452">
            <w:pPr>
              <w:spacing w:after="120"/>
              <w:jc w:val="left"/>
              <w:rPr>
                <w:szCs w:val="22"/>
              </w:rPr>
            </w:pPr>
          </w:p>
        </w:tc>
      </w:tr>
      <w:tr w:rsidR="00E200FA" w14:paraId="47860382" w14:textId="77777777" w:rsidTr="003B693E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F69" w14:textId="77777777" w:rsidR="00E200FA" w:rsidRPr="003B693E" w:rsidRDefault="00E200FA" w:rsidP="003B693E">
            <w:pPr>
              <w:jc w:val="center"/>
              <w:rPr>
                <w:i/>
                <w:color w:val="FF0000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D64" w14:textId="77777777" w:rsidR="00DB6BC2" w:rsidRDefault="00DB6BC2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1A32DE15" w14:textId="11CA43DA" w:rsidR="00E200FA" w:rsidRPr="003B693E" w:rsidRDefault="00DB6BC2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DB6BC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6CDA" w14:textId="77777777" w:rsidR="00DB6BC2" w:rsidRPr="00DB6BC2" w:rsidRDefault="00DB6BC2">
            <w:pPr>
              <w:pStyle w:val="Nvod"/>
              <w:tabs>
                <w:tab w:val="num" w:pos="585"/>
              </w:tabs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C7E846D" w14:textId="1E4CC7A9" w:rsidR="00E200FA" w:rsidRPr="00DB6BC2" w:rsidRDefault="00DB6BC2">
            <w:pPr>
              <w:pStyle w:val="Nvod"/>
              <w:tabs>
                <w:tab w:val="num" w:pos="585"/>
              </w:tabs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B6BC2">
              <w:rPr>
                <w:rFonts w:ascii="Arial" w:hAnsi="Arial" w:cs="Arial"/>
                <w:i/>
                <w:sz w:val="22"/>
                <w:szCs w:val="22"/>
              </w:rPr>
              <w:t>Z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A8B2" w14:textId="77777777" w:rsidR="00466D47" w:rsidRDefault="00775342" w:rsidP="00734F1C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FF0000"/>
                <w:sz w:val="20"/>
                <w:szCs w:val="20"/>
              </w:rPr>
              <w:t>Ke „Strategickému cíli 2“, strana</w:t>
            </w:r>
            <w:r w:rsidRPr="00466D47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2</w:t>
            </w:r>
            <w:r w:rsidR="00466D47" w:rsidRPr="00466D47">
              <w:rPr>
                <w:rFonts w:cs="Arial"/>
                <w:b/>
                <w:i/>
                <w:color w:val="FF0000"/>
                <w:sz w:val="20"/>
                <w:szCs w:val="20"/>
              </w:rPr>
              <w:t>7</w:t>
            </w:r>
            <w:r w:rsidRPr="00466D47">
              <w:rPr>
                <w:rFonts w:cs="Arial"/>
                <w:b/>
                <w:i/>
                <w:color w:val="FF0000"/>
                <w:sz w:val="20"/>
                <w:szCs w:val="20"/>
              </w:rPr>
              <w:t>, „</w:t>
            </w:r>
            <w:bookmarkStart w:id="1" w:name="_Toc85301423"/>
            <w:r w:rsidR="00466D47" w:rsidRPr="00466D47">
              <w:rPr>
                <w:b/>
                <w:i/>
                <w:color w:val="FF0000"/>
                <w:sz w:val="20"/>
                <w:szCs w:val="20"/>
              </w:rPr>
              <w:t>1.6 Daňová politika</w:t>
            </w:r>
            <w:bookmarkEnd w:id="1"/>
            <w:r w:rsidR="00466D47" w:rsidRPr="00466D47">
              <w:rPr>
                <w:b/>
                <w:i/>
                <w:color w:val="FF0000"/>
                <w:sz w:val="20"/>
                <w:szCs w:val="20"/>
              </w:rPr>
              <w:t>“</w:t>
            </w:r>
          </w:p>
          <w:p w14:paraId="0CAB174D" w14:textId="075CFB91" w:rsidR="00E200FA" w:rsidRDefault="00466D47" w:rsidP="00734F1C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3D79501A" w14:textId="77777777" w:rsidR="00466D47" w:rsidRDefault="00466D47" w:rsidP="00466D47">
            <w:pPr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Znění připomínky: </w:t>
            </w:r>
          </w:p>
          <w:p w14:paraId="1EAF1304" w14:textId="73B1AAFC" w:rsidR="00466D47" w:rsidRDefault="00466D47" w:rsidP="00466D47">
            <w:pPr>
              <w:rPr>
                <w:i/>
                <w:color w:val="FF0000"/>
                <w:szCs w:val="22"/>
              </w:rPr>
            </w:pPr>
            <w:r>
              <w:rPr>
                <w:rFonts w:cs="Arial"/>
                <w:b/>
                <w:i/>
                <w:color w:val="FF0000"/>
                <w:sz w:val="20"/>
                <w:szCs w:val="20"/>
              </w:rPr>
              <w:t>Žádáme o úplné odstranění opatření z materiálu a nesouhlasíme s</w:t>
            </w:r>
            <w:r w:rsidR="00CD0934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 přímým </w:t>
            </w:r>
            <w:r>
              <w:rPr>
                <w:rFonts w:cs="Arial"/>
                <w:b/>
                <w:i/>
                <w:color w:val="FF0000"/>
                <w:sz w:val="20"/>
                <w:szCs w:val="20"/>
              </w:rPr>
              <w:t>ovlivňov</w:t>
            </w:r>
            <w:r w:rsidR="00CD0934">
              <w:rPr>
                <w:rFonts w:cs="Arial"/>
                <w:b/>
                <w:i/>
                <w:color w:val="FF0000"/>
                <w:sz w:val="20"/>
                <w:szCs w:val="20"/>
              </w:rPr>
              <w:t>á</w:t>
            </w:r>
            <w:r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ním </w:t>
            </w:r>
            <w:r w:rsidR="00CD0934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chování a </w:t>
            </w:r>
            <w:r>
              <w:rPr>
                <w:rFonts w:cs="Arial"/>
                <w:b/>
                <w:i/>
                <w:color w:val="FF0000"/>
                <w:sz w:val="20"/>
                <w:szCs w:val="20"/>
              </w:rPr>
              <w:t>výběru potravin spotřebiteli formou úpravy daní u dotací u vybraných potravin.</w:t>
            </w:r>
          </w:p>
          <w:p w14:paraId="1AA9A650" w14:textId="5DB7DB15" w:rsidR="00734F1C" w:rsidRDefault="00734F1C" w:rsidP="00734F1C">
            <w:pPr>
              <w:rPr>
                <w:i/>
                <w:color w:val="FF0000"/>
                <w:szCs w:val="22"/>
              </w:rPr>
            </w:pPr>
          </w:p>
          <w:p w14:paraId="715C8D57" w14:textId="5A16CCCE" w:rsidR="00CD0934" w:rsidRDefault="00CD0934" w:rsidP="00734F1C">
            <w:pPr>
              <w:rPr>
                <w:rFonts w:cs="Arial"/>
                <w:i/>
                <w:color w:val="FF0000"/>
                <w:sz w:val="20"/>
                <w:szCs w:val="20"/>
                <w:u w:val="single"/>
              </w:rPr>
            </w:pPr>
            <w:r w:rsidRPr="003B693E">
              <w:rPr>
                <w:rFonts w:cs="Arial"/>
                <w:i/>
                <w:color w:val="FF0000"/>
                <w:sz w:val="20"/>
                <w:szCs w:val="20"/>
                <w:u w:val="single"/>
              </w:rPr>
              <w:t>Odůvodnění:</w:t>
            </w:r>
          </w:p>
          <w:p w14:paraId="37BBF0C6" w14:textId="55AFC722" w:rsidR="00CD0934" w:rsidRPr="00CD0934" w:rsidRDefault="00CD0934" w:rsidP="00734F1C">
            <w:pPr>
              <w:rPr>
                <w:i/>
                <w:color w:val="FF0000"/>
                <w:szCs w:val="22"/>
              </w:rPr>
            </w:pPr>
            <w:r w:rsidRPr="00CD0934">
              <w:rPr>
                <w:rFonts w:cs="Arial"/>
                <w:i/>
                <w:color w:val="FF0000"/>
                <w:sz w:val="20"/>
                <w:szCs w:val="20"/>
              </w:rPr>
              <w:t>Není správné</w:t>
            </w:r>
            <w:r>
              <w:rPr>
                <w:rFonts w:cs="Arial"/>
                <w:i/>
                <w:color w:val="FF0000"/>
                <w:sz w:val="20"/>
                <w:szCs w:val="20"/>
              </w:rPr>
              <w:t>, ani logicky odůvodněné přímo ovlivňovat spotřebitele prostřednictvím „osvíceného“ názoru státu (potažmo EU) na to, co by měli spotřebitelé ve svém jídelníčku preferovat, nakupovat a konzumovat. Navíc by se jednalo o další omezení osobních svobod člověka</w:t>
            </w:r>
            <w:r w:rsidR="0082377B">
              <w:rPr>
                <w:rFonts w:cs="Arial"/>
                <w:i/>
                <w:color w:val="FF0000"/>
                <w:sz w:val="20"/>
                <w:szCs w:val="20"/>
              </w:rPr>
              <w:t xml:space="preserve"> ve formě státem </w:t>
            </w:r>
            <w:r w:rsidR="0082377B">
              <w:rPr>
                <w:rFonts w:cs="Arial"/>
                <w:i/>
                <w:color w:val="FF0000"/>
                <w:sz w:val="20"/>
                <w:szCs w:val="20"/>
              </w:rPr>
              <w:lastRenderedPageBreak/>
              <w:t xml:space="preserve">ovlivněného (značně zúženého) výběru spotřebiteli </w:t>
            </w:r>
            <w:r w:rsidR="009062DB">
              <w:rPr>
                <w:rFonts w:cs="Arial"/>
                <w:i/>
                <w:color w:val="FF0000"/>
                <w:sz w:val="20"/>
                <w:szCs w:val="20"/>
              </w:rPr>
              <w:t xml:space="preserve">za stejných podmínek </w:t>
            </w:r>
            <w:r w:rsidR="0082377B">
              <w:rPr>
                <w:rFonts w:cs="Arial"/>
                <w:i/>
                <w:color w:val="FF0000"/>
                <w:sz w:val="20"/>
                <w:szCs w:val="20"/>
              </w:rPr>
              <w:t>nabízených potravin, o</w:t>
            </w:r>
            <w:r>
              <w:rPr>
                <w:rFonts w:cs="Arial"/>
                <w:i/>
                <w:color w:val="FF0000"/>
                <w:sz w:val="20"/>
                <w:szCs w:val="20"/>
              </w:rPr>
              <w:t xml:space="preserve"> pokřivení hospodářské soutěže a </w:t>
            </w:r>
            <w:r w:rsidR="009062DB">
              <w:rPr>
                <w:rFonts w:cs="Arial"/>
                <w:i/>
                <w:color w:val="FF0000"/>
                <w:sz w:val="20"/>
                <w:szCs w:val="20"/>
              </w:rPr>
              <w:t xml:space="preserve">navíc ještě </w:t>
            </w:r>
            <w:r>
              <w:rPr>
                <w:rFonts w:cs="Arial"/>
                <w:i/>
                <w:color w:val="FF0000"/>
                <w:sz w:val="20"/>
                <w:szCs w:val="20"/>
              </w:rPr>
              <w:t>o ovlivňování</w:t>
            </w:r>
            <w:r w:rsidR="0082377B">
              <w:rPr>
                <w:rFonts w:cs="Arial"/>
                <w:i/>
                <w:color w:val="FF0000"/>
                <w:sz w:val="20"/>
                <w:szCs w:val="20"/>
              </w:rPr>
              <w:t xml:space="preserve"> jeho chování z jeho vlastních peněz, jako daňového poplatníka! Na toto opatření by dopláceli ti spotřebitelé, kteří by měli j</w:t>
            </w:r>
            <w:r w:rsidR="009062DB">
              <w:rPr>
                <w:rFonts w:cs="Arial"/>
                <w:i/>
                <w:color w:val="FF0000"/>
                <w:sz w:val="20"/>
                <w:szCs w:val="20"/>
              </w:rPr>
              <w:t>i</w:t>
            </w:r>
            <w:r w:rsidR="0082377B">
              <w:rPr>
                <w:rFonts w:cs="Arial"/>
                <w:i/>
                <w:color w:val="FF0000"/>
                <w:sz w:val="20"/>
                <w:szCs w:val="20"/>
              </w:rPr>
              <w:t xml:space="preserve">né chuťové preference, než ty státem zvýhodňované jako „jeho zdraví prospěšné“. Jedná se zde o nepřípustný paternalismus státu! V neposlední řadě není ani jasné a zřejmé kdo a za jakých podmínek a </w:t>
            </w:r>
            <w:r w:rsidR="009062DB">
              <w:rPr>
                <w:rFonts w:cs="Arial"/>
                <w:i/>
                <w:color w:val="FF0000"/>
                <w:sz w:val="20"/>
                <w:szCs w:val="20"/>
              </w:rPr>
              <w:t xml:space="preserve">na základě jakých </w:t>
            </w:r>
            <w:r w:rsidR="0082377B">
              <w:rPr>
                <w:rFonts w:cs="Arial"/>
                <w:i/>
                <w:color w:val="FF0000"/>
                <w:sz w:val="20"/>
                <w:szCs w:val="20"/>
              </w:rPr>
              <w:t>kritérií</w:t>
            </w:r>
            <w:r w:rsidR="009062DB">
              <w:rPr>
                <w:rFonts w:cs="Arial"/>
                <w:i/>
                <w:color w:val="FF0000"/>
                <w:sz w:val="20"/>
                <w:szCs w:val="20"/>
              </w:rPr>
              <w:t xml:space="preserve"> by rozhodoval o tom, které potraviny a jak budou preferovány a zvýhodněny a nákup kterých potravin bude znevýhodněn zvýšenými daněmi. Takovéto rozhodování je, podle našeho názoru, ve svobodné demokratické společnosti zcela nepřípustné!</w:t>
            </w:r>
          </w:p>
          <w:p w14:paraId="795E0D85" w14:textId="77777777" w:rsidR="00734F1C" w:rsidRPr="003B693E" w:rsidRDefault="00734F1C" w:rsidP="00734F1C">
            <w:pPr>
              <w:rPr>
                <w:i/>
                <w:color w:val="FF0000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BF1" w14:textId="77777777" w:rsidR="00E200FA" w:rsidRDefault="00E200FA">
            <w:pPr>
              <w:spacing w:after="120"/>
              <w:jc w:val="left"/>
              <w:rPr>
                <w:szCs w:val="22"/>
              </w:rPr>
            </w:pPr>
          </w:p>
        </w:tc>
      </w:tr>
      <w:tr w:rsidR="00A76684" w14:paraId="3DFB472B" w14:textId="77777777" w:rsidTr="003B693E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6C96" w14:textId="77777777" w:rsidR="00A76684" w:rsidRPr="003B693E" w:rsidRDefault="00A76684" w:rsidP="00F132BA">
            <w:pPr>
              <w:jc w:val="center"/>
              <w:rPr>
                <w:i/>
                <w:color w:val="FF0000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8F2" w14:textId="77777777" w:rsidR="00A76684" w:rsidRPr="003B693E" w:rsidRDefault="00A76684" w:rsidP="00F132BA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D887" w14:textId="77777777" w:rsidR="00A76684" w:rsidRPr="003B693E" w:rsidRDefault="00A76684" w:rsidP="00F132BA">
            <w:pPr>
              <w:pStyle w:val="Nvod"/>
              <w:tabs>
                <w:tab w:val="num" w:pos="585"/>
              </w:tabs>
              <w:spacing w:after="12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139" w14:textId="77777777" w:rsidR="00A76684" w:rsidRDefault="00A76684" w:rsidP="00F132BA">
            <w:pPr>
              <w:rPr>
                <w:i/>
                <w:color w:val="FF0000"/>
                <w:szCs w:val="22"/>
              </w:rPr>
            </w:pPr>
          </w:p>
          <w:p w14:paraId="5284AD0D" w14:textId="77777777" w:rsidR="00734F1C" w:rsidRDefault="00734F1C" w:rsidP="00F132BA">
            <w:pPr>
              <w:rPr>
                <w:i/>
                <w:color w:val="FF0000"/>
                <w:szCs w:val="22"/>
              </w:rPr>
            </w:pPr>
          </w:p>
          <w:p w14:paraId="46EFA14A" w14:textId="77777777" w:rsidR="00734F1C" w:rsidRPr="003B693E" w:rsidRDefault="00734F1C" w:rsidP="00F132BA">
            <w:pPr>
              <w:rPr>
                <w:i/>
                <w:color w:val="FF0000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7E5A" w14:textId="77777777" w:rsidR="00A76684" w:rsidRDefault="00A76684">
            <w:pPr>
              <w:spacing w:after="120"/>
              <w:jc w:val="left"/>
              <w:rPr>
                <w:szCs w:val="22"/>
              </w:rPr>
            </w:pPr>
          </w:p>
        </w:tc>
      </w:tr>
      <w:tr w:rsidR="00A76684" w14:paraId="0CE0BEF0" w14:textId="77777777" w:rsidTr="003B693E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1BDA" w14:textId="77777777" w:rsidR="00A76684" w:rsidRDefault="00A76684">
            <w:pPr>
              <w:jc w:val="center"/>
              <w:rPr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53A" w14:textId="77777777" w:rsidR="00A76684" w:rsidRDefault="00A76684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15CC" w14:textId="77777777" w:rsidR="00A76684" w:rsidRDefault="00A76684">
            <w:pPr>
              <w:pStyle w:val="Nvod"/>
              <w:tabs>
                <w:tab w:val="num" w:pos="585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2A52" w14:textId="77777777" w:rsidR="00A76684" w:rsidRDefault="00A76684">
            <w:pPr>
              <w:rPr>
                <w:szCs w:val="22"/>
              </w:rPr>
            </w:pPr>
          </w:p>
          <w:p w14:paraId="1DC26555" w14:textId="77777777" w:rsidR="00A76684" w:rsidRDefault="00A76684">
            <w:pPr>
              <w:rPr>
                <w:szCs w:val="22"/>
              </w:rPr>
            </w:pPr>
          </w:p>
          <w:p w14:paraId="45B623AD" w14:textId="77777777" w:rsidR="00A76684" w:rsidRDefault="00A76684">
            <w:pPr>
              <w:rPr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8DB8" w14:textId="77777777" w:rsidR="00A76684" w:rsidRDefault="00A76684">
            <w:pPr>
              <w:spacing w:after="120"/>
              <w:jc w:val="left"/>
              <w:rPr>
                <w:szCs w:val="22"/>
              </w:rPr>
            </w:pPr>
          </w:p>
        </w:tc>
      </w:tr>
      <w:tr w:rsidR="00A76684" w14:paraId="76E0F8DE" w14:textId="77777777" w:rsidTr="003B693E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0AA" w14:textId="77777777" w:rsidR="00A76684" w:rsidRDefault="00A76684">
            <w:pPr>
              <w:jc w:val="center"/>
              <w:rPr>
                <w:szCs w:val="22"/>
              </w:rPr>
            </w:pPr>
          </w:p>
          <w:p w14:paraId="7FCB3B6D" w14:textId="77777777" w:rsidR="00A76684" w:rsidRDefault="00A76684">
            <w:pPr>
              <w:jc w:val="center"/>
              <w:rPr>
                <w:szCs w:val="22"/>
              </w:rPr>
            </w:pPr>
          </w:p>
          <w:p w14:paraId="32B3C45A" w14:textId="77777777" w:rsidR="00A76684" w:rsidRDefault="00A76684">
            <w:pPr>
              <w:jc w:val="center"/>
              <w:rPr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7EFF" w14:textId="77777777" w:rsidR="00A76684" w:rsidRDefault="00A76684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CF5C" w14:textId="77777777" w:rsidR="00A76684" w:rsidRDefault="00A76684">
            <w:pPr>
              <w:pStyle w:val="Nvod"/>
              <w:tabs>
                <w:tab w:val="num" w:pos="585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C447" w14:textId="77777777" w:rsidR="00A76684" w:rsidRDefault="00A76684">
            <w:pPr>
              <w:rPr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B90C" w14:textId="77777777" w:rsidR="00A76684" w:rsidRDefault="00A76684">
            <w:pPr>
              <w:spacing w:after="120"/>
              <w:jc w:val="left"/>
              <w:rPr>
                <w:szCs w:val="22"/>
              </w:rPr>
            </w:pPr>
          </w:p>
        </w:tc>
      </w:tr>
      <w:tr w:rsidR="00A76684" w14:paraId="4546DCB8" w14:textId="77777777" w:rsidTr="003B693E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210" w14:textId="77777777" w:rsidR="00A76684" w:rsidRDefault="00A76684">
            <w:pPr>
              <w:jc w:val="center"/>
              <w:rPr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B91" w14:textId="77777777" w:rsidR="00A76684" w:rsidRDefault="00A76684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B5A7" w14:textId="77777777" w:rsidR="00A76684" w:rsidRDefault="00A76684">
            <w:pPr>
              <w:pStyle w:val="Nvod"/>
              <w:tabs>
                <w:tab w:val="num" w:pos="585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88D" w14:textId="77777777" w:rsidR="00A76684" w:rsidRDefault="00A76684">
            <w:pPr>
              <w:rPr>
                <w:szCs w:val="22"/>
              </w:rPr>
            </w:pPr>
          </w:p>
          <w:p w14:paraId="0446FDD2" w14:textId="77777777" w:rsidR="00A76684" w:rsidRDefault="00A76684">
            <w:pPr>
              <w:rPr>
                <w:szCs w:val="22"/>
              </w:rPr>
            </w:pPr>
          </w:p>
          <w:p w14:paraId="3284178A" w14:textId="77777777" w:rsidR="00A76684" w:rsidRDefault="00A76684">
            <w:pPr>
              <w:rPr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D018" w14:textId="77777777" w:rsidR="00A76684" w:rsidRDefault="00A76684">
            <w:pPr>
              <w:spacing w:after="120"/>
              <w:jc w:val="left"/>
              <w:rPr>
                <w:szCs w:val="22"/>
              </w:rPr>
            </w:pPr>
          </w:p>
        </w:tc>
      </w:tr>
      <w:tr w:rsidR="00A76684" w14:paraId="15EA58DD" w14:textId="77777777" w:rsidTr="003B693E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AEE" w14:textId="77777777" w:rsidR="00A76684" w:rsidRDefault="00A76684">
            <w:pPr>
              <w:jc w:val="center"/>
              <w:rPr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F5E" w14:textId="77777777" w:rsidR="00A76684" w:rsidRDefault="00A76684">
            <w:pPr>
              <w:pStyle w:val="slovn"/>
              <w:numPr>
                <w:ilvl w:val="0"/>
                <w:numId w:val="0"/>
              </w:numPr>
              <w:tabs>
                <w:tab w:val="left" w:pos="708"/>
              </w:tabs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9FE" w14:textId="77777777" w:rsidR="00A76684" w:rsidRDefault="00A76684">
            <w:pPr>
              <w:pStyle w:val="Nvod"/>
              <w:tabs>
                <w:tab w:val="num" w:pos="585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51A" w14:textId="77777777" w:rsidR="00A76684" w:rsidRDefault="00A76684">
            <w:pPr>
              <w:rPr>
                <w:szCs w:val="22"/>
              </w:rPr>
            </w:pPr>
          </w:p>
          <w:p w14:paraId="60725BC9" w14:textId="77777777" w:rsidR="00A76684" w:rsidRDefault="00A76684">
            <w:pPr>
              <w:rPr>
                <w:szCs w:val="22"/>
              </w:rPr>
            </w:pPr>
          </w:p>
          <w:p w14:paraId="1E3829F4" w14:textId="77777777" w:rsidR="00A76684" w:rsidRDefault="00A76684">
            <w:pPr>
              <w:rPr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39C0" w14:textId="77777777" w:rsidR="00A76684" w:rsidRDefault="00A76684">
            <w:pPr>
              <w:spacing w:after="120"/>
              <w:jc w:val="left"/>
              <w:rPr>
                <w:szCs w:val="22"/>
              </w:rPr>
            </w:pPr>
          </w:p>
        </w:tc>
      </w:tr>
    </w:tbl>
    <w:p w14:paraId="5A5FCF28" w14:textId="77777777" w:rsidR="00362053" w:rsidRDefault="00362053"/>
    <w:p w14:paraId="289B0634" w14:textId="77777777" w:rsidR="00920D19" w:rsidRDefault="00920D19"/>
    <w:sectPr w:rsidR="00920D19" w:rsidSect="000D57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D50"/>
    <w:multiLevelType w:val="hybridMultilevel"/>
    <w:tmpl w:val="EF3EA00C"/>
    <w:lvl w:ilvl="0" w:tplc="A51CD55E">
      <w:start w:val="1"/>
      <w:numFmt w:val="decimal"/>
      <w:pStyle w:val="slovn"/>
      <w:lvlText w:val="%1."/>
      <w:lvlJc w:val="left"/>
      <w:pPr>
        <w:tabs>
          <w:tab w:val="num" w:pos="539"/>
        </w:tabs>
        <w:ind w:left="539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" w15:restartNumberingAfterBreak="0">
    <w:nsid w:val="10B10E46"/>
    <w:multiLevelType w:val="hybridMultilevel"/>
    <w:tmpl w:val="EE548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D3C99"/>
    <w:multiLevelType w:val="hybridMultilevel"/>
    <w:tmpl w:val="F3907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452"/>
    <w:rsid w:val="00013452"/>
    <w:rsid w:val="00044D75"/>
    <w:rsid w:val="000D576C"/>
    <w:rsid w:val="0022433E"/>
    <w:rsid w:val="002317A4"/>
    <w:rsid w:val="002F3E69"/>
    <w:rsid w:val="00327591"/>
    <w:rsid w:val="00362053"/>
    <w:rsid w:val="003B693E"/>
    <w:rsid w:val="00415569"/>
    <w:rsid w:val="00466D47"/>
    <w:rsid w:val="004948D1"/>
    <w:rsid w:val="00712985"/>
    <w:rsid w:val="00734F1C"/>
    <w:rsid w:val="00775342"/>
    <w:rsid w:val="00790CC2"/>
    <w:rsid w:val="007D0680"/>
    <w:rsid w:val="0082377B"/>
    <w:rsid w:val="00825626"/>
    <w:rsid w:val="00880A6F"/>
    <w:rsid w:val="009062DB"/>
    <w:rsid w:val="00920D19"/>
    <w:rsid w:val="00A76684"/>
    <w:rsid w:val="00AC5CB5"/>
    <w:rsid w:val="00BA10A3"/>
    <w:rsid w:val="00BC594B"/>
    <w:rsid w:val="00C14A57"/>
    <w:rsid w:val="00CD0934"/>
    <w:rsid w:val="00DB6BC2"/>
    <w:rsid w:val="00E200FA"/>
    <w:rsid w:val="00F4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C1302"/>
  <w15:docId w15:val="{BC16123E-8DE9-4EA5-AFBD-E425FA52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 grey"/>
    <w:qFormat/>
    <w:rsid w:val="00013452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od">
    <w:name w:val="Návod"/>
    <w:basedOn w:val="Normln"/>
    <w:rsid w:val="00013452"/>
    <w:pPr>
      <w:overflowPunct w:val="0"/>
      <w:autoSpaceDE w:val="0"/>
      <w:autoSpaceDN w:val="0"/>
      <w:adjustRightInd w:val="0"/>
      <w:spacing w:line="240" w:lineRule="auto"/>
      <w:ind w:left="340" w:hanging="340"/>
      <w:jc w:val="left"/>
    </w:pPr>
    <w:rPr>
      <w:rFonts w:ascii="Times New Roman" w:hAnsi="Times New Roman"/>
      <w:noProof w:val="0"/>
      <w:color w:val="auto"/>
      <w:sz w:val="24"/>
      <w:szCs w:val="20"/>
    </w:rPr>
  </w:style>
  <w:style w:type="paragraph" w:customStyle="1" w:styleId="slovn">
    <w:name w:val="číslování"/>
    <w:basedOn w:val="Normln"/>
    <w:rsid w:val="00013452"/>
    <w:pPr>
      <w:numPr>
        <w:numId w:val="1"/>
      </w:numPr>
      <w:spacing w:line="240" w:lineRule="auto"/>
      <w:jc w:val="center"/>
    </w:pPr>
    <w:rPr>
      <w:rFonts w:ascii="Times New Roman" w:hAnsi="Times New Roman"/>
      <w:noProof w:val="0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20D19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27591"/>
    <w:pPr>
      <w:spacing w:line="240" w:lineRule="auto"/>
      <w:ind w:firstLine="708"/>
    </w:pPr>
    <w:rPr>
      <w:rFonts w:cs="Arial"/>
      <w:noProof w:val="0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27591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3B693E"/>
    <w:pPr>
      <w:tabs>
        <w:tab w:val="center" w:pos="4536"/>
        <w:tab w:val="right" w:pos="9072"/>
      </w:tabs>
    </w:pPr>
    <w:rPr>
      <w:noProof w:val="0"/>
    </w:rPr>
  </w:style>
  <w:style w:type="character" w:customStyle="1" w:styleId="ZhlavChar">
    <w:name w:val="Záhlaví Char"/>
    <w:basedOn w:val="Standardnpsmoodstavce"/>
    <w:link w:val="Zhlav"/>
    <w:uiPriority w:val="99"/>
    <w:rsid w:val="003B693E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Kostelecká Lenka Mgr.</dc:creator>
  <cp:lastModifiedBy>JUDr. Zdeněk Žižka</cp:lastModifiedBy>
  <cp:revision>2</cp:revision>
  <dcterms:created xsi:type="dcterms:W3CDTF">2021-12-07T17:23:00Z</dcterms:created>
  <dcterms:modified xsi:type="dcterms:W3CDTF">2021-12-07T17:23:00Z</dcterms:modified>
</cp:coreProperties>
</file>