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A8CC" w14:textId="0520549C" w:rsidR="00706904" w:rsidRDefault="00023781" w:rsidP="00023781">
      <w:pPr>
        <w:ind w:left="3540"/>
        <w:jc w:val="right"/>
        <w:rPr>
          <w:rFonts w:eastAsia="Calibri"/>
          <w:b/>
          <w:bCs/>
        </w:rPr>
      </w:pPr>
      <w:bookmarkStart w:id="0" w:name="_Hlk88560665"/>
      <w:bookmarkStart w:id="1" w:name="_GoBack"/>
      <w:bookmarkEnd w:id="1"/>
      <w:r>
        <w:t>V.</w:t>
      </w:r>
      <w:bookmarkEnd w:id="0"/>
    </w:p>
    <w:p w14:paraId="7DE39201" w14:textId="77777777" w:rsidR="00706904" w:rsidRDefault="00706904" w:rsidP="00FB3B3B">
      <w:pPr>
        <w:autoSpaceDE w:val="0"/>
        <w:autoSpaceDN w:val="0"/>
        <w:adjustRightInd w:val="0"/>
        <w:jc w:val="center"/>
        <w:rPr>
          <w:rFonts w:eastAsia="Calibri"/>
          <w:b/>
          <w:bCs/>
        </w:rPr>
      </w:pPr>
    </w:p>
    <w:p w14:paraId="19DD3280" w14:textId="1E652D59" w:rsidR="0028576D" w:rsidRDefault="00B92E62" w:rsidP="00FB3B3B">
      <w:pPr>
        <w:autoSpaceDE w:val="0"/>
        <w:autoSpaceDN w:val="0"/>
        <w:adjustRightInd w:val="0"/>
        <w:jc w:val="center"/>
        <w:rPr>
          <w:rFonts w:eastAsia="Calibri"/>
          <w:b/>
          <w:bCs/>
        </w:rPr>
      </w:pPr>
      <w:r w:rsidRPr="000F23EA">
        <w:rPr>
          <w:rFonts w:eastAsia="Calibri"/>
          <w:b/>
          <w:bCs/>
        </w:rPr>
        <w:t>S</w:t>
      </w:r>
      <w:r w:rsidR="0028576D" w:rsidRPr="000F23EA">
        <w:rPr>
          <w:rFonts w:eastAsia="Calibri"/>
          <w:b/>
          <w:bCs/>
        </w:rPr>
        <w:t>HRNUTÍ ZÁVĚREČNÉ ZPRÁVY RIA</w:t>
      </w:r>
    </w:p>
    <w:p w14:paraId="2A8961E9" w14:textId="737DF26C" w:rsidR="00706904" w:rsidRDefault="00706904" w:rsidP="00FB3B3B">
      <w:pPr>
        <w:autoSpaceDE w:val="0"/>
        <w:autoSpaceDN w:val="0"/>
        <w:adjustRightInd w:val="0"/>
        <w:jc w:val="center"/>
        <w:rPr>
          <w:rFonts w:eastAsia="Calibri"/>
          <w:b/>
          <w:bCs/>
        </w:rPr>
      </w:pPr>
    </w:p>
    <w:p w14:paraId="41C9FDB7" w14:textId="77777777" w:rsidR="00706904" w:rsidRDefault="00706904" w:rsidP="00FB3B3B">
      <w:pPr>
        <w:autoSpaceDE w:val="0"/>
        <w:autoSpaceDN w:val="0"/>
        <w:adjustRightInd w:val="0"/>
        <w:jc w:val="center"/>
        <w:rPr>
          <w:rFonts w:eastAsia="Calibri"/>
          <w:b/>
          <w:bCs/>
        </w:rPr>
      </w:pPr>
    </w:p>
    <w:tbl>
      <w:tblPr>
        <w:tblW w:w="964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643"/>
        <w:gridCol w:w="5002"/>
      </w:tblGrid>
      <w:tr w:rsidR="00A00FB8" w:rsidRPr="000F23EA" w14:paraId="09AAE585" w14:textId="77777777" w:rsidTr="00053AAE">
        <w:trPr>
          <w:trHeight w:val="187"/>
        </w:trPr>
        <w:tc>
          <w:tcPr>
            <w:tcW w:w="9645" w:type="dxa"/>
            <w:gridSpan w:val="2"/>
            <w:tcBorders>
              <w:top w:val="single" w:sz="12" w:space="0" w:color="000000"/>
              <w:left w:val="single" w:sz="12" w:space="0" w:color="000000"/>
              <w:bottom w:val="single" w:sz="4" w:space="0" w:color="auto"/>
              <w:right w:val="single" w:sz="12" w:space="0" w:color="000000"/>
            </w:tcBorders>
            <w:shd w:val="clear" w:color="auto" w:fill="99CCFF"/>
            <w:vAlign w:val="bottom"/>
          </w:tcPr>
          <w:p w14:paraId="1EB4659C" w14:textId="77777777" w:rsidR="002E56CB" w:rsidRPr="000F23EA" w:rsidRDefault="00261C39" w:rsidP="00FB3B3B">
            <w:pPr>
              <w:jc w:val="both"/>
              <w:rPr>
                <w:rFonts w:eastAsia="MS Mincho"/>
                <w:iCs/>
              </w:rPr>
            </w:pPr>
            <w:r w:rsidRPr="000F23EA">
              <w:rPr>
                <w:rFonts w:eastAsia="MS Mincho"/>
                <w:iCs/>
              </w:rPr>
              <w:t xml:space="preserve">1. </w:t>
            </w:r>
            <w:r w:rsidRPr="000F23EA">
              <w:rPr>
                <w:rFonts w:eastAsia="Calibri"/>
                <w:bCs/>
              </w:rPr>
              <w:t>Základní identifikační údaje</w:t>
            </w:r>
          </w:p>
        </w:tc>
      </w:tr>
      <w:tr w:rsidR="00A00FB8" w:rsidRPr="000F23EA" w14:paraId="6CA31679" w14:textId="77777777" w:rsidTr="000D07AF">
        <w:trPr>
          <w:trHeight w:val="187"/>
        </w:trPr>
        <w:tc>
          <w:tcPr>
            <w:tcW w:w="9645" w:type="dxa"/>
            <w:gridSpan w:val="2"/>
            <w:tcBorders>
              <w:top w:val="single" w:sz="12" w:space="0" w:color="000000"/>
              <w:left w:val="single" w:sz="12" w:space="0" w:color="000000"/>
              <w:bottom w:val="single" w:sz="4" w:space="0" w:color="auto"/>
              <w:right w:val="single" w:sz="12" w:space="0" w:color="000000"/>
            </w:tcBorders>
            <w:vAlign w:val="bottom"/>
            <w:hideMark/>
          </w:tcPr>
          <w:p w14:paraId="7C33DC9B" w14:textId="77777777" w:rsidR="008A4AE2" w:rsidRPr="003620F0" w:rsidRDefault="00E4339F" w:rsidP="00FB3B3B">
            <w:pPr>
              <w:jc w:val="both"/>
              <w:rPr>
                <w:rFonts w:cs="Arial"/>
              </w:rPr>
            </w:pPr>
            <w:r w:rsidRPr="003620F0">
              <w:rPr>
                <w:noProof/>
              </w:rPr>
              <w:t>Nařízení vlády o maximální částce příspěvku na podporu zaměstnávání osob se zdravotním postižením na chráněném trhu práce</w:t>
            </w:r>
          </w:p>
        </w:tc>
      </w:tr>
      <w:tr w:rsidR="00A00FB8" w:rsidRPr="000F23EA" w14:paraId="352A09F4" w14:textId="77777777" w:rsidTr="002E3200">
        <w:trPr>
          <w:trHeight w:val="979"/>
        </w:trPr>
        <w:tc>
          <w:tcPr>
            <w:tcW w:w="4643" w:type="dxa"/>
            <w:tcBorders>
              <w:top w:val="single" w:sz="4" w:space="0" w:color="auto"/>
              <w:left w:val="single" w:sz="12" w:space="0" w:color="000000"/>
              <w:bottom w:val="single" w:sz="4" w:space="0" w:color="auto"/>
              <w:right w:val="single" w:sz="4" w:space="0" w:color="auto"/>
            </w:tcBorders>
            <w:vAlign w:val="center"/>
            <w:hideMark/>
          </w:tcPr>
          <w:p w14:paraId="47A21D03" w14:textId="77777777" w:rsidR="0028576D" w:rsidRPr="003620F0" w:rsidRDefault="0028576D" w:rsidP="00FB3B3B">
            <w:pPr>
              <w:autoSpaceDE w:val="0"/>
              <w:autoSpaceDN w:val="0"/>
              <w:adjustRightInd w:val="0"/>
              <w:jc w:val="both"/>
              <w:rPr>
                <w:rFonts w:eastAsia="Calibri"/>
                <w:bCs/>
              </w:rPr>
            </w:pPr>
            <w:r w:rsidRPr="003620F0">
              <w:rPr>
                <w:rFonts w:eastAsia="Calibri"/>
                <w:bCs/>
              </w:rPr>
              <w:t xml:space="preserve">Zpracovatel / zástupce předkladatele: </w:t>
            </w:r>
          </w:p>
          <w:p w14:paraId="313FDC13" w14:textId="77777777" w:rsidR="0028576D" w:rsidRPr="003620F0" w:rsidRDefault="0028576D" w:rsidP="00FB3B3B">
            <w:pPr>
              <w:autoSpaceDE w:val="0"/>
              <w:autoSpaceDN w:val="0"/>
              <w:adjustRightInd w:val="0"/>
              <w:jc w:val="both"/>
              <w:rPr>
                <w:rFonts w:eastAsia="Calibri"/>
                <w:bCs/>
                <w:u w:val="single"/>
              </w:rPr>
            </w:pPr>
            <w:r w:rsidRPr="003620F0">
              <w:rPr>
                <w:rFonts w:eastAsia="Calibri"/>
                <w:bCs/>
              </w:rPr>
              <w:t>Ministerstvo práce a sociálních věcí</w:t>
            </w:r>
          </w:p>
        </w:tc>
        <w:tc>
          <w:tcPr>
            <w:tcW w:w="5002" w:type="dxa"/>
            <w:tcBorders>
              <w:top w:val="single" w:sz="4" w:space="0" w:color="auto"/>
              <w:left w:val="single" w:sz="4" w:space="0" w:color="auto"/>
              <w:bottom w:val="single" w:sz="4" w:space="0" w:color="auto"/>
              <w:right w:val="single" w:sz="12" w:space="0" w:color="000000"/>
            </w:tcBorders>
            <w:shd w:val="clear" w:color="auto" w:fill="FFFFFF"/>
            <w:vAlign w:val="center"/>
            <w:hideMark/>
          </w:tcPr>
          <w:p w14:paraId="79EA9286" w14:textId="77777777" w:rsidR="00F63519" w:rsidRPr="003620F0" w:rsidRDefault="0028576D" w:rsidP="00F63519">
            <w:pPr>
              <w:autoSpaceDE w:val="0"/>
              <w:autoSpaceDN w:val="0"/>
              <w:adjustRightInd w:val="0"/>
              <w:jc w:val="both"/>
              <w:rPr>
                <w:rFonts w:eastAsia="Calibri"/>
                <w:bCs/>
              </w:rPr>
            </w:pPr>
            <w:r w:rsidRPr="003620F0">
              <w:rPr>
                <w:rFonts w:eastAsia="Calibri"/>
                <w:bCs/>
              </w:rPr>
              <w:t>Předpokládaný termín nabytí účinnosti, v případě dělené účinnosti rozveďte</w:t>
            </w:r>
            <w:r w:rsidR="00443A32" w:rsidRPr="003620F0">
              <w:rPr>
                <w:rFonts w:eastAsia="Calibri"/>
                <w:bCs/>
              </w:rPr>
              <w:t>:</w:t>
            </w:r>
          </w:p>
          <w:p w14:paraId="370425C7" w14:textId="663E8E87" w:rsidR="0028576D" w:rsidRPr="003620F0" w:rsidRDefault="00404419" w:rsidP="00F63519">
            <w:pPr>
              <w:autoSpaceDE w:val="0"/>
              <w:autoSpaceDN w:val="0"/>
              <w:adjustRightInd w:val="0"/>
              <w:jc w:val="both"/>
              <w:rPr>
                <w:rFonts w:eastAsia="Calibri"/>
                <w:bCs/>
              </w:rPr>
            </w:pPr>
            <w:r w:rsidRPr="003C100F">
              <w:t xml:space="preserve">1. </w:t>
            </w:r>
            <w:r w:rsidR="003C100F">
              <w:t xml:space="preserve">dubna </w:t>
            </w:r>
            <w:r w:rsidR="006019B6" w:rsidRPr="003C100F">
              <w:t>202</w:t>
            </w:r>
            <w:r w:rsidR="003C100F">
              <w:t>2</w:t>
            </w:r>
          </w:p>
        </w:tc>
      </w:tr>
      <w:tr w:rsidR="00A00FB8" w:rsidRPr="000F23EA" w14:paraId="4B5BA28F" w14:textId="77777777" w:rsidTr="000D07AF">
        <w:trPr>
          <w:trHeight w:val="337"/>
        </w:trPr>
        <w:tc>
          <w:tcPr>
            <w:tcW w:w="9645" w:type="dxa"/>
            <w:gridSpan w:val="2"/>
            <w:tcBorders>
              <w:top w:val="single" w:sz="12" w:space="0" w:color="000000"/>
              <w:left w:val="single" w:sz="12" w:space="0" w:color="000000"/>
              <w:bottom w:val="single" w:sz="4" w:space="0" w:color="auto"/>
              <w:right w:val="single" w:sz="12" w:space="0" w:color="000000"/>
            </w:tcBorders>
            <w:vAlign w:val="center"/>
            <w:hideMark/>
          </w:tcPr>
          <w:p w14:paraId="28CC9422" w14:textId="77777777" w:rsidR="0028576D" w:rsidRPr="000F23EA" w:rsidRDefault="0028576D" w:rsidP="00FB3B3B">
            <w:pPr>
              <w:autoSpaceDE w:val="0"/>
              <w:autoSpaceDN w:val="0"/>
              <w:adjustRightInd w:val="0"/>
              <w:jc w:val="both"/>
              <w:rPr>
                <w:rFonts w:eastAsia="Calibri"/>
                <w:bCs/>
              </w:rPr>
            </w:pPr>
            <w:r w:rsidRPr="000F23EA">
              <w:rPr>
                <w:rFonts w:eastAsia="Calibri"/>
                <w:bCs/>
              </w:rPr>
              <w:t xml:space="preserve">Implementace práva EU: </w:t>
            </w:r>
            <w:r w:rsidR="00931CF0">
              <w:rPr>
                <w:rFonts w:eastAsia="Calibri"/>
                <w:bCs/>
                <w:i/>
              </w:rPr>
              <w:t>Ne</w:t>
            </w:r>
          </w:p>
        </w:tc>
      </w:tr>
      <w:tr w:rsidR="00A00FB8" w:rsidRPr="000F23EA" w14:paraId="3DD766FE" w14:textId="77777777" w:rsidTr="000D07AF">
        <w:tc>
          <w:tcPr>
            <w:tcW w:w="9645" w:type="dxa"/>
            <w:gridSpan w:val="2"/>
            <w:tcBorders>
              <w:top w:val="single" w:sz="12" w:space="0" w:color="auto"/>
              <w:left w:val="single" w:sz="12" w:space="0" w:color="auto"/>
              <w:bottom w:val="single" w:sz="12" w:space="0" w:color="auto"/>
              <w:right w:val="single" w:sz="12" w:space="0" w:color="auto"/>
            </w:tcBorders>
            <w:shd w:val="clear" w:color="auto" w:fill="99CCFF"/>
            <w:hideMark/>
          </w:tcPr>
          <w:p w14:paraId="1578295C" w14:textId="77777777" w:rsidR="0028576D" w:rsidRPr="000F23EA" w:rsidRDefault="0028576D" w:rsidP="00FB3B3B">
            <w:pPr>
              <w:autoSpaceDE w:val="0"/>
              <w:autoSpaceDN w:val="0"/>
              <w:adjustRightInd w:val="0"/>
              <w:jc w:val="both"/>
              <w:rPr>
                <w:rFonts w:eastAsia="Calibri"/>
                <w:bCs/>
              </w:rPr>
            </w:pPr>
            <w:r w:rsidRPr="000F23EA">
              <w:rPr>
                <w:rFonts w:eastAsia="Calibri"/>
                <w:bCs/>
              </w:rPr>
              <w:t xml:space="preserve">2. Cíl návrhu </w:t>
            </w:r>
            <w:r w:rsidR="00931CF0">
              <w:rPr>
                <w:rFonts w:eastAsia="Calibri"/>
                <w:bCs/>
              </w:rPr>
              <w:t>nařízení vlády</w:t>
            </w:r>
            <w:r w:rsidRPr="000F23EA">
              <w:rPr>
                <w:rFonts w:eastAsia="Calibri"/>
                <w:bCs/>
              </w:rPr>
              <w:t xml:space="preserve"> </w:t>
            </w:r>
          </w:p>
        </w:tc>
      </w:tr>
      <w:tr w:rsidR="00A00FB8" w:rsidRPr="003B0320" w14:paraId="0E746C34" w14:textId="77777777" w:rsidTr="000D07AF">
        <w:tc>
          <w:tcPr>
            <w:tcW w:w="9645" w:type="dxa"/>
            <w:gridSpan w:val="2"/>
            <w:tcBorders>
              <w:top w:val="single" w:sz="12" w:space="0" w:color="auto"/>
              <w:left w:val="single" w:sz="12" w:space="0" w:color="auto"/>
              <w:bottom w:val="single" w:sz="12" w:space="0" w:color="auto"/>
              <w:right w:val="single" w:sz="12" w:space="0" w:color="auto"/>
            </w:tcBorders>
          </w:tcPr>
          <w:p w14:paraId="4D4E9C13" w14:textId="77777777" w:rsidR="009525D9" w:rsidRDefault="009525D9" w:rsidP="002A011C">
            <w:pPr>
              <w:tabs>
                <w:tab w:val="left" w:pos="6660"/>
              </w:tabs>
              <w:jc w:val="both"/>
              <w:rPr>
                <w:rFonts w:eastAsia="MS Gothic"/>
                <w:bCs/>
                <w:noProof/>
              </w:rPr>
            </w:pPr>
          </w:p>
          <w:p w14:paraId="0B96FD70" w14:textId="3577A3FB" w:rsidR="00F00E6E" w:rsidRPr="003B0320" w:rsidRDefault="00931CF0" w:rsidP="002A011C">
            <w:pPr>
              <w:tabs>
                <w:tab w:val="left" w:pos="6660"/>
              </w:tabs>
              <w:jc w:val="both"/>
              <w:rPr>
                <w:rFonts w:eastAsia="MS Gothic"/>
                <w:bCs/>
                <w:noProof/>
              </w:rPr>
            </w:pPr>
            <w:r w:rsidRPr="003B0320">
              <w:rPr>
                <w:rFonts w:eastAsia="MS Gothic"/>
                <w:bCs/>
                <w:noProof/>
              </w:rPr>
              <w:t>C</w:t>
            </w:r>
            <w:r w:rsidR="00BE3D85" w:rsidRPr="003B0320">
              <w:rPr>
                <w:rFonts w:eastAsia="MS Gothic"/>
                <w:bCs/>
                <w:noProof/>
              </w:rPr>
              <w:t xml:space="preserve">ílem návrhu </w:t>
            </w:r>
            <w:r w:rsidRPr="003B0320">
              <w:rPr>
                <w:rFonts w:eastAsia="MS Gothic"/>
                <w:bCs/>
                <w:noProof/>
              </w:rPr>
              <w:t>nařízení vlády je zvýšit maximální čá</w:t>
            </w:r>
            <w:r w:rsidR="00023781">
              <w:rPr>
                <w:rFonts w:eastAsia="MS Gothic"/>
                <w:bCs/>
                <w:noProof/>
              </w:rPr>
              <w:t>s</w:t>
            </w:r>
            <w:r w:rsidRPr="003B0320">
              <w:rPr>
                <w:rFonts w:eastAsia="MS Gothic"/>
                <w:bCs/>
                <w:noProof/>
              </w:rPr>
              <w:t xml:space="preserve">tku příspěvku na podporu zaměstnávání osob se zdravotním postižením na chráněném trhu práce, která nyní činí </w:t>
            </w:r>
            <w:r w:rsidR="003C100F">
              <w:rPr>
                <w:rFonts w:eastAsia="MS Gothic"/>
                <w:bCs/>
                <w:noProof/>
              </w:rPr>
              <w:t>13 600</w:t>
            </w:r>
            <w:r w:rsidRPr="003B0320">
              <w:rPr>
                <w:rFonts w:eastAsia="MS Gothic"/>
                <w:bCs/>
                <w:noProof/>
              </w:rPr>
              <w:t xml:space="preserve"> Kč.</w:t>
            </w:r>
          </w:p>
          <w:p w14:paraId="3A855907" w14:textId="77777777" w:rsidR="00931CF0" w:rsidRPr="003B0320" w:rsidRDefault="00931CF0" w:rsidP="002A011C">
            <w:pPr>
              <w:tabs>
                <w:tab w:val="left" w:pos="6660"/>
              </w:tabs>
              <w:jc w:val="both"/>
              <w:rPr>
                <w:rFonts w:eastAsia="MS Gothic"/>
                <w:bCs/>
                <w:noProof/>
              </w:rPr>
            </w:pPr>
          </w:p>
          <w:p w14:paraId="28B522E2" w14:textId="77777777" w:rsidR="00931CF0" w:rsidRPr="003B0320" w:rsidRDefault="00931CF0" w:rsidP="00931CF0">
            <w:pPr>
              <w:jc w:val="both"/>
              <w:rPr>
                <w:bCs/>
              </w:rPr>
            </w:pPr>
            <w:r w:rsidRPr="003B0320">
              <w:rPr>
                <w:bCs/>
              </w:rPr>
              <w:t>Toto opatření má zabránit nežádoucímu snižování zaměstnanosti osob se zdravotním postižením, které mají ztíženou možnost uplatnění na trhu práce. Zároveň lze očekávat, že zvýšení maximální částky příspěvku bude mít pozitivní dopad nejen na zachování dosavadních pracovních míst pro osoby se zdravotním postižením na chráněném trhu práce, ale bude působit také jako motivační prvek pro samotné zaměstnavatelské subjekty, aby i nadále zaměstnávaly osoby se zdravotním postižením, resp. vytvářely další pracovní místa vhodná pro tyto osoby.</w:t>
            </w:r>
          </w:p>
          <w:p w14:paraId="4807FA90" w14:textId="77777777" w:rsidR="00931CF0" w:rsidRPr="003B0320" w:rsidRDefault="00931CF0" w:rsidP="00931CF0">
            <w:pPr>
              <w:jc w:val="both"/>
              <w:rPr>
                <w:bCs/>
              </w:rPr>
            </w:pPr>
          </w:p>
          <w:p w14:paraId="75244492" w14:textId="77777777" w:rsidR="003B0320" w:rsidRPr="003B0320" w:rsidRDefault="00931CF0" w:rsidP="003B0320">
            <w:pPr>
              <w:jc w:val="both"/>
              <w:rPr>
                <w:bCs/>
              </w:rPr>
            </w:pPr>
            <w:r w:rsidRPr="003B0320">
              <w:rPr>
                <w:bCs/>
              </w:rPr>
              <w:t xml:space="preserve">Zvýšení maximální částky příspěvku </w:t>
            </w:r>
            <w:r w:rsidR="003B0320" w:rsidRPr="003B0320">
              <w:rPr>
                <w:bCs/>
              </w:rPr>
              <w:t xml:space="preserve">v rámci meziresortního připomínkového řízení </w:t>
            </w:r>
            <w:r w:rsidRPr="003B0320">
              <w:rPr>
                <w:bCs/>
              </w:rPr>
              <w:t>se předkládá ve dvou variantách:</w:t>
            </w:r>
          </w:p>
          <w:p w14:paraId="0B678237" w14:textId="6AC3D197" w:rsidR="003B0320" w:rsidRPr="003C100F" w:rsidRDefault="003B0320" w:rsidP="00323EC4">
            <w:pPr>
              <w:pStyle w:val="Odstavecseseznamem"/>
              <w:numPr>
                <w:ilvl w:val="0"/>
                <w:numId w:val="5"/>
              </w:numPr>
              <w:rPr>
                <w:rFonts w:ascii="Times New Roman" w:hAnsi="Times New Roman"/>
                <w:bCs/>
              </w:rPr>
            </w:pPr>
            <w:r w:rsidRPr="003C100F">
              <w:rPr>
                <w:rFonts w:ascii="Times New Roman" w:hAnsi="Times New Roman"/>
                <w:b/>
              </w:rPr>
              <w:t xml:space="preserve">varianta </w:t>
            </w:r>
            <w:r w:rsidR="00CF04CA" w:rsidRPr="003C100F">
              <w:rPr>
                <w:rFonts w:ascii="Times New Roman" w:hAnsi="Times New Roman"/>
                <w:b/>
              </w:rPr>
              <w:t>I</w:t>
            </w:r>
            <w:r w:rsidRPr="003C100F">
              <w:rPr>
                <w:rFonts w:ascii="Times New Roman" w:hAnsi="Times New Roman"/>
                <w:bCs/>
              </w:rPr>
              <w:t xml:space="preserve"> – maximální částka příspěvku </w:t>
            </w:r>
            <w:r w:rsidR="003C100F" w:rsidRPr="003C100F">
              <w:rPr>
                <w:rFonts w:ascii="Times New Roman" w:hAnsi="Times New Roman"/>
                <w:b/>
              </w:rPr>
              <w:t>14 200</w:t>
            </w:r>
            <w:r w:rsidRPr="003C100F">
              <w:rPr>
                <w:rFonts w:ascii="Times New Roman" w:hAnsi="Times New Roman"/>
                <w:b/>
              </w:rPr>
              <w:t xml:space="preserve"> Kč </w:t>
            </w:r>
            <w:r w:rsidRPr="003C100F">
              <w:rPr>
                <w:rFonts w:ascii="Times New Roman" w:hAnsi="Times New Roman"/>
                <w:bCs/>
              </w:rPr>
              <w:t xml:space="preserve">(zvýšení o </w:t>
            </w:r>
            <w:r w:rsidR="003C100F" w:rsidRPr="003C100F">
              <w:rPr>
                <w:rFonts w:ascii="Times New Roman" w:hAnsi="Times New Roman"/>
                <w:bCs/>
              </w:rPr>
              <w:t>6</w:t>
            </w:r>
            <w:r w:rsidRPr="003C100F">
              <w:rPr>
                <w:rFonts w:ascii="Times New Roman" w:hAnsi="Times New Roman"/>
                <w:bCs/>
              </w:rPr>
              <w:t>00 Kč)</w:t>
            </w:r>
          </w:p>
          <w:p w14:paraId="63E873CC" w14:textId="77777777" w:rsidR="003B0320" w:rsidRPr="009525D9" w:rsidRDefault="003B0320" w:rsidP="009525D9">
            <w:pPr>
              <w:pStyle w:val="Odstavecseseznamem"/>
              <w:numPr>
                <w:ilvl w:val="0"/>
                <w:numId w:val="5"/>
              </w:numPr>
              <w:tabs>
                <w:tab w:val="left" w:pos="-720"/>
              </w:tabs>
              <w:suppressAutoHyphens/>
              <w:rPr>
                <w:rFonts w:eastAsia="MS Gothic"/>
                <w:bCs/>
                <w:strike/>
                <w:noProof/>
              </w:rPr>
            </w:pPr>
            <w:r w:rsidRPr="003C100F">
              <w:rPr>
                <w:rFonts w:ascii="Times New Roman" w:hAnsi="Times New Roman"/>
                <w:b/>
              </w:rPr>
              <w:t xml:space="preserve">varianta </w:t>
            </w:r>
            <w:r w:rsidR="00CF04CA" w:rsidRPr="003C100F">
              <w:rPr>
                <w:rFonts w:ascii="Times New Roman" w:hAnsi="Times New Roman"/>
                <w:b/>
              </w:rPr>
              <w:t>II</w:t>
            </w:r>
            <w:r w:rsidRPr="003C100F">
              <w:rPr>
                <w:rFonts w:ascii="Times New Roman" w:hAnsi="Times New Roman"/>
                <w:b/>
              </w:rPr>
              <w:t xml:space="preserve"> </w:t>
            </w:r>
            <w:r w:rsidRPr="003B0320">
              <w:rPr>
                <w:rFonts w:ascii="Times New Roman" w:hAnsi="Times New Roman"/>
                <w:bCs/>
                <w:color w:val="000000"/>
              </w:rPr>
              <w:t xml:space="preserve">– maximální částka příspěvku </w:t>
            </w:r>
            <w:r w:rsidRPr="003B0320">
              <w:rPr>
                <w:rFonts w:ascii="Times New Roman" w:hAnsi="Times New Roman"/>
                <w:b/>
                <w:color w:val="000000"/>
              </w:rPr>
              <w:t>1</w:t>
            </w:r>
            <w:r w:rsidR="003C100F">
              <w:rPr>
                <w:rFonts w:ascii="Times New Roman" w:hAnsi="Times New Roman"/>
                <w:b/>
                <w:color w:val="000000"/>
              </w:rPr>
              <w:t>4</w:t>
            </w:r>
            <w:r w:rsidRPr="003B0320">
              <w:rPr>
                <w:rFonts w:ascii="Times New Roman" w:hAnsi="Times New Roman"/>
                <w:b/>
                <w:color w:val="000000"/>
              </w:rPr>
              <w:t> </w:t>
            </w:r>
            <w:r w:rsidR="003C100F">
              <w:rPr>
                <w:rFonts w:ascii="Times New Roman" w:hAnsi="Times New Roman"/>
                <w:b/>
                <w:color w:val="000000"/>
              </w:rPr>
              <w:t>6</w:t>
            </w:r>
            <w:r w:rsidRPr="003B0320">
              <w:rPr>
                <w:rFonts w:ascii="Times New Roman" w:hAnsi="Times New Roman"/>
                <w:b/>
                <w:color w:val="000000"/>
              </w:rPr>
              <w:t xml:space="preserve">00 Kč </w:t>
            </w:r>
            <w:r w:rsidRPr="003B0320">
              <w:rPr>
                <w:rFonts w:ascii="Times New Roman" w:hAnsi="Times New Roman"/>
                <w:bCs/>
                <w:color w:val="000000"/>
              </w:rPr>
              <w:t>(zvýšení o 1 </w:t>
            </w:r>
            <w:r w:rsidR="003C100F">
              <w:rPr>
                <w:rFonts w:ascii="Times New Roman" w:hAnsi="Times New Roman"/>
                <w:bCs/>
                <w:color w:val="000000"/>
              </w:rPr>
              <w:t>0</w:t>
            </w:r>
            <w:r w:rsidRPr="003B0320">
              <w:rPr>
                <w:rFonts w:ascii="Times New Roman" w:hAnsi="Times New Roman"/>
                <w:bCs/>
                <w:color w:val="000000"/>
              </w:rPr>
              <w:t>00 Kč).</w:t>
            </w:r>
          </w:p>
          <w:p w14:paraId="68BF5032" w14:textId="5BC65CF1" w:rsidR="009525D9" w:rsidRPr="003B0320" w:rsidRDefault="009525D9" w:rsidP="009525D9">
            <w:pPr>
              <w:pStyle w:val="Odstavecseseznamem"/>
              <w:tabs>
                <w:tab w:val="left" w:pos="-720"/>
              </w:tabs>
              <w:suppressAutoHyphens/>
              <w:ind w:left="783"/>
              <w:rPr>
                <w:rFonts w:eastAsia="MS Gothic"/>
                <w:bCs/>
                <w:strike/>
                <w:noProof/>
              </w:rPr>
            </w:pPr>
          </w:p>
        </w:tc>
      </w:tr>
      <w:tr w:rsidR="00A00FB8" w:rsidRPr="000F23EA" w14:paraId="5D291C89"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hideMark/>
          </w:tcPr>
          <w:p w14:paraId="2367B8CC" w14:textId="77777777" w:rsidR="004126E2" w:rsidRPr="000F23EA" w:rsidRDefault="004126E2" w:rsidP="00FB3B3B">
            <w:pPr>
              <w:autoSpaceDE w:val="0"/>
              <w:autoSpaceDN w:val="0"/>
              <w:adjustRightInd w:val="0"/>
              <w:jc w:val="both"/>
              <w:rPr>
                <w:rFonts w:eastAsia="Calibri"/>
                <w:bCs/>
              </w:rPr>
            </w:pPr>
            <w:r w:rsidRPr="000F23EA">
              <w:rPr>
                <w:rFonts w:eastAsia="Calibri"/>
                <w:bCs/>
              </w:rPr>
              <w:t xml:space="preserve">3. </w:t>
            </w:r>
            <w:r w:rsidRPr="000F23EA">
              <w:rPr>
                <w:rFonts w:eastAsia="Calibri"/>
              </w:rPr>
              <w:t>Agregované</w:t>
            </w:r>
            <w:r w:rsidRPr="000F23EA">
              <w:rPr>
                <w:rFonts w:eastAsia="Calibri"/>
                <w:bCs/>
              </w:rPr>
              <w:t xml:space="preserve"> dopady návrhu </w:t>
            </w:r>
            <w:r w:rsidR="00931CF0">
              <w:rPr>
                <w:rFonts w:eastAsia="Calibri"/>
                <w:bCs/>
              </w:rPr>
              <w:t>nařízení vlády</w:t>
            </w:r>
          </w:p>
        </w:tc>
      </w:tr>
      <w:tr w:rsidR="00A00FB8" w:rsidRPr="000F23EA" w14:paraId="6A97278B"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hideMark/>
          </w:tcPr>
          <w:p w14:paraId="0D3896FA" w14:textId="77B304FF" w:rsidR="004126E2" w:rsidRDefault="004126E2" w:rsidP="00FB3B3B">
            <w:pPr>
              <w:autoSpaceDE w:val="0"/>
              <w:autoSpaceDN w:val="0"/>
              <w:adjustRightInd w:val="0"/>
              <w:jc w:val="both"/>
              <w:rPr>
                <w:rFonts w:eastAsia="Calibri"/>
                <w:bCs/>
                <w:i/>
              </w:rPr>
            </w:pPr>
            <w:r w:rsidRPr="000F23EA">
              <w:rPr>
                <w:rFonts w:eastAsia="Calibri"/>
                <w:bCs/>
              </w:rPr>
              <w:t xml:space="preserve">3.1 Dopady na státní rozpočet a ostatní veřejné rozpočty: </w:t>
            </w:r>
            <w:r w:rsidR="00D3445B" w:rsidRPr="000F23EA">
              <w:rPr>
                <w:rFonts w:eastAsia="Calibri"/>
                <w:bCs/>
                <w:i/>
              </w:rPr>
              <w:t xml:space="preserve">Ano </w:t>
            </w:r>
          </w:p>
          <w:p w14:paraId="29D3969C" w14:textId="77777777" w:rsidR="009525D9" w:rsidRDefault="009525D9" w:rsidP="00FB3B3B">
            <w:pPr>
              <w:autoSpaceDE w:val="0"/>
              <w:autoSpaceDN w:val="0"/>
              <w:adjustRightInd w:val="0"/>
              <w:jc w:val="both"/>
              <w:rPr>
                <w:rFonts w:eastAsia="Calibri"/>
                <w:bCs/>
                <w:i/>
              </w:rPr>
            </w:pPr>
          </w:p>
          <w:p w14:paraId="038D9CB2" w14:textId="67AF48AD" w:rsidR="003B0320" w:rsidRDefault="003B0320" w:rsidP="003B0320">
            <w:pPr>
              <w:pStyle w:val="Bezmezer"/>
              <w:spacing w:before="0" w:beforeAutospacing="0" w:after="0" w:afterAutospacing="0"/>
              <w:jc w:val="both"/>
              <w:rPr>
                <w:rFonts w:ascii="Times New Roman" w:hAnsi="Times New Roman"/>
                <w:sz w:val="24"/>
                <w:szCs w:val="24"/>
              </w:rPr>
            </w:pPr>
            <w:r w:rsidRPr="0053653D">
              <w:rPr>
                <w:rFonts w:ascii="Times New Roman" w:hAnsi="Times New Roman"/>
                <w:sz w:val="24"/>
                <w:szCs w:val="24"/>
              </w:rPr>
              <w:t>Předpokládané dopady na státní rozpočet:</w:t>
            </w:r>
          </w:p>
          <w:p w14:paraId="4A840072" w14:textId="77777777" w:rsidR="009525D9" w:rsidRDefault="009525D9" w:rsidP="003B0320">
            <w:pPr>
              <w:pStyle w:val="Bezmezer"/>
              <w:spacing w:before="0" w:beforeAutospacing="0" w:after="0" w:afterAutospacing="0"/>
              <w:jc w:val="both"/>
              <w:rPr>
                <w:rFonts w:ascii="Times New Roman" w:hAnsi="Times New Roman"/>
                <w:sz w:val="24"/>
                <w:szCs w:val="24"/>
              </w:rPr>
            </w:pPr>
          </w:p>
          <w:p w14:paraId="3157A8FF" w14:textId="4511E8F6" w:rsidR="003C100F" w:rsidRPr="009525D9" w:rsidRDefault="003C100F" w:rsidP="003C100F">
            <w:pPr>
              <w:pStyle w:val="Odstavecseseznamem"/>
              <w:numPr>
                <w:ilvl w:val="0"/>
                <w:numId w:val="11"/>
              </w:numPr>
              <w:rPr>
                <w:rFonts w:ascii="Times New Roman" w:hAnsi="Times New Roman"/>
                <w:bCs/>
              </w:rPr>
            </w:pPr>
            <w:r w:rsidRPr="003C100F">
              <w:rPr>
                <w:rFonts w:ascii="Times New Roman" w:hAnsi="Times New Roman"/>
              </w:rPr>
              <w:t xml:space="preserve">při variantě I (zvýšení příspěvku o 600 Kč) lze odhadnout roční náklady státního rozpočtu na </w:t>
            </w:r>
            <w:r w:rsidRPr="003C100F">
              <w:rPr>
                <w:rFonts w:ascii="Times New Roman" w:hAnsi="Times New Roman"/>
                <w:b/>
                <w:bCs/>
              </w:rPr>
              <w:t>354 mil. Kč</w:t>
            </w:r>
            <w:r w:rsidRPr="003C100F">
              <w:rPr>
                <w:rFonts w:ascii="Times New Roman" w:hAnsi="Times New Roman"/>
              </w:rPr>
              <w:t xml:space="preserve"> (64 718 OZP x 600 Kč x 12 měsíců x průměrné čerpání maximální částky příspěvku 0,76); celkové roční náklady státního rozpočtu by činily téměř </w:t>
            </w:r>
            <w:r w:rsidRPr="003C100F">
              <w:rPr>
                <w:rFonts w:ascii="Times New Roman" w:hAnsi="Times New Roman"/>
                <w:b/>
                <w:bCs/>
              </w:rPr>
              <w:t>9,15</w:t>
            </w:r>
            <w:r w:rsidRPr="003C100F">
              <w:rPr>
                <w:rFonts w:ascii="Times New Roman" w:hAnsi="Times New Roman"/>
                <w:b/>
              </w:rPr>
              <w:t xml:space="preserve"> mld. Kč</w:t>
            </w:r>
            <w:r w:rsidRPr="003C100F">
              <w:rPr>
                <w:rFonts w:ascii="Times New Roman" w:hAnsi="Times New Roman"/>
                <w:bCs/>
              </w:rPr>
              <w:t>,</w:t>
            </w:r>
            <w:r w:rsidRPr="003C100F">
              <w:rPr>
                <w:rFonts w:ascii="Times New Roman" w:hAnsi="Times New Roman"/>
                <w:b/>
              </w:rPr>
              <w:t xml:space="preserve"> </w:t>
            </w:r>
            <w:r w:rsidRPr="003C100F">
              <w:rPr>
                <w:rFonts w:ascii="Times New Roman" w:hAnsi="Times New Roman"/>
                <w:bCs/>
              </w:rPr>
              <w:t xml:space="preserve">a to při započtení celkové maximální výše příspěvku, tj. včetně paušální částky </w:t>
            </w:r>
            <w:r w:rsidRPr="003C100F">
              <w:rPr>
                <w:rFonts w:ascii="Times New Roman" w:hAnsi="Times New Roman"/>
              </w:rPr>
              <w:t>(maximální částka příspěvku 14 200 Kč + 1 000 Kč paušální částka)</w:t>
            </w:r>
          </w:p>
          <w:p w14:paraId="5B22ED26" w14:textId="77777777" w:rsidR="009525D9" w:rsidRPr="003C100F" w:rsidRDefault="009525D9" w:rsidP="009525D9">
            <w:pPr>
              <w:pStyle w:val="Odstavecseseznamem"/>
              <w:rPr>
                <w:rFonts w:ascii="Times New Roman" w:hAnsi="Times New Roman"/>
                <w:bCs/>
              </w:rPr>
            </w:pPr>
          </w:p>
          <w:p w14:paraId="5D7C76C7" w14:textId="6449B9A7" w:rsidR="003C100F" w:rsidRDefault="003C100F" w:rsidP="003C100F">
            <w:pPr>
              <w:pStyle w:val="Odstavecseseznamem"/>
              <w:numPr>
                <w:ilvl w:val="0"/>
                <w:numId w:val="6"/>
              </w:numPr>
              <w:rPr>
                <w:rFonts w:ascii="Times New Roman" w:hAnsi="Times New Roman"/>
              </w:rPr>
            </w:pPr>
            <w:r w:rsidRPr="003C100F">
              <w:rPr>
                <w:rFonts w:ascii="Times New Roman" w:hAnsi="Times New Roman"/>
              </w:rPr>
              <w:t xml:space="preserve">při variantě II (zvýšení příspěvku o 1 000 Kč) lze odhadnout roční náklady státního rozpočtu </w:t>
            </w:r>
            <w:r w:rsidRPr="00706904">
              <w:rPr>
                <w:rFonts w:ascii="Times New Roman" w:hAnsi="Times New Roman"/>
              </w:rPr>
              <w:t xml:space="preserve">na </w:t>
            </w:r>
            <w:r w:rsidRPr="00706904">
              <w:rPr>
                <w:rFonts w:ascii="Times New Roman" w:hAnsi="Times New Roman"/>
                <w:b/>
                <w:bCs/>
              </w:rPr>
              <w:t xml:space="preserve">590 </w:t>
            </w:r>
            <w:r w:rsidRPr="00706904">
              <w:rPr>
                <w:rFonts w:ascii="Times New Roman" w:hAnsi="Times New Roman"/>
                <w:b/>
              </w:rPr>
              <w:t>m</w:t>
            </w:r>
            <w:r w:rsidR="00980DE0" w:rsidRPr="00706904">
              <w:rPr>
                <w:rFonts w:ascii="Times New Roman" w:hAnsi="Times New Roman"/>
                <w:b/>
              </w:rPr>
              <w:t>il</w:t>
            </w:r>
            <w:r w:rsidRPr="00706904">
              <w:rPr>
                <w:rFonts w:ascii="Times New Roman" w:hAnsi="Times New Roman"/>
                <w:b/>
              </w:rPr>
              <w:t xml:space="preserve">. Kč </w:t>
            </w:r>
            <w:r w:rsidRPr="00706904">
              <w:rPr>
                <w:rFonts w:ascii="Times New Roman" w:hAnsi="Times New Roman"/>
              </w:rPr>
              <w:t>(64 </w:t>
            </w:r>
            <w:r w:rsidRPr="004D1EA9">
              <w:rPr>
                <w:rFonts w:ascii="Times New Roman" w:hAnsi="Times New Roman"/>
              </w:rPr>
              <w:t>718 OZP x 1 000 Kč x 12 měsíců x průměrné čerpání maximální částky příspěvku 0,76)</w:t>
            </w:r>
            <w:r w:rsidRPr="004D1EA9">
              <w:rPr>
                <w:rFonts w:ascii="Times New Roman" w:hAnsi="Times New Roman"/>
                <w:bCs/>
              </w:rPr>
              <w:t>;</w:t>
            </w:r>
            <w:r w:rsidRPr="004D1EA9">
              <w:rPr>
                <w:rFonts w:ascii="Times New Roman" w:hAnsi="Times New Roman"/>
                <w:b/>
              </w:rPr>
              <w:t xml:space="preserve"> </w:t>
            </w:r>
            <w:r w:rsidRPr="003C100F">
              <w:rPr>
                <w:rFonts w:ascii="Times New Roman" w:hAnsi="Times New Roman"/>
              </w:rPr>
              <w:t xml:space="preserve">celkové roční náklady státního rozpočtu by činily téměř </w:t>
            </w:r>
            <w:r w:rsidRPr="003C100F">
              <w:rPr>
                <w:rFonts w:ascii="Times New Roman" w:hAnsi="Times New Roman"/>
                <w:b/>
                <w:bCs/>
              </w:rPr>
              <w:t>9,39</w:t>
            </w:r>
            <w:r w:rsidRPr="003C100F">
              <w:rPr>
                <w:rFonts w:ascii="Times New Roman" w:hAnsi="Times New Roman"/>
                <w:b/>
              </w:rPr>
              <w:t xml:space="preserve"> mld. Kč,</w:t>
            </w:r>
            <w:r w:rsidRPr="003C100F">
              <w:rPr>
                <w:rFonts w:ascii="Times New Roman" w:hAnsi="Times New Roman"/>
                <w:bCs/>
              </w:rPr>
              <w:t xml:space="preserve"> a to při započtení celkové maximální výše příspěvku, tj. včetně paušální částky </w:t>
            </w:r>
            <w:r w:rsidRPr="003C100F">
              <w:rPr>
                <w:rFonts w:ascii="Times New Roman" w:hAnsi="Times New Roman"/>
              </w:rPr>
              <w:t xml:space="preserve">(maximální částka příspěvku 14 600 Kč + 1 000 Kč paušální částka) </w:t>
            </w:r>
          </w:p>
          <w:p w14:paraId="7B642CE2" w14:textId="77777777" w:rsidR="00706904" w:rsidRDefault="00706904" w:rsidP="00706904">
            <w:pPr>
              <w:pStyle w:val="Odstavecseseznamem"/>
              <w:rPr>
                <w:rFonts w:ascii="Times New Roman" w:hAnsi="Times New Roman"/>
              </w:rPr>
            </w:pPr>
          </w:p>
          <w:p w14:paraId="7B180A22" w14:textId="77777777" w:rsidR="00706904" w:rsidRDefault="00706904" w:rsidP="003B0320">
            <w:pPr>
              <w:suppressAutoHyphens/>
              <w:jc w:val="both"/>
            </w:pPr>
          </w:p>
          <w:p w14:paraId="7AAFA842" w14:textId="7D171F48" w:rsidR="003B0320" w:rsidRDefault="003B0320" w:rsidP="003B0320">
            <w:pPr>
              <w:suppressAutoHyphens/>
              <w:jc w:val="both"/>
            </w:pPr>
            <w:r w:rsidRPr="003E5760">
              <w:t xml:space="preserve">Zvýšení příspěvku bude financováno z rozpočtové kapitoly MPSV. </w:t>
            </w:r>
          </w:p>
          <w:p w14:paraId="3FD6F146" w14:textId="77777777" w:rsidR="003B0320" w:rsidRDefault="003B0320" w:rsidP="003B0320">
            <w:pPr>
              <w:suppressAutoHyphens/>
              <w:jc w:val="both"/>
            </w:pPr>
          </w:p>
          <w:p w14:paraId="08FAF36E" w14:textId="65F0A517" w:rsidR="003B0320" w:rsidRDefault="003B0320" w:rsidP="004402C9">
            <w:pPr>
              <w:jc w:val="both"/>
            </w:pPr>
            <w:r w:rsidRPr="003E5760">
              <w:t xml:space="preserve">Kromě výše uvedených dopadů na státní rozpočet nemá navrhovaná právní úprava dopad </w:t>
            </w:r>
            <w:r>
              <w:t xml:space="preserve">na </w:t>
            </w:r>
            <w:r w:rsidRPr="003E5760">
              <w:t>ostatní veřejné rozpočty obcí a krajů.</w:t>
            </w:r>
          </w:p>
          <w:p w14:paraId="5BFA5ED6" w14:textId="77777777" w:rsidR="009525D9" w:rsidRPr="007E06FD" w:rsidRDefault="009525D9" w:rsidP="004402C9">
            <w:pPr>
              <w:jc w:val="both"/>
            </w:pPr>
          </w:p>
          <w:p w14:paraId="1E59802E" w14:textId="77777777" w:rsidR="004402C9" w:rsidRPr="000F23EA" w:rsidRDefault="004402C9" w:rsidP="004402C9">
            <w:pPr>
              <w:jc w:val="both"/>
            </w:pPr>
          </w:p>
        </w:tc>
      </w:tr>
      <w:tr w:rsidR="00A00FB8" w:rsidRPr="000F23EA" w14:paraId="5D84C625"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43D50099" w14:textId="77777777" w:rsidR="00F91F65" w:rsidRPr="000F23EA" w:rsidRDefault="00AC7E3F" w:rsidP="00FB3B3B">
            <w:pPr>
              <w:autoSpaceDE w:val="0"/>
              <w:autoSpaceDN w:val="0"/>
              <w:adjustRightInd w:val="0"/>
              <w:jc w:val="both"/>
              <w:rPr>
                <w:rFonts w:eastAsia="Calibri"/>
                <w:bCs/>
                <w:i/>
              </w:rPr>
            </w:pPr>
            <w:r w:rsidRPr="000F23EA">
              <w:rPr>
                <w:rFonts w:eastAsia="Calibri"/>
                <w:bCs/>
              </w:rPr>
              <w:lastRenderedPageBreak/>
              <w:t xml:space="preserve">3.2 Dopady na </w:t>
            </w:r>
            <w:r w:rsidR="002A011C" w:rsidRPr="000F23EA">
              <w:rPr>
                <w:rFonts w:eastAsia="Calibri"/>
                <w:bCs/>
              </w:rPr>
              <w:t>mezinárodní konkurenceschopnost ČR:</w:t>
            </w:r>
            <w:r w:rsidR="00BE3D85" w:rsidRPr="000F23EA">
              <w:rPr>
                <w:rFonts w:eastAsia="Calibri"/>
                <w:bCs/>
              </w:rPr>
              <w:t xml:space="preserve"> </w:t>
            </w:r>
            <w:r w:rsidR="00BE3D85" w:rsidRPr="000F23EA">
              <w:rPr>
                <w:rFonts w:eastAsia="Calibri"/>
                <w:bCs/>
                <w:i/>
              </w:rPr>
              <w:t>Ne</w:t>
            </w:r>
          </w:p>
        </w:tc>
      </w:tr>
      <w:tr w:rsidR="00A00FB8" w:rsidRPr="000F23EA" w14:paraId="1C597295"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49B26E1B" w14:textId="77777777" w:rsidR="007811D7" w:rsidRDefault="00D3445B" w:rsidP="00FB3B3B">
            <w:pPr>
              <w:autoSpaceDE w:val="0"/>
              <w:autoSpaceDN w:val="0"/>
              <w:adjustRightInd w:val="0"/>
              <w:jc w:val="both"/>
              <w:rPr>
                <w:rFonts w:eastAsia="Calibri"/>
                <w:bCs/>
                <w:i/>
              </w:rPr>
            </w:pPr>
            <w:r w:rsidRPr="000F23EA">
              <w:rPr>
                <w:rFonts w:eastAsia="Calibri"/>
                <w:bCs/>
              </w:rPr>
              <w:t>3.3.</w:t>
            </w:r>
            <w:r w:rsidRPr="000F23EA">
              <w:rPr>
                <w:rFonts w:eastAsia="Calibri"/>
                <w:bCs/>
                <w:i/>
              </w:rPr>
              <w:t xml:space="preserve"> </w:t>
            </w:r>
            <w:r w:rsidRPr="000F23EA">
              <w:rPr>
                <w:rFonts w:eastAsia="Calibri"/>
                <w:bCs/>
              </w:rPr>
              <w:t xml:space="preserve">Dopady na podnikatelské prostředí: </w:t>
            </w:r>
            <w:r w:rsidRPr="000F23EA">
              <w:rPr>
                <w:rFonts w:eastAsia="Calibri"/>
                <w:bCs/>
                <w:i/>
              </w:rPr>
              <w:t xml:space="preserve">Ano. </w:t>
            </w:r>
          </w:p>
          <w:p w14:paraId="5D36D487" w14:textId="77777777" w:rsidR="003B0320" w:rsidRDefault="003B0320" w:rsidP="00FB3B3B">
            <w:pPr>
              <w:autoSpaceDE w:val="0"/>
              <w:autoSpaceDN w:val="0"/>
              <w:adjustRightInd w:val="0"/>
              <w:jc w:val="both"/>
              <w:rPr>
                <w:rFonts w:eastAsia="Calibri"/>
                <w:bCs/>
                <w:i/>
              </w:rPr>
            </w:pPr>
          </w:p>
          <w:p w14:paraId="584A3C0A" w14:textId="77777777" w:rsidR="003B0320" w:rsidRDefault="003C100F" w:rsidP="009525D9">
            <w:pPr>
              <w:jc w:val="both"/>
              <w:rPr>
                <w:rFonts w:eastAsia="MS Mincho"/>
                <w:bCs/>
              </w:rPr>
            </w:pPr>
            <w:r>
              <w:rPr>
                <w:rFonts w:eastAsia="MS Mincho"/>
                <w:bCs/>
              </w:rPr>
              <w:t>N</w:t>
            </w:r>
            <w:r w:rsidR="003B0320" w:rsidRPr="00DE1B62">
              <w:rPr>
                <w:rFonts w:eastAsia="MS Mincho"/>
                <w:bCs/>
              </w:rPr>
              <w:t xml:space="preserve">avrhované </w:t>
            </w:r>
            <w:r w:rsidR="003B0320">
              <w:rPr>
                <w:rFonts w:eastAsia="MS Mincho"/>
                <w:bCs/>
              </w:rPr>
              <w:t xml:space="preserve">zvýšení maximální částky příspěvku </w:t>
            </w:r>
            <w:r w:rsidR="003B0320" w:rsidRPr="00DE1B62">
              <w:rPr>
                <w:rFonts w:eastAsia="MS Mincho"/>
                <w:bCs/>
              </w:rPr>
              <w:t>bud</w:t>
            </w:r>
            <w:r w:rsidR="003B0320">
              <w:rPr>
                <w:rFonts w:eastAsia="MS Mincho"/>
                <w:bCs/>
              </w:rPr>
              <w:t>e</w:t>
            </w:r>
            <w:r w:rsidR="003B0320" w:rsidRPr="00DE1B62">
              <w:rPr>
                <w:rFonts w:eastAsia="MS Mincho"/>
                <w:bCs/>
              </w:rPr>
              <w:t xml:space="preserve"> mít pozitivní dopad na podnikatelské prostředí</w:t>
            </w:r>
            <w:r w:rsidR="003B0320">
              <w:rPr>
                <w:rFonts w:eastAsia="MS Mincho"/>
                <w:bCs/>
              </w:rPr>
              <w:t xml:space="preserve"> ve vztahu k podnikatelům, kteří působí v rámci zaměstnavatelského segmentu na chráněném trhu práce, protože budou moci čerpat příspěvek ve vyšší částce, což napomůže zachování pracovních míst pro zaměstnance – osoby se zdravotním postižením. </w:t>
            </w:r>
            <w:r w:rsidR="003B0320" w:rsidRPr="00DE1B62">
              <w:rPr>
                <w:rFonts w:eastAsia="MS Mincho"/>
                <w:bCs/>
              </w:rPr>
              <w:t xml:space="preserve"> </w:t>
            </w:r>
          </w:p>
          <w:p w14:paraId="38C94499" w14:textId="2F151EC5" w:rsidR="009525D9" w:rsidRPr="000F23EA" w:rsidRDefault="009525D9" w:rsidP="009525D9">
            <w:pPr>
              <w:jc w:val="both"/>
              <w:rPr>
                <w:b/>
                <w:bCs/>
              </w:rPr>
            </w:pPr>
          </w:p>
        </w:tc>
      </w:tr>
      <w:tr w:rsidR="00A00FB8" w:rsidRPr="000F23EA" w14:paraId="05546194"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2E8D7F2B" w14:textId="77777777" w:rsidR="00AC7E3F" w:rsidRPr="000F23EA" w:rsidRDefault="00AC7E3F" w:rsidP="00FB3B3B">
            <w:pPr>
              <w:autoSpaceDE w:val="0"/>
              <w:autoSpaceDN w:val="0"/>
              <w:adjustRightInd w:val="0"/>
              <w:jc w:val="both"/>
              <w:rPr>
                <w:rFonts w:eastAsia="Calibri"/>
                <w:bCs/>
              </w:rPr>
            </w:pPr>
            <w:r w:rsidRPr="000F23EA">
              <w:rPr>
                <w:rFonts w:eastAsia="Calibri"/>
                <w:bCs/>
              </w:rPr>
              <w:t>3.4. Dopady na územní samosprávné celky</w:t>
            </w:r>
            <w:r w:rsidR="005C1F93" w:rsidRPr="000F23EA">
              <w:rPr>
                <w:rFonts w:eastAsia="Calibri"/>
                <w:bCs/>
              </w:rPr>
              <w:t xml:space="preserve"> (obce, kraje): </w:t>
            </w:r>
            <w:r w:rsidR="00D3445B" w:rsidRPr="000F23EA">
              <w:rPr>
                <w:rFonts w:eastAsia="Calibri"/>
                <w:bCs/>
                <w:i/>
              </w:rPr>
              <w:t>Ne</w:t>
            </w:r>
          </w:p>
        </w:tc>
      </w:tr>
      <w:tr w:rsidR="00A00FB8" w:rsidRPr="000F23EA" w14:paraId="18634392"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11300CC9" w14:textId="32EE289F" w:rsidR="00F91F65" w:rsidRDefault="00AC7E3F" w:rsidP="00FB3B3B">
            <w:pPr>
              <w:autoSpaceDE w:val="0"/>
              <w:autoSpaceDN w:val="0"/>
              <w:adjustRightInd w:val="0"/>
              <w:jc w:val="both"/>
              <w:rPr>
                <w:rFonts w:eastAsia="Calibri"/>
                <w:bCs/>
                <w:i/>
              </w:rPr>
            </w:pPr>
            <w:r w:rsidRPr="000F23EA">
              <w:rPr>
                <w:rFonts w:eastAsia="Calibri"/>
                <w:bCs/>
              </w:rPr>
              <w:t>3.5 Sociální dopady</w:t>
            </w:r>
            <w:r w:rsidR="00466009" w:rsidRPr="000F23EA">
              <w:rPr>
                <w:rFonts w:eastAsia="Calibri"/>
                <w:bCs/>
              </w:rPr>
              <w:t xml:space="preserve">: </w:t>
            </w:r>
            <w:r w:rsidR="00466009" w:rsidRPr="000F23EA">
              <w:rPr>
                <w:rFonts w:eastAsia="Calibri"/>
                <w:bCs/>
                <w:i/>
              </w:rPr>
              <w:t>Ano</w:t>
            </w:r>
          </w:p>
          <w:p w14:paraId="75991F32" w14:textId="77777777" w:rsidR="009525D9" w:rsidRPr="000F23EA" w:rsidRDefault="009525D9" w:rsidP="00FB3B3B">
            <w:pPr>
              <w:autoSpaceDE w:val="0"/>
              <w:autoSpaceDN w:val="0"/>
              <w:adjustRightInd w:val="0"/>
              <w:jc w:val="both"/>
              <w:rPr>
                <w:rFonts w:eastAsia="Calibri"/>
                <w:bCs/>
                <w:i/>
              </w:rPr>
            </w:pPr>
          </w:p>
          <w:p w14:paraId="7B5AA78D" w14:textId="77777777" w:rsidR="00B33887" w:rsidRDefault="003B0320" w:rsidP="009525D9">
            <w:pPr>
              <w:suppressAutoHyphens/>
              <w:jc w:val="both"/>
            </w:pPr>
            <w:r w:rsidRPr="003E5760">
              <w:rPr>
                <w:rFonts w:eastAsia="Calibri"/>
              </w:rPr>
              <w:t xml:space="preserve">Navrhovaná </w:t>
            </w:r>
            <w:r>
              <w:rPr>
                <w:rFonts w:eastAsia="Calibri"/>
              </w:rPr>
              <w:t xml:space="preserve">právní </w:t>
            </w:r>
            <w:r w:rsidRPr="003E5760">
              <w:rPr>
                <w:rFonts w:eastAsia="Calibri"/>
              </w:rPr>
              <w:t xml:space="preserve">úprava nebude mít žádné negativní sociální dopady.  Naopak lze spatřovat pozitivní sociální dopad spojený se zvýšením </w:t>
            </w:r>
            <w:r>
              <w:rPr>
                <w:rFonts w:eastAsia="Calibri"/>
              </w:rPr>
              <w:t xml:space="preserve">maximální částky </w:t>
            </w:r>
            <w:r w:rsidRPr="003E5760">
              <w:rPr>
                <w:rFonts w:eastAsia="Calibri"/>
              </w:rPr>
              <w:t xml:space="preserve">příspěvku v tom, že </w:t>
            </w:r>
            <w:r w:rsidRPr="003E5760">
              <w:t>bude zachována, případně posílena motivace zaměstnavatelů zaměstnávat osoby se zdravotním postižením ve 2. a 3. stupni invalidity, které mají výrazně snížený pracovní potenciál</w:t>
            </w:r>
            <w:r w:rsidR="00AA033C">
              <w:t>.</w:t>
            </w:r>
            <w:r w:rsidRPr="003E5760">
              <w:t xml:space="preserve"> </w:t>
            </w:r>
          </w:p>
          <w:p w14:paraId="431BB107" w14:textId="0E4EAD4A" w:rsidR="009525D9" w:rsidRPr="000F23EA" w:rsidRDefault="009525D9" w:rsidP="009525D9">
            <w:pPr>
              <w:suppressAutoHyphens/>
              <w:jc w:val="both"/>
            </w:pPr>
          </w:p>
        </w:tc>
      </w:tr>
      <w:tr w:rsidR="00A00FB8" w:rsidRPr="000F23EA" w14:paraId="042E9735"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3323EC57" w14:textId="77777777" w:rsidR="00E17055" w:rsidRPr="000F23EA" w:rsidRDefault="00AC7E3F" w:rsidP="00FB3B3B">
            <w:pPr>
              <w:autoSpaceDE w:val="0"/>
              <w:autoSpaceDN w:val="0"/>
              <w:adjustRightInd w:val="0"/>
              <w:jc w:val="both"/>
              <w:rPr>
                <w:rFonts w:eastAsia="Calibri"/>
                <w:bCs/>
                <w:i/>
              </w:rPr>
            </w:pPr>
            <w:r w:rsidRPr="000F23EA">
              <w:rPr>
                <w:rFonts w:eastAsia="Calibri"/>
                <w:bCs/>
              </w:rPr>
              <w:t>3.6 Dopady na spotřebitele</w:t>
            </w:r>
            <w:r w:rsidR="00DC02CD" w:rsidRPr="000F23EA">
              <w:rPr>
                <w:rFonts w:eastAsia="Calibri"/>
                <w:bCs/>
              </w:rPr>
              <w:t>:</w:t>
            </w:r>
            <w:r w:rsidR="00F91F65" w:rsidRPr="000F23EA">
              <w:rPr>
                <w:rFonts w:eastAsia="Calibri"/>
                <w:bCs/>
              </w:rPr>
              <w:t xml:space="preserve"> </w:t>
            </w:r>
            <w:r w:rsidR="006F6EE1" w:rsidRPr="000F23EA">
              <w:rPr>
                <w:rFonts w:eastAsia="Calibri"/>
                <w:bCs/>
                <w:i/>
              </w:rPr>
              <w:t>Ne</w:t>
            </w:r>
          </w:p>
        </w:tc>
      </w:tr>
      <w:tr w:rsidR="00A00FB8" w:rsidRPr="000F23EA" w14:paraId="57F36768"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0A6B7851" w14:textId="77777777" w:rsidR="00AC7E3F" w:rsidRPr="000F23EA" w:rsidRDefault="00AC7E3F" w:rsidP="00FB3B3B">
            <w:pPr>
              <w:autoSpaceDE w:val="0"/>
              <w:autoSpaceDN w:val="0"/>
              <w:adjustRightInd w:val="0"/>
              <w:jc w:val="both"/>
              <w:rPr>
                <w:rFonts w:eastAsia="Calibri"/>
                <w:bCs/>
              </w:rPr>
            </w:pPr>
            <w:r w:rsidRPr="000F23EA">
              <w:rPr>
                <w:rFonts w:eastAsia="Calibri"/>
                <w:bCs/>
              </w:rPr>
              <w:t>3.7 Dopady na životní prostředí</w:t>
            </w:r>
            <w:r w:rsidR="0054329C" w:rsidRPr="000F23EA">
              <w:rPr>
                <w:rFonts w:eastAsia="Calibri"/>
                <w:bCs/>
              </w:rPr>
              <w:t xml:space="preserve">: </w:t>
            </w:r>
            <w:r w:rsidR="0054329C" w:rsidRPr="000F23EA">
              <w:rPr>
                <w:rFonts w:eastAsia="Calibri"/>
                <w:bCs/>
                <w:i/>
              </w:rPr>
              <w:t>Ne</w:t>
            </w:r>
          </w:p>
        </w:tc>
      </w:tr>
      <w:tr w:rsidR="00A00FB8" w:rsidRPr="000F23EA" w14:paraId="4AAECE2E"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2FD2F286" w14:textId="77777777" w:rsidR="00CE17E0" w:rsidRPr="000F23EA" w:rsidRDefault="00DB2287" w:rsidP="00FB3B3B">
            <w:pPr>
              <w:autoSpaceDE w:val="0"/>
              <w:autoSpaceDN w:val="0"/>
              <w:adjustRightInd w:val="0"/>
              <w:jc w:val="both"/>
              <w:rPr>
                <w:rFonts w:eastAsia="Calibri"/>
                <w:bCs/>
              </w:rPr>
            </w:pPr>
            <w:r w:rsidRPr="000F23EA">
              <w:rPr>
                <w:rFonts w:eastAsia="Calibri"/>
                <w:bCs/>
              </w:rPr>
              <w:t>3.8 Dopady ve vztahu k zákazu diskriminace a ve vztahu k rovnosti žen a mužů</w:t>
            </w:r>
            <w:r w:rsidR="00DC02CD" w:rsidRPr="000F23EA">
              <w:rPr>
                <w:rFonts w:eastAsia="Calibri"/>
                <w:bCs/>
              </w:rPr>
              <w:t>:</w:t>
            </w:r>
            <w:r w:rsidR="00CE17E0" w:rsidRPr="000F23EA">
              <w:rPr>
                <w:rFonts w:eastAsia="Calibri"/>
                <w:bCs/>
              </w:rPr>
              <w:t xml:space="preserve"> </w:t>
            </w:r>
            <w:r w:rsidR="00CE17E0" w:rsidRPr="000F23EA">
              <w:rPr>
                <w:rFonts w:eastAsia="Calibri"/>
                <w:bCs/>
                <w:i/>
              </w:rPr>
              <w:t>Ne</w:t>
            </w:r>
          </w:p>
        </w:tc>
      </w:tr>
      <w:tr w:rsidR="00A00FB8" w:rsidRPr="000F23EA" w14:paraId="413CA963"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2F2889D6" w14:textId="77777777" w:rsidR="00B33887" w:rsidRPr="000F23EA" w:rsidRDefault="00AD3E0E" w:rsidP="003B0320">
            <w:pPr>
              <w:autoSpaceDE w:val="0"/>
              <w:autoSpaceDN w:val="0"/>
              <w:adjustRightInd w:val="0"/>
              <w:jc w:val="both"/>
              <w:rPr>
                <w:rFonts w:eastAsia="Calibri"/>
                <w:bCs/>
              </w:rPr>
            </w:pPr>
            <w:r w:rsidRPr="000F23EA">
              <w:rPr>
                <w:rFonts w:eastAsia="Calibri"/>
                <w:bCs/>
              </w:rPr>
              <w:t>3.9 Dopady na výkon státní statistické služ</w:t>
            </w:r>
            <w:r w:rsidR="0054329C" w:rsidRPr="000F23EA">
              <w:rPr>
                <w:rFonts w:eastAsia="Calibri"/>
                <w:bCs/>
              </w:rPr>
              <w:t>b</w:t>
            </w:r>
            <w:r w:rsidRPr="000F23EA">
              <w:rPr>
                <w:rFonts w:eastAsia="Calibri"/>
                <w:bCs/>
              </w:rPr>
              <w:t>y</w:t>
            </w:r>
            <w:r w:rsidR="00DC02CD" w:rsidRPr="000F23EA">
              <w:rPr>
                <w:rFonts w:eastAsia="Calibri"/>
                <w:bCs/>
              </w:rPr>
              <w:t>:</w:t>
            </w:r>
            <w:r w:rsidR="00D772DB" w:rsidRPr="000F23EA">
              <w:rPr>
                <w:rFonts w:eastAsia="Calibri"/>
                <w:bCs/>
              </w:rPr>
              <w:t xml:space="preserve"> </w:t>
            </w:r>
            <w:r w:rsidR="00931CF0" w:rsidRPr="000F23EA">
              <w:rPr>
                <w:rFonts w:eastAsia="Calibri"/>
                <w:bCs/>
                <w:i/>
              </w:rPr>
              <w:t>Ne</w:t>
            </w:r>
          </w:p>
        </w:tc>
      </w:tr>
      <w:tr w:rsidR="00A00FB8" w:rsidRPr="000F23EA" w14:paraId="2A9C7D5C"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4F3B2237" w14:textId="77777777" w:rsidR="00CE17E0" w:rsidRPr="000F23EA" w:rsidRDefault="00AD3E0E" w:rsidP="00FB3B3B">
            <w:pPr>
              <w:autoSpaceDE w:val="0"/>
              <w:autoSpaceDN w:val="0"/>
              <w:adjustRightInd w:val="0"/>
              <w:jc w:val="both"/>
              <w:rPr>
                <w:rFonts w:eastAsia="Calibri"/>
                <w:bCs/>
              </w:rPr>
            </w:pPr>
            <w:r w:rsidRPr="000F23EA">
              <w:rPr>
                <w:rFonts w:eastAsia="Calibri"/>
                <w:bCs/>
              </w:rPr>
              <w:t>3.10 Korupční rizika</w:t>
            </w:r>
            <w:r w:rsidR="00DC02CD" w:rsidRPr="000F23EA">
              <w:rPr>
                <w:rFonts w:eastAsia="Calibri"/>
                <w:bCs/>
              </w:rPr>
              <w:t>:</w:t>
            </w:r>
            <w:r w:rsidR="00D772DB" w:rsidRPr="000F23EA">
              <w:rPr>
                <w:rFonts w:eastAsia="Calibri"/>
                <w:bCs/>
              </w:rPr>
              <w:t xml:space="preserve"> </w:t>
            </w:r>
            <w:r w:rsidR="00D772DB" w:rsidRPr="000F23EA">
              <w:rPr>
                <w:rFonts w:eastAsia="Calibri"/>
                <w:bCs/>
                <w:i/>
              </w:rPr>
              <w:t>Ne</w:t>
            </w:r>
          </w:p>
        </w:tc>
      </w:tr>
      <w:tr w:rsidR="00A00FB8" w:rsidRPr="000F23EA" w14:paraId="26BBA7EC" w14:textId="77777777" w:rsidTr="000D07AF">
        <w:tc>
          <w:tcPr>
            <w:tcW w:w="9645" w:type="dxa"/>
            <w:gridSpan w:val="2"/>
            <w:tcBorders>
              <w:top w:val="single" w:sz="4" w:space="0" w:color="auto"/>
              <w:left w:val="single" w:sz="12" w:space="0" w:color="auto"/>
              <w:bottom w:val="single" w:sz="12" w:space="0" w:color="auto"/>
              <w:right w:val="single" w:sz="12" w:space="0" w:color="auto"/>
            </w:tcBorders>
            <w:shd w:val="clear" w:color="auto" w:fill="99CCFF"/>
          </w:tcPr>
          <w:p w14:paraId="5082030B" w14:textId="77777777" w:rsidR="00CE17E0" w:rsidRPr="000F23EA" w:rsidRDefault="0054329C" w:rsidP="00FB3B3B">
            <w:pPr>
              <w:autoSpaceDE w:val="0"/>
              <w:autoSpaceDN w:val="0"/>
              <w:adjustRightInd w:val="0"/>
              <w:jc w:val="both"/>
              <w:rPr>
                <w:rFonts w:eastAsia="Calibri"/>
                <w:bCs/>
              </w:rPr>
            </w:pPr>
            <w:r w:rsidRPr="000F23EA">
              <w:rPr>
                <w:rFonts w:eastAsia="Calibri"/>
                <w:bCs/>
              </w:rPr>
              <w:t>3.11</w:t>
            </w:r>
            <w:r w:rsidR="00AD3E0E" w:rsidRPr="000F23EA">
              <w:rPr>
                <w:rFonts w:eastAsia="Calibri"/>
                <w:bCs/>
              </w:rPr>
              <w:t xml:space="preserve"> Dopady na bezpečnost nebo obranu státu</w:t>
            </w:r>
            <w:r w:rsidR="00DC02CD" w:rsidRPr="000F23EA">
              <w:rPr>
                <w:rFonts w:eastAsia="Calibri"/>
                <w:bCs/>
              </w:rPr>
              <w:t>:</w:t>
            </w:r>
            <w:r w:rsidR="00D772DB" w:rsidRPr="000F23EA">
              <w:rPr>
                <w:rFonts w:eastAsia="Calibri"/>
                <w:bCs/>
              </w:rPr>
              <w:t xml:space="preserve"> </w:t>
            </w:r>
            <w:r w:rsidR="00D772DB" w:rsidRPr="000F23EA">
              <w:rPr>
                <w:rFonts w:eastAsia="Calibri"/>
                <w:bCs/>
                <w:i/>
              </w:rPr>
              <w:t>Ne</w:t>
            </w:r>
          </w:p>
        </w:tc>
      </w:tr>
    </w:tbl>
    <w:p w14:paraId="04FF739F" w14:textId="77777777" w:rsidR="009525D9" w:rsidRDefault="009525D9" w:rsidP="00FB3B3B">
      <w:pPr>
        <w:jc w:val="center"/>
        <w:rPr>
          <w:b/>
          <w:bCs/>
          <w:sz w:val="28"/>
          <w:szCs w:val="28"/>
        </w:rPr>
      </w:pPr>
    </w:p>
    <w:p w14:paraId="171977FC" w14:textId="77777777" w:rsidR="00706904" w:rsidRDefault="00706904" w:rsidP="00FB3B3B">
      <w:pPr>
        <w:jc w:val="center"/>
        <w:rPr>
          <w:b/>
          <w:bCs/>
          <w:sz w:val="28"/>
          <w:szCs w:val="28"/>
        </w:rPr>
      </w:pPr>
    </w:p>
    <w:p w14:paraId="59B86C48" w14:textId="77777777" w:rsidR="00706904" w:rsidRDefault="00706904" w:rsidP="00FB3B3B">
      <w:pPr>
        <w:jc w:val="center"/>
        <w:rPr>
          <w:b/>
          <w:bCs/>
          <w:sz w:val="28"/>
          <w:szCs w:val="28"/>
        </w:rPr>
      </w:pPr>
    </w:p>
    <w:p w14:paraId="26EAD89D" w14:textId="77777777" w:rsidR="00706904" w:rsidRDefault="00706904" w:rsidP="00FB3B3B">
      <w:pPr>
        <w:jc w:val="center"/>
        <w:rPr>
          <w:b/>
          <w:bCs/>
          <w:sz w:val="28"/>
          <w:szCs w:val="28"/>
        </w:rPr>
      </w:pPr>
    </w:p>
    <w:p w14:paraId="74CEA310" w14:textId="77777777" w:rsidR="00706904" w:rsidRDefault="00706904" w:rsidP="00FB3B3B">
      <w:pPr>
        <w:jc w:val="center"/>
        <w:rPr>
          <w:b/>
          <w:bCs/>
          <w:sz w:val="28"/>
          <w:szCs w:val="28"/>
        </w:rPr>
      </w:pPr>
    </w:p>
    <w:p w14:paraId="2BDA47F8" w14:textId="1A84D43B" w:rsidR="00662C49" w:rsidRDefault="002A6B4C" w:rsidP="00FB3B3B">
      <w:pPr>
        <w:jc w:val="center"/>
        <w:rPr>
          <w:b/>
          <w:bCs/>
          <w:sz w:val="28"/>
          <w:szCs w:val="28"/>
        </w:rPr>
      </w:pPr>
      <w:r w:rsidRPr="000F23EA">
        <w:rPr>
          <w:b/>
          <w:bCs/>
          <w:sz w:val="28"/>
          <w:szCs w:val="28"/>
        </w:rPr>
        <w:t xml:space="preserve">Závěrečná zpráva z hodnocení dopadů </w:t>
      </w:r>
      <w:r w:rsidR="003B0320" w:rsidRPr="000F23EA">
        <w:rPr>
          <w:b/>
          <w:bCs/>
          <w:sz w:val="28"/>
          <w:szCs w:val="28"/>
        </w:rPr>
        <w:t>regulace – RIA</w:t>
      </w:r>
    </w:p>
    <w:p w14:paraId="7007CC02" w14:textId="77777777" w:rsidR="001E7D2A" w:rsidRDefault="001E7D2A" w:rsidP="00FB3B3B">
      <w:pPr>
        <w:jc w:val="center"/>
        <w:rPr>
          <w:b/>
          <w:bCs/>
          <w:sz w:val="28"/>
          <w:szCs w:val="28"/>
        </w:rPr>
      </w:pPr>
    </w:p>
    <w:p w14:paraId="762A5D89" w14:textId="05C3492F" w:rsidR="001E7D2A" w:rsidRDefault="001E7D2A" w:rsidP="001E7D2A">
      <w:pPr>
        <w:jc w:val="both"/>
      </w:pPr>
      <w:r>
        <w:t xml:space="preserve">Navrhovaným nařízením vlády má být </w:t>
      </w:r>
      <w:r w:rsidRPr="001E7D2A">
        <w:t xml:space="preserve">od </w:t>
      </w:r>
      <w:r w:rsidR="003C100F">
        <w:t>1.</w:t>
      </w:r>
      <w:r w:rsidRPr="001E7D2A">
        <w:t xml:space="preserve"> kalendářního čtvrtletí roku 202</w:t>
      </w:r>
      <w:r w:rsidR="003C100F">
        <w:t>2</w:t>
      </w:r>
      <w:r>
        <w:t xml:space="preserve"> zvýšena </w:t>
      </w:r>
      <w:r w:rsidRPr="001E7D2A">
        <w:t>maximální částk</w:t>
      </w:r>
      <w:r w:rsidR="000B2C5B">
        <w:t>a</w:t>
      </w:r>
      <w:r w:rsidRPr="001E7D2A">
        <w:t xml:space="preserve"> příspěvku</w:t>
      </w:r>
      <w:r>
        <w:t xml:space="preserve"> na podporu zaměstnávání osob se zdravotním postižením na chráněném trhu práce.</w:t>
      </w:r>
      <w:r w:rsidRPr="001E7D2A">
        <w:t xml:space="preserve"> </w:t>
      </w:r>
    </w:p>
    <w:p w14:paraId="525357DD" w14:textId="77777777" w:rsidR="003E527A" w:rsidRDefault="003E527A" w:rsidP="00DB178F">
      <w:pPr>
        <w:tabs>
          <w:tab w:val="left" w:pos="0"/>
        </w:tabs>
        <w:rPr>
          <w:b/>
          <w:bCs/>
        </w:rPr>
      </w:pPr>
    </w:p>
    <w:p w14:paraId="625EA64E" w14:textId="77777777" w:rsidR="00DB178F" w:rsidRPr="001D4282" w:rsidRDefault="00DB178F" w:rsidP="00DB178F">
      <w:pPr>
        <w:tabs>
          <w:tab w:val="left" w:pos="0"/>
        </w:tabs>
        <w:rPr>
          <w:rFonts w:eastAsia="Calibri"/>
        </w:rPr>
      </w:pPr>
      <w:r w:rsidRPr="001D4282">
        <w:rPr>
          <w:b/>
          <w:bCs/>
        </w:rPr>
        <w:t>1. Důvod předložení a cíle</w:t>
      </w:r>
    </w:p>
    <w:p w14:paraId="641EE330" w14:textId="77777777" w:rsidR="00DB178F" w:rsidRPr="001D4282" w:rsidRDefault="00DB178F" w:rsidP="00DB178F">
      <w:pPr>
        <w:jc w:val="both"/>
        <w:rPr>
          <w:bCs/>
        </w:rPr>
      </w:pPr>
    </w:p>
    <w:p w14:paraId="0FFE9503" w14:textId="001FDC3F" w:rsidR="00DB178F" w:rsidRDefault="00DB178F" w:rsidP="00323EC4">
      <w:pPr>
        <w:numPr>
          <w:ilvl w:val="1"/>
          <w:numId w:val="4"/>
        </w:numPr>
        <w:jc w:val="both"/>
        <w:rPr>
          <w:b/>
          <w:bCs/>
        </w:rPr>
      </w:pPr>
      <w:r w:rsidRPr="001D4282">
        <w:rPr>
          <w:b/>
          <w:bCs/>
        </w:rPr>
        <w:t>Název</w:t>
      </w:r>
    </w:p>
    <w:p w14:paraId="61511E73" w14:textId="77777777" w:rsidR="00706904" w:rsidRDefault="00706904" w:rsidP="00706904">
      <w:pPr>
        <w:ind w:left="360"/>
        <w:jc w:val="both"/>
        <w:rPr>
          <w:b/>
          <w:bCs/>
        </w:rPr>
      </w:pPr>
    </w:p>
    <w:p w14:paraId="34A74F22" w14:textId="158F9AF1" w:rsidR="00DB178F" w:rsidRDefault="001E7D2A" w:rsidP="00DB178F">
      <w:pPr>
        <w:jc w:val="both"/>
      </w:pPr>
      <w:r w:rsidRPr="003620F0">
        <w:rPr>
          <w:noProof/>
        </w:rPr>
        <w:t xml:space="preserve">Návrh </w:t>
      </w:r>
      <w:r w:rsidR="00E4339F" w:rsidRPr="003620F0">
        <w:rPr>
          <w:noProof/>
        </w:rPr>
        <w:t>nařízení vlády o maximální částce příspěvku na podporu zaměstnávání osob se zdravotním postižením na chráněném trhu práce</w:t>
      </w:r>
      <w:r w:rsidR="00312E89" w:rsidRPr="003620F0">
        <w:t>.</w:t>
      </w:r>
    </w:p>
    <w:p w14:paraId="4137CF3D" w14:textId="77777777" w:rsidR="00706904" w:rsidRDefault="00706904" w:rsidP="00DB178F">
      <w:pPr>
        <w:jc w:val="both"/>
      </w:pPr>
    </w:p>
    <w:p w14:paraId="114FCB7D" w14:textId="0009F926" w:rsidR="00485D39" w:rsidRDefault="009F5A65" w:rsidP="00485D39">
      <w:pPr>
        <w:pStyle w:val="Odstavecseseznamem"/>
        <w:numPr>
          <w:ilvl w:val="1"/>
          <w:numId w:val="4"/>
        </w:numPr>
        <w:tabs>
          <w:tab w:val="left" w:pos="0"/>
        </w:tabs>
        <w:rPr>
          <w:rFonts w:ascii="Times New Roman" w:hAnsi="Times New Roman"/>
          <w:b/>
          <w:bCs/>
        </w:rPr>
      </w:pPr>
      <w:r w:rsidRPr="009F5A65">
        <w:rPr>
          <w:rFonts w:ascii="Times New Roman" w:hAnsi="Times New Roman"/>
          <w:b/>
          <w:bCs/>
        </w:rPr>
        <w:t xml:space="preserve"> </w:t>
      </w:r>
      <w:r w:rsidR="002A6B4C" w:rsidRPr="009F5A65">
        <w:rPr>
          <w:rFonts w:ascii="Times New Roman" w:hAnsi="Times New Roman"/>
          <w:b/>
          <w:bCs/>
        </w:rPr>
        <w:t>Definice problému</w:t>
      </w:r>
      <w:bookmarkStart w:id="2" w:name="_Hlk44403199"/>
    </w:p>
    <w:p w14:paraId="19A7E0BA" w14:textId="77777777" w:rsidR="00706904" w:rsidRDefault="00706904" w:rsidP="00706904">
      <w:pPr>
        <w:pStyle w:val="Odstavecseseznamem"/>
        <w:tabs>
          <w:tab w:val="left" w:pos="0"/>
        </w:tabs>
        <w:ind w:left="360"/>
        <w:rPr>
          <w:rFonts w:ascii="Times New Roman" w:hAnsi="Times New Roman"/>
          <w:b/>
          <w:bCs/>
        </w:rPr>
      </w:pPr>
    </w:p>
    <w:p w14:paraId="6A3582CC" w14:textId="503EA4DC" w:rsidR="00485D39" w:rsidRDefault="00485D39" w:rsidP="00485D39">
      <w:pPr>
        <w:pStyle w:val="Odstavecseseznamem"/>
        <w:tabs>
          <w:tab w:val="left" w:pos="0"/>
        </w:tabs>
        <w:ind w:left="0"/>
        <w:rPr>
          <w:rFonts w:ascii="Times New Roman" w:hAnsi="Times New Roman"/>
        </w:rPr>
      </w:pPr>
      <w:r w:rsidRPr="00485D39">
        <w:rPr>
          <w:rFonts w:ascii="Times New Roman" w:hAnsi="Times New Roman"/>
        </w:rPr>
        <w:lastRenderedPageBreak/>
        <w:t>S účinností od 1. října 2020 došlo na základě nařízení vlády č. 388/2020 Sb., o maximální částce příspěvku na podporu zaměstnávání osob se zdravotním postižením na chráněném trhu práce, ke zvýšení maximální částky příspěvku na podporu zaměstnávání osob se zdravotním postižením na chráněném trhu práce (dále jen „příspěvek“) o 800 Kč na částku 13 600 Kč. Tímto zvýšením bylo reagováno na výrazné změny hospodářské situace, které přímo souvisely se šířením nákazy COVID-19 v České republice a měly negativní dopad na trh práce,</w:t>
      </w:r>
      <w:r>
        <w:rPr>
          <w:rFonts w:ascii="Times New Roman" w:hAnsi="Times New Roman"/>
        </w:rPr>
        <w:t xml:space="preserve"> </w:t>
      </w:r>
      <w:r w:rsidRPr="00485D39">
        <w:rPr>
          <w:rFonts w:ascii="Times New Roman" w:hAnsi="Times New Roman"/>
        </w:rPr>
        <w:t xml:space="preserve">a to včetně chráněného trhu práce. </w:t>
      </w:r>
    </w:p>
    <w:p w14:paraId="40489469" w14:textId="77777777" w:rsidR="00485D39" w:rsidRPr="00485D39" w:rsidRDefault="00485D39" w:rsidP="00485D39">
      <w:pPr>
        <w:pStyle w:val="Odstavecseseznamem"/>
        <w:tabs>
          <w:tab w:val="left" w:pos="0"/>
        </w:tabs>
        <w:ind w:left="360"/>
        <w:rPr>
          <w:rFonts w:ascii="Times New Roman" w:hAnsi="Times New Roman"/>
          <w:b/>
          <w:bCs/>
        </w:rPr>
      </w:pPr>
    </w:p>
    <w:bookmarkEnd w:id="2"/>
    <w:p w14:paraId="281F1C21" w14:textId="33A2C915" w:rsidR="004D1EA9" w:rsidRPr="00706904" w:rsidRDefault="004D1EA9" w:rsidP="004D1EA9">
      <w:pPr>
        <w:jc w:val="both"/>
      </w:pPr>
      <w:r w:rsidRPr="00B7266F">
        <w:t xml:space="preserve">Vývoj situace na chráněném trhu práce v průběhu roku 2021 nenaznačuje nutnost reagovat na navýšení minimální mzdy od 1. ledna 2022. Počet podpořených osob se zdravotním postižením i počet zaměstnavatelů na chráněném trhu práce se meziročně zvýšil – v meziročním srovnání bylo v roce 2020 zaměstnáno na chráněném trhu práce o 4 097 osob se zdravotním postižením více než v roce 2019; stejně tak počet zaměstnavatelů se meziročně zvýšil o 248. </w:t>
      </w:r>
      <w:r w:rsidR="00E4105F" w:rsidRPr="00706904">
        <w:t xml:space="preserve">Nárůst počtu osob se zdravotním postižením i počtu zaměstnavatelů </w:t>
      </w:r>
      <w:r w:rsidR="00A142C6" w:rsidRPr="00706904">
        <w:t xml:space="preserve">na chráněném trhu práce </w:t>
      </w:r>
      <w:r w:rsidR="00E4105F" w:rsidRPr="00706904">
        <w:t>lze pozorovat i v roce 2021.</w:t>
      </w:r>
    </w:p>
    <w:p w14:paraId="6221073A" w14:textId="31C07A1C" w:rsidR="004D1EA9" w:rsidRDefault="004D1EA9" w:rsidP="00312E89">
      <w:pPr>
        <w:jc w:val="both"/>
        <w:rPr>
          <w:rFonts w:cs="Arial"/>
        </w:rPr>
      </w:pPr>
    </w:p>
    <w:p w14:paraId="4189DE46" w14:textId="75BC0DDA" w:rsidR="00702116" w:rsidRPr="00706904" w:rsidRDefault="00E4105F" w:rsidP="00E4105F">
      <w:pPr>
        <w:jc w:val="both"/>
      </w:pPr>
      <w:r w:rsidRPr="00706904">
        <w:rPr>
          <w:rFonts w:cs="Arial"/>
        </w:rPr>
        <w:t xml:space="preserve">Nicméně pokud jde o vývoj počtu uchazečů o zaměstnání z řad osob se zdravotním postižením, </w:t>
      </w:r>
      <w:r w:rsidRPr="008A03C0">
        <w:rPr>
          <w:rFonts w:cs="Arial"/>
        </w:rPr>
        <w:t>mezi říjnem 2019 a</w:t>
      </w:r>
      <w:r w:rsidR="008A03C0" w:rsidRPr="008A03C0">
        <w:rPr>
          <w:rFonts w:cs="Arial"/>
        </w:rPr>
        <w:t>ž</w:t>
      </w:r>
      <w:r w:rsidRPr="008A03C0">
        <w:rPr>
          <w:rFonts w:cs="Arial"/>
        </w:rPr>
        <w:t xml:space="preserve"> říjnem 2021 </w:t>
      </w:r>
      <w:r w:rsidRPr="00706904">
        <w:rPr>
          <w:rFonts w:cs="Arial"/>
        </w:rPr>
        <w:t xml:space="preserve">vzrostl počet těchto uchazečů o 4 996 osob, tj. o 15 %. </w:t>
      </w:r>
      <w:r w:rsidR="00702116" w:rsidRPr="00706904">
        <w:t xml:space="preserve">Vývoj počtu uchazečů o zaměstnání z řad osob se zdravotním postižením </w:t>
      </w:r>
      <w:r w:rsidRPr="00706904">
        <w:t>ukazuje následující tabulka:</w:t>
      </w:r>
    </w:p>
    <w:p w14:paraId="7A382534" w14:textId="77777777" w:rsidR="00342AA4" w:rsidRPr="00342AA4" w:rsidRDefault="00342AA4" w:rsidP="00702116">
      <w:pPr>
        <w:shd w:val="clear" w:color="auto" w:fill="FFFFFF"/>
        <w:jc w:val="both"/>
        <w:textAlignment w:val="baseline"/>
      </w:pPr>
    </w:p>
    <w:tbl>
      <w:tblPr>
        <w:tblW w:w="8495" w:type="dxa"/>
        <w:shd w:val="clear" w:color="auto" w:fill="FFFFFF"/>
        <w:tblCellMar>
          <w:left w:w="0" w:type="dxa"/>
          <w:right w:w="0" w:type="dxa"/>
        </w:tblCellMar>
        <w:tblLook w:val="04A0" w:firstRow="1" w:lastRow="0" w:firstColumn="1" w:lastColumn="0" w:noHBand="0" w:noVBand="1"/>
      </w:tblPr>
      <w:tblGrid>
        <w:gridCol w:w="1816"/>
        <w:gridCol w:w="1077"/>
        <w:gridCol w:w="1078"/>
        <w:gridCol w:w="1078"/>
        <w:gridCol w:w="1078"/>
        <w:gridCol w:w="1234"/>
        <w:gridCol w:w="1134"/>
      </w:tblGrid>
      <w:tr w:rsidR="00A142C6" w:rsidRPr="00A142C6" w14:paraId="29B5FAC3" w14:textId="38730BB7" w:rsidTr="00A142C6">
        <w:tc>
          <w:tcPr>
            <w:tcW w:w="18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210655" w14:textId="23E472DB" w:rsidR="00342AA4" w:rsidRPr="00706904" w:rsidRDefault="00342AA4" w:rsidP="00342AA4">
            <w:pPr>
              <w:jc w:val="center"/>
              <w:textAlignment w:val="baseline"/>
            </w:pPr>
            <w:r w:rsidRPr="00706904">
              <w:rPr>
                <w:bdr w:val="none" w:sz="0" w:space="0" w:color="auto" w:frame="1"/>
              </w:rPr>
              <w:t>Rok</w:t>
            </w:r>
          </w:p>
        </w:tc>
        <w:tc>
          <w:tcPr>
            <w:tcW w:w="10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7A65D1" w14:textId="358A0698" w:rsidR="00342AA4" w:rsidRPr="00706904" w:rsidRDefault="00A142C6" w:rsidP="00342AA4">
            <w:pPr>
              <w:jc w:val="center"/>
              <w:textAlignment w:val="baseline"/>
            </w:pPr>
            <w:r w:rsidRPr="00706904">
              <w:rPr>
                <w:bdr w:val="none" w:sz="0" w:space="0" w:color="auto" w:frame="1"/>
              </w:rPr>
              <w:t xml:space="preserve">k říjnu </w:t>
            </w:r>
            <w:r w:rsidR="00342AA4" w:rsidRPr="00706904">
              <w:rPr>
                <w:bdr w:val="none" w:sz="0" w:space="0" w:color="auto" w:frame="1"/>
              </w:rPr>
              <w:t>2016</w:t>
            </w:r>
          </w:p>
        </w:tc>
        <w:tc>
          <w:tcPr>
            <w:tcW w:w="10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A0FE7C" w14:textId="2A294A55" w:rsidR="00342AA4" w:rsidRPr="00706904" w:rsidRDefault="00A142C6" w:rsidP="00342AA4">
            <w:pPr>
              <w:jc w:val="center"/>
              <w:textAlignment w:val="baseline"/>
            </w:pPr>
            <w:r w:rsidRPr="00706904">
              <w:rPr>
                <w:bdr w:val="none" w:sz="0" w:space="0" w:color="auto" w:frame="1"/>
              </w:rPr>
              <w:t xml:space="preserve">k říjnu </w:t>
            </w:r>
            <w:r w:rsidR="00342AA4" w:rsidRPr="00706904">
              <w:rPr>
                <w:bdr w:val="none" w:sz="0" w:space="0" w:color="auto" w:frame="1"/>
              </w:rPr>
              <w:t>2017</w:t>
            </w:r>
          </w:p>
        </w:tc>
        <w:tc>
          <w:tcPr>
            <w:tcW w:w="10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4FA2AE" w14:textId="1083FE24" w:rsidR="00342AA4" w:rsidRPr="00706904" w:rsidRDefault="00A142C6" w:rsidP="00342AA4">
            <w:pPr>
              <w:jc w:val="center"/>
              <w:textAlignment w:val="baseline"/>
            </w:pPr>
            <w:r w:rsidRPr="00706904">
              <w:rPr>
                <w:bdr w:val="none" w:sz="0" w:space="0" w:color="auto" w:frame="1"/>
              </w:rPr>
              <w:t xml:space="preserve">k říjnu </w:t>
            </w:r>
            <w:r w:rsidR="00342AA4" w:rsidRPr="00706904">
              <w:rPr>
                <w:bdr w:val="none" w:sz="0" w:space="0" w:color="auto" w:frame="1"/>
              </w:rPr>
              <w:t>2018</w:t>
            </w:r>
          </w:p>
        </w:tc>
        <w:tc>
          <w:tcPr>
            <w:tcW w:w="10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20B990" w14:textId="624FDA78" w:rsidR="00342AA4" w:rsidRPr="00706904" w:rsidRDefault="00A142C6" w:rsidP="00342AA4">
            <w:pPr>
              <w:jc w:val="center"/>
              <w:textAlignment w:val="baseline"/>
            </w:pPr>
            <w:r w:rsidRPr="00706904">
              <w:rPr>
                <w:bdr w:val="none" w:sz="0" w:space="0" w:color="auto" w:frame="1"/>
              </w:rPr>
              <w:t xml:space="preserve">k říjnu </w:t>
            </w:r>
            <w:r w:rsidR="00342AA4" w:rsidRPr="00706904">
              <w:rPr>
                <w:bdr w:val="none" w:sz="0" w:space="0" w:color="auto" w:frame="1"/>
              </w:rPr>
              <w:t>2019</w:t>
            </w:r>
          </w:p>
        </w:tc>
        <w:tc>
          <w:tcPr>
            <w:tcW w:w="1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7BA6AD" w14:textId="55E60439" w:rsidR="00342AA4" w:rsidRPr="00706904" w:rsidRDefault="00A142C6" w:rsidP="00342AA4">
            <w:pPr>
              <w:jc w:val="center"/>
              <w:textAlignment w:val="baseline"/>
            </w:pPr>
            <w:r w:rsidRPr="00706904">
              <w:rPr>
                <w:bdr w:val="none" w:sz="0" w:space="0" w:color="auto" w:frame="1"/>
              </w:rPr>
              <w:t xml:space="preserve">k říjnu </w:t>
            </w:r>
            <w:r w:rsidR="00342AA4" w:rsidRPr="00706904">
              <w:rPr>
                <w:bdr w:val="none" w:sz="0" w:space="0" w:color="auto" w:frame="1"/>
              </w:rPr>
              <w:t>2020</w:t>
            </w:r>
          </w:p>
        </w:tc>
        <w:tc>
          <w:tcPr>
            <w:tcW w:w="1134" w:type="dxa"/>
            <w:tcBorders>
              <w:top w:val="single" w:sz="8" w:space="0" w:color="auto"/>
              <w:left w:val="nil"/>
              <w:bottom w:val="single" w:sz="8" w:space="0" w:color="auto"/>
              <w:right w:val="single" w:sz="8" w:space="0" w:color="auto"/>
            </w:tcBorders>
            <w:shd w:val="clear" w:color="auto" w:fill="FFFFFF"/>
          </w:tcPr>
          <w:p w14:paraId="30954313" w14:textId="5BD6709F" w:rsidR="00342AA4" w:rsidRPr="00706904" w:rsidRDefault="00342AA4" w:rsidP="00342AA4">
            <w:pPr>
              <w:jc w:val="center"/>
              <w:textAlignment w:val="baseline"/>
              <w:rPr>
                <w:bdr w:val="none" w:sz="0" w:space="0" w:color="auto" w:frame="1"/>
              </w:rPr>
            </w:pPr>
            <w:r w:rsidRPr="00706904">
              <w:rPr>
                <w:bdr w:val="none" w:sz="0" w:space="0" w:color="auto" w:frame="1"/>
              </w:rPr>
              <w:t xml:space="preserve">k </w:t>
            </w:r>
            <w:r w:rsidR="00A142C6" w:rsidRPr="00706904">
              <w:rPr>
                <w:bdr w:val="none" w:sz="0" w:space="0" w:color="auto" w:frame="1"/>
              </w:rPr>
              <w:t xml:space="preserve">říjnu </w:t>
            </w:r>
            <w:r w:rsidRPr="00706904">
              <w:rPr>
                <w:bdr w:val="none" w:sz="0" w:space="0" w:color="auto" w:frame="1"/>
              </w:rPr>
              <w:t>2021</w:t>
            </w:r>
          </w:p>
        </w:tc>
      </w:tr>
      <w:tr w:rsidR="00A142C6" w:rsidRPr="00A142C6" w14:paraId="7C3CB78F" w14:textId="693AF057" w:rsidTr="00A142C6">
        <w:tc>
          <w:tcPr>
            <w:tcW w:w="18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61E25B" w14:textId="77777777" w:rsidR="00342AA4" w:rsidRPr="00706904" w:rsidRDefault="00342AA4" w:rsidP="00342AA4">
            <w:pPr>
              <w:jc w:val="center"/>
              <w:textAlignment w:val="baseline"/>
            </w:pPr>
            <w:r w:rsidRPr="00706904">
              <w:rPr>
                <w:bdr w:val="none" w:sz="0" w:space="0" w:color="auto" w:frame="1"/>
              </w:rPr>
              <w:t>Uchazeči o zaměstnání/OZP</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EAECB6" w14:textId="77777777" w:rsidR="00342AA4" w:rsidRPr="00706904" w:rsidRDefault="00342AA4" w:rsidP="00342AA4">
            <w:pPr>
              <w:jc w:val="center"/>
              <w:textAlignment w:val="baseline"/>
              <w:rPr>
                <w:bdr w:val="none" w:sz="0" w:space="0" w:color="auto" w:frame="1"/>
              </w:rPr>
            </w:pPr>
          </w:p>
          <w:p w14:paraId="1787EE51" w14:textId="3594F80F" w:rsidR="00342AA4" w:rsidRPr="00706904" w:rsidRDefault="00A142C6" w:rsidP="00342AA4">
            <w:pPr>
              <w:jc w:val="center"/>
              <w:textAlignment w:val="baseline"/>
            </w:pPr>
            <w:r w:rsidRPr="00706904">
              <w:rPr>
                <w:bdr w:val="none" w:sz="0" w:space="0" w:color="auto" w:frame="1"/>
              </w:rPr>
              <w:t>53 673</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E57FD" w14:textId="77777777" w:rsidR="00342AA4" w:rsidRPr="00706904" w:rsidRDefault="00342AA4" w:rsidP="00342AA4">
            <w:pPr>
              <w:jc w:val="center"/>
              <w:textAlignment w:val="baseline"/>
              <w:rPr>
                <w:bdr w:val="none" w:sz="0" w:space="0" w:color="auto" w:frame="1"/>
              </w:rPr>
            </w:pPr>
          </w:p>
          <w:p w14:paraId="0B127874" w14:textId="1E10385B" w:rsidR="00342AA4" w:rsidRPr="00706904" w:rsidRDefault="00A142C6" w:rsidP="00342AA4">
            <w:pPr>
              <w:jc w:val="center"/>
              <w:textAlignment w:val="baseline"/>
            </w:pPr>
            <w:r w:rsidRPr="00706904">
              <w:rPr>
                <w:bdr w:val="none" w:sz="0" w:space="0" w:color="auto" w:frame="1"/>
              </w:rPr>
              <w:t>45 994</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A3B110" w14:textId="77777777" w:rsidR="00342AA4" w:rsidRPr="00706904" w:rsidRDefault="00342AA4" w:rsidP="00342AA4">
            <w:pPr>
              <w:jc w:val="center"/>
              <w:textAlignment w:val="baseline"/>
              <w:rPr>
                <w:bdr w:val="none" w:sz="0" w:space="0" w:color="auto" w:frame="1"/>
              </w:rPr>
            </w:pPr>
          </w:p>
          <w:p w14:paraId="48CC921F" w14:textId="548F3CB2" w:rsidR="00342AA4" w:rsidRPr="00706904" w:rsidRDefault="00A142C6" w:rsidP="00342AA4">
            <w:pPr>
              <w:jc w:val="center"/>
              <w:textAlignment w:val="baseline"/>
            </w:pPr>
            <w:r w:rsidRPr="00706904">
              <w:rPr>
                <w:bdr w:val="none" w:sz="0" w:space="0" w:color="auto" w:frame="1"/>
              </w:rPr>
              <w:t>37403</w:t>
            </w:r>
          </w:p>
        </w:tc>
        <w:tc>
          <w:tcPr>
            <w:tcW w:w="10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E8AE6" w14:textId="77777777" w:rsidR="00342AA4" w:rsidRPr="00706904" w:rsidRDefault="00342AA4" w:rsidP="00342AA4">
            <w:pPr>
              <w:jc w:val="center"/>
              <w:textAlignment w:val="baseline"/>
              <w:rPr>
                <w:bdr w:val="none" w:sz="0" w:space="0" w:color="auto" w:frame="1"/>
              </w:rPr>
            </w:pPr>
          </w:p>
          <w:p w14:paraId="27F37904" w14:textId="0423CEA3" w:rsidR="00342AA4" w:rsidRPr="00706904" w:rsidRDefault="00A142C6" w:rsidP="00342AA4">
            <w:pPr>
              <w:jc w:val="center"/>
              <w:textAlignment w:val="baseline"/>
            </w:pPr>
            <w:r w:rsidRPr="00706904">
              <w:rPr>
                <w:bdr w:val="none" w:sz="0" w:space="0" w:color="auto" w:frame="1"/>
              </w:rPr>
              <w:t>32 464</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7651D0" w14:textId="77777777" w:rsidR="00342AA4" w:rsidRPr="00706904" w:rsidRDefault="00342AA4" w:rsidP="00342AA4">
            <w:pPr>
              <w:jc w:val="center"/>
              <w:textAlignment w:val="baseline"/>
              <w:rPr>
                <w:bdr w:val="none" w:sz="0" w:space="0" w:color="auto" w:frame="1"/>
              </w:rPr>
            </w:pPr>
          </w:p>
          <w:p w14:paraId="502D7DB7" w14:textId="062C6629" w:rsidR="00342AA4" w:rsidRPr="00706904" w:rsidRDefault="00A142C6" w:rsidP="00342AA4">
            <w:pPr>
              <w:jc w:val="center"/>
              <w:textAlignment w:val="baseline"/>
            </w:pPr>
            <w:r w:rsidRPr="00706904">
              <w:rPr>
                <w:bdr w:val="none" w:sz="0" w:space="0" w:color="auto" w:frame="1"/>
              </w:rPr>
              <w:t>37 011</w:t>
            </w:r>
          </w:p>
        </w:tc>
        <w:tc>
          <w:tcPr>
            <w:tcW w:w="1134" w:type="dxa"/>
            <w:tcBorders>
              <w:top w:val="nil"/>
              <w:left w:val="nil"/>
              <w:bottom w:val="single" w:sz="8" w:space="0" w:color="auto"/>
              <w:right w:val="single" w:sz="8" w:space="0" w:color="auto"/>
            </w:tcBorders>
            <w:shd w:val="clear" w:color="auto" w:fill="FFFFFF"/>
          </w:tcPr>
          <w:p w14:paraId="3B532B2F" w14:textId="77777777" w:rsidR="00342AA4" w:rsidRPr="00706904" w:rsidRDefault="00342AA4" w:rsidP="00342AA4">
            <w:pPr>
              <w:jc w:val="center"/>
              <w:textAlignment w:val="baseline"/>
              <w:rPr>
                <w:bdr w:val="none" w:sz="0" w:space="0" w:color="auto" w:frame="1"/>
              </w:rPr>
            </w:pPr>
          </w:p>
          <w:p w14:paraId="15231B8A" w14:textId="756C0053" w:rsidR="00342AA4" w:rsidRPr="00706904" w:rsidRDefault="00A142C6" w:rsidP="00342AA4">
            <w:pPr>
              <w:jc w:val="center"/>
              <w:textAlignment w:val="baseline"/>
              <w:rPr>
                <w:bdr w:val="none" w:sz="0" w:space="0" w:color="auto" w:frame="1"/>
              </w:rPr>
            </w:pPr>
            <w:r w:rsidRPr="00706904">
              <w:rPr>
                <w:bdr w:val="none" w:sz="0" w:space="0" w:color="auto" w:frame="1"/>
              </w:rPr>
              <w:t>37 460</w:t>
            </w:r>
          </w:p>
        </w:tc>
      </w:tr>
    </w:tbl>
    <w:p w14:paraId="405AE03C" w14:textId="77777777" w:rsidR="00C2655F" w:rsidRPr="00342AA4" w:rsidRDefault="00702116" w:rsidP="00702116">
      <w:pPr>
        <w:shd w:val="clear" w:color="auto" w:fill="FFFFFF"/>
        <w:textAlignment w:val="baseline"/>
        <w:rPr>
          <w:sz w:val="20"/>
          <w:szCs w:val="20"/>
          <w:bdr w:val="none" w:sz="0" w:space="0" w:color="auto" w:frame="1"/>
        </w:rPr>
      </w:pPr>
      <w:r w:rsidRPr="00342AA4">
        <w:rPr>
          <w:bdr w:val="none" w:sz="0" w:space="0" w:color="auto" w:frame="1"/>
        </w:rPr>
        <w:t> </w:t>
      </w:r>
      <w:r w:rsidR="00C2655F" w:rsidRPr="00342AA4">
        <w:rPr>
          <w:sz w:val="20"/>
          <w:szCs w:val="20"/>
          <w:bdr w:val="none" w:sz="0" w:space="0" w:color="auto" w:frame="1"/>
        </w:rPr>
        <w:t>Tabulka č. 1</w:t>
      </w:r>
    </w:p>
    <w:p w14:paraId="79593E3A" w14:textId="77777777" w:rsidR="005922B8" w:rsidRPr="00C2655F" w:rsidRDefault="005922B8" w:rsidP="00702116">
      <w:pPr>
        <w:shd w:val="clear" w:color="auto" w:fill="FFFFFF"/>
        <w:textAlignment w:val="baseline"/>
        <w:rPr>
          <w:sz w:val="20"/>
          <w:szCs w:val="20"/>
        </w:rPr>
      </w:pPr>
    </w:p>
    <w:p w14:paraId="52F709D7" w14:textId="512C59CA" w:rsidR="004D1EA9" w:rsidRPr="008A03C0" w:rsidRDefault="00A142C6" w:rsidP="00312E89">
      <w:pPr>
        <w:jc w:val="both"/>
        <w:rPr>
          <w:rFonts w:cs="Arial"/>
        </w:rPr>
      </w:pPr>
      <w:r w:rsidRPr="008A03C0">
        <w:rPr>
          <w:rFonts w:cs="Arial"/>
        </w:rPr>
        <w:t xml:space="preserve">Z uvedené tabulky je patrné, že po pozitivním vývoji situace osob se zdravotním postižením na trhu práce mezi roky 2016 a 2019 dochází ke zhoršování situace těchto osob. </w:t>
      </w:r>
      <w:r w:rsidR="004D1EA9" w:rsidRPr="008A03C0">
        <w:rPr>
          <w:rFonts w:cs="Arial"/>
        </w:rPr>
        <w:t xml:space="preserve">Dynamika růstu nezaměstnanosti osob se zdravotním postižením tedy v roce 2021 oproti roku 2020 výrazně zpomalila, nicméně statistika naznačuje, že postavení osob se zdravotním postižením na trhu práce se v souvislosti s růstem </w:t>
      </w:r>
      <w:r w:rsidR="004D1EA9" w:rsidRPr="008A03C0">
        <w:t xml:space="preserve">minimální mzdy, s tím souvisejícím zvyšujícím se nákladovým zatížením zaměstnavatelů a v souvislosti s </w:t>
      </w:r>
      <w:r w:rsidR="00023781" w:rsidRPr="008A03C0">
        <w:t>korona virovou</w:t>
      </w:r>
      <w:r w:rsidR="004D1EA9" w:rsidRPr="008A03C0">
        <w:t xml:space="preserve"> krizí</w:t>
      </w:r>
      <w:r w:rsidR="004D1EA9" w:rsidRPr="008A03C0">
        <w:rPr>
          <w:rFonts w:cs="Arial"/>
        </w:rPr>
        <w:t xml:space="preserve"> zhoršuje</w:t>
      </w:r>
      <w:r w:rsidRPr="008A03C0">
        <w:rPr>
          <w:rFonts w:cs="Arial"/>
        </w:rPr>
        <w:t xml:space="preserve">. </w:t>
      </w:r>
    </w:p>
    <w:p w14:paraId="14C5F963" w14:textId="77777777" w:rsidR="00E43305" w:rsidRDefault="00E43305" w:rsidP="008D6B50">
      <w:pPr>
        <w:pStyle w:val="Odstavecseseznamem"/>
        <w:ind w:left="0"/>
        <w:rPr>
          <w:rFonts w:eastAsia="MS Gothic"/>
          <w:bCs/>
          <w:noProof/>
        </w:rPr>
      </w:pPr>
    </w:p>
    <w:p w14:paraId="49470BE5" w14:textId="18C0EC6E" w:rsidR="00BA1176" w:rsidRDefault="00BA1176" w:rsidP="009525D9">
      <w:pPr>
        <w:tabs>
          <w:tab w:val="left" w:pos="284"/>
          <w:tab w:val="left" w:pos="567"/>
          <w:tab w:val="left" w:pos="709"/>
        </w:tabs>
        <w:jc w:val="both"/>
      </w:pPr>
      <w:r w:rsidRPr="00342AA4">
        <w:t xml:space="preserve">Zároveň pro komplexnost je potřeba uvést, že </w:t>
      </w:r>
      <w:r w:rsidR="00C2655F" w:rsidRPr="00342AA4">
        <w:t xml:space="preserve">rovněž </w:t>
      </w:r>
      <w:r w:rsidR="00C2655F" w:rsidRPr="00342AA4">
        <w:rPr>
          <w:bCs/>
        </w:rPr>
        <w:t xml:space="preserve">spoluúčast zaměstnavatelů na mzdových nákladech vynaložených v souvislosti se zaměstnáváním osob se zdravotním postižením na chráněném trhu práce se postupně zvyšuje. Podle statistických údajů uvedených v tabulce </w:t>
      </w:r>
      <w:r w:rsidR="00342AA4">
        <w:rPr>
          <w:bCs/>
        </w:rPr>
        <w:br/>
      </w:r>
      <w:r w:rsidR="00C2655F" w:rsidRPr="00342AA4">
        <w:rPr>
          <w:bCs/>
        </w:rPr>
        <w:t>č. 2 podíl</w:t>
      </w:r>
      <w:r w:rsidRPr="00342AA4">
        <w:t xml:space="preserve"> minimální mzdy na maximální částce příspěvku vzrostl </w:t>
      </w:r>
      <w:r w:rsidR="009525D9" w:rsidRPr="00342AA4">
        <w:t xml:space="preserve">od roku 2016 z 81 % na </w:t>
      </w:r>
      <w:r w:rsidR="00342AA4">
        <w:br/>
      </w:r>
      <w:r w:rsidR="009525D9" w:rsidRPr="00342AA4">
        <w:t>94 % v roce 2018 a 100 % v roce 2020.V současné době dokonce částka minimální mzdy převyšuje maximální částku příspěvku, tedy předmětný podíl činí 104 %.</w:t>
      </w:r>
    </w:p>
    <w:p w14:paraId="73AE8E31" w14:textId="36528F87" w:rsidR="00342AA4" w:rsidRDefault="00342AA4" w:rsidP="009525D9">
      <w:pPr>
        <w:tabs>
          <w:tab w:val="left" w:pos="284"/>
          <w:tab w:val="left" w:pos="567"/>
          <w:tab w:val="left" w:pos="709"/>
        </w:tabs>
        <w:jc w:val="both"/>
      </w:pPr>
    </w:p>
    <w:p w14:paraId="18590B7B" w14:textId="2B1A3491" w:rsidR="00706904" w:rsidRDefault="00706904" w:rsidP="009525D9">
      <w:pPr>
        <w:tabs>
          <w:tab w:val="left" w:pos="284"/>
          <w:tab w:val="left" w:pos="567"/>
          <w:tab w:val="left" w:pos="709"/>
        </w:tabs>
        <w:jc w:val="both"/>
      </w:pPr>
    </w:p>
    <w:p w14:paraId="275F7213" w14:textId="13A7FCC0" w:rsidR="00706904" w:rsidRDefault="00706904" w:rsidP="009525D9">
      <w:pPr>
        <w:tabs>
          <w:tab w:val="left" w:pos="284"/>
          <w:tab w:val="left" w:pos="567"/>
          <w:tab w:val="left" w:pos="709"/>
        </w:tabs>
        <w:jc w:val="both"/>
      </w:pPr>
    </w:p>
    <w:p w14:paraId="2E980DEB" w14:textId="1A5AC4BE" w:rsidR="00706904" w:rsidRDefault="00706904" w:rsidP="009525D9">
      <w:pPr>
        <w:tabs>
          <w:tab w:val="left" w:pos="284"/>
          <w:tab w:val="left" w:pos="567"/>
          <w:tab w:val="left" w:pos="709"/>
        </w:tabs>
        <w:jc w:val="both"/>
      </w:pPr>
    </w:p>
    <w:p w14:paraId="273A74BB" w14:textId="089CFD42" w:rsidR="00706904" w:rsidRDefault="00706904" w:rsidP="009525D9">
      <w:pPr>
        <w:tabs>
          <w:tab w:val="left" w:pos="284"/>
          <w:tab w:val="left" w:pos="567"/>
          <w:tab w:val="left" w:pos="709"/>
        </w:tabs>
        <w:jc w:val="both"/>
      </w:pPr>
    </w:p>
    <w:p w14:paraId="09AC7FDB" w14:textId="39B1B4D9" w:rsidR="00706904" w:rsidRDefault="00706904" w:rsidP="009525D9">
      <w:pPr>
        <w:tabs>
          <w:tab w:val="left" w:pos="284"/>
          <w:tab w:val="left" w:pos="567"/>
          <w:tab w:val="left" w:pos="709"/>
        </w:tabs>
        <w:jc w:val="both"/>
      </w:pPr>
    </w:p>
    <w:p w14:paraId="7173BCD3" w14:textId="77777777" w:rsidR="00706904" w:rsidRPr="00342AA4" w:rsidRDefault="00706904" w:rsidP="009525D9">
      <w:pPr>
        <w:tabs>
          <w:tab w:val="left" w:pos="284"/>
          <w:tab w:val="left" w:pos="567"/>
          <w:tab w:val="left" w:pos="709"/>
        </w:tabs>
        <w:jc w:val="both"/>
      </w:pPr>
    </w:p>
    <w:p w14:paraId="5C8F44FF" w14:textId="77777777" w:rsidR="00342AA4" w:rsidRDefault="00342AA4" w:rsidP="009525D9">
      <w:pPr>
        <w:tabs>
          <w:tab w:val="left" w:pos="284"/>
          <w:tab w:val="left" w:pos="567"/>
          <w:tab w:val="left" w:pos="709"/>
        </w:tabs>
        <w:jc w:val="both"/>
      </w:pPr>
    </w:p>
    <w:p w14:paraId="736A147B" w14:textId="77777777" w:rsidR="00342AA4" w:rsidRDefault="00342AA4" w:rsidP="009525D9">
      <w:pPr>
        <w:tabs>
          <w:tab w:val="left" w:pos="284"/>
          <w:tab w:val="left" w:pos="567"/>
          <w:tab w:val="left" w:pos="709"/>
        </w:tabs>
        <w:jc w:val="both"/>
      </w:pPr>
    </w:p>
    <w:tbl>
      <w:tblPr>
        <w:tblStyle w:val="Mkatabulky"/>
        <w:tblW w:w="9062" w:type="dxa"/>
        <w:jc w:val="center"/>
        <w:tblLook w:val="04A0" w:firstRow="1" w:lastRow="0" w:firstColumn="1" w:lastColumn="0" w:noHBand="0" w:noVBand="1"/>
      </w:tblPr>
      <w:tblGrid>
        <w:gridCol w:w="1574"/>
        <w:gridCol w:w="822"/>
        <w:gridCol w:w="822"/>
        <w:gridCol w:w="822"/>
        <w:gridCol w:w="822"/>
        <w:gridCol w:w="838"/>
        <w:gridCol w:w="1681"/>
        <w:gridCol w:w="1681"/>
      </w:tblGrid>
      <w:tr w:rsidR="00342AA4" w:rsidRPr="00342AA4" w14:paraId="546F0221" w14:textId="77777777" w:rsidTr="00342AA4">
        <w:trPr>
          <w:jc w:val="center"/>
        </w:trPr>
        <w:tc>
          <w:tcPr>
            <w:tcW w:w="1574" w:type="dxa"/>
            <w:vAlign w:val="center"/>
          </w:tcPr>
          <w:p w14:paraId="164CE7DF" w14:textId="77777777" w:rsidR="00342AA4" w:rsidRPr="00342AA4" w:rsidRDefault="00342AA4" w:rsidP="00681CA9">
            <w:pPr>
              <w:pStyle w:val="Bezmezer"/>
              <w:jc w:val="both"/>
              <w:rPr>
                <w:rFonts w:ascii="Times New Roman" w:hAnsi="Times New Roman"/>
                <w:sz w:val="24"/>
                <w:szCs w:val="24"/>
              </w:rPr>
            </w:pPr>
          </w:p>
        </w:tc>
        <w:tc>
          <w:tcPr>
            <w:tcW w:w="822" w:type="dxa"/>
            <w:vAlign w:val="center"/>
          </w:tcPr>
          <w:p w14:paraId="1F682164" w14:textId="77777777" w:rsidR="00342AA4" w:rsidRPr="00342AA4" w:rsidRDefault="00342AA4" w:rsidP="00681CA9">
            <w:pPr>
              <w:pStyle w:val="Bezmezer"/>
              <w:jc w:val="center"/>
              <w:rPr>
                <w:rFonts w:ascii="Times New Roman" w:hAnsi="Times New Roman"/>
                <w:b/>
              </w:rPr>
            </w:pPr>
            <w:r w:rsidRPr="00342AA4">
              <w:rPr>
                <w:rFonts w:ascii="Times New Roman" w:hAnsi="Times New Roman"/>
                <w:b/>
              </w:rPr>
              <w:t>2016</w:t>
            </w:r>
          </w:p>
        </w:tc>
        <w:tc>
          <w:tcPr>
            <w:tcW w:w="822" w:type="dxa"/>
            <w:vAlign w:val="center"/>
          </w:tcPr>
          <w:p w14:paraId="78D5C8D3" w14:textId="77777777" w:rsidR="00342AA4" w:rsidRPr="00342AA4" w:rsidRDefault="00342AA4" w:rsidP="00681CA9">
            <w:pPr>
              <w:pStyle w:val="Bezmezer"/>
              <w:jc w:val="center"/>
              <w:rPr>
                <w:rFonts w:ascii="Times New Roman" w:hAnsi="Times New Roman"/>
                <w:b/>
              </w:rPr>
            </w:pPr>
            <w:r w:rsidRPr="00342AA4">
              <w:rPr>
                <w:rFonts w:ascii="Times New Roman" w:hAnsi="Times New Roman"/>
                <w:b/>
              </w:rPr>
              <w:t>2017</w:t>
            </w:r>
          </w:p>
        </w:tc>
        <w:tc>
          <w:tcPr>
            <w:tcW w:w="822" w:type="dxa"/>
            <w:vAlign w:val="center"/>
          </w:tcPr>
          <w:p w14:paraId="3C863C24" w14:textId="77777777" w:rsidR="00342AA4" w:rsidRPr="00342AA4" w:rsidRDefault="00342AA4" w:rsidP="00681CA9">
            <w:pPr>
              <w:pStyle w:val="Bezmezer"/>
              <w:jc w:val="center"/>
              <w:rPr>
                <w:rFonts w:ascii="Times New Roman" w:hAnsi="Times New Roman"/>
                <w:b/>
              </w:rPr>
            </w:pPr>
            <w:r w:rsidRPr="00342AA4">
              <w:rPr>
                <w:rFonts w:ascii="Times New Roman" w:hAnsi="Times New Roman"/>
                <w:b/>
              </w:rPr>
              <w:t>2018</w:t>
            </w:r>
          </w:p>
        </w:tc>
        <w:tc>
          <w:tcPr>
            <w:tcW w:w="822" w:type="dxa"/>
            <w:vAlign w:val="center"/>
          </w:tcPr>
          <w:p w14:paraId="04BE03BA" w14:textId="77777777" w:rsidR="00342AA4" w:rsidRPr="00342AA4" w:rsidRDefault="00342AA4" w:rsidP="00681CA9">
            <w:pPr>
              <w:pStyle w:val="Bezmezer"/>
              <w:jc w:val="center"/>
              <w:rPr>
                <w:rFonts w:ascii="Times New Roman" w:hAnsi="Times New Roman"/>
                <w:b/>
              </w:rPr>
            </w:pPr>
            <w:r w:rsidRPr="00342AA4">
              <w:rPr>
                <w:rFonts w:ascii="Times New Roman" w:hAnsi="Times New Roman"/>
                <w:b/>
              </w:rPr>
              <w:t>2019</w:t>
            </w:r>
          </w:p>
        </w:tc>
        <w:tc>
          <w:tcPr>
            <w:tcW w:w="838" w:type="dxa"/>
            <w:vAlign w:val="center"/>
          </w:tcPr>
          <w:p w14:paraId="08A1B776" w14:textId="77777777" w:rsidR="00342AA4" w:rsidRPr="00342AA4" w:rsidRDefault="00342AA4" w:rsidP="00681CA9">
            <w:pPr>
              <w:pStyle w:val="Bezmezer"/>
              <w:jc w:val="center"/>
              <w:rPr>
                <w:rFonts w:ascii="Times New Roman" w:hAnsi="Times New Roman"/>
                <w:b/>
              </w:rPr>
            </w:pPr>
            <w:r w:rsidRPr="00342AA4">
              <w:rPr>
                <w:rFonts w:ascii="Times New Roman" w:hAnsi="Times New Roman"/>
                <w:b/>
              </w:rPr>
              <w:t>2020</w:t>
            </w:r>
          </w:p>
        </w:tc>
        <w:tc>
          <w:tcPr>
            <w:tcW w:w="1681" w:type="dxa"/>
            <w:vAlign w:val="center"/>
          </w:tcPr>
          <w:p w14:paraId="3F07E8E2" w14:textId="77777777" w:rsidR="00342AA4" w:rsidRPr="00342AA4" w:rsidRDefault="00342AA4" w:rsidP="00342AA4">
            <w:pPr>
              <w:pStyle w:val="Bezmezer"/>
              <w:numPr>
                <w:ilvl w:val="0"/>
                <w:numId w:val="12"/>
              </w:numPr>
              <w:spacing w:before="0" w:beforeAutospacing="0" w:after="0" w:afterAutospacing="0"/>
              <w:jc w:val="center"/>
              <w:rPr>
                <w:rFonts w:ascii="Times New Roman" w:hAnsi="Times New Roman"/>
                <w:b/>
              </w:rPr>
            </w:pPr>
            <w:r w:rsidRPr="00342AA4">
              <w:rPr>
                <w:rFonts w:ascii="Times New Roman" w:hAnsi="Times New Roman"/>
                <w:b/>
              </w:rPr>
              <w:t>čtvrtletí 2021</w:t>
            </w:r>
          </w:p>
        </w:tc>
        <w:tc>
          <w:tcPr>
            <w:tcW w:w="1681" w:type="dxa"/>
            <w:vAlign w:val="center"/>
          </w:tcPr>
          <w:p w14:paraId="2D7DF6BA" w14:textId="77777777" w:rsidR="00342AA4" w:rsidRPr="00342AA4" w:rsidRDefault="00342AA4" w:rsidP="00342AA4">
            <w:pPr>
              <w:pStyle w:val="Bezmezer"/>
              <w:numPr>
                <w:ilvl w:val="0"/>
                <w:numId w:val="12"/>
              </w:numPr>
              <w:spacing w:before="0" w:beforeAutospacing="0" w:after="0" w:afterAutospacing="0"/>
              <w:jc w:val="center"/>
              <w:rPr>
                <w:rFonts w:ascii="Times New Roman" w:hAnsi="Times New Roman"/>
                <w:b/>
              </w:rPr>
            </w:pPr>
            <w:r w:rsidRPr="00342AA4">
              <w:rPr>
                <w:rFonts w:ascii="Times New Roman" w:hAnsi="Times New Roman"/>
                <w:b/>
              </w:rPr>
              <w:t>čtvrtletí 2021</w:t>
            </w:r>
          </w:p>
        </w:tc>
      </w:tr>
      <w:tr w:rsidR="00342AA4" w:rsidRPr="00342AA4" w14:paraId="18043A6D" w14:textId="77777777" w:rsidTr="00342AA4">
        <w:trPr>
          <w:jc w:val="center"/>
        </w:trPr>
        <w:tc>
          <w:tcPr>
            <w:tcW w:w="1574" w:type="dxa"/>
            <w:vAlign w:val="center"/>
          </w:tcPr>
          <w:p w14:paraId="41B18D8C" w14:textId="77777777" w:rsidR="00342AA4" w:rsidRPr="00342AA4" w:rsidRDefault="00342AA4" w:rsidP="00681CA9">
            <w:pPr>
              <w:pStyle w:val="Bezmezer"/>
              <w:jc w:val="center"/>
              <w:rPr>
                <w:rFonts w:ascii="Times New Roman" w:hAnsi="Times New Roman"/>
              </w:rPr>
            </w:pPr>
            <w:r w:rsidRPr="00342AA4">
              <w:rPr>
                <w:rFonts w:ascii="Times New Roman" w:hAnsi="Times New Roman"/>
              </w:rPr>
              <w:lastRenderedPageBreak/>
              <w:t>Počet osob se zdravotním postižením podpořených příspěvkem</w:t>
            </w:r>
          </w:p>
        </w:tc>
        <w:tc>
          <w:tcPr>
            <w:tcW w:w="822" w:type="dxa"/>
            <w:vAlign w:val="center"/>
          </w:tcPr>
          <w:p w14:paraId="538FFA5E"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54 659</w:t>
            </w:r>
          </w:p>
        </w:tc>
        <w:tc>
          <w:tcPr>
            <w:tcW w:w="822" w:type="dxa"/>
            <w:vAlign w:val="center"/>
          </w:tcPr>
          <w:p w14:paraId="5584BF10"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55 984</w:t>
            </w:r>
          </w:p>
        </w:tc>
        <w:tc>
          <w:tcPr>
            <w:tcW w:w="822" w:type="dxa"/>
            <w:vAlign w:val="center"/>
          </w:tcPr>
          <w:p w14:paraId="60A2BDA0"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55 392</w:t>
            </w:r>
          </w:p>
        </w:tc>
        <w:tc>
          <w:tcPr>
            <w:tcW w:w="822" w:type="dxa"/>
            <w:vAlign w:val="center"/>
          </w:tcPr>
          <w:p w14:paraId="5E5183C8"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59 142</w:t>
            </w:r>
          </w:p>
        </w:tc>
        <w:tc>
          <w:tcPr>
            <w:tcW w:w="838" w:type="dxa"/>
            <w:vAlign w:val="center"/>
          </w:tcPr>
          <w:p w14:paraId="783975A1"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63 239</w:t>
            </w:r>
          </w:p>
        </w:tc>
        <w:tc>
          <w:tcPr>
            <w:tcW w:w="1681" w:type="dxa"/>
            <w:vAlign w:val="center"/>
          </w:tcPr>
          <w:p w14:paraId="4F62A9DB"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61 205</w:t>
            </w:r>
          </w:p>
          <w:p w14:paraId="171B26E1" w14:textId="77777777" w:rsidR="00342AA4" w:rsidRPr="008A03C0" w:rsidRDefault="00342AA4" w:rsidP="00681CA9">
            <w:pPr>
              <w:pStyle w:val="Bezmezer"/>
              <w:jc w:val="center"/>
              <w:rPr>
                <w:rFonts w:ascii="Times New Roman" w:hAnsi="Times New Roman"/>
              </w:rPr>
            </w:pPr>
            <w:r w:rsidRPr="008A03C0">
              <w:rPr>
                <w:rFonts w:ascii="Times New Roman" w:hAnsi="Times New Roman"/>
              </w:rPr>
              <w:t>(1. čtvrtletí 2020 – 60 207)</w:t>
            </w:r>
          </w:p>
        </w:tc>
        <w:tc>
          <w:tcPr>
            <w:tcW w:w="1681" w:type="dxa"/>
            <w:vAlign w:val="center"/>
          </w:tcPr>
          <w:p w14:paraId="07AF43EF"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64 718</w:t>
            </w:r>
          </w:p>
          <w:p w14:paraId="69CDD228"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(2. čtvrtletí 2020 - 58 107)</w:t>
            </w:r>
          </w:p>
        </w:tc>
      </w:tr>
      <w:tr w:rsidR="00342AA4" w:rsidRPr="00342AA4" w14:paraId="64F2281F" w14:textId="77777777" w:rsidTr="00342AA4">
        <w:trPr>
          <w:trHeight w:val="855"/>
          <w:jc w:val="center"/>
        </w:trPr>
        <w:tc>
          <w:tcPr>
            <w:tcW w:w="1574" w:type="dxa"/>
            <w:vAlign w:val="center"/>
          </w:tcPr>
          <w:p w14:paraId="75421EAB"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Počet zaměstnavatelů podpořených příspěvkem</w:t>
            </w:r>
          </w:p>
        </w:tc>
        <w:tc>
          <w:tcPr>
            <w:tcW w:w="822" w:type="dxa"/>
            <w:vAlign w:val="center"/>
          </w:tcPr>
          <w:p w14:paraId="049F735F"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2 940</w:t>
            </w:r>
          </w:p>
        </w:tc>
        <w:tc>
          <w:tcPr>
            <w:tcW w:w="822" w:type="dxa"/>
            <w:vAlign w:val="center"/>
          </w:tcPr>
          <w:p w14:paraId="7419B0B1"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3 117</w:t>
            </w:r>
          </w:p>
        </w:tc>
        <w:tc>
          <w:tcPr>
            <w:tcW w:w="822" w:type="dxa"/>
            <w:vAlign w:val="center"/>
          </w:tcPr>
          <w:p w14:paraId="189C6473"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3 040</w:t>
            </w:r>
          </w:p>
        </w:tc>
        <w:tc>
          <w:tcPr>
            <w:tcW w:w="822" w:type="dxa"/>
            <w:vAlign w:val="center"/>
          </w:tcPr>
          <w:p w14:paraId="42C643DA"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3 327</w:t>
            </w:r>
          </w:p>
        </w:tc>
        <w:tc>
          <w:tcPr>
            <w:tcW w:w="838" w:type="dxa"/>
            <w:vAlign w:val="center"/>
          </w:tcPr>
          <w:p w14:paraId="4B25E540"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3 575</w:t>
            </w:r>
          </w:p>
        </w:tc>
        <w:tc>
          <w:tcPr>
            <w:tcW w:w="1681" w:type="dxa"/>
            <w:vAlign w:val="center"/>
          </w:tcPr>
          <w:p w14:paraId="07D8A70A"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3 456</w:t>
            </w:r>
          </w:p>
          <w:p w14:paraId="1D8CD57F" w14:textId="77777777" w:rsidR="00342AA4" w:rsidRPr="008A03C0" w:rsidRDefault="00342AA4" w:rsidP="00681CA9">
            <w:pPr>
              <w:pStyle w:val="Bezmezer"/>
              <w:jc w:val="center"/>
              <w:rPr>
                <w:rFonts w:ascii="Times New Roman" w:hAnsi="Times New Roman"/>
              </w:rPr>
            </w:pPr>
            <w:r w:rsidRPr="008A03C0">
              <w:rPr>
                <w:rFonts w:ascii="Times New Roman" w:hAnsi="Times New Roman"/>
              </w:rPr>
              <w:t>(1. čtvrtletí 2020 – 3 450)</w:t>
            </w:r>
          </w:p>
          <w:p w14:paraId="3EE718B7" w14:textId="77777777" w:rsidR="00342AA4" w:rsidRPr="00342AA4" w:rsidRDefault="00342AA4" w:rsidP="00681CA9">
            <w:pPr>
              <w:pStyle w:val="Bezmezer"/>
              <w:jc w:val="center"/>
              <w:rPr>
                <w:rFonts w:ascii="Times New Roman" w:hAnsi="Times New Roman"/>
              </w:rPr>
            </w:pPr>
          </w:p>
        </w:tc>
        <w:tc>
          <w:tcPr>
            <w:tcW w:w="1681" w:type="dxa"/>
            <w:vAlign w:val="center"/>
          </w:tcPr>
          <w:p w14:paraId="42AC0B6F"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3 613</w:t>
            </w:r>
          </w:p>
          <w:p w14:paraId="5D3F6AD4"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(2. čtvrtletí 2020 - 3 434)</w:t>
            </w:r>
          </w:p>
        </w:tc>
      </w:tr>
      <w:tr w:rsidR="00342AA4" w:rsidRPr="00342AA4" w14:paraId="7ACE869D" w14:textId="77777777" w:rsidTr="00342AA4">
        <w:trPr>
          <w:trHeight w:val="1111"/>
          <w:jc w:val="center"/>
        </w:trPr>
        <w:tc>
          <w:tcPr>
            <w:tcW w:w="1574" w:type="dxa"/>
            <w:vAlign w:val="center"/>
          </w:tcPr>
          <w:p w14:paraId="38FA16B0"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Náklady státního rozpočtu vynaložené na příspěvek</w:t>
            </w:r>
          </w:p>
        </w:tc>
        <w:tc>
          <w:tcPr>
            <w:tcW w:w="822" w:type="dxa"/>
            <w:vAlign w:val="center"/>
          </w:tcPr>
          <w:p w14:paraId="6D452737"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5 mld. Kč</w:t>
            </w:r>
          </w:p>
        </w:tc>
        <w:tc>
          <w:tcPr>
            <w:tcW w:w="822" w:type="dxa"/>
            <w:vAlign w:val="center"/>
          </w:tcPr>
          <w:p w14:paraId="10FE5B8D"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5,7 mld. Kč</w:t>
            </w:r>
          </w:p>
        </w:tc>
        <w:tc>
          <w:tcPr>
            <w:tcW w:w="822" w:type="dxa"/>
            <w:vAlign w:val="center"/>
          </w:tcPr>
          <w:p w14:paraId="090AD95D"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6,8 mld. Kč</w:t>
            </w:r>
          </w:p>
        </w:tc>
        <w:tc>
          <w:tcPr>
            <w:tcW w:w="822" w:type="dxa"/>
            <w:vAlign w:val="center"/>
          </w:tcPr>
          <w:p w14:paraId="00416D8D"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7,4 mld. Kč</w:t>
            </w:r>
          </w:p>
        </w:tc>
        <w:tc>
          <w:tcPr>
            <w:tcW w:w="838" w:type="dxa"/>
            <w:vAlign w:val="center"/>
          </w:tcPr>
          <w:p w14:paraId="69146681"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8,4 mld. Kč</w:t>
            </w:r>
          </w:p>
        </w:tc>
        <w:tc>
          <w:tcPr>
            <w:tcW w:w="1681" w:type="dxa"/>
            <w:vAlign w:val="center"/>
          </w:tcPr>
          <w:p w14:paraId="4EAD4A1E"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2,2 mld. Kč</w:t>
            </w:r>
          </w:p>
          <w:p w14:paraId="69012E4C" w14:textId="77777777" w:rsidR="00342AA4" w:rsidRPr="008A03C0" w:rsidRDefault="00342AA4" w:rsidP="00681CA9">
            <w:pPr>
              <w:pStyle w:val="Bezmezer"/>
              <w:jc w:val="center"/>
              <w:rPr>
                <w:rFonts w:ascii="Times New Roman" w:hAnsi="Times New Roman"/>
              </w:rPr>
            </w:pPr>
            <w:r w:rsidRPr="008A03C0">
              <w:rPr>
                <w:rFonts w:ascii="Times New Roman" w:hAnsi="Times New Roman"/>
              </w:rPr>
              <w:t xml:space="preserve">(1. čtvrtletí </w:t>
            </w:r>
            <w:proofErr w:type="gramStart"/>
            <w:r w:rsidRPr="008A03C0">
              <w:rPr>
                <w:rFonts w:ascii="Times New Roman" w:hAnsi="Times New Roman"/>
              </w:rPr>
              <w:t>2020 – 2</w:t>
            </w:r>
            <w:proofErr w:type="gramEnd"/>
            <w:r w:rsidRPr="008A03C0">
              <w:rPr>
                <w:rFonts w:ascii="Times New Roman" w:hAnsi="Times New Roman"/>
              </w:rPr>
              <w:t xml:space="preserve"> mld. Kč)</w:t>
            </w:r>
          </w:p>
          <w:p w14:paraId="6D5A0BCC" w14:textId="77777777" w:rsidR="00342AA4" w:rsidRPr="00342AA4" w:rsidRDefault="00342AA4" w:rsidP="00681CA9">
            <w:pPr>
              <w:pStyle w:val="Bezmezer"/>
              <w:jc w:val="center"/>
              <w:rPr>
                <w:rFonts w:ascii="Times New Roman" w:hAnsi="Times New Roman"/>
              </w:rPr>
            </w:pPr>
          </w:p>
        </w:tc>
        <w:tc>
          <w:tcPr>
            <w:tcW w:w="1681" w:type="dxa"/>
            <w:vAlign w:val="center"/>
          </w:tcPr>
          <w:p w14:paraId="32838A6B"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2,2 mld. Kč</w:t>
            </w:r>
          </w:p>
          <w:p w14:paraId="7B6207B4"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(2. čtvrtletí 2020 - 1,87 mld. Kč)</w:t>
            </w:r>
          </w:p>
        </w:tc>
      </w:tr>
      <w:tr w:rsidR="00342AA4" w:rsidRPr="00342AA4" w14:paraId="042F5C54" w14:textId="77777777" w:rsidTr="00342AA4">
        <w:trPr>
          <w:jc w:val="center"/>
        </w:trPr>
        <w:tc>
          <w:tcPr>
            <w:tcW w:w="1574" w:type="dxa"/>
            <w:vAlign w:val="center"/>
          </w:tcPr>
          <w:p w14:paraId="600F298C" w14:textId="77777777" w:rsidR="00342AA4" w:rsidRPr="00342AA4" w:rsidRDefault="00342AA4" w:rsidP="00681CA9">
            <w:pPr>
              <w:pStyle w:val="Bezmezer"/>
              <w:jc w:val="center"/>
              <w:rPr>
                <w:rFonts w:ascii="Times New Roman" w:hAnsi="Times New Roman"/>
              </w:rPr>
            </w:pPr>
            <w:r w:rsidRPr="00342AA4">
              <w:rPr>
                <w:rFonts w:ascii="Times New Roman" w:hAnsi="Times New Roman"/>
              </w:rPr>
              <w:t>Maximální měsíční částka příspěvku</w:t>
            </w:r>
          </w:p>
        </w:tc>
        <w:tc>
          <w:tcPr>
            <w:tcW w:w="822" w:type="dxa"/>
            <w:vAlign w:val="center"/>
          </w:tcPr>
          <w:p w14:paraId="40B9CB15" w14:textId="77777777" w:rsidR="00342AA4" w:rsidRPr="00342AA4" w:rsidRDefault="00342AA4" w:rsidP="00681CA9">
            <w:pPr>
              <w:jc w:val="center"/>
              <w:rPr>
                <w:sz w:val="22"/>
                <w:szCs w:val="22"/>
              </w:rPr>
            </w:pPr>
            <w:r w:rsidRPr="00342AA4">
              <w:rPr>
                <w:sz w:val="22"/>
                <w:szCs w:val="22"/>
              </w:rPr>
              <w:t>11 500 Kč</w:t>
            </w:r>
          </w:p>
        </w:tc>
        <w:tc>
          <w:tcPr>
            <w:tcW w:w="822" w:type="dxa"/>
            <w:vAlign w:val="center"/>
          </w:tcPr>
          <w:p w14:paraId="32B0BBB2" w14:textId="77777777" w:rsidR="00342AA4" w:rsidRPr="00342AA4" w:rsidRDefault="00342AA4" w:rsidP="00681CA9">
            <w:pPr>
              <w:jc w:val="center"/>
              <w:rPr>
                <w:sz w:val="22"/>
                <w:szCs w:val="22"/>
              </w:rPr>
            </w:pPr>
            <w:r w:rsidRPr="00342AA4">
              <w:rPr>
                <w:sz w:val="22"/>
                <w:szCs w:val="22"/>
              </w:rPr>
              <w:t>12 200 Kč</w:t>
            </w:r>
          </w:p>
        </w:tc>
        <w:tc>
          <w:tcPr>
            <w:tcW w:w="822" w:type="dxa"/>
            <w:vAlign w:val="center"/>
          </w:tcPr>
          <w:p w14:paraId="411D780D" w14:textId="77777777" w:rsidR="00342AA4" w:rsidRPr="00342AA4" w:rsidRDefault="00342AA4" w:rsidP="00681CA9">
            <w:pPr>
              <w:jc w:val="center"/>
              <w:rPr>
                <w:sz w:val="22"/>
                <w:szCs w:val="22"/>
              </w:rPr>
            </w:pPr>
            <w:r w:rsidRPr="00342AA4">
              <w:rPr>
                <w:sz w:val="22"/>
                <w:szCs w:val="22"/>
              </w:rPr>
              <w:t>13 000 Kč</w:t>
            </w:r>
          </w:p>
        </w:tc>
        <w:tc>
          <w:tcPr>
            <w:tcW w:w="822" w:type="dxa"/>
            <w:vAlign w:val="center"/>
          </w:tcPr>
          <w:p w14:paraId="22936324" w14:textId="77777777" w:rsidR="00342AA4" w:rsidRPr="00342AA4" w:rsidRDefault="00342AA4" w:rsidP="00681CA9">
            <w:pPr>
              <w:jc w:val="center"/>
              <w:rPr>
                <w:sz w:val="22"/>
                <w:szCs w:val="22"/>
              </w:rPr>
            </w:pPr>
            <w:r w:rsidRPr="00342AA4">
              <w:rPr>
                <w:sz w:val="22"/>
                <w:szCs w:val="22"/>
              </w:rPr>
              <w:t>13 000 Kč</w:t>
            </w:r>
          </w:p>
        </w:tc>
        <w:tc>
          <w:tcPr>
            <w:tcW w:w="838" w:type="dxa"/>
            <w:vAlign w:val="center"/>
          </w:tcPr>
          <w:p w14:paraId="0B4F1C72" w14:textId="77777777" w:rsidR="00342AA4" w:rsidRPr="00342AA4" w:rsidRDefault="00342AA4" w:rsidP="00681CA9">
            <w:pPr>
              <w:jc w:val="center"/>
              <w:rPr>
                <w:sz w:val="22"/>
                <w:szCs w:val="22"/>
              </w:rPr>
            </w:pPr>
            <w:r w:rsidRPr="00342AA4">
              <w:rPr>
                <w:sz w:val="22"/>
                <w:szCs w:val="22"/>
              </w:rPr>
              <w:t>13 800 /14 600 Kč (od října)</w:t>
            </w:r>
          </w:p>
        </w:tc>
        <w:tc>
          <w:tcPr>
            <w:tcW w:w="1681" w:type="dxa"/>
            <w:vAlign w:val="center"/>
          </w:tcPr>
          <w:p w14:paraId="7502F603" w14:textId="77777777" w:rsidR="00342AA4" w:rsidRPr="00342AA4" w:rsidRDefault="00342AA4" w:rsidP="00681CA9">
            <w:pPr>
              <w:jc w:val="center"/>
              <w:rPr>
                <w:sz w:val="22"/>
                <w:szCs w:val="22"/>
              </w:rPr>
            </w:pPr>
            <w:r w:rsidRPr="00342AA4">
              <w:rPr>
                <w:sz w:val="22"/>
                <w:szCs w:val="22"/>
              </w:rPr>
              <w:t>14 600 Kč</w:t>
            </w:r>
          </w:p>
        </w:tc>
        <w:tc>
          <w:tcPr>
            <w:tcW w:w="1681" w:type="dxa"/>
            <w:vAlign w:val="center"/>
          </w:tcPr>
          <w:p w14:paraId="0DA4BE90" w14:textId="77777777" w:rsidR="00342AA4" w:rsidRPr="00342AA4" w:rsidRDefault="00342AA4" w:rsidP="00681CA9">
            <w:pPr>
              <w:jc w:val="center"/>
              <w:rPr>
                <w:sz w:val="22"/>
                <w:szCs w:val="22"/>
              </w:rPr>
            </w:pPr>
            <w:r w:rsidRPr="00342AA4">
              <w:rPr>
                <w:sz w:val="22"/>
                <w:szCs w:val="22"/>
              </w:rPr>
              <w:t>14 600 Kč</w:t>
            </w:r>
          </w:p>
        </w:tc>
      </w:tr>
      <w:tr w:rsidR="00342AA4" w:rsidRPr="00342AA4" w14:paraId="2D804805" w14:textId="77777777" w:rsidTr="00342AA4">
        <w:trPr>
          <w:jc w:val="center"/>
        </w:trPr>
        <w:tc>
          <w:tcPr>
            <w:tcW w:w="1574" w:type="dxa"/>
            <w:vAlign w:val="center"/>
          </w:tcPr>
          <w:p w14:paraId="27F5B6F8" w14:textId="77777777" w:rsidR="00342AA4" w:rsidRPr="00342AA4" w:rsidRDefault="00342AA4" w:rsidP="00681CA9">
            <w:pPr>
              <w:jc w:val="center"/>
              <w:rPr>
                <w:sz w:val="22"/>
                <w:szCs w:val="22"/>
              </w:rPr>
            </w:pPr>
            <w:r w:rsidRPr="00342AA4">
              <w:rPr>
                <w:sz w:val="22"/>
                <w:szCs w:val="22"/>
              </w:rPr>
              <w:t>Výše minimální mzdy</w:t>
            </w:r>
          </w:p>
        </w:tc>
        <w:tc>
          <w:tcPr>
            <w:tcW w:w="822" w:type="dxa"/>
            <w:vAlign w:val="center"/>
          </w:tcPr>
          <w:p w14:paraId="18790144" w14:textId="77777777" w:rsidR="00342AA4" w:rsidRPr="00342AA4" w:rsidRDefault="00342AA4" w:rsidP="00681CA9">
            <w:pPr>
              <w:jc w:val="center"/>
              <w:rPr>
                <w:sz w:val="22"/>
                <w:szCs w:val="22"/>
              </w:rPr>
            </w:pPr>
            <w:r w:rsidRPr="00342AA4">
              <w:rPr>
                <w:sz w:val="22"/>
                <w:szCs w:val="22"/>
              </w:rPr>
              <w:t>9 300 Kč</w:t>
            </w:r>
          </w:p>
        </w:tc>
        <w:tc>
          <w:tcPr>
            <w:tcW w:w="822" w:type="dxa"/>
            <w:vAlign w:val="center"/>
          </w:tcPr>
          <w:p w14:paraId="753257E1" w14:textId="77777777" w:rsidR="00342AA4" w:rsidRPr="00342AA4" w:rsidRDefault="00342AA4" w:rsidP="00681CA9">
            <w:pPr>
              <w:jc w:val="center"/>
              <w:rPr>
                <w:sz w:val="22"/>
                <w:szCs w:val="22"/>
              </w:rPr>
            </w:pPr>
            <w:r w:rsidRPr="00342AA4">
              <w:rPr>
                <w:sz w:val="22"/>
                <w:szCs w:val="22"/>
              </w:rPr>
              <w:t>11 000 Kč</w:t>
            </w:r>
          </w:p>
        </w:tc>
        <w:tc>
          <w:tcPr>
            <w:tcW w:w="822" w:type="dxa"/>
            <w:vAlign w:val="center"/>
          </w:tcPr>
          <w:p w14:paraId="27624C33" w14:textId="77777777" w:rsidR="00342AA4" w:rsidRPr="00342AA4" w:rsidRDefault="00342AA4" w:rsidP="00681CA9">
            <w:pPr>
              <w:jc w:val="center"/>
              <w:rPr>
                <w:sz w:val="22"/>
                <w:szCs w:val="22"/>
              </w:rPr>
            </w:pPr>
            <w:r w:rsidRPr="00342AA4">
              <w:rPr>
                <w:sz w:val="22"/>
                <w:szCs w:val="22"/>
              </w:rPr>
              <w:t>12 200 Kč</w:t>
            </w:r>
          </w:p>
        </w:tc>
        <w:tc>
          <w:tcPr>
            <w:tcW w:w="822" w:type="dxa"/>
            <w:vAlign w:val="center"/>
          </w:tcPr>
          <w:p w14:paraId="011204F1" w14:textId="77777777" w:rsidR="00342AA4" w:rsidRPr="00342AA4" w:rsidRDefault="00342AA4" w:rsidP="00681CA9">
            <w:pPr>
              <w:jc w:val="center"/>
              <w:rPr>
                <w:sz w:val="22"/>
                <w:szCs w:val="22"/>
              </w:rPr>
            </w:pPr>
            <w:r w:rsidRPr="00342AA4">
              <w:rPr>
                <w:sz w:val="22"/>
                <w:szCs w:val="22"/>
              </w:rPr>
              <w:t>13 350 Kč</w:t>
            </w:r>
          </w:p>
        </w:tc>
        <w:tc>
          <w:tcPr>
            <w:tcW w:w="838" w:type="dxa"/>
            <w:vAlign w:val="center"/>
          </w:tcPr>
          <w:p w14:paraId="2B543ECF" w14:textId="77777777" w:rsidR="00342AA4" w:rsidRPr="00342AA4" w:rsidRDefault="00342AA4" w:rsidP="00681CA9">
            <w:pPr>
              <w:jc w:val="center"/>
              <w:rPr>
                <w:sz w:val="22"/>
                <w:szCs w:val="22"/>
              </w:rPr>
            </w:pPr>
            <w:r w:rsidRPr="00342AA4">
              <w:rPr>
                <w:sz w:val="22"/>
                <w:szCs w:val="22"/>
              </w:rPr>
              <w:t>14 600 Kč</w:t>
            </w:r>
          </w:p>
        </w:tc>
        <w:tc>
          <w:tcPr>
            <w:tcW w:w="1681" w:type="dxa"/>
            <w:vAlign w:val="center"/>
          </w:tcPr>
          <w:p w14:paraId="59FA59F3" w14:textId="77777777" w:rsidR="00342AA4" w:rsidRPr="00342AA4" w:rsidRDefault="00342AA4" w:rsidP="00681CA9">
            <w:pPr>
              <w:jc w:val="center"/>
              <w:rPr>
                <w:sz w:val="22"/>
                <w:szCs w:val="22"/>
              </w:rPr>
            </w:pPr>
            <w:r w:rsidRPr="00342AA4">
              <w:rPr>
                <w:sz w:val="22"/>
                <w:szCs w:val="22"/>
              </w:rPr>
              <w:t>15 200 Kč</w:t>
            </w:r>
          </w:p>
        </w:tc>
        <w:tc>
          <w:tcPr>
            <w:tcW w:w="1681" w:type="dxa"/>
            <w:vAlign w:val="center"/>
          </w:tcPr>
          <w:p w14:paraId="7459A0F2" w14:textId="77777777" w:rsidR="00342AA4" w:rsidRPr="00342AA4" w:rsidRDefault="00342AA4" w:rsidP="00342AA4">
            <w:pPr>
              <w:pStyle w:val="Odstavecseseznamem"/>
              <w:numPr>
                <w:ilvl w:val="0"/>
                <w:numId w:val="13"/>
              </w:numPr>
              <w:contextualSpacing w:val="0"/>
              <w:jc w:val="center"/>
              <w:rPr>
                <w:rFonts w:ascii="Times New Roman" w:hAnsi="Times New Roman"/>
                <w:sz w:val="22"/>
              </w:rPr>
            </w:pPr>
            <w:r w:rsidRPr="00342AA4">
              <w:rPr>
                <w:rFonts w:ascii="Times New Roman" w:hAnsi="Times New Roman"/>
                <w:sz w:val="22"/>
              </w:rPr>
              <w:t>200 Kč</w:t>
            </w:r>
          </w:p>
        </w:tc>
      </w:tr>
      <w:tr w:rsidR="00342AA4" w:rsidRPr="00342AA4" w14:paraId="2C12810C" w14:textId="77777777" w:rsidTr="00342AA4">
        <w:trPr>
          <w:jc w:val="center"/>
        </w:trPr>
        <w:tc>
          <w:tcPr>
            <w:tcW w:w="1574" w:type="dxa"/>
            <w:vAlign w:val="center"/>
          </w:tcPr>
          <w:p w14:paraId="2D57B512" w14:textId="77777777" w:rsidR="00342AA4" w:rsidRPr="00342AA4" w:rsidRDefault="00342AA4" w:rsidP="00681CA9">
            <w:pPr>
              <w:jc w:val="center"/>
              <w:rPr>
                <w:sz w:val="22"/>
                <w:szCs w:val="22"/>
              </w:rPr>
            </w:pPr>
            <w:r w:rsidRPr="00342AA4">
              <w:rPr>
                <w:sz w:val="22"/>
                <w:szCs w:val="22"/>
              </w:rPr>
              <w:t>Podíl částky minimální mzdy na maximální částce příspěvku</w:t>
            </w:r>
          </w:p>
        </w:tc>
        <w:tc>
          <w:tcPr>
            <w:tcW w:w="822" w:type="dxa"/>
            <w:vAlign w:val="center"/>
          </w:tcPr>
          <w:p w14:paraId="18CA316F" w14:textId="77777777" w:rsidR="00342AA4" w:rsidRPr="00342AA4" w:rsidRDefault="00342AA4" w:rsidP="00681CA9">
            <w:pPr>
              <w:jc w:val="center"/>
              <w:rPr>
                <w:sz w:val="22"/>
                <w:szCs w:val="22"/>
              </w:rPr>
            </w:pPr>
            <w:r w:rsidRPr="00342AA4">
              <w:rPr>
                <w:sz w:val="22"/>
                <w:szCs w:val="22"/>
              </w:rPr>
              <w:t>81 %</w:t>
            </w:r>
          </w:p>
        </w:tc>
        <w:tc>
          <w:tcPr>
            <w:tcW w:w="822" w:type="dxa"/>
            <w:vAlign w:val="center"/>
          </w:tcPr>
          <w:p w14:paraId="1FD72427" w14:textId="77777777" w:rsidR="00342AA4" w:rsidRPr="00342AA4" w:rsidRDefault="00342AA4" w:rsidP="00681CA9">
            <w:pPr>
              <w:jc w:val="center"/>
              <w:rPr>
                <w:sz w:val="22"/>
                <w:szCs w:val="22"/>
              </w:rPr>
            </w:pPr>
            <w:r w:rsidRPr="00342AA4">
              <w:rPr>
                <w:sz w:val="22"/>
                <w:szCs w:val="22"/>
              </w:rPr>
              <w:t>90 %</w:t>
            </w:r>
          </w:p>
        </w:tc>
        <w:tc>
          <w:tcPr>
            <w:tcW w:w="822" w:type="dxa"/>
            <w:vAlign w:val="center"/>
          </w:tcPr>
          <w:p w14:paraId="1B92A1D2" w14:textId="77777777" w:rsidR="00342AA4" w:rsidRPr="00342AA4" w:rsidRDefault="00342AA4" w:rsidP="00681CA9">
            <w:pPr>
              <w:jc w:val="center"/>
              <w:rPr>
                <w:sz w:val="22"/>
                <w:szCs w:val="22"/>
              </w:rPr>
            </w:pPr>
            <w:r w:rsidRPr="00342AA4">
              <w:rPr>
                <w:sz w:val="22"/>
                <w:szCs w:val="22"/>
              </w:rPr>
              <w:t>94 %</w:t>
            </w:r>
          </w:p>
        </w:tc>
        <w:tc>
          <w:tcPr>
            <w:tcW w:w="822" w:type="dxa"/>
            <w:vAlign w:val="center"/>
          </w:tcPr>
          <w:p w14:paraId="6356AADC" w14:textId="77777777" w:rsidR="00342AA4" w:rsidRPr="00342AA4" w:rsidRDefault="00342AA4" w:rsidP="00681CA9">
            <w:pPr>
              <w:jc w:val="center"/>
              <w:rPr>
                <w:sz w:val="22"/>
                <w:szCs w:val="22"/>
              </w:rPr>
            </w:pPr>
            <w:r w:rsidRPr="00342AA4">
              <w:rPr>
                <w:sz w:val="22"/>
                <w:szCs w:val="22"/>
              </w:rPr>
              <w:t>103 %</w:t>
            </w:r>
          </w:p>
        </w:tc>
        <w:tc>
          <w:tcPr>
            <w:tcW w:w="838" w:type="dxa"/>
            <w:vAlign w:val="center"/>
          </w:tcPr>
          <w:p w14:paraId="0EE5B542" w14:textId="77777777" w:rsidR="00342AA4" w:rsidRPr="00342AA4" w:rsidRDefault="00342AA4" w:rsidP="00681CA9">
            <w:pPr>
              <w:jc w:val="center"/>
              <w:rPr>
                <w:sz w:val="22"/>
                <w:szCs w:val="22"/>
              </w:rPr>
            </w:pPr>
            <w:r w:rsidRPr="00342AA4">
              <w:rPr>
                <w:sz w:val="22"/>
                <w:szCs w:val="22"/>
              </w:rPr>
              <w:t>100 %</w:t>
            </w:r>
          </w:p>
        </w:tc>
        <w:tc>
          <w:tcPr>
            <w:tcW w:w="1681" w:type="dxa"/>
            <w:vAlign w:val="center"/>
          </w:tcPr>
          <w:p w14:paraId="1D6757B5" w14:textId="77777777" w:rsidR="00342AA4" w:rsidRPr="00342AA4" w:rsidRDefault="00342AA4" w:rsidP="00681CA9">
            <w:pPr>
              <w:jc w:val="center"/>
              <w:rPr>
                <w:sz w:val="22"/>
                <w:szCs w:val="22"/>
              </w:rPr>
            </w:pPr>
            <w:r w:rsidRPr="00342AA4">
              <w:rPr>
                <w:sz w:val="22"/>
                <w:szCs w:val="22"/>
              </w:rPr>
              <w:t>104 %</w:t>
            </w:r>
          </w:p>
        </w:tc>
        <w:tc>
          <w:tcPr>
            <w:tcW w:w="1681" w:type="dxa"/>
            <w:vAlign w:val="center"/>
          </w:tcPr>
          <w:p w14:paraId="209C6D1C" w14:textId="77777777" w:rsidR="00342AA4" w:rsidRPr="00342AA4" w:rsidRDefault="00342AA4" w:rsidP="00681CA9">
            <w:pPr>
              <w:jc w:val="center"/>
              <w:rPr>
                <w:sz w:val="22"/>
                <w:szCs w:val="22"/>
              </w:rPr>
            </w:pPr>
            <w:r w:rsidRPr="00342AA4">
              <w:rPr>
                <w:sz w:val="22"/>
                <w:szCs w:val="22"/>
              </w:rPr>
              <w:t>104 %</w:t>
            </w:r>
          </w:p>
        </w:tc>
      </w:tr>
    </w:tbl>
    <w:p w14:paraId="23AF473E" w14:textId="112CCD7D" w:rsidR="00342AA4" w:rsidRPr="00342AA4" w:rsidRDefault="00342AA4" w:rsidP="008D6B50">
      <w:pPr>
        <w:pStyle w:val="Odstavecseseznamem"/>
        <w:ind w:left="0"/>
        <w:rPr>
          <w:rFonts w:ascii="Times New Roman" w:eastAsia="MS Gothic" w:hAnsi="Times New Roman"/>
          <w:bCs/>
          <w:noProof/>
          <w:szCs w:val="24"/>
        </w:rPr>
      </w:pPr>
      <w:r w:rsidRPr="00342AA4">
        <w:rPr>
          <w:rFonts w:ascii="Times New Roman" w:hAnsi="Times New Roman"/>
          <w:sz w:val="20"/>
          <w:szCs w:val="20"/>
          <w:bdr w:val="none" w:sz="0" w:space="0" w:color="auto" w:frame="1"/>
        </w:rPr>
        <w:t>Tabulka č. 2</w:t>
      </w:r>
    </w:p>
    <w:p w14:paraId="189393E3" w14:textId="266BFB29" w:rsidR="00342AA4" w:rsidRDefault="00342AA4" w:rsidP="008D6B50">
      <w:pPr>
        <w:pStyle w:val="Odstavecseseznamem"/>
        <w:ind w:left="0"/>
        <w:rPr>
          <w:rFonts w:eastAsia="MS Gothic"/>
          <w:bCs/>
          <w:noProof/>
        </w:rPr>
      </w:pPr>
    </w:p>
    <w:p w14:paraId="178F1D07" w14:textId="685953CE" w:rsidR="00681CA9" w:rsidRDefault="00681CA9" w:rsidP="008D6B50">
      <w:pPr>
        <w:pStyle w:val="Odstavecseseznamem"/>
        <w:ind w:left="0"/>
        <w:rPr>
          <w:rFonts w:eastAsia="MS Gothic"/>
          <w:bCs/>
          <w:noProof/>
        </w:rPr>
      </w:pPr>
    </w:p>
    <w:p w14:paraId="10D465A1" w14:textId="12E00E74" w:rsidR="00BA1176" w:rsidRPr="00A86DD7" w:rsidRDefault="00BA1176" w:rsidP="00BA1176">
      <w:pPr>
        <w:jc w:val="both"/>
        <w:rPr>
          <w:rFonts w:ascii="Arial" w:hAnsi="Arial" w:cs="Arial"/>
        </w:rPr>
      </w:pPr>
      <w:r w:rsidRPr="00A86DD7">
        <w:rPr>
          <w:rFonts w:cs="Arial"/>
        </w:rPr>
        <w:t>Výše uvedená statistika</w:t>
      </w:r>
      <w:r w:rsidR="00681CA9" w:rsidRPr="00A86DD7">
        <w:rPr>
          <w:rFonts w:cs="Arial"/>
        </w:rPr>
        <w:t xml:space="preserve"> počtu uchazečů o zaměstnání,</w:t>
      </w:r>
      <w:r w:rsidRPr="00A86DD7">
        <w:rPr>
          <w:rFonts w:cs="Arial"/>
        </w:rPr>
        <w:t xml:space="preserve"> nárůst</w:t>
      </w:r>
      <w:r w:rsidR="00681CA9" w:rsidRPr="00A86DD7">
        <w:rPr>
          <w:rFonts w:cs="Arial"/>
        </w:rPr>
        <w:t xml:space="preserve"> minimální mzdy, nárůst </w:t>
      </w:r>
      <w:r w:rsidRPr="00A86DD7">
        <w:rPr>
          <w:rFonts w:cs="Arial"/>
        </w:rPr>
        <w:t>spoluúčast</w:t>
      </w:r>
      <w:r w:rsidR="00681CA9" w:rsidRPr="00A86DD7">
        <w:rPr>
          <w:rFonts w:cs="Arial"/>
        </w:rPr>
        <w:t>i</w:t>
      </w:r>
      <w:r w:rsidRPr="00A86DD7">
        <w:rPr>
          <w:rFonts w:cs="Arial"/>
        </w:rPr>
        <w:t xml:space="preserve"> zaměstnavatelů na </w:t>
      </w:r>
      <w:r w:rsidR="00C2655F" w:rsidRPr="00A86DD7">
        <w:rPr>
          <w:rFonts w:cs="Arial"/>
        </w:rPr>
        <w:t xml:space="preserve">mzdových nákladech </w:t>
      </w:r>
      <w:r w:rsidR="00A170B4">
        <w:rPr>
          <w:rFonts w:cs="Arial"/>
        </w:rPr>
        <w:t>prokazuje, že se i nadále</w:t>
      </w:r>
      <w:r w:rsidR="008A03C0" w:rsidRPr="008A03C0">
        <w:rPr>
          <w:rFonts w:cs="Arial"/>
        </w:rPr>
        <w:t xml:space="preserve"> zhoršuje</w:t>
      </w:r>
      <w:r w:rsidR="00681CA9" w:rsidRPr="008A03C0">
        <w:rPr>
          <w:rFonts w:cs="Arial"/>
        </w:rPr>
        <w:t xml:space="preserve"> </w:t>
      </w:r>
      <w:r w:rsidRPr="008A03C0">
        <w:rPr>
          <w:rFonts w:cs="Arial"/>
        </w:rPr>
        <w:t>postavení osob se zdravotním postižením na trhu práce</w:t>
      </w:r>
      <w:r w:rsidR="00681CA9" w:rsidRPr="008A03C0">
        <w:rPr>
          <w:rFonts w:cs="Arial"/>
        </w:rPr>
        <w:t xml:space="preserve">. Současně je potřeba </w:t>
      </w:r>
      <w:r w:rsidR="00681CA9" w:rsidRPr="00A86DD7">
        <w:rPr>
          <w:rFonts w:cs="Arial"/>
        </w:rPr>
        <w:t xml:space="preserve">vzít v potaz přetrvávající dopady pandemie </w:t>
      </w:r>
      <w:r w:rsidR="00681CA9" w:rsidRPr="00A86DD7">
        <w:t>onemocnění COVID-19, které mohou mít významný nepříznivý dopad na vybraná odvětví. Zaměstnavatelé osob se zdravotním postižením jsou vzhledem k úbytku pracovního potenciálu svých zaměstnanců méně konkurenceschopní a patří tedy k nejvíce ohroženému segmentu hospodářství. O</w:t>
      </w:r>
      <w:r w:rsidRPr="00A86DD7">
        <w:rPr>
          <w:rFonts w:cs="Arial"/>
        </w:rPr>
        <w:t xml:space="preserve">soby se zdravotním postižením jsou osobami potenciálně více ohroženými nákazou a vyžadujícími proto důslednější provádění hygienických opatření na pracovištích v průběhu pandemie a je tak nezbytné přistoupit ke krokům směřujícím k podpoře stabilizace chráněného trhu práce. </w:t>
      </w:r>
      <w:r w:rsidRPr="00A86DD7">
        <w:t>Takovýmto krokem je bezpochyby zvýšení maximální částky příspěvku na podporu zaměstnávání osob se zdravotním postižením na trhu práce, což umožní zaměstnavatelům na chráněném trhu práce zachovat pracovní místa vhodná pro osoby se zdravotním postižením</w:t>
      </w:r>
      <w:r w:rsidRPr="00A86DD7">
        <w:rPr>
          <w:rFonts w:ascii="Arial" w:hAnsi="Arial" w:cs="Arial"/>
        </w:rPr>
        <w:t xml:space="preserve">. </w:t>
      </w:r>
    </w:p>
    <w:p w14:paraId="36DAE219" w14:textId="77777777" w:rsidR="00706904" w:rsidRPr="00681CA9" w:rsidRDefault="00706904" w:rsidP="00BA1176">
      <w:pPr>
        <w:jc w:val="both"/>
        <w:rPr>
          <w:rFonts w:ascii="Arial" w:hAnsi="Arial" w:cs="Arial"/>
          <w:b/>
          <w:color w:val="FF0000"/>
          <w:u w:val="single"/>
        </w:rPr>
      </w:pPr>
    </w:p>
    <w:p w14:paraId="3F4B8ABC" w14:textId="77777777" w:rsidR="00BA1176" w:rsidRDefault="00BA1176" w:rsidP="00FB3B3B">
      <w:pPr>
        <w:rPr>
          <w:b/>
          <w:bCs/>
        </w:rPr>
      </w:pPr>
    </w:p>
    <w:p w14:paraId="50161F72" w14:textId="0620A583" w:rsidR="006C3E57" w:rsidRDefault="006C3E57" w:rsidP="00FB3B3B">
      <w:pPr>
        <w:rPr>
          <w:b/>
          <w:bCs/>
        </w:rPr>
      </w:pPr>
      <w:r w:rsidRPr="000F23EA">
        <w:rPr>
          <w:b/>
          <w:bCs/>
        </w:rPr>
        <w:t>1.3 Popis existujícího právního stavu v dané oblasti</w:t>
      </w:r>
    </w:p>
    <w:p w14:paraId="2D7A508F" w14:textId="77777777" w:rsidR="00706904" w:rsidRDefault="00706904" w:rsidP="00FB3B3B">
      <w:pPr>
        <w:rPr>
          <w:b/>
          <w:bCs/>
        </w:rPr>
      </w:pPr>
    </w:p>
    <w:p w14:paraId="7BC12763" w14:textId="29A4F3E3" w:rsidR="00132B91" w:rsidRDefault="00312E89" w:rsidP="00F63519">
      <w:pPr>
        <w:jc w:val="both"/>
      </w:pPr>
      <w:r w:rsidRPr="00F63519">
        <w:lastRenderedPageBreak/>
        <w:t xml:space="preserve">Problematice podpory zaměstnávání osob se zdravotním postižením je věnována mimořádná pozornost. Pokud jde o chráněný trh práce, tj. o segment zaměstnavatelů zaměstnávajících více než 50 % osob se zdravotním postižením z celkového počtu zaměstnanců, </w:t>
      </w:r>
      <w:r w:rsidR="00F63519">
        <w:t>tento je tvořen</w:t>
      </w:r>
      <w:r w:rsidRPr="00F63519">
        <w:t xml:space="preserve"> </w:t>
      </w:r>
      <w:r w:rsidR="00F63519" w:rsidRPr="00A86DD7">
        <w:t xml:space="preserve">počtem </w:t>
      </w:r>
      <w:r w:rsidRPr="00A86DD7">
        <w:t>3 </w:t>
      </w:r>
      <w:r w:rsidR="00681CA9" w:rsidRPr="00A86DD7">
        <w:t>613</w:t>
      </w:r>
      <w:r w:rsidRPr="00A86DD7">
        <w:t xml:space="preserve"> zaměstnavatelů a </w:t>
      </w:r>
      <w:r w:rsidR="00F63519" w:rsidRPr="00A86DD7">
        <w:t xml:space="preserve">počtem cca </w:t>
      </w:r>
      <w:r w:rsidR="00681CA9" w:rsidRPr="00A86DD7">
        <w:t>64 718</w:t>
      </w:r>
      <w:r w:rsidRPr="00A86DD7">
        <w:t xml:space="preserve"> zaměstnanců</w:t>
      </w:r>
      <w:r w:rsidRPr="00F63519">
        <w:t>, kteří jsou osobami se zdravotním postižením.</w:t>
      </w:r>
      <w:r w:rsidR="00F63519">
        <w:t xml:space="preserve"> Jedná se o zaměstnavatele, se kterými Úřad práce České republiky uzavřel písemnou dohodu o uznání zaměstnavatele za zaměstnavatele na chráněnému trhu práce.</w:t>
      </w:r>
    </w:p>
    <w:p w14:paraId="3C10EC0A" w14:textId="77777777" w:rsidR="00F63519" w:rsidRDefault="00F63519" w:rsidP="00F63519">
      <w:pPr>
        <w:jc w:val="both"/>
      </w:pPr>
    </w:p>
    <w:p w14:paraId="703C04D6" w14:textId="31FF504D" w:rsidR="00F63519" w:rsidRPr="00312E89" w:rsidRDefault="00F63519" w:rsidP="00F63519">
      <w:pPr>
        <w:jc w:val="both"/>
      </w:pPr>
      <w:r w:rsidRPr="00312E89">
        <w:t xml:space="preserve">Poskytování příspěvku upravuje § </w:t>
      </w:r>
      <w:proofErr w:type="gramStart"/>
      <w:r w:rsidRPr="00312E89">
        <w:t>78a</w:t>
      </w:r>
      <w:proofErr w:type="gramEnd"/>
      <w:r w:rsidRPr="00312E89">
        <w:t xml:space="preserve"> zákona o zaměstnanosti. Příspěvek náleží </w:t>
      </w:r>
      <w:r w:rsidR="003F15C0">
        <w:t xml:space="preserve">pouze </w:t>
      </w:r>
      <w:r w:rsidRPr="00312E89">
        <w:t>zaměstnavatelům</w:t>
      </w:r>
      <w:r w:rsidR="003F15C0">
        <w:t>, se kterými Úřad práce České republiky uzavřel výše uvedenou dohodu</w:t>
      </w:r>
      <w:r w:rsidR="00002AC9">
        <w:t>.</w:t>
      </w:r>
      <w:r w:rsidR="003F15C0">
        <w:t xml:space="preserve"> </w:t>
      </w:r>
      <w:r w:rsidRPr="00312E89">
        <w:t xml:space="preserve"> Příspěvek náleží zaměstnavateli ve výši 75 % skutečně vynaložených mzdových nákladů na zaměstnance se zdravotním postižením, maximálně však </w:t>
      </w:r>
      <w:r w:rsidR="00946366">
        <w:t>13 600</w:t>
      </w:r>
      <w:r w:rsidRPr="00312E89">
        <w:t xml:space="preserve"> Kč měsíčně. V případě osob zdravotně znevýhodněných činí maximální částka příspěvku 5 000 Kč. Zaměstnavateli k tomuto příspěvku náleží paušální částka 1 000 Kč měsíčně na každou osobu se zdravotním postižením</w:t>
      </w:r>
      <w:r w:rsidR="003F15C0">
        <w:t>,</w:t>
      </w:r>
      <w:r w:rsidR="003F15C0" w:rsidRPr="003F15C0">
        <w:t xml:space="preserve"> </w:t>
      </w:r>
      <w:r w:rsidR="003F15C0">
        <w:t>a to na náklady vynaložené zaměstnavatelem v souvislosti se zaměstnáváním osoby se zdravotním postižením</w:t>
      </w:r>
      <w:r w:rsidRPr="00312E89">
        <w:t xml:space="preserve">. Dále </w:t>
      </w:r>
      <w:r w:rsidR="003F15C0">
        <w:t xml:space="preserve">si </w:t>
      </w:r>
      <w:r w:rsidRPr="00312E89">
        <w:t xml:space="preserve">může zaměstnavatel uplatnit nárok na zvýšení příspěvku v maximální měsíční výši představující rozdíl mezi částkou </w:t>
      </w:r>
      <w:r w:rsidR="00946366">
        <w:t>13 600</w:t>
      </w:r>
      <w:r w:rsidRPr="00312E89">
        <w:t xml:space="preserve"> Kč</w:t>
      </w:r>
      <w:r w:rsidR="003F15C0">
        <w:t xml:space="preserve"> (aktuální maximální částka příspěvku)</w:t>
      </w:r>
      <w:r w:rsidRPr="00312E89">
        <w:t xml:space="preserve"> a částkou, kterou zaměstnavatel vyčerpal na mzdové náklady zaměstnanců, kteří jsou osobami se zdravotním postižením. Toto zvýšení příspěvku lze uplatnit na náklady provozních zaměstnanců a pracovních asistentů, náklady na dopravu osob se zdravotním postižením na pracoviště, náklady na přizpůsobení provozovny jako jsou přizpůsobení podmínek na pracovišti, pořízení technologických zařízení či pořízení počítačového vybavení. </w:t>
      </w:r>
    </w:p>
    <w:p w14:paraId="49927157" w14:textId="77777777" w:rsidR="00312E89" w:rsidRDefault="00312E89" w:rsidP="006F1D66">
      <w:pPr>
        <w:jc w:val="both"/>
      </w:pPr>
    </w:p>
    <w:p w14:paraId="1212EA27" w14:textId="00BB3DCC" w:rsidR="00AC217B" w:rsidRDefault="00AC217B" w:rsidP="00AC217B">
      <w:pPr>
        <w:jc w:val="both"/>
      </w:pPr>
      <w:r>
        <w:t xml:space="preserve">V současnosti je maximální částka příspěvku poskytovaného zaměstnavatelům na chráněném trhu práce stanovena </w:t>
      </w:r>
      <w:r w:rsidR="00946366">
        <w:t>nařízením vlády č. 388/2021 Sb.</w:t>
      </w:r>
      <w:r>
        <w:t xml:space="preserve"> a činí 1</w:t>
      </w:r>
      <w:r w:rsidR="00946366">
        <w:t>3</w:t>
      </w:r>
      <w:r>
        <w:t> </w:t>
      </w:r>
      <w:r w:rsidR="00946366">
        <w:t>6</w:t>
      </w:r>
      <w:r>
        <w:t xml:space="preserve">00 Kč (§ </w:t>
      </w:r>
      <w:r w:rsidR="00946366">
        <w:t>2 nařízení vlády</w:t>
      </w:r>
      <w:r>
        <w:t>).</w:t>
      </w:r>
    </w:p>
    <w:p w14:paraId="7AADA1F2" w14:textId="77777777" w:rsidR="00910712" w:rsidRDefault="00910712" w:rsidP="00AC217B">
      <w:pPr>
        <w:jc w:val="both"/>
      </w:pPr>
    </w:p>
    <w:p w14:paraId="66A3AC9F" w14:textId="4D7A81C6" w:rsidR="00946366" w:rsidRPr="00946366" w:rsidRDefault="00AC217B" w:rsidP="00946366">
      <w:pPr>
        <w:jc w:val="both"/>
        <w:rPr>
          <w:bCs/>
        </w:rPr>
      </w:pPr>
      <w:r>
        <w:rPr>
          <w:bCs/>
        </w:rPr>
        <w:t xml:space="preserve">Vzhledem k aktuálnímu vývoji na trhu práce a zvýšenému počtu uchazečů o zaměstnání – osob se zdravotním postižením je na místě ze strany státu poskytnout intervenci zaměstnavatelům na chráněném trhu práce spočívající ve zvýšení maximální částky příspěvku na podporu zaměstnávání osob se zdravotním postižením. </w:t>
      </w:r>
      <w:r w:rsidR="00946366" w:rsidRPr="00946366">
        <w:rPr>
          <w:bCs/>
        </w:rPr>
        <w:t>Tímto opatřením lze zabránit nežádoucímu snižování zaměstnanosti osob se zdravotním postižením, které mají ztíženou možnost uplatnění na trhu práce.</w:t>
      </w:r>
      <w:r w:rsidR="00946366" w:rsidRPr="00946366">
        <w:rPr>
          <w:rFonts w:eastAsia="Calibri"/>
          <w:lang w:eastAsia="en-US"/>
        </w:rPr>
        <w:t xml:space="preserve"> </w:t>
      </w:r>
      <w:r w:rsidR="00946366" w:rsidRPr="00946366">
        <w:t xml:space="preserve">Současně je potřeba vzít v potaz přetrvávající dopady pandemie onemocnění COVID-19, které mohou mít významný nepříznivý dopad na vybraná odvětví. Zaměstnavatelé osob se zdravotním postižením jsou vzhledem k úbytku pracovního potenciálu svých zaměstnanců méně konkurenceschopní a patří tedy k nejvíce ohroženému segmentu hospodářství. </w:t>
      </w:r>
    </w:p>
    <w:p w14:paraId="199AE72F" w14:textId="77777777" w:rsidR="00946366" w:rsidRPr="009658F1" w:rsidRDefault="00946366" w:rsidP="00965341">
      <w:pPr>
        <w:jc w:val="both"/>
        <w:rPr>
          <w:color w:val="FF0000"/>
        </w:rPr>
      </w:pPr>
    </w:p>
    <w:p w14:paraId="10D61A3F" w14:textId="77777777" w:rsidR="006C3E57" w:rsidRPr="000827B9" w:rsidRDefault="006C3E57" w:rsidP="00FB3B3B">
      <w:pPr>
        <w:jc w:val="both"/>
        <w:rPr>
          <w:b/>
          <w:bCs/>
        </w:rPr>
      </w:pPr>
      <w:r w:rsidRPr="000827B9">
        <w:rPr>
          <w:b/>
          <w:bCs/>
        </w:rPr>
        <w:t xml:space="preserve">1.4 Identifikace dotčených </w:t>
      </w:r>
      <w:r w:rsidR="00926CDB" w:rsidRPr="000827B9">
        <w:rPr>
          <w:b/>
          <w:bCs/>
        </w:rPr>
        <w:t>subjektů</w:t>
      </w:r>
    </w:p>
    <w:p w14:paraId="00B98E93" w14:textId="77777777" w:rsidR="009772B1" w:rsidRDefault="009772B1" w:rsidP="00FB3B3B">
      <w:pPr>
        <w:jc w:val="both"/>
        <w:rPr>
          <w:rFonts w:eastAsia="MS Gothic"/>
          <w:b/>
          <w:bCs/>
          <w:noProof/>
        </w:rPr>
      </w:pPr>
    </w:p>
    <w:p w14:paraId="699F4CE8" w14:textId="77777777" w:rsidR="00803C42" w:rsidRPr="000F23EA" w:rsidRDefault="00D56554" w:rsidP="00FB3B3B">
      <w:pPr>
        <w:jc w:val="both"/>
        <w:rPr>
          <w:rFonts w:eastAsia="MS Gothic"/>
          <w:b/>
          <w:bCs/>
          <w:noProof/>
        </w:rPr>
      </w:pPr>
      <w:r w:rsidRPr="000F23EA">
        <w:rPr>
          <w:rFonts w:eastAsia="MS Gothic"/>
          <w:b/>
          <w:bCs/>
          <w:noProof/>
        </w:rPr>
        <w:t>Úřad práce České republiky, resp. jednotlivé krajské pobočky Úřadu práce České republiky</w:t>
      </w:r>
    </w:p>
    <w:p w14:paraId="1F564045" w14:textId="77777777" w:rsidR="00BD696B" w:rsidRPr="000F23EA" w:rsidRDefault="00BD696B" w:rsidP="00FB3B3B">
      <w:pPr>
        <w:jc w:val="both"/>
        <w:rPr>
          <w:rFonts w:eastAsia="MS Gothic"/>
          <w:bCs/>
          <w:noProof/>
        </w:rPr>
      </w:pPr>
    </w:p>
    <w:p w14:paraId="4AEC49CB" w14:textId="487139BE" w:rsidR="00F909DB" w:rsidRDefault="00F909DB" w:rsidP="00AC217B">
      <w:pPr>
        <w:jc w:val="both"/>
        <w:rPr>
          <w:rFonts w:eastAsia="MS Gothic"/>
          <w:bCs/>
          <w:noProof/>
        </w:rPr>
      </w:pPr>
      <w:r w:rsidRPr="001D4282">
        <w:rPr>
          <w:bCs/>
        </w:rPr>
        <w:t xml:space="preserve">Úřad práce prostřednictvím svých krajských poboček </w:t>
      </w:r>
      <w:r w:rsidR="00AC217B">
        <w:rPr>
          <w:bCs/>
        </w:rPr>
        <w:t xml:space="preserve">realizuje </w:t>
      </w:r>
      <w:r w:rsidRPr="001D4282">
        <w:rPr>
          <w:rFonts w:eastAsia="MS Gothic"/>
          <w:bCs/>
          <w:noProof/>
        </w:rPr>
        <w:t>poskyt</w:t>
      </w:r>
      <w:r w:rsidR="00AC217B">
        <w:rPr>
          <w:rFonts w:eastAsia="MS Gothic"/>
          <w:bCs/>
          <w:noProof/>
        </w:rPr>
        <w:t>ování</w:t>
      </w:r>
      <w:r w:rsidRPr="001D4282">
        <w:rPr>
          <w:rFonts w:eastAsia="MS Gothic"/>
          <w:bCs/>
          <w:noProof/>
        </w:rPr>
        <w:t xml:space="preserve"> příspěvk</w:t>
      </w:r>
      <w:r w:rsidR="00AC217B">
        <w:rPr>
          <w:rFonts w:eastAsia="MS Gothic"/>
          <w:bCs/>
          <w:noProof/>
        </w:rPr>
        <w:t>u</w:t>
      </w:r>
      <w:r w:rsidRPr="001D4282">
        <w:rPr>
          <w:rFonts w:eastAsia="MS Gothic"/>
          <w:bCs/>
          <w:noProof/>
        </w:rPr>
        <w:t xml:space="preserve"> na podporu zaměstnávání osob se zdravotním postižením na chráněném trhu práce. </w:t>
      </w:r>
      <w:r w:rsidR="000827B9">
        <w:rPr>
          <w:rFonts w:eastAsia="MS Gothic"/>
          <w:bCs/>
          <w:noProof/>
        </w:rPr>
        <w:t>Příspěvek je poskytován na základě rozhodnutí vydaného v rámci příslušného správního řízení podle správního řádu.</w:t>
      </w:r>
    </w:p>
    <w:p w14:paraId="3AC105EA" w14:textId="77777777" w:rsidR="00706904" w:rsidRPr="001D4282" w:rsidRDefault="00706904" w:rsidP="00AC217B">
      <w:pPr>
        <w:jc w:val="both"/>
        <w:rPr>
          <w:rFonts w:eastAsia="MS Gothic"/>
          <w:bCs/>
          <w:noProof/>
        </w:rPr>
      </w:pPr>
    </w:p>
    <w:p w14:paraId="65D7C976" w14:textId="77777777" w:rsidR="00F909DB" w:rsidRPr="001D4282" w:rsidRDefault="00F909DB" w:rsidP="00F909DB">
      <w:pPr>
        <w:jc w:val="both"/>
        <w:rPr>
          <w:rFonts w:eastAsia="MS Gothic"/>
          <w:bCs/>
          <w:noProof/>
        </w:rPr>
      </w:pPr>
    </w:p>
    <w:p w14:paraId="2258901B" w14:textId="77777777" w:rsidR="00BD696B" w:rsidRDefault="00BD696B" w:rsidP="00BD696B">
      <w:pPr>
        <w:jc w:val="both"/>
        <w:rPr>
          <w:rFonts w:eastAsia="MS Gothic"/>
          <w:b/>
          <w:bCs/>
          <w:noProof/>
        </w:rPr>
      </w:pPr>
      <w:r w:rsidRPr="000F23EA">
        <w:rPr>
          <w:rFonts w:eastAsia="MS Gothic"/>
          <w:b/>
          <w:bCs/>
          <w:noProof/>
        </w:rPr>
        <w:t>Zaměstnavatelé</w:t>
      </w:r>
      <w:r w:rsidR="00054706" w:rsidRPr="000F23EA">
        <w:rPr>
          <w:rFonts w:eastAsia="MS Gothic"/>
          <w:b/>
          <w:bCs/>
          <w:noProof/>
        </w:rPr>
        <w:t xml:space="preserve"> </w:t>
      </w:r>
      <w:r w:rsidR="00AC217B">
        <w:rPr>
          <w:rFonts w:eastAsia="MS Gothic"/>
          <w:b/>
          <w:bCs/>
          <w:noProof/>
        </w:rPr>
        <w:t>na chráněném trhu práce</w:t>
      </w:r>
    </w:p>
    <w:p w14:paraId="3A9D264A" w14:textId="77777777" w:rsidR="00F909DB" w:rsidRPr="000F23EA" w:rsidRDefault="00F909DB" w:rsidP="00BD696B">
      <w:pPr>
        <w:jc w:val="both"/>
        <w:rPr>
          <w:rFonts w:eastAsia="MS Gothic"/>
          <w:b/>
          <w:bCs/>
          <w:noProof/>
        </w:rPr>
      </w:pPr>
    </w:p>
    <w:p w14:paraId="39D2AD7D" w14:textId="77777777" w:rsidR="00D91213" w:rsidRDefault="00F909DB" w:rsidP="000827B9">
      <w:pPr>
        <w:jc w:val="both"/>
        <w:rPr>
          <w:bCs/>
        </w:rPr>
      </w:pPr>
      <w:r w:rsidRPr="001D4282">
        <w:rPr>
          <w:bCs/>
        </w:rPr>
        <w:lastRenderedPageBreak/>
        <w:t>Navrhovaná právní úprava se bude dotýkat zaměstnavatelů osob se zdravotním postižením na chráněném trhu práce ve vztahu k pobírání příspěvku na podporu zaměstnávání osob se zdravotním postižením na chráněném trhu práce</w:t>
      </w:r>
      <w:r w:rsidR="000827B9">
        <w:rPr>
          <w:bCs/>
        </w:rPr>
        <w:t xml:space="preserve"> a stanovení jeho maximální výše.</w:t>
      </w:r>
      <w:r w:rsidRPr="001D4282">
        <w:rPr>
          <w:bCs/>
        </w:rPr>
        <w:t xml:space="preserve"> </w:t>
      </w:r>
    </w:p>
    <w:p w14:paraId="62566E9F" w14:textId="77777777" w:rsidR="005922B8" w:rsidRDefault="005922B8" w:rsidP="000827B9">
      <w:pPr>
        <w:jc w:val="both"/>
        <w:rPr>
          <w:bCs/>
        </w:rPr>
      </w:pPr>
    </w:p>
    <w:p w14:paraId="28DEBE47" w14:textId="77777777" w:rsidR="005922B8" w:rsidRPr="00485D39" w:rsidRDefault="005922B8" w:rsidP="000827B9">
      <w:pPr>
        <w:jc w:val="both"/>
        <w:rPr>
          <w:b/>
        </w:rPr>
      </w:pPr>
      <w:r w:rsidRPr="00485D39">
        <w:rPr>
          <w:b/>
        </w:rPr>
        <w:t>Zaměstnanci zaměstnavatelů na chráněném trhu práce – osoby se zdravotním postižením</w:t>
      </w:r>
    </w:p>
    <w:p w14:paraId="04366E95" w14:textId="77777777" w:rsidR="005922B8" w:rsidRPr="00485D39" w:rsidRDefault="005922B8" w:rsidP="000827B9">
      <w:pPr>
        <w:jc w:val="both"/>
        <w:rPr>
          <w:b/>
        </w:rPr>
      </w:pPr>
    </w:p>
    <w:p w14:paraId="373CF3DD" w14:textId="77777777" w:rsidR="005922B8" w:rsidRPr="00485D39" w:rsidRDefault="005922B8" w:rsidP="000827B9">
      <w:pPr>
        <w:jc w:val="both"/>
        <w:rPr>
          <w:bCs/>
        </w:rPr>
      </w:pPr>
      <w:r w:rsidRPr="00485D39">
        <w:rPr>
          <w:bCs/>
        </w:rPr>
        <w:t xml:space="preserve">Navrhovaná právní úprava bude mít pozitivní dopad na zaměstnávání osob se zdravotním postižením na chráněném trhu práce, protože lze očekávat, </w:t>
      </w:r>
      <w:r w:rsidR="00AA3808" w:rsidRPr="00485D39">
        <w:rPr>
          <w:bCs/>
        </w:rPr>
        <w:t>že zaměstnavatelé na chráněném trhu práce zachovají dosavadní pracovní místa pro tyto zaměstnance nebo vytvoří i nová pracovní místa.</w:t>
      </w:r>
    </w:p>
    <w:p w14:paraId="386445CB" w14:textId="77777777" w:rsidR="00786855" w:rsidRDefault="00786855" w:rsidP="000827B9">
      <w:pPr>
        <w:jc w:val="both"/>
        <w:rPr>
          <w:bCs/>
          <w:color w:val="FF0000"/>
        </w:rPr>
      </w:pPr>
    </w:p>
    <w:p w14:paraId="41825768" w14:textId="1A0CBE52" w:rsidR="006C3E57" w:rsidRDefault="006C3E57" w:rsidP="00323EC4">
      <w:pPr>
        <w:pStyle w:val="Odstavecseseznamem"/>
        <w:numPr>
          <w:ilvl w:val="1"/>
          <w:numId w:val="3"/>
        </w:numPr>
        <w:rPr>
          <w:rFonts w:ascii="Times New Roman" w:hAnsi="Times New Roman"/>
          <w:b/>
          <w:bCs/>
        </w:rPr>
      </w:pPr>
      <w:r w:rsidRPr="007C21BE">
        <w:rPr>
          <w:rFonts w:ascii="Times New Roman" w:hAnsi="Times New Roman"/>
          <w:b/>
          <w:bCs/>
        </w:rPr>
        <w:t>Popis cílového stavu</w:t>
      </w:r>
    </w:p>
    <w:p w14:paraId="75EE213C" w14:textId="77777777" w:rsidR="00706904" w:rsidRPr="007C21BE" w:rsidRDefault="00706904" w:rsidP="00706904">
      <w:pPr>
        <w:pStyle w:val="Odstavecseseznamem"/>
        <w:ind w:left="360"/>
        <w:rPr>
          <w:rFonts w:ascii="Times New Roman" w:hAnsi="Times New Roman"/>
          <w:b/>
          <w:bCs/>
        </w:rPr>
      </w:pPr>
    </w:p>
    <w:p w14:paraId="405FFC3C" w14:textId="77777777" w:rsidR="00D91213" w:rsidRDefault="003C6485" w:rsidP="00AC217B">
      <w:pPr>
        <w:pStyle w:val="Odstavecseseznamem"/>
        <w:tabs>
          <w:tab w:val="left" w:pos="709"/>
        </w:tabs>
        <w:ind w:left="0"/>
        <w:rPr>
          <w:rFonts w:ascii="Times New Roman" w:hAnsi="Times New Roman"/>
        </w:rPr>
      </w:pPr>
      <w:r w:rsidRPr="000F23EA">
        <w:rPr>
          <w:rFonts w:ascii="Times New Roman" w:hAnsi="Times New Roman"/>
        </w:rPr>
        <w:t xml:space="preserve">Cílovým stavem je </w:t>
      </w:r>
      <w:r w:rsidR="000827B9">
        <w:rPr>
          <w:rFonts w:ascii="Times New Roman" w:hAnsi="Times New Roman"/>
        </w:rPr>
        <w:t>zvýšení maximální částky příspěvku na podporu zaměstnávání osob se zdravotním postižením</w:t>
      </w:r>
      <w:r w:rsidR="00242C21">
        <w:rPr>
          <w:rFonts w:ascii="Times New Roman" w:hAnsi="Times New Roman"/>
        </w:rPr>
        <w:t xml:space="preserve"> a udržení alespoň stávající zaměstnanosti osob se zdravotním postižením na chráněném trhu práce</w:t>
      </w:r>
      <w:r w:rsidR="000827B9">
        <w:rPr>
          <w:rFonts w:ascii="Times New Roman" w:hAnsi="Times New Roman"/>
        </w:rPr>
        <w:t>.</w:t>
      </w:r>
    </w:p>
    <w:p w14:paraId="3D5C6044" w14:textId="77777777" w:rsidR="00AC217B" w:rsidRDefault="00AC217B" w:rsidP="00AC217B">
      <w:pPr>
        <w:pStyle w:val="Odstavecseseznamem"/>
        <w:tabs>
          <w:tab w:val="left" w:pos="709"/>
        </w:tabs>
        <w:ind w:left="0"/>
        <w:rPr>
          <w:rFonts w:ascii="Times New Roman" w:hAnsi="Times New Roman"/>
        </w:rPr>
      </w:pPr>
    </w:p>
    <w:p w14:paraId="1BE5DBB5" w14:textId="4B7DE5A5" w:rsidR="00FE4FAF" w:rsidRDefault="00D56554" w:rsidP="00D56554">
      <w:pPr>
        <w:jc w:val="both"/>
        <w:rPr>
          <w:b/>
          <w:bCs/>
        </w:rPr>
      </w:pPr>
      <w:r w:rsidRPr="00242C21">
        <w:rPr>
          <w:b/>
          <w:bCs/>
        </w:rPr>
        <w:t xml:space="preserve">1.6 </w:t>
      </w:r>
      <w:r w:rsidR="006C3E57" w:rsidRPr="00242C21">
        <w:rPr>
          <w:b/>
          <w:bCs/>
        </w:rPr>
        <w:t xml:space="preserve">Zhodnocení rizika </w:t>
      </w:r>
    </w:p>
    <w:p w14:paraId="37DFC5AE" w14:textId="77777777" w:rsidR="00706904" w:rsidRPr="00242C21" w:rsidRDefault="00706904" w:rsidP="00D56554">
      <w:pPr>
        <w:jc w:val="both"/>
        <w:rPr>
          <w:b/>
          <w:bCs/>
        </w:rPr>
      </w:pPr>
    </w:p>
    <w:p w14:paraId="5C2A81C6" w14:textId="77777777" w:rsidR="00FE4FAF" w:rsidRPr="000F23EA" w:rsidRDefault="006C3E57" w:rsidP="00FB3B3B">
      <w:pPr>
        <w:jc w:val="both"/>
        <w:rPr>
          <w:bCs/>
        </w:rPr>
      </w:pPr>
      <w:r w:rsidRPr="000F23EA">
        <w:rPr>
          <w:bCs/>
        </w:rPr>
        <w:t>V případě nepřijetí navrhované</w:t>
      </w:r>
      <w:r w:rsidR="007C21BE">
        <w:rPr>
          <w:bCs/>
        </w:rPr>
        <w:t xml:space="preserve">ho zvýšení maximální částky příspěvku </w:t>
      </w:r>
      <w:r w:rsidRPr="000F23EA">
        <w:rPr>
          <w:bCs/>
        </w:rPr>
        <w:t>lze identifikovat následující rizika:</w:t>
      </w:r>
    </w:p>
    <w:p w14:paraId="65C16CA8" w14:textId="77777777" w:rsidR="00AA2A4D" w:rsidRPr="000F23EA" w:rsidRDefault="00AA2A4D" w:rsidP="00FB3B3B">
      <w:pPr>
        <w:jc w:val="both"/>
        <w:rPr>
          <w:bCs/>
        </w:rPr>
      </w:pPr>
    </w:p>
    <w:p w14:paraId="4872602B" w14:textId="77777777" w:rsidR="008328DA" w:rsidRDefault="00D30B7D" w:rsidP="000827B9">
      <w:pPr>
        <w:jc w:val="both"/>
      </w:pPr>
      <w:r w:rsidRPr="000F23EA">
        <w:t>N</w:t>
      </w:r>
      <w:r w:rsidR="00E0729E" w:rsidRPr="000F23EA">
        <w:t xml:space="preserve">epřijetí navrhované úpravy </w:t>
      </w:r>
      <w:r w:rsidRPr="000F23EA">
        <w:t xml:space="preserve">představuje riziko, že </w:t>
      </w:r>
      <w:r w:rsidR="000827B9">
        <w:t>zaměstnavatelé na chráněném trhu práce</w:t>
      </w:r>
      <w:r w:rsidR="007C21BE">
        <w:t xml:space="preserve"> přistoupí ke snižování počtu pracovních míst vhodných pro osoby se zdravotním postižením. </w:t>
      </w:r>
      <w:r w:rsidR="00AA033C">
        <w:br/>
      </w:r>
      <w:r w:rsidR="007C21BE">
        <w:t xml:space="preserve">U některých zaměstnavatelských subjektů </w:t>
      </w:r>
      <w:r w:rsidR="007C21BE" w:rsidRPr="00AA033C">
        <w:t xml:space="preserve">vzhledem </w:t>
      </w:r>
      <w:r w:rsidR="00AA033C">
        <w:t>k</w:t>
      </w:r>
      <w:r w:rsidR="007C21BE" w:rsidRPr="00AA033C">
        <w:t xml:space="preserve"> nepřízniv</w:t>
      </w:r>
      <w:r w:rsidR="00AA033C">
        <w:t>é</w:t>
      </w:r>
      <w:r w:rsidR="007C21BE" w:rsidRPr="00AA033C">
        <w:t xml:space="preserve"> ekonomick</w:t>
      </w:r>
      <w:r w:rsidR="00AA033C">
        <w:t>é</w:t>
      </w:r>
      <w:r w:rsidR="007C21BE" w:rsidRPr="00AA033C">
        <w:t xml:space="preserve"> situaci</w:t>
      </w:r>
      <w:r w:rsidR="007C21BE">
        <w:t xml:space="preserve"> může dojít k omezení nebo </w:t>
      </w:r>
      <w:r w:rsidR="00002AC9">
        <w:t xml:space="preserve">dokonce </w:t>
      </w:r>
      <w:r w:rsidR="007C21BE">
        <w:t xml:space="preserve">skončení provozování jejich činnosti. Tento stav by měl za následek nežádoucí zvyšování počtu nezaměstnaných osob se zdravotním </w:t>
      </w:r>
      <w:r w:rsidR="00242C21">
        <w:t>postižením, které</w:t>
      </w:r>
      <w:r w:rsidR="007C21BE">
        <w:t xml:space="preserve"> tvoří jednu z nejvíce ohrožených skupin na trhu práce</w:t>
      </w:r>
      <w:r w:rsidR="00002AC9">
        <w:t>.</w:t>
      </w:r>
    </w:p>
    <w:p w14:paraId="66E0241D" w14:textId="77777777" w:rsidR="000827B9" w:rsidRPr="000F23EA" w:rsidRDefault="000827B9" w:rsidP="000827B9">
      <w:pPr>
        <w:jc w:val="both"/>
      </w:pPr>
    </w:p>
    <w:p w14:paraId="3FD66C37" w14:textId="77777777" w:rsidR="002A6B4C" w:rsidRDefault="002A6B4C" w:rsidP="00FB3B3B">
      <w:pPr>
        <w:jc w:val="both"/>
        <w:rPr>
          <w:b/>
          <w:bCs/>
        </w:rPr>
      </w:pPr>
      <w:r w:rsidRPr="000F23EA">
        <w:rPr>
          <w:b/>
          <w:bCs/>
        </w:rPr>
        <w:t xml:space="preserve">2. </w:t>
      </w:r>
      <w:r w:rsidRPr="00D76615">
        <w:rPr>
          <w:b/>
          <w:bCs/>
        </w:rPr>
        <w:t>Návrh variant řešení</w:t>
      </w:r>
    </w:p>
    <w:p w14:paraId="2002413D" w14:textId="77777777" w:rsidR="009772B1" w:rsidRPr="00BB7418" w:rsidRDefault="009772B1" w:rsidP="00FB3B3B">
      <w:pPr>
        <w:jc w:val="both"/>
        <w:rPr>
          <w:b/>
          <w:bCs/>
          <w:color w:val="FF0000"/>
        </w:rPr>
      </w:pPr>
    </w:p>
    <w:p w14:paraId="118D9109" w14:textId="110C5DD6" w:rsidR="00242C21" w:rsidRDefault="00242C21" w:rsidP="00242C21">
      <w:pPr>
        <w:jc w:val="both"/>
        <w:rPr>
          <w:rFonts w:cs="Arial"/>
        </w:rPr>
      </w:pPr>
      <w:r w:rsidRPr="002A0DF8">
        <w:rPr>
          <w:rFonts w:cs="Arial"/>
        </w:rPr>
        <w:t xml:space="preserve">Níže uvedené varianty se týkají </w:t>
      </w:r>
      <w:r>
        <w:rPr>
          <w:rFonts w:cs="Arial"/>
        </w:rPr>
        <w:t xml:space="preserve">zvýšení stávající </w:t>
      </w:r>
      <w:r w:rsidRPr="002A0DF8">
        <w:rPr>
          <w:rFonts w:cs="Arial"/>
        </w:rPr>
        <w:t>maximální částky příspěvku</w:t>
      </w:r>
      <w:r>
        <w:rPr>
          <w:rFonts w:cs="Arial"/>
        </w:rPr>
        <w:t xml:space="preserve">, která činí </w:t>
      </w:r>
      <w:r w:rsidR="009772B1">
        <w:rPr>
          <w:rFonts w:cs="Arial"/>
        </w:rPr>
        <w:br/>
      </w:r>
      <w:r w:rsidR="00C519E0">
        <w:rPr>
          <w:rFonts w:cs="Arial"/>
        </w:rPr>
        <w:t>13 600</w:t>
      </w:r>
      <w:r>
        <w:rPr>
          <w:rFonts w:cs="Arial"/>
        </w:rPr>
        <w:t xml:space="preserve"> Kč (</w:t>
      </w:r>
      <w:r w:rsidRPr="002A0DF8">
        <w:rPr>
          <w:rFonts w:cs="Arial"/>
        </w:rPr>
        <w:t xml:space="preserve">§ </w:t>
      </w:r>
      <w:r w:rsidR="00C519E0">
        <w:rPr>
          <w:rFonts w:cs="Arial"/>
        </w:rPr>
        <w:t>2 nařízení vlády č. 388/2020 Sb.</w:t>
      </w:r>
      <w:r>
        <w:rPr>
          <w:rFonts w:cs="Arial"/>
        </w:rPr>
        <w:t>)</w:t>
      </w:r>
      <w:r w:rsidRPr="002A0DF8">
        <w:rPr>
          <w:rFonts w:cs="Arial"/>
        </w:rPr>
        <w:t xml:space="preserve">. </w:t>
      </w:r>
      <w:r w:rsidR="00AA033C">
        <w:rPr>
          <w:rFonts w:cs="Arial"/>
        </w:rPr>
        <w:t xml:space="preserve">Tato částka je dále </w:t>
      </w:r>
      <w:r w:rsidR="00AA033C" w:rsidRPr="00002AC9">
        <w:rPr>
          <w:rFonts w:cs="Arial"/>
        </w:rPr>
        <w:t>navýšena</w:t>
      </w:r>
      <w:r w:rsidR="00AA033C">
        <w:rPr>
          <w:rFonts w:cs="Arial"/>
        </w:rPr>
        <w:t xml:space="preserve"> o</w:t>
      </w:r>
      <w:r w:rsidRPr="002A0DF8">
        <w:rPr>
          <w:rFonts w:cs="Arial"/>
        </w:rPr>
        <w:t xml:space="preserve"> paušální složk</w:t>
      </w:r>
      <w:r w:rsidR="00AA033C">
        <w:rPr>
          <w:rFonts w:cs="Arial"/>
        </w:rPr>
        <w:t>u</w:t>
      </w:r>
      <w:r w:rsidRPr="002A0DF8">
        <w:rPr>
          <w:rFonts w:cs="Arial"/>
        </w:rPr>
        <w:t xml:space="preserve"> příspěvku ve výši 1 000 Kč</w:t>
      </w:r>
      <w:r>
        <w:rPr>
          <w:rFonts w:cs="Arial"/>
        </w:rPr>
        <w:t xml:space="preserve"> (§ </w:t>
      </w:r>
      <w:proofErr w:type="gramStart"/>
      <w:r>
        <w:rPr>
          <w:rFonts w:cs="Arial"/>
        </w:rPr>
        <w:t>78a</w:t>
      </w:r>
      <w:proofErr w:type="gramEnd"/>
      <w:r>
        <w:rPr>
          <w:rFonts w:cs="Arial"/>
        </w:rPr>
        <w:t xml:space="preserve"> odst. 3 zákona o zaměstnanosti)</w:t>
      </w:r>
      <w:r w:rsidRPr="002A0DF8">
        <w:rPr>
          <w:rFonts w:cs="Arial"/>
        </w:rPr>
        <w:t>. Předmětem navrhované</w:t>
      </w:r>
      <w:r>
        <w:rPr>
          <w:rFonts w:cs="Arial"/>
        </w:rPr>
        <w:t>ho zvýšení maximální částky příspěvku</w:t>
      </w:r>
      <w:r w:rsidRPr="002A0DF8">
        <w:rPr>
          <w:rFonts w:cs="Arial"/>
        </w:rPr>
        <w:t xml:space="preserve"> </w:t>
      </w:r>
      <w:r w:rsidR="00C519E0">
        <w:rPr>
          <w:rFonts w:cs="Arial"/>
        </w:rPr>
        <w:t xml:space="preserve">však </w:t>
      </w:r>
      <w:r w:rsidRPr="002A0DF8">
        <w:rPr>
          <w:rFonts w:cs="Arial"/>
        </w:rPr>
        <w:t>není navýšení této paušální částky</w:t>
      </w:r>
      <w:r w:rsidR="00AA033C">
        <w:rPr>
          <w:rFonts w:cs="Arial"/>
        </w:rPr>
        <w:t>.</w:t>
      </w:r>
    </w:p>
    <w:p w14:paraId="7F01D1DE" w14:textId="77777777" w:rsidR="00242C21" w:rsidRDefault="00242C21" w:rsidP="007B6B07">
      <w:pPr>
        <w:jc w:val="both"/>
        <w:rPr>
          <w:bCs/>
        </w:rPr>
      </w:pPr>
    </w:p>
    <w:p w14:paraId="03DD3C6B" w14:textId="77777777" w:rsidR="00242C21" w:rsidRDefault="00242C21" w:rsidP="00242C21">
      <w:pPr>
        <w:jc w:val="both"/>
        <w:rPr>
          <w:rFonts w:cs="Arial"/>
          <w:b/>
          <w:bCs/>
        </w:rPr>
      </w:pPr>
      <w:r>
        <w:rPr>
          <w:rFonts w:cs="Arial"/>
          <w:b/>
          <w:bCs/>
        </w:rPr>
        <w:t>Varianta 0 - ponechání současného stavu</w:t>
      </w:r>
    </w:p>
    <w:p w14:paraId="596397A2" w14:textId="77777777" w:rsidR="00242C21" w:rsidRDefault="00242C21" w:rsidP="00242C21">
      <w:pPr>
        <w:jc w:val="both"/>
        <w:rPr>
          <w:rFonts w:cs="Arial"/>
          <w:b/>
          <w:bCs/>
        </w:rPr>
      </w:pPr>
    </w:p>
    <w:p w14:paraId="5CBCF59F" w14:textId="24F8242B" w:rsidR="00242C21" w:rsidRDefault="00242C21" w:rsidP="00242C21">
      <w:pPr>
        <w:jc w:val="both"/>
        <w:rPr>
          <w:rFonts w:cs="Arial"/>
          <w:b/>
          <w:bCs/>
        </w:rPr>
      </w:pPr>
      <w:r>
        <w:rPr>
          <w:rFonts w:cs="Arial"/>
          <w:b/>
          <w:bCs/>
        </w:rPr>
        <w:t xml:space="preserve">Varianta I – </w:t>
      </w:r>
      <w:r w:rsidR="00333B22">
        <w:rPr>
          <w:rFonts w:cs="Arial"/>
          <w:b/>
          <w:bCs/>
        </w:rPr>
        <w:t>z</w:t>
      </w:r>
      <w:r>
        <w:rPr>
          <w:rFonts w:cs="Arial"/>
          <w:b/>
          <w:bCs/>
        </w:rPr>
        <w:t xml:space="preserve">výšení maximální částky příspěvku o </w:t>
      </w:r>
      <w:r w:rsidR="00C519E0">
        <w:rPr>
          <w:rFonts w:cs="Arial"/>
          <w:b/>
          <w:bCs/>
        </w:rPr>
        <w:t>6</w:t>
      </w:r>
      <w:r>
        <w:rPr>
          <w:rFonts w:cs="Arial"/>
          <w:b/>
          <w:bCs/>
        </w:rPr>
        <w:t>00 Kč, tj. na 1</w:t>
      </w:r>
      <w:r w:rsidR="00C519E0">
        <w:rPr>
          <w:rFonts w:cs="Arial"/>
          <w:b/>
          <w:bCs/>
        </w:rPr>
        <w:t>4</w:t>
      </w:r>
      <w:r>
        <w:rPr>
          <w:rFonts w:cs="Arial"/>
          <w:b/>
          <w:bCs/>
        </w:rPr>
        <w:t> </w:t>
      </w:r>
      <w:r w:rsidR="00C519E0">
        <w:rPr>
          <w:rFonts w:cs="Arial"/>
          <w:b/>
          <w:bCs/>
        </w:rPr>
        <w:t>2</w:t>
      </w:r>
      <w:r>
        <w:rPr>
          <w:rFonts w:cs="Arial"/>
          <w:b/>
          <w:bCs/>
        </w:rPr>
        <w:t>00 Kč</w:t>
      </w:r>
    </w:p>
    <w:p w14:paraId="5827B172" w14:textId="77777777" w:rsidR="00242C21" w:rsidRDefault="00242C21" w:rsidP="00242C21">
      <w:pPr>
        <w:jc w:val="both"/>
        <w:rPr>
          <w:rFonts w:cs="Arial"/>
          <w:b/>
          <w:bCs/>
        </w:rPr>
      </w:pPr>
    </w:p>
    <w:p w14:paraId="05CF56B5" w14:textId="27165269" w:rsidR="00242C21" w:rsidRDefault="00242C21" w:rsidP="00242C21">
      <w:pPr>
        <w:jc w:val="both"/>
        <w:rPr>
          <w:rFonts w:cs="Arial"/>
          <w:b/>
          <w:bCs/>
        </w:rPr>
      </w:pPr>
      <w:r>
        <w:rPr>
          <w:rFonts w:cs="Arial"/>
          <w:b/>
          <w:bCs/>
        </w:rPr>
        <w:t xml:space="preserve">Varianta II – </w:t>
      </w:r>
      <w:r w:rsidR="00333B22">
        <w:rPr>
          <w:rFonts w:cs="Arial"/>
          <w:b/>
          <w:bCs/>
        </w:rPr>
        <w:t>z</w:t>
      </w:r>
      <w:r>
        <w:rPr>
          <w:rFonts w:cs="Arial"/>
          <w:b/>
          <w:bCs/>
        </w:rPr>
        <w:t>výšení maximální částky příspěvku o 1 </w:t>
      </w:r>
      <w:r w:rsidR="00C519E0">
        <w:rPr>
          <w:rFonts w:cs="Arial"/>
          <w:b/>
          <w:bCs/>
        </w:rPr>
        <w:t>0</w:t>
      </w:r>
      <w:r>
        <w:rPr>
          <w:rFonts w:cs="Arial"/>
          <w:b/>
          <w:bCs/>
        </w:rPr>
        <w:t>00 Kč</w:t>
      </w:r>
      <w:r w:rsidR="00333B22">
        <w:rPr>
          <w:rFonts w:cs="Arial"/>
          <w:b/>
          <w:bCs/>
        </w:rPr>
        <w:t>, tj. na 1</w:t>
      </w:r>
      <w:r w:rsidR="00C519E0">
        <w:rPr>
          <w:rFonts w:cs="Arial"/>
          <w:b/>
          <w:bCs/>
        </w:rPr>
        <w:t>4</w:t>
      </w:r>
      <w:r w:rsidR="00333B22">
        <w:rPr>
          <w:rFonts w:cs="Arial"/>
          <w:b/>
          <w:bCs/>
        </w:rPr>
        <w:t> </w:t>
      </w:r>
      <w:r w:rsidR="00C519E0">
        <w:rPr>
          <w:rFonts w:cs="Arial"/>
          <w:b/>
          <w:bCs/>
        </w:rPr>
        <w:t>6</w:t>
      </w:r>
      <w:r w:rsidR="00333B22">
        <w:rPr>
          <w:rFonts w:cs="Arial"/>
          <w:b/>
          <w:bCs/>
        </w:rPr>
        <w:t>00 Kč</w:t>
      </w:r>
    </w:p>
    <w:p w14:paraId="7E3E0DA1" w14:textId="77777777" w:rsidR="00242C21" w:rsidRDefault="00242C21" w:rsidP="00242C21">
      <w:pPr>
        <w:jc w:val="both"/>
        <w:rPr>
          <w:rFonts w:cs="Arial"/>
          <w:b/>
          <w:bCs/>
        </w:rPr>
      </w:pPr>
    </w:p>
    <w:p w14:paraId="2D9DDC51" w14:textId="77777777" w:rsidR="00242C21" w:rsidRDefault="00242C21" w:rsidP="00242C21">
      <w:pPr>
        <w:jc w:val="both"/>
        <w:rPr>
          <w:rFonts w:cs="Arial"/>
          <w:b/>
          <w:bCs/>
        </w:rPr>
      </w:pPr>
    </w:p>
    <w:p w14:paraId="1C19C899" w14:textId="77777777" w:rsidR="00664E0D" w:rsidRPr="004E4338" w:rsidRDefault="00377BB2" w:rsidP="00FB3B3B">
      <w:pPr>
        <w:jc w:val="both"/>
        <w:rPr>
          <w:b/>
          <w:bCs/>
          <w:iCs/>
          <w:color w:val="FF0000"/>
        </w:rPr>
      </w:pPr>
      <w:r w:rsidRPr="007B6B07">
        <w:rPr>
          <w:b/>
          <w:bCs/>
        </w:rPr>
        <w:t xml:space="preserve">3. </w:t>
      </w:r>
      <w:r w:rsidR="007D7EA5" w:rsidRPr="00D76615">
        <w:rPr>
          <w:b/>
          <w:bCs/>
        </w:rPr>
        <w:t>Vyhodnocení nákladů a přínosů</w:t>
      </w:r>
      <w:r w:rsidR="00EC1ACA" w:rsidRPr="00D76615">
        <w:rPr>
          <w:b/>
          <w:bCs/>
        </w:rPr>
        <w:t>, resp. nevýhod a výhod</w:t>
      </w:r>
      <w:r w:rsidR="00697D9B" w:rsidRPr="00D76615">
        <w:rPr>
          <w:b/>
          <w:bCs/>
        </w:rPr>
        <w:t xml:space="preserve"> </w:t>
      </w:r>
    </w:p>
    <w:p w14:paraId="24315FC3" w14:textId="77777777" w:rsidR="00BD357D" w:rsidRPr="004E4338" w:rsidRDefault="00BD357D" w:rsidP="00FB3B3B">
      <w:pPr>
        <w:jc w:val="both"/>
        <w:rPr>
          <w:b/>
          <w:bCs/>
          <w:color w:val="FF0000"/>
          <w:u w:val="single"/>
        </w:rPr>
      </w:pPr>
    </w:p>
    <w:p w14:paraId="15338EF0" w14:textId="77777777" w:rsidR="00CA0203" w:rsidRPr="00D76615" w:rsidRDefault="007D7EA5" w:rsidP="00FB3B3B">
      <w:pPr>
        <w:jc w:val="both"/>
        <w:rPr>
          <w:b/>
          <w:bCs/>
        </w:rPr>
      </w:pPr>
      <w:r w:rsidRPr="00D76615">
        <w:rPr>
          <w:b/>
          <w:bCs/>
        </w:rPr>
        <w:t xml:space="preserve">3.1. </w:t>
      </w:r>
      <w:r w:rsidR="00377BB2" w:rsidRPr="00D76615">
        <w:rPr>
          <w:b/>
          <w:bCs/>
        </w:rPr>
        <w:t>Identifikace nákladů a přínosů</w:t>
      </w:r>
    </w:p>
    <w:p w14:paraId="75FF5185" w14:textId="77777777" w:rsidR="00333B22" w:rsidRPr="004E4338" w:rsidRDefault="00333B22" w:rsidP="00FB3B3B">
      <w:pPr>
        <w:jc w:val="both"/>
        <w:rPr>
          <w:b/>
          <w:bCs/>
          <w:color w:val="FF0000"/>
        </w:rPr>
      </w:pPr>
    </w:p>
    <w:p w14:paraId="5EE74E54" w14:textId="77777777" w:rsidR="00333B22" w:rsidRDefault="00333B22" w:rsidP="00333B22">
      <w:pPr>
        <w:jc w:val="both"/>
        <w:rPr>
          <w:rFonts w:cs="Arial"/>
          <w:b/>
          <w:bCs/>
        </w:rPr>
      </w:pPr>
      <w:r>
        <w:rPr>
          <w:rFonts w:cs="Arial"/>
          <w:b/>
          <w:bCs/>
        </w:rPr>
        <w:t>Varianta 0 - ponechání současného stavu</w:t>
      </w:r>
    </w:p>
    <w:p w14:paraId="6AB4E5D2" w14:textId="77777777" w:rsidR="00333B22" w:rsidRDefault="00333B22" w:rsidP="00F95F01">
      <w:pPr>
        <w:jc w:val="both"/>
        <w:rPr>
          <w:rFonts w:cs="Arial"/>
        </w:rPr>
      </w:pPr>
      <w:r>
        <w:rPr>
          <w:rFonts w:cs="Arial"/>
        </w:rPr>
        <w:t xml:space="preserve">Nulová varianta, tj. ponechání stávající </w:t>
      </w:r>
      <w:r w:rsidR="00F95F01">
        <w:rPr>
          <w:rFonts w:cs="Arial"/>
        </w:rPr>
        <w:t xml:space="preserve">výše </w:t>
      </w:r>
      <w:r>
        <w:rPr>
          <w:rFonts w:cs="Arial"/>
        </w:rPr>
        <w:t xml:space="preserve">maximální </w:t>
      </w:r>
      <w:r w:rsidR="00F95F01">
        <w:rPr>
          <w:rFonts w:cs="Arial"/>
        </w:rPr>
        <w:t>částky</w:t>
      </w:r>
      <w:r>
        <w:rPr>
          <w:rFonts w:cs="Arial"/>
        </w:rPr>
        <w:t xml:space="preserve"> poskytovaného příspěvku</w:t>
      </w:r>
      <w:r w:rsidR="00002AC9">
        <w:rPr>
          <w:rFonts w:cs="Arial"/>
        </w:rPr>
        <w:t>,</w:t>
      </w:r>
      <w:r>
        <w:rPr>
          <w:rFonts w:cs="Arial"/>
        </w:rPr>
        <w:t xml:space="preserve"> by měla neutrální dopad na státní rozpočet, na druhé straně však s ohledem na výše uveden</w:t>
      </w:r>
      <w:r w:rsidR="00F95F01">
        <w:rPr>
          <w:rFonts w:cs="Arial"/>
        </w:rPr>
        <w:t>ou</w:t>
      </w:r>
      <w:r>
        <w:rPr>
          <w:rFonts w:cs="Arial"/>
        </w:rPr>
        <w:t xml:space="preserve"> </w:t>
      </w:r>
      <w:r w:rsidR="00F95F01">
        <w:rPr>
          <w:rFonts w:cs="Arial"/>
        </w:rPr>
        <w:lastRenderedPageBreak/>
        <w:t>identifikaci problémů</w:t>
      </w:r>
      <w:r>
        <w:rPr>
          <w:rFonts w:cs="Arial"/>
        </w:rPr>
        <w:t>, může negativně ohrozit zaměstnanost osob se zdravotním postižením v průběhu nadcházející hospodářské krize.</w:t>
      </w:r>
    </w:p>
    <w:p w14:paraId="38E1AC6A" w14:textId="77777777" w:rsidR="00333B22" w:rsidRPr="00957500" w:rsidRDefault="00333B22" w:rsidP="00333B22">
      <w:pPr>
        <w:ind w:left="705"/>
        <w:jc w:val="both"/>
        <w:rPr>
          <w:rFonts w:cs="Arial"/>
        </w:rPr>
      </w:pPr>
    </w:p>
    <w:p w14:paraId="44A03367" w14:textId="0EFF24E9" w:rsidR="00333B22" w:rsidRDefault="00333B22" w:rsidP="00333B22">
      <w:pPr>
        <w:jc w:val="both"/>
        <w:rPr>
          <w:rFonts w:cs="Arial"/>
          <w:b/>
          <w:bCs/>
        </w:rPr>
      </w:pPr>
      <w:r>
        <w:rPr>
          <w:rFonts w:cs="Arial"/>
          <w:b/>
          <w:bCs/>
        </w:rPr>
        <w:t xml:space="preserve">Varianta I – zvýšení maximální částky příspěvku o </w:t>
      </w:r>
      <w:r w:rsidR="00C519E0">
        <w:rPr>
          <w:rFonts w:cs="Arial"/>
          <w:b/>
          <w:bCs/>
        </w:rPr>
        <w:t>6</w:t>
      </w:r>
      <w:r>
        <w:rPr>
          <w:rFonts w:cs="Arial"/>
          <w:b/>
          <w:bCs/>
        </w:rPr>
        <w:t>00 Kč, tj. na 1</w:t>
      </w:r>
      <w:r w:rsidR="00C519E0">
        <w:rPr>
          <w:rFonts w:cs="Arial"/>
          <w:b/>
          <w:bCs/>
        </w:rPr>
        <w:t>4</w:t>
      </w:r>
      <w:r>
        <w:rPr>
          <w:rFonts w:cs="Arial"/>
          <w:b/>
          <w:bCs/>
        </w:rPr>
        <w:t> </w:t>
      </w:r>
      <w:r w:rsidR="00C519E0">
        <w:rPr>
          <w:rFonts w:cs="Arial"/>
          <w:b/>
          <w:bCs/>
        </w:rPr>
        <w:t>2</w:t>
      </w:r>
      <w:r>
        <w:rPr>
          <w:rFonts w:cs="Arial"/>
          <w:b/>
          <w:bCs/>
        </w:rPr>
        <w:t>00 Kč</w:t>
      </w:r>
    </w:p>
    <w:p w14:paraId="5A7A32F8" w14:textId="0EA87617" w:rsidR="00333B22" w:rsidRPr="004001D7" w:rsidRDefault="00F95F01" w:rsidP="004001D7">
      <w:pPr>
        <w:jc w:val="both"/>
      </w:pPr>
      <w:r>
        <w:rPr>
          <w:rFonts w:cs="Arial"/>
        </w:rPr>
        <w:t>Z</w:t>
      </w:r>
      <w:r w:rsidR="00333B22">
        <w:rPr>
          <w:rFonts w:cs="Arial"/>
        </w:rPr>
        <w:t xml:space="preserve">výšení maximální částky </w:t>
      </w:r>
      <w:r>
        <w:rPr>
          <w:rFonts w:cs="Arial"/>
        </w:rPr>
        <w:t xml:space="preserve">příspěvku </w:t>
      </w:r>
      <w:r w:rsidR="00333B22">
        <w:rPr>
          <w:rFonts w:cs="Arial"/>
        </w:rPr>
        <w:t xml:space="preserve">o </w:t>
      </w:r>
      <w:r w:rsidR="00C519E0">
        <w:rPr>
          <w:rFonts w:cs="Arial"/>
        </w:rPr>
        <w:t>6</w:t>
      </w:r>
      <w:r w:rsidR="00333B22">
        <w:rPr>
          <w:rFonts w:cs="Arial"/>
        </w:rPr>
        <w:t>00 Kč koresponduje s růstem minimální mzdy v posledních letech a zhruba zachovává poměr mezi růstem minimální mzdy a růstem příspěvku poskytované</w:t>
      </w:r>
      <w:r w:rsidR="009560B6">
        <w:rPr>
          <w:rFonts w:cs="Arial"/>
        </w:rPr>
        <w:t>ho</w:t>
      </w:r>
      <w:r w:rsidR="00333B22">
        <w:rPr>
          <w:rFonts w:cs="Arial"/>
        </w:rPr>
        <w:t xml:space="preserve"> zaměstnavatelům na chráněném trhu práce. </w:t>
      </w:r>
      <w:r w:rsidR="004001D7">
        <w:t xml:space="preserve">V posledních 5 letech činil podíl růstu příspěvku k růstu minimální mzdy v průměru přibližně 60 %. </w:t>
      </w:r>
      <w:r w:rsidR="00333B22">
        <w:rPr>
          <w:rFonts w:cs="Arial"/>
        </w:rPr>
        <w:t>Takto nastavený růst příspěvku odpovídá dosavadnímu ekonomickému vývoji i vývoji na trhu práce. Nárůst počtu uchazečů o zaměstnání, kteří jsou osobami se zdravotním postižením</w:t>
      </w:r>
      <w:r w:rsidR="009560B6">
        <w:rPr>
          <w:rFonts w:cs="Arial"/>
        </w:rPr>
        <w:t>,</w:t>
      </w:r>
      <w:r w:rsidR="00333B22">
        <w:rPr>
          <w:rFonts w:cs="Arial"/>
        </w:rPr>
        <w:t xml:space="preserve"> není meziročně tak razantní jako obecný nárůst nezaměstnanosti. Tato skutečnost dokládá jistou míru stability chráněného trhu práce. </w:t>
      </w:r>
      <w:r w:rsidR="00333B22">
        <w:rPr>
          <w:rFonts w:cs="Arial"/>
          <w:b/>
        </w:rPr>
        <w:t xml:space="preserve">Pokud by příspěvek vzrostl o vyšší částku, valorizace by měla </w:t>
      </w:r>
      <w:r w:rsidR="00333B22" w:rsidRPr="00BE6C1F">
        <w:rPr>
          <w:rFonts w:cs="Arial"/>
          <w:b/>
        </w:rPr>
        <w:t>progresivní</w:t>
      </w:r>
      <w:r w:rsidR="00333B22">
        <w:rPr>
          <w:rFonts w:cs="Arial"/>
          <w:b/>
        </w:rPr>
        <w:t xml:space="preserve"> trend.</w:t>
      </w:r>
    </w:p>
    <w:p w14:paraId="1D022FF5" w14:textId="77777777" w:rsidR="00F95F01" w:rsidRDefault="00F95F01" w:rsidP="00F95F01">
      <w:pPr>
        <w:jc w:val="both"/>
        <w:rPr>
          <w:rFonts w:cs="Arial"/>
        </w:rPr>
      </w:pPr>
    </w:p>
    <w:p w14:paraId="77F69800" w14:textId="0026A191" w:rsidR="00333B22" w:rsidRDefault="00F95F01" w:rsidP="00F95F01">
      <w:pPr>
        <w:jc w:val="both"/>
        <w:rPr>
          <w:rFonts w:cs="Arial"/>
        </w:rPr>
      </w:pPr>
      <w:r>
        <w:rPr>
          <w:rFonts w:cs="Arial"/>
        </w:rPr>
        <w:t>Z</w:t>
      </w:r>
      <w:r w:rsidR="00333B22">
        <w:rPr>
          <w:rFonts w:cs="Arial"/>
        </w:rPr>
        <w:t xml:space="preserve">výšení </w:t>
      </w:r>
      <w:r>
        <w:rPr>
          <w:rFonts w:cs="Arial"/>
        </w:rPr>
        <w:t xml:space="preserve">maximální částky </w:t>
      </w:r>
      <w:r w:rsidR="00333B22">
        <w:rPr>
          <w:rFonts w:cs="Arial"/>
        </w:rPr>
        <w:t xml:space="preserve">příspěvku o </w:t>
      </w:r>
      <w:r w:rsidR="00C519E0">
        <w:rPr>
          <w:rFonts w:cs="Arial"/>
        </w:rPr>
        <w:t>6</w:t>
      </w:r>
      <w:r w:rsidR="00333B22">
        <w:rPr>
          <w:rFonts w:cs="Arial"/>
        </w:rPr>
        <w:t>00 Kč, tj. o částku odpovídající růst minimální mzdy, synergicky naplňuje cíle politiky zaměstnanosti v oblasti podpory osob se zdravotním postižením</w:t>
      </w:r>
      <w:r>
        <w:rPr>
          <w:rFonts w:cs="Arial"/>
        </w:rPr>
        <w:t>, přičemž</w:t>
      </w:r>
      <w:r w:rsidR="00333B22">
        <w:rPr>
          <w:rFonts w:cs="Arial"/>
        </w:rPr>
        <w:t>:</w:t>
      </w:r>
    </w:p>
    <w:p w14:paraId="4A323B93" w14:textId="77777777" w:rsidR="00333B22" w:rsidRPr="00F95F01" w:rsidRDefault="00F95F01" w:rsidP="00323EC4">
      <w:pPr>
        <w:pStyle w:val="Odstavecseseznamem"/>
        <w:numPr>
          <w:ilvl w:val="0"/>
          <w:numId w:val="7"/>
        </w:numPr>
        <w:spacing w:after="160" w:line="259" w:lineRule="auto"/>
        <w:rPr>
          <w:rFonts w:ascii="Times New Roman" w:hAnsi="Times New Roman"/>
          <w:szCs w:val="24"/>
        </w:rPr>
      </w:pPr>
      <w:r>
        <w:rPr>
          <w:rFonts w:ascii="Times New Roman" w:hAnsi="Times New Roman"/>
          <w:szCs w:val="24"/>
        </w:rPr>
        <w:t>p</w:t>
      </w:r>
      <w:r w:rsidR="00333B22" w:rsidRPr="00F95F01">
        <w:rPr>
          <w:rFonts w:ascii="Times New Roman" w:hAnsi="Times New Roman"/>
          <w:szCs w:val="24"/>
        </w:rPr>
        <w:t>řispěje ke stabilizaci chráněného trhu práce v situaci rozvíjející se hospodářské krize</w:t>
      </w:r>
    </w:p>
    <w:p w14:paraId="04244EBF" w14:textId="77777777" w:rsidR="00333B22" w:rsidRDefault="00F95F01" w:rsidP="00323EC4">
      <w:pPr>
        <w:pStyle w:val="Odstavecseseznamem"/>
        <w:numPr>
          <w:ilvl w:val="0"/>
          <w:numId w:val="7"/>
        </w:numPr>
        <w:spacing w:after="160" w:line="259" w:lineRule="auto"/>
        <w:rPr>
          <w:rFonts w:ascii="Times New Roman" w:hAnsi="Times New Roman"/>
          <w:szCs w:val="24"/>
        </w:rPr>
      </w:pPr>
      <w:r>
        <w:rPr>
          <w:rFonts w:ascii="Times New Roman" w:hAnsi="Times New Roman"/>
          <w:szCs w:val="24"/>
        </w:rPr>
        <w:t>n</w:t>
      </w:r>
      <w:r w:rsidR="00333B22" w:rsidRPr="00F95F01">
        <w:rPr>
          <w:rFonts w:ascii="Times New Roman" w:hAnsi="Times New Roman"/>
          <w:szCs w:val="24"/>
        </w:rPr>
        <w:t>eohrozí cíl MPSV podporovat osoby se zdravotním postižením zejména na volném trhu práce</w:t>
      </w:r>
    </w:p>
    <w:p w14:paraId="7FEDAEC7" w14:textId="203EBA92" w:rsidR="00F95F01" w:rsidRDefault="00F95F01" w:rsidP="00F95F01">
      <w:pPr>
        <w:jc w:val="both"/>
        <w:rPr>
          <w:rFonts w:cs="Arial"/>
          <w:b/>
          <w:bCs/>
        </w:rPr>
      </w:pPr>
      <w:r w:rsidRPr="00F95F01">
        <w:rPr>
          <w:rFonts w:cs="Arial"/>
          <w:b/>
          <w:bCs/>
        </w:rPr>
        <w:t>Celková maximální výše příspěvku s připočtením paušální částky činí v této variantě 1</w:t>
      </w:r>
      <w:r w:rsidR="00C519E0">
        <w:rPr>
          <w:rFonts w:cs="Arial"/>
          <w:b/>
          <w:bCs/>
        </w:rPr>
        <w:t>5</w:t>
      </w:r>
      <w:r w:rsidRPr="00F95F01">
        <w:rPr>
          <w:rFonts w:cs="Arial"/>
          <w:b/>
          <w:bCs/>
        </w:rPr>
        <w:t> </w:t>
      </w:r>
      <w:r w:rsidR="00C519E0">
        <w:rPr>
          <w:rFonts w:cs="Arial"/>
          <w:b/>
          <w:bCs/>
        </w:rPr>
        <w:t>2</w:t>
      </w:r>
      <w:r w:rsidRPr="00F95F01">
        <w:rPr>
          <w:rFonts w:cs="Arial"/>
          <w:b/>
          <w:bCs/>
        </w:rPr>
        <w:t>00 Kč.</w:t>
      </w:r>
    </w:p>
    <w:p w14:paraId="5C570DBD" w14:textId="77777777" w:rsidR="00F95F01" w:rsidRDefault="00F95F01" w:rsidP="00F95F01">
      <w:pPr>
        <w:jc w:val="both"/>
        <w:rPr>
          <w:rFonts w:cs="Arial"/>
          <w:b/>
          <w:bCs/>
        </w:rPr>
      </w:pPr>
    </w:p>
    <w:p w14:paraId="12B6F8D5" w14:textId="5E6E58F4" w:rsidR="00333B22" w:rsidRDefault="00333B22" w:rsidP="00F95F01">
      <w:pPr>
        <w:jc w:val="both"/>
        <w:rPr>
          <w:rFonts w:cs="Arial"/>
          <w:b/>
          <w:bCs/>
        </w:rPr>
      </w:pPr>
      <w:r>
        <w:rPr>
          <w:rFonts w:cs="Arial"/>
          <w:b/>
          <w:bCs/>
        </w:rPr>
        <w:t>Varianta II – zvýšení maximální částky příspěvku o 1 </w:t>
      </w:r>
      <w:r w:rsidR="00C519E0">
        <w:rPr>
          <w:rFonts w:cs="Arial"/>
          <w:b/>
          <w:bCs/>
        </w:rPr>
        <w:t>0</w:t>
      </w:r>
      <w:r>
        <w:rPr>
          <w:rFonts w:cs="Arial"/>
          <w:b/>
          <w:bCs/>
        </w:rPr>
        <w:t>00 Kč, tj. na 1</w:t>
      </w:r>
      <w:r w:rsidR="00C519E0">
        <w:rPr>
          <w:rFonts w:cs="Arial"/>
          <w:b/>
          <w:bCs/>
        </w:rPr>
        <w:t>4</w:t>
      </w:r>
      <w:r>
        <w:rPr>
          <w:rFonts w:cs="Arial"/>
          <w:b/>
          <w:bCs/>
        </w:rPr>
        <w:t> </w:t>
      </w:r>
      <w:r w:rsidR="00C519E0">
        <w:rPr>
          <w:rFonts w:cs="Arial"/>
          <w:b/>
          <w:bCs/>
        </w:rPr>
        <w:t>6</w:t>
      </w:r>
      <w:r>
        <w:rPr>
          <w:rFonts w:cs="Arial"/>
          <w:b/>
          <w:bCs/>
        </w:rPr>
        <w:t>00 Kč</w:t>
      </w:r>
    </w:p>
    <w:p w14:paraId="1074CFCF" w14:textId="77777777" w:rsidR="00333B22" w:rsidRDefault="00F95F01" w:rsidP="00F95F01">
      <w:pPr>
        <w:jc w:val="both"/>
        <w:rPr>
          <w:rFonts w:cs="Arial"/>
          <w:b/>
          <w:bCs/>
        </w:rPr>
      </w:pPr>
      <w:r>
        <w:rPr>
          <w:rFonts w:cs="Arial"/>
        </w:rPr>
        <w:t>Tato v</w:t>
      </w:r>
      <w:r w:rsidR="00333B22">
        <w:rPr>
          <w:rFonts w:cs="Arial"/>
        </w:rPr>
        <w:t xml:space="preserve">arianta </w:t>
      </w:r>
      <w:r>
        <w:rPr>
          <w:rFonts w:cs="Arial"/>
        </w:rPr>
        <w:t xml:space="preserve">je </w:t>
      </w:r>
      <w:r w:rsidR="00333B22">
        <w:rPr>
          <w:rFonts w:cs="Arial"/>
        </w:rPr>
        <w:t>preferovaná sociálními partnery.</w:t>
      </w:r>
    </w:p>
    <w:p w14:paraId="6C54F62A" w14:textId="77777777" w:rsidR="00F95F01" w:rsidRDefault="00F95F01" w:rsidP="00F95F01">
      <w:pPr>
        <w:jc w:val="both"/>
        <w:rPr>
          <w:rFonts w:cs="Arial"/>
        </w:rPr>
      </w:pPr>
    </w:p>
    <w:p w14:paraId="12748B6B" w14:textId="03A4061B" w:rsidR="00F95F01" w:rsidRPr="00A86DD7" w:rsidRDefault="00F95F01" w:rsidP="00F95F01">
      <w:pPr>
        <w:jc w:val="both"/>
        <w:rPr>
          <w:rFonts w:cs="Arial"/>
        </w:rPr>
      </w:pPr>
      <w:r>
        <w:rPr>
          <w:rFonts w:cs="Arial"/>
        </w:rPr>
        <w:t>Z</w:t>
      </w:r>
      <w:r w:rsidR="00333B22">
        <w:rPr>
          <w:rFonts w:cs="Arial"/>
        </w:rPr>
        <w:t xml:space="preserve">výšení </w:t>
      </w:r>
      <w:r>
        <w:rPr>
          <w:rFonts w:cs="Arial"/>
        </w:rPr>
        <w:t xml:space="preserve">maximální částky </w:t>
      </w:r>
      <w:r w:rsidR="00333B22">
        <w:rPr>
          <w:rFonts w:cs="Arial"/>
        </w:rPr>
        <w:t>příspěvku o 1 </w:t>
      </w:r>
      <w:r w:rsidR="00C519E0">
        <w:rPr>
          <w:rFonts w:cs="Arial"/>
        </w:rPr>
        <w:t>0</w:t>
      </w:r>
      <w:r w:rsidR="00333B22">
        <w:rPr>
          <w:rFonts w:cs="Arial"/>
        </w:rPr>
        <w:t xml:space="preserve">00 Kč by mělo za následek zvrácení dosavadního trendu </w:t>
      </w:r>
      <w:r>
        <w:rPr>
          <w:rFonts w:cs="Arial"/>
        </w:rPr>
        <w:t xml:space="preserve">tzv. </w:t>
      </w:r>
      <w:r w:rsidR="00333B22">
        <w:rPr>
          <w:rFonts w:cs="Arial"/>
        </w:rPr>
        <w:t xml:space="preserve">valorizace příspěvku a mělo by progresivní charakter zvyšující vzájemný poměr příspěvku a minimální mzdy. </w:t>
      </w:r>
      <w:r w:rsidR="00681CA9" w:rsidRPr="00A86DD7">
        <w:rPr>
          <w:rFonts w:cs="Arial"/>
        </w:rPr>
        <w:t xml:space="preserve">Částka navýšení příspěvku by v tomto případě kryla zvýšení minimální mzdy </w:t>
      </w:r>
      <w:r w:rsidR="00681CA9" w:rsidRPr="00A170B4">
        <w:rPr>
          <w:rFonts w:cs="Arial"/>
        </w:rPr>
        <w:t xml:space="preserve">pro rok 2022 v plné </w:t>
      </w:r>
      <w:r w:rsidR="00681CA9" w:rsidRPr="00A86DD7">
        <w:rPr>
          <w:rFonts w:cs="Arial"/>
        </w:rPr>
        <w:t>výši</w:t>
      </w:r>
      <w:r w:rsidR="008A03C0">
        <w:rPr>
          <w:rFonts w:cs="Arial"/>
        </w:rPr>
        <w:t xml:space="preserve">, tj. zvýšení minimální mzdy z dosavadních </w:t>
      </w:r>
      <w:r w:rsidR="008A03C0">
        <w:rPr>
          <w:rFonts w:cs="Arial"/>
        </w:rPr>
        <w:br/>
        <w:t>15 200 Kč na 16 200 Kč</w:t>
      </w:r>
      <w:r w:rsidR="00681CA9" w:rsidRPr="00A86DD7">
        <w:rPr>
          <w:rFonts w:cs="Arial"/>
        </w:rPr>
        <w:t xml:space="preserve">. </w:t>
      </w:r>
    </w:p>
    <w:p w14:paraId="1C15398D" w14:textId="77777777" w:rsidR="00F95F01" w:rsidRDefault="00F95F01" w:rsidP="00F95F01">
      <w:pPr>
        <w:jc w:val="both"/>
        <w:rPr>
          <w:rFonts w:cs="Arial"/>
        </w:rPr>
      </w:pPr>
    </w:p>
    <w:p w14:paraId="754D9A1B" w14:textId="77777777" w:rsidR="00F95F01" w:rsidRDefault="00333B22" w:rsidP="00F95F01">
      <w:pPr>
        <w:jc w:val="both"/>
        <w:rPr>
          <w:rFonts w:cs="Arial"/>
        </w:rPr>
      </w:pPr>
      <w:r>
        <w:rPr>
          <w:rFonts w:cs="Arial"/>
        </w:rPr>
        <w:t xml:space="preserve">Pozitivem této varianty je vyhovění požadavkům sociálních partnerů a vyšší míra stabilizace chráněného trhu práce. </w:t>
      </w:r>
    </w:p>
    <w:p w14:paraId="3D1DED61" w14:textId="77777777" w:rsidR="00F95F01" w:rsidRDefault="00F95F01" w:rsidP="00F95F01">
      <w:pPr>
        <w:jc w:val="both"/>
        <w:rPr>
          <w:rFonts w:cs="Arial"/>
        </w:rPr>
      </w:pPr>
    </w:p>
    <w:p w14:paraId="4028678C" w14:textId="77777777" w:rsidR="00333B22" w:rsidRDefault="00333B22" w:rsidP="00F95F01">
      <w:pPr>
        <w:jc w:val="both"/>
        <w:rPr>
          <w:rFonts w:cs="Arial"/>
        </w:rPr>
      </w:pPr>
      <w:r>
        <w:rPr>
          <w:rFonts w:cs="Arial"/>
        </w:rPr>
        <w:t xml:space="preserve">Negativem </w:t>
      </w:r>
      <w:r w:rsidR="00F95F01">
        <w:rPr>
          <w:rFonts w:cs="Arial"/>
        </w:rPr>
        <w:t xml:space="preserve">této varianty </w:t>
      </w:r>
      <w:r>
        <w:rPr>
          <w:rFonts w:cs="Arial"/>
        </w:rPr>
        <w:t xml:space="preserve">je zvýšení dopadů na státní rozpočet (poskytnutí příspěvku je mandatorním výdajem) a odklon od plnění cílů státní politiky zaměstnanosti v oblasti podpory </w:t>
      </w:r>
      <w:r w:rsidR="00F95F01">
        <w:rPr>
          <w:rFonts w:cs="Arial"/>
        </w:rPr>
        <w:t xml:space="preserve">zaměstnávání </w:t>
      </w:r>
      <w:r>
        <w:rPr>
          <w:rFonts w:cs="Arial"/>
        </w:rPr>
        <w:t>osob se zdravotním postižením na trhu práce, jímž je zejména preference uplatnění osob se zdravotním postižením na volném trhu práce.</w:t>
      </w:r>
    </w:p>
    <w:p w14:paraId="6919405F" w14:textId="77777777" w:rsidR="00F95F01" w:rsidRDefault="00F95F01" w:rsidP="00F95F01">
      <w:pPr>
        <w:jc w:val="both"/>
        <w:rPr>
          <w:rFonts w:cs="Arial"/>
        </w:rPr>
      </w:pPr>
    </w:p>
    <w:p w14:paraId="08C7668A" w14:textId="77777777" w:rsidR="00333B22" w:rsidRPr="00910712" w:rsidRDefault="00333B22" w:rsidP="00F95F01">
      <w:pPr>
        <w:jc w:val="both"/>
        <w:rPr>
          <w:rFonts w:cs="Arial"/>
          <w:color w:val="FF0000"/>
        </w:rPr>
      </w:pPr>
      <w:r w:rsidRPr="008B5ACB">
        <w:rPr>
          <w:rFonts w:cs="Arial"/>
        </w:rPr>
        <w:t xml:space="preserve">Zvyšování participace příspěvku na mzdových nákladech zaměstnavatele snižuje motivaci zaměstnavatele ke generování zisku hospodářskou činností a vede k jeho závislosti na </w:t>
      </w:r>
      <w:r w:rsidR="00F95F01" w:rsidRPr="008B5ACB">
        <w:rPr>
          <w:rFonts w:cs="Arial"/>
        </w:rPr>
        <w:t>příspěvku</w:t>
      </w:r>
      <w:r w:rsidR="00D76615" w:rsidRPr="008B5ACB">
        <w:rPr>
          <w:rFonts w:cs="Arial"/>
        </w:rPr>
        <w:t xml:space="preserve"> </w:t>
      </w:r>
      <w:r w:rsidRPr="008B5ACB">
        <w:rPr>
          <w:rFonts w:cs="Arial"/>
        </w:rPr>
        <w:t>poskytovan</w:t>
      </w:r>
      <w:r w:rsidR="00D76615" w:rsidRPr="008B5ACB">
        <w:rPr>
          <w:rFonts w:cs="Arial"/>
        </w:rPr>
        <w:t>ého ze</w:t>
      </w:r>
      <w:r w:rsidRPr="008B5ACB">
        <w:rPr>
          <w:rFonts w:cs="Arial"/>
        </w:rPr>
        <w:t xml:space="preserve"> státní</w:t>
      </w:r>
      <w:r w:rsidR="00D76615" w:rsidRPr="008B5ACB">
        <w:rPr>
          <w:rFonts w:cs="Arial"/>
        </w:rPr>
        <w:t>ho</w:t>
      </w:r>
      <w:r w:rsidRPr="008B5ACB">
        <w:rPr>
          <w:rFonts w:cs="Arial"/>
        </w:rPr>
        <w:t xml:space="preserve"> rozpočt</w:t>
      </w:r>
      <w:r w:rsidR="00D76615" w:rsidRPr="008B5ACB">
        <w:rPr>
          <w:rFonts w:cs="Arial"/>
        </w:rPr>
        <w:t>u</w:t>
      </w:r>
      <w:r w:rsidRPr="008B5ACB">
        <w:rPr>
          <w:rFonts w:cs="Arial"/>
        </w:rPr>
        <w:t>.</w:t>
      </w:r>
      <w:r>
        <w:rPr>
          <w:rFonts w:cs="Arial"/>
        </w:rPr>
        <w:t xml:space="preserve"> </w:t>
      </w:r>
    </w:p>
    <w:p w14:paraId="64B5706E" w14:textId="77777777" w:rsidR="00F95F01" w:rsidRDefault="00F95F01" w:rsidP="00F95F01">
      <w:pPr>
        <w:jc w:val="both"/>
        <w:rPr>
          <w:rFonts w:cs="Arial"/>
        </w:rPr>
      </w:pPr>
    </w:p>
    <w:p w14:paraId="1FA723EC" w14:textId="05191161" w:rsidR="00333B22" w:rsidRPr="00F95F01" w:rsidRDefault="00333B22" w:rsidP="00F95F01">
      <w:pPr>
        <w:jc w:val="both"/>
        <w:rPr>
          <w:rFonts w:cs="Arial"/>
          <w:b/>
          <w:bCs/>
        </w:rPr>
      </w:pPr>
      <w:r w:rsidRPr="00F95F01">
        <w:rPr>
          <w:rFonts w:cs="Arial"/>
          <w:b/>
          <w:bCs/>
        </w:rPr>
        <w:t>Celková maximální výše příspěvku s připočtením paušální částky činí v této variantě 1</w:t>
      </w:r>
      <w:r w:rsidR="00C519E0">
        <w:rPr>
          <w:rFonts w:cs="Arial"/>
          <w:b/>
          <w:bCs/>
        </w:rPr>
        <w:t>5</w:t>
      </w:r>
      <w:r w:rsidRPr="00F95F01">
        <w:rPr>
          <w:rFonts w:cs="Arial"/>
          <w:b/>
          <w:bCs/>
        </w:rPr>
        <w:t> </w:t>
      </w:r>
      <w:r w:rsidR="00C519E0">
        <w:rPr>
          <w:rFonts w:cs="Arial"/>
          <w:b/>
          <w:bCs/>
        </w:rPr>
        <w:t>6</w:t>
      </w:r>
      <w:r w:rsidRPr="00F95F01">
        <w:rPr>
          <w:rFonts w:cs="Arial"/>
          <w:b/>
          <w:bCs/>
        </w:rPr>
        <w:t>00 Kč</w:t>
      </w:r>
      <w:r w:rsidR="00F95F01" w:rsidRPr="00F95F01">
        <w:rPr>
          <w:rFonts w:cs="Arial"/>
          <w:b/>
          <w:bCs/>
        </w:rPr>
        <w:t>.</w:t>
      </w:r>
    </w:p>
    <w:p w14:paraId="6A19E727" w14:textId="77777777" w:rsidR="00A126E1" w:rsidRPr="000F23EA" w:rsidRDefault="00A126E1" w:rsidP="00FB3B3B">
      <w:pPr>
        <w:jc w:val="both"/>
        <w:rPr>
          <w:b/>
          <w:bCs/>
        </w:rPr>
      </w:pPr>
    </w:p>
    <w:p w14:paraId="7EC5BBE0" w14:textId="1EAF7CC7" w:rsidR="00377BB2" w:rsidRDefault="007D7EA5" w:rsidP="00FB3B3B">
      <w:pPr>
        <w:rPr>
          <w:b/>
          <w:bCs/>
          <w:iCs/>
        </w:rPr>
      </w:pPr>
      <w:r w:rsidRPr="000F23EA">
        <w:rPr>
          <w:b/>
          <w:bCs/>
          <w:iCs/>
        </w:rPr>
        <w:t>3.</w:t>
      </w:r>
      <w:r w:rsidR="004E4338">
        <w:rPr>
          <w:b/>
          <w:bCs/>
          <w:iCs/>
        </w:rPr>
        <w:t>2</w:t>
      </w:r>
      <w:r w:rsidRPr="000F23EA">
        <w:rPr>
          <w:b/>
          <w:bCs/>
          <w:iCs/>
        </w:rPr>
        <w:t xml:space="preserve">. </w:t>
      </w:r>
      <w:r w:rsidR="00377BB2" w:rsidRPr="00D76615">
        <w:rPr>
          <w:b/>
          <w:bCs/>
          <w:iCs/>
        </w:rPr>
        <w:t>Vyhodnocení nákladů a přínosů variant</w:t>
      </w:r>
    </w:p>
    <w:p w14:paraId="4D52AC98" w14:textId="77777777" w:rsidR="00706904" w:rsidRPr="00D76615" w:rsidRDefault="00706904" w:rsidP="00FB3B3B">
      <w:pPr>
        <w:rPr>
          <w:b/>
          <w:bCs/>
          <w:iCs/>
        </w:rPr>
      </w:pPr>
    </w:p>
    <w:p w14:paraId="02C5721F" w14:textId="2DBC5B2E" w:rsidR="00333B22" w:rsidRPr="00C519E0" w:rsidRDefault="00333B22" w:rsidP="00333B22">
      <w:pPr>
        <w:jc w:val="both"/>
        <w:rPr>
          <w:rFonts w:cs="Arial"/>
          <w:strike/>
        </w:rPr>
      </w:pPr>
      <w:r>
        <w:rPr>
          <w:rFonts w:cs="Arial"/>
        </w:rPr>
        <w:t>Navrhované varianty řešení jsou hodnoceny dle níže uvedených kritérií. Kritéria jsou volena tak, aby poskytly komplexní hodnocení navrhovaných variant. Cílem je posoudit nejen rozpočtové dopady, ale rovněž dopady variantních řešení na zaměstnanost osob se zdravotním postižením jak v krátkodobém horizontu, tak rovněž v horizontu dlouhodobém ve vazbě na plnění strategických cílů politiky zaměstnanosti zakotvených ve strategických materiálech MPSV. Varianty jsou rovněž posouzeny i s </w:t>
      </w:r>
      <w:r w:rsidRPr="00C519E0">
        <w:rPr>
          <w:rFonts w:cs="Arial"/>
        </w:rPr>
        <w:t xml:space="preserve">ohledem na </w:t>
      </w:r>
      <w:r w:rsidR="00B00536" w:rsidRPr="00C519E0">
        <w:rPr>
          <w:rFonts w:cs="Arial"/>
        </w:rPr>
        <w:t xml:space="preserve">dopad na stabilizaci chráněného trhu práce. </w:t>
      </w:r>
    </w:p>
    <w:p w14:paraId="6BB7B88B" w14:textId="77777777" w:rsidR="003E527A" w:rsidRDefault="003E527A" w:rsidP="00333B22">
      <w:pPr>
        <w:jc w:val="both"/>
        <w:rPr>
          <w:rFonts w:cs="Arial"/>
        </w:rPr>
      </w:pPr>
    </w:p>
    <w:p w14:paraId="022FAFED" w14:textId="7DED2BCF" w:rsidR="00333B22" w:rsidRDefault="00333B22" w:rsidP="00333B22">
      <w:pPr>
        <w:jc w:val="both"/>
        <w:rPr>
          <w:rFonts w:cs="Arial"/>
        </w:rPr>
      </w:pPr>
      <w:r>
        <w:rPr>
          <w:rFonts w:cs="Arial"/>
        </w:rPr>
        <w:t>Varianty jsou hodnoceny dle jejich pořadí, tzn. variantě nejlépe naplňující kritérium je přiřazena 1, naopak nejhůře hodnocené variantě 3. Optimální variantou je tedy varianta s nejmenším počtem přiřazených bodů.</w:t>
      </w:r>
    </w:p>
    <w:p w14:paraId="0EB69605" w14:textId="77777777" w:rsidR="00946366" w:rsidRDefault="00946366" w:rsidP="00333B22">
      <w:pPr>
        <w:jc w:val="both"/>
        <w:rPr>
          <w:rFonts w:cs="Arial"/>
        </w:rPr>
      </w:pPr>
    </w:p>
    <w:p w14:paraId="16196938" w14:textId="77777777" w:rsidR="008B5ACB" w:rsidRDefault="008B5ACB" w:rsidP="00333B22">
      <w:pPr>
        <w:jc w:val="both"/>
        <w:rPr>
          <w:rFonts w:cs="Arial"/>
        </w:rPr>
      </w:pPr>
    </w:p>
    <w:tbl>
      <w:tblPr>
        <w:tblStyle w:val="Mkatabulky"/>
        <w:tblW w:w="0" w:type="auto"/>
        <w:tblLook w:val="04A0" w:firstRow="1" w:lastRow="0" w:firstColumn="1" w:lastColumn="0" w:noHBand="0" w:noVBand="1"/>
      </w:tblPr>
      <w:tblGrid>
        <w:gridCol w:w="4390"/>
        <w:gridCol w:w="1557"/>
        <w:gridCol w:w="1557"/>
        <w:gridCol w:w="1558"/>
      </w:tblGrid>
      <w:tr w:rsidR="00333B22" w:rsidRPr="00333B22" w14:paraId="40778DCE" w14:textId="77777777" w:rsidTr="00C519E0">
        <w:tc>
          <w:tcPr>
            <w:tcW w:w="4390" w:type="dxa"/>
          </w:tcPr>
          <w:p w14:paraId="67E65552" w14:textId="77777777" w:rsidR="00333B22" w:rsidRPr="00C519E0" w:rsidRDefault="00D76615" w:rsidP="00C519E0">
            <w:pPr>
              <w:jc w:val="both"/>
              <w:rPr>
                <w:rFonts w:cs="Arial"/>
                <w:b/>
                <w:bCs/>
              </w:rPr>
            </w:pPr>
            <w:r w:rsidRPr="00C519E0">
              <w:rPr>
                <w:rFonts w:cs="Arial"/>
                <w:b/>
                <w:bCs/>
              </w:rPr>
              <w:t>K</w:t>
            </w:r>
            <w:r w:rsidR="00333B22" w:rsidRPr="00C519E0">
              <w:rPr>
                <w:rFonts w:cs="Arial"/>
                <w:b/>
                <w:bCs/>
              </w:rPr>
              <w:t>ritérium</w:t>
            </w:r>
          </w:p>
        </w:tc>
        <w:tc>
          <w:tcPr>
            <w:tcW w:w="1557" w:type="dxa"/>
          </w:tcPr>
          <w:p w14:paraId="0A640BAD" w14:textId="77777777" w:rsidR="00333B22" w:rsidRPr="00C519E0" w:rsidRDefault="00333B22" w:rsidP="00C519E0">
            <w:pPr>
              <w:jc w:val="both"/>
              <w:rPr>
                <w:rFonts w:cs="Arial"/>
                <w:b/>
                <w:bCs/>
              </w:rPr>
            </w:pPr>
            <w:r w:rsidRPr="00C519E0">
              <w:rPr>
                <w:rFonts w:cs="Arial"/>
                <w:b/>
                <w:bCs/>
              </w:rPr>
              <w:t>Varianta 0</w:t>
            </w:r>
          </w:p>
        </w:tc>
        <w:tc>
          <w:tcPr>
            <w:tcW w:w="1557" w:type="dxa"/>
          </w:tcPr>
          <w:p w14:paraId="3B209A01" w14:textId="77777777" w:rsidR="00333B22" w:rsidRPr="00C519E0" w:rsidRDefault="00333B22" w:rsidP="00C519E0">
            <w:pPr>
              <w:jc w:val="both"/>
              <w:rPr>
                <w:rFonts w:cs="Arial"/>
                <w:b/>
                <w:bCs/>
              </w:rPr>
            </w:pPr>
            <w:r w:rsidRPr="00C519E0">
              <w:rPr>
                <w:rFonts w:cs="Arial"/>
                <w:b/>
                <w:bCs/>
              </w:rPr>
              <w:t>Varianta I</w:t>
            </w:r>
          </w:p>
        </w:tc>
        <w:tc>
          <w:tcPr>
            <w:tcW w:w="1558" w:type="dxa"/>
          </w:tcPr>
          <w:p w14:paraId="6CC0EE01" w14:textId="77777777" w:rsidR="00333B22" w:rsidRPr="00C519E0" w:rsidRDefault="00333B22" w:rsidP="00C519E0">
            <w:pPr>
              <w:jc w:val="both"/>
              <w:rPr>
                <w:rFonts w:cs="Arial"/>
                <w:b/>
                <w:bCs/>
              </w:rPr>
            </w:pPr>
            <w:r w:rsidRPr="00C519E0">
              <w:rPr>
                <w:rFonts w:cs="Arial"/>
                <w:b/>
                <w:bCs/>
              </w:rPr>
              <w:t>Varianta II</w:t>
            </w:r>
          </w:p>
        </w:tc>
      </w:tr>
      <w:tr w:rsidR="00333B22" w:rsidRPr="00333B22" w14:paraId="75309569" w14:textId="77777777" w:rsidTr="00C519E0">
        <w:tc>
          <w:tcPr>
            <w:tcW w:w="4390" w:type="dxa"/>
          </w:tcPr>
          <w:p w14:paraId="4587F1FA" w14:textId="77777777" w:rsidR="00333B22" w:rsidRPr="00C519E0" w:rsidRDefault="00333B22" w:rsidP="00C519E0">
            <w:pPr>
              <w:jc w:val="both"/>
              <w:rPr>
                <w:rFonts w:cs="Arial"/>
              </w:rPr>
            </w:pPr>
            <w:r w:rsidRPr="00C519E0">
              <w:rPr>
                <w:rFonts w:cs="Arial"/>
              </w:rPr>
              <w:t>Stabilizace chráněného trhu práce</w:t>
            </w:r>
          </w:p>
        </w:tc>
        <w:tc>
          <w:tcPr>
            <w:tcW w:w="1557" w:type="dxa"/>
          </w:tcPr>
          <w:p w14:paraId="0B5ACB01" w14:textId="77777777" w:rsidR="00333B22" w:rsidRPr="00C519E0" w:rsidRDefault="00333B22" w:rsidP="00C519E0">
            <w:pPr>
              <w:jc w:val="both"/>
              <w:rPr>
                <w:rFonts w:cs="Arial"/>
              </w:rPr>
            </w:pPr>
            <w:r w:rsidRPr="00C519E0">
              <w:rPr>
                <w:rFonts w:cs="Arial"/>
              </w:rPr>
              <w:t>3</w:t>
            </w:r>
          </w:p>
        </w:tc>
        <w:tc>
          <w:tcPr>
            <w:tcW w:w="1557" w:type="dxa"/>
          </w:tcPr>
          <w:p w14:paraId="352AAE45" w14:textId="77777777" w:rsidR="00333B22" w:rsidRPr="00C519E0" w:rsidRDefault="00333B22" w:rsidP="00C519E0">
            <w:pPr>
              <w:jc w:val="both"/>
              <w:rPr>
                <w:rFonts w:cs="Arial"/>
              </w:rPr>
            </w:pPr>
            <w:r w:rsidRPr="00C519E0">
              <w:rPr>
                <w:rFonts w:cs="Arial"/>
              </w:rPr>
              <w:t>2</w:t>
            </w:r>
          </w:p>
        </w:tc>
        <w:tc>
          <w:tcPr>
            <w:tcW w:w="1558" w:type="dxa"/>
          </w:tcPr>
          <w:p w14:paraId="416C5CCA" w14:textId="77777777" w:rsidR="00333B22" w:rsidRPr="00C519E0" w:rsidRDefault="00333B22" w:rsidP="00C519E0">
            <w:pPr>
              <w:jc w:val="both"/>
              <w:rPr>
                <w:rFonts w:cs="Arial"/>
              </w:rPr>
            </w:pPr>
            <w:r w:rsidRPr="00C519E0">
              <w:rPr>
                <w:rFonts w:cs="Arial"/>
              </w:rPr>
              <w:t>1</w:t>
            </w:r>
          </w:p>
        </w:tc>
      </w:tr>
      <w:tr w:rsidR="00333B22" w:rsidRPr="00333B22" w14:paraId="1834E075" w14:textId="77777777" w:rsidTr="00C519E0">
        <w:tc>
          <w:tcPr>
            <w:tcW w:w="4390" w:type="dxa"/>
          </w:tcPr>
          <w:p w14:paraId="63E0C9CA" w14:textId="77777777" w:rsidR="00333B22" w:rsidRPr="00C519E0" w:rsidRDefault="00333B22" w:rsidP="00C519E0">
            <w:pPr>
              <w:jc w:val="both"/>
              <w:rPr>
                <w:rFonts w:cs="Arial"/>
              </w:rPr>
            </w:pPr>
            <w:r w:rsidRPr="00C519E0">
              <w:rPr>
                <w:rFonts w:cs="Arial"/>
              </w:rPr>
              <w:t>Dopad na rozpočet</w:t>
            </w:r>
          </w:p>
        </w:tc>
        <w:tc>
          <w:tcPr>
            <w:tcW w:w="1557" w:type="dxa"/>
          </w:tcPr>
          <w:p w14:paraId="41AA32E8" w14:textId="77777777" w:rsidR="00333B22" w:rsidRPr="00C519E0" w:rsidRDefault="00333B22" w:rsidP="00C519E0">
            <w:pPr>
              <w:jc w:val="both"/>
              <w:rPr>
                <w:rFonts w:cs="Arial"/>
              </w:rPr>
            </w:pPr>
            <w:r w:rsidRPr="00C519E0">
              <w:rPr>
                <w:rFonts w:cs="Arial"/>
              </w:rPr>
              <w:t>1</w:t>
            </w:r>
          </w:p>
        </w:tc>
        <w:tc>
          <w:tcPr>
            <w:tcW w:w="1557" w:type="dxa"/>
          </w:tcPr>
          <w:p w14:paraId="396FD708" w14:textId="77777777" w:rsidR="00333B22" w:rsidRPr="00C519E0" w:rsidRDefault="00333B22" w:rsidP="00C519E0">
            <w:pPr>
              <w:jc w:val="both"/>
              <w:rPr>
                <w:rFonts w:cs="Arial"/>
              </w:rPr>
            </w:pPr>
            <w:r w:rsidRPr="00C519E0">
              <w:rPr>
                <w:rFonts w:cs="Arial"/>
              </w:rPr>
              <w:t>2</w:t>
            </w:r>
          </w:p>
        </w:tc>
        <w:tc>
          <w:tcPr>
            <w:tcW w:w="1558" w:type="dxa"/>
          </w:tcPr>
          <w:p w14:paraId="12992533" w14:textId="77777777" w:rsidR="00333B22" w:rsidRPr="00C519E0" w:rsidRDefault="00333B22" w:rsidP="00C519E0">
            <w:pPr>
              <w:jc w:val="both"/>
              <w:rPr>
                <w:rFonts w:cs="Arial"/>
              </w:rPr>
            </w:pPr>
            <w:r w:rsidRPr="00C519E0">
              <w:rPr>
                <w:rFonts w:cs="Arial"/>
              </w:rPr>
              <w:t>3</w:t>
            </w:r>
          </w:p>
        </w:tc>
      </w:tr>
      <w:tr w:rsidR="00333B22" w:rsidRPr="00333B22" w14:paraId="6E8C94A5" w14:textId="77777777" w:rsidTr="00C519E0">
        <w:tc>
          <w:tcPr>
            <w:tcW w:w="4390" w:type="dxa"/>
          </w:tcPr>
          <w:p w14:paraId="3F93B48E" w14:textId="77777777" w:rsidR="00333B22" w:rsidRPr="00C519E0" w:rsidRDefault="00333B22" w:rsidP="00C519E0">
            <w:pPr>
              <w:jc w:val="both"/>
              <w:rPr>
                <w:rFonts w:cs="Arial"/>
              </w:rPr>
            </w:pPr>
            <w:r w:rsidRPr="00C519E0">
              <w:rPr>
                <w:rFonts w:cs="Arial"/>
              </w:rPr>
              <w:t>Dlouhodobé plnění cílů politiky zaměstnanosti</w:t>
            </w:r>
          </w:p>
        </w:tc>
        <w:tc>
          <w:tcPr>
            <w:tcW w:w="1557" w:type="dxa"/>
          </w:tcPr>
          <w:p w14:paraId="20829370" w14:textId="77777777" w:rsidR="00333B22" w:rsidRPr="00C519E0" w:rsidRDefault="00333B22" w:rsidP="00C519E0">
            <w:pPr>
              <w:jc w:val="both"/>
              <w:rPr>
                <w:rFonts w:cs="Arial"/>
              </w:rPr>
            </w:pPr>
            <w:r w:rsidRPr="00C519E0">
              <w:rPr>
                <w:rFonts w:cs="Arial"/>
              </w:rPr>
              <w:t>2</w:t>
            </w:r>
          </w:p>
        </w:tc>
        <w:tc>
          <w:tcPr>
            <w:tcW w:w="1557" w:type="dxa"/>
          </w:tcPr>
          <w:p w14:paraId="4C5F0016" w14:textId="77777777" w:rsidR="00333B22" w:rsidRPr="00C519E0" w:rsidRDefault="00333B22" w:rsidP="00C519E0">
            <w:pPr>
              <w:jc w:val="both"/>
              <w:rPr>
                <w:rFonts w:cs="Arial"/>
              </w:rPr>
            </w:pPr>
            <w:r w:rsidRPr="00C519E0">
              <w:rPr>
                <w:rFonts w:cs="Arial"/>
              </w:rPr>
              <w:t>1</w:t>
            </w:r>
          </w:p>
        </w:tc>
        <w:tc>
          <w:tcPr>
            <w:tcW w:w="1558" w:type="dxa"/>
          </w:tcPr>
          <w:p w14:paraId="73932202" w14:textId="77777777" w:rsidR="00333B22" w:rsidRPr="00C519E0" w:rsidRDefault="00333B22" w:rsidP="00C519E0">
            <w:pPr>
              <w:jc w:val="both"/>
              <w:rPr>
                <w:rFonts w:cs="Arial"/>
              </w:rPr>
            </w:pPr>
            <w:r w:rsidRPr="00C519E0">
              <w:rPr>
                <w:rFonts w:cs="Arial"/>
              </w:rPr>
              <w:t>3</w:t>
            </w:r>
          </w:p>
        </w:tc>
      </w:tr>
      <w:tr w:rsidR="00333B22" w:rsidRPr="00333B22" w14:paraId="6C62A9BD" w14:textId="77777777" w:rsidTr="00C519E0">
        <w:tc>
          <w:tcPr>
            <w:tcW w:w="4390" w:type="dxa"/>
          </w:tcPr>
          <w:p w14:paraId="222F69C4" w14:textId="77777777" w:rsidR="00333B22" w:rsidRPr="00C519E0" w:rsidRDefault="00333B22" w:rsidP="00C519E0">
            <w:pPr>
              <w:jc w:val="both"/>
              <w:rPr>
                <w:rFonts w:cs="Arial"/>
              </w:rPr>
            </w:pPr>
            <w:r w:rsidRPr="00C519E0">
              <w:rPr>
                <w:rFonts w:cs="Arial"/>
              </w:rPr>
              <w:t>Pozitivní dopad na zaměstnanost OZP</w:t>
            </w:r>
          </w:p>
        </w:tc>
        <w:tc>
          <w:tcPr>
            <w:tcW w:w="1557" w:type="dxa"/>
          </w:tcPr>
          <w:p w14:paraId="0FF9465E" w14:textId="77777777" w:rsidR="00333B22" w:rsidRPr="00C519E0" w:rsidRDefault="00333B22" w:rsidP="00C519E0">
            <w:pPr>
              <w:jc w:val="both"/>
              <w:rPr>
                <w:rFonts w:cs="Arial"/>
              </w:rPr>
            </w:pPr>
            <w:r w:rsidRPr="00C519E0">
              <w:rPr>
                <w:rFonts w:cs="Arial"/>
              </w:rPr>
              <w:t>3</w:t>
            </w:r>
          </w:p>
        </w:tc>
        <w:tc>
          <w:tcPr>
            <w:tcW w:w="1557" w:type="dxa"/>
          </w:tcPr>
          <w:p w14:paraId="690D4688" w14:textId="77777777" w:rsidR="00333B22" w:rsidRPr="00C519E0" w:rsidRDefault="00333B22" w:rsidP="00C519E0">
            <w:pPr>
              <w:jc w:val="both"/>
              <w:rPr>
                <w:rFonts w:cs="Arial"/>
              </w:rPr>
            </w:pPr>
            <w:r w:rsidRPr="00C519E0">
              <w:rPr>
                <w:rFonts w:cs="Arial"/>
              </w:rPr>
              <w:t>2</w:t>
            </w:r>
          </w:p>
        </w:tc>
        <w:tc>
          <w:tcPr>
            <w:tcW w:w="1558" w:type="dxa"/>
          </w:tcPr>
          <w:p w14:paraId="3D57CD10" w14:textId="77777777" w:rsidR="00333B22" w:rsidRPr="00C519E0" w:rsidRDefault="00333B22" w:rsidP="00C519E0">
            <w:pPr>
              <w:jc w:val="both"/>
              <w:rPr>
                <w:rFonts w:cs="Arial"/>
              </w:rPr>
            </w:pPr>
            <w:r w:rsidRPr="00C519E0">
              <w:rPr>
                <w:rFonts w:cs="Arial"/>
              </w:rPr>
              <w:t>1</w:t>
            </w:r>
          </w:p>
        </w:tc>
      </w:tr>
      <w:tr w:rsidR="00333B22" w:rsidRPr="00333B22" w14:paraId="58ABD96E" w14:textId="77777777" w:rsidTr="00C519E0">
        <w:tc>
          <w:tcPr>
            <w:tcW w:w="4390" w:type="dxa"/>
          </w:tcPr>
          <w:p w14:paraId="2016AA14" w14:textId="77777777" w:rsidR="00333B22" w:rsidRPr="00C519E0" w:rsidRDefault="00333B22" w:rsidP="00C519E0">
            <w:pPr>
              <w:jc w:val="both"/>
              <w:rPr>
                <w:rFonts w:cs="Arial"/>
                <w:b/>
                <w:bCs/>
              </w:rPr>
            </w:pPr>
            <w:r w:rsidRPr="00C519E0">
              <w:rPr>
                <w:rFonts w:cs="Arial"/>
                <w:b/>
                <w:bCs/>
              </w:rPr>
              <w:t>Celkem</w:t>
            </w:r>
          </w:p>
        </w:tc>
        <w:tc>
          <w:tcPr>
            <w:tcW w:w="1557" w:type="dxa"/>
          </w:tcPr>
          <w:p w14:paraId="208782D5" w14:textId="77777777" w:rsidR="00333B22" w:rsidRPr="00C519E0" w:rsidRDefault="00CF04CA" w:rsidP="00C519E0">
            <w:pPr>
              <w:jc w:val="both"/>
              <w:rPr>
                <w:rFonts w:cs="Arial"/>
                <w:b/>
                <w:bCs/>
              </w:rPr>
            </w:pPr>
            <w:r w:rsidRPr="00C519E0">
              <w:rPr>
                <w:rFonts w:cs="Arial"/>
                <w:b/>
                <w:bCs/>
              </w:rPr>
              <w:t>9</w:t>
            </w:r>
          </w:p>
        </w:tc>
        <w:tc>
          <w:tcPr>
            <w:tcW w:w="1557" w:type="dxa"/>
            <w:shd w:val="clear" w:color="auto" w:fill="D9D9D9" w:themeFill="background1" w:themeFillShade="D9"/>
          </w:tcPr>
          <w:p w14:paraId="09B2D663" w14:textId="77777777" w:rsidR="00333B22" w:rsidRPr="00C519E0" w:rsidRDefault="00CF04CA" w:rsidP="00C519E0">
            <w:pPr>
              <w:jc w:val="both"/>
              <w:rPr>
                <w:rFonts w:cs="Arial"/>
                <w:b/>
                <w:bCs/>
              </w:rPr>
            </w:pPr>
            <w:r w:rsidRPr="00C519E0">
              <w:rPr>
                <w:rFonts w:cs="Arial"/>
                <w:b/>
                <w:bCs/>
              </w:rPr>
              <w:t>7</w:t>
            </w:r>
          </w:p>
        </w:tc>
        <w:tc>
          <w:tcPr>
            <w:tcW w:w="1558" w:type="dxa"/>
          </w:tcPr>
          <w:p w14:paraId="2CD73F80" w14:textId="77777777" w:rsidR="00333B22" w:rsidRPr="00C519E0" w:rsidRDefault="00CF04CA" w:rsidP="00C519E0">
            <w:pPr>
              <w:jc w:val="both"/>
              <w:rPr>
                <w:rFonts w:cs="Arial"/>
                <w:b/>
                <w:bCs/>
              </w:rPr>
            </w:pPr>
            <w:r w:rsidRPr="00C519E0">
              <w:rPr>
                <w:rFonts w:cs="Arial"/>
                <w:b/>
                <w:bCs/>
              </w:rPr>
              <w:t>8</w:t>
            </w:r>
          </w:p>
        </w:tc>
      </w:tr>
    </w:tbl>
    <w:p w14:paraId="53C1392F" w14:textId="0DA5EE00" w:rsidR="00333B22" w:rsidRDefault="00333B22" w:rsidP="00F45E96">
      <w:pPr>
        <w:jc w:val="both"/>
        <w:rPr>
          <w:bCs/>
        </w:rPr>
      </w:pPr>
    </w:p>
    <w:p w14:paraId="31A8219C" w14:textId="77777777" w:rsidR="00946366" w:rsidRDefault="00946366" w:rsidP="00F45E96">
      <w:pPr>
        <w:jc w:val="both"/>
        <w:rPr>
          <w:bCs/>
        </w:rPr>
      </w:pPr>
    </w:p>
    <w:p w14:paraId="36BBB351" w14:textId="77777777" w:rsidR="004101AA" w:rsidRPr="004101AA" w:rsidRDefault="00714EDF" w:rsidP="00F45E96">
      <w:pPr>
        <w:jc w:val="both"/>
        <w:rPr>
          <w:bCs/>
        </w:rPr>
      </w:pPr>
      <w:r w:rsidRPr="004101AA">
        <w:rPr>
          <w:bCs/>
        </w:rPr>
        <w:t>Na základě výše uvedeného rozboru nákladů a přínosů jednotlivých zvažovaných variant a</w:t>
      </w:r>
      <w:r w:rsidR="002823BC" w:rsidRPr="004101AA">
        <w:rPr>
          <w:bCs/>
        </w:rPr>
        <w:t> </w:t>
      </w:r>
      <w:r w:rsidRPr="004101AA">
        <w:rPr>
          <w:bCs/>
        </w:rPr>
        <w:t>posouzení celkového dopadu na možnost, úspěšnost a efektivitu řešení identifikovan</w:t>
      </w:r>
      <w:r w:rsidR="00D76615" w:rsidRPr="004101AA">
        <w:rPr>
          <w:bCs/>
        </w:rPr>
        <w:t>ého</w:t>
      </w:r>
      <w:r w:rsidRPr="004101AA">
        <w:rPr>
          <w:bCs/>
        </w:rPr>
        <w:t xml:space="preserve"> problémů </w:t>
      </w:r>
      <w:r w:rsidR="00D76615" w:rsidRPr="004101AA">
        <w:rPr>
          <w:bCs/>
        </w:rPr>
        <w:t xml:space="preserve">dle zadaných kritérií </w:t>
      </w:r>
      <w:r w:rsidRPr="004101AA">
        <w:rPr>
          <w:bCs/>
        </w:rPr>
        <w:t>bylo vyhodnoceno</w:t>
      </w:r>
      <w:r w:rsidR="004101AA" w:rsidRPr="004101AA">
        <w:rPr>
          <w:bCs/>
        </w:rPr>
        <w:t>, že:</w:t>
      </w:r>
    </w:p>
    <w:p w14:paraId="59DAEBD6" w14:textId="77777777" w:rsidR="004101AA" w:rsidRPr="004101AA" w:rsidRDefault="004101AA" w:rsidP="00F45E96">
      <w:pPr>
        <w:jc w:val="both"/>
        <w:rPr>
          <w:bCs/>
        </w:rPr>
      </w:pPr>
    </w:p>
    <w:p w14:paraId="3E966089" w14:textId="2E02BC3E" w:rsidR="00F45E96" w:rsidRPr="004101AA" w:rsidRDefault="00714EDF" w:rsidP="00323EC4">
      <w:pPr>
        <w:pStyle w:val="Odstavecseseznamem"/>
        <w:numPr>
          <w:ilvl w:val="0"/>
          <w:numId w:val="8"/>
        </w:numPr>
        <w:rPr>
          <w:rFonts w:ascii="Times New Roman" w:hAnsi="Times New Roman"/>
          <w:bCs/>
        </w:rPr>
      </w:pPr>
      <w:r w:rsidRPr="004101AA">
        <w:rPr>
          <w:rFonts w:ascii="Times New Roman" w:hAnsi="Times New Roman"/>
          <w:bCs/>
        </w:rPr>
        <w:t>variantu nulovou nelze přijmout, jelikož by nevedla ke splnění stanoven</w:t>
      </w:r>
      <w:r w:rsidR="00D76615" w:rsidRPr="004101AA">
        <w:rPr>
          <w:rFonts w:ascii="Times New Roman" w:hAnsi="Times New Roman"/>
          <w:bCs/>
        </w:rPr>
        <w:t>ého</w:t>
      </w:r>
      <w:r w:rsidRPr="004101AA">
        <w:rPr>
          <w:rFonts w:ascii="Times New Roman" w:hAnsi="Times New Roman"/>
          <w:bCs/>
        </w:rPr>
        <w:t xml:space="preserve"> cíl</w:t>
      </w:r>
      <w:r w:rsidR="00D76615" w:rsidRPr="004101AA">
        <w:rPr>
          <w:rFonts w:ascii="Times New Roman" w:hAnsi="Times New Roman"/>
          <w:bCs/>
        </w:rPr>
        <w:t>e</w:t>
      </w:r>
      <w:r w:rsidRPr="004101AA">
        <w:rPr>
          <w:rFonts w:ascii="Times New Roman" w:hAnsi="Times New Roman"/>
          <w:bCs/>
        </w:rPr>
        <w:t xml:space="preserve"> </w:t>
      </w:r>
    </w:p>
    <w:p w14:paraId="2A0241E9" w14:textId="77777777" w:rsidR="00714EDF" w:rsidRPr="004101AA" w:rsidRDefault="00714EDF" w:rsidP="00F45E96">
      <w:pPr>
        <w:jc w:val="both"/>
        <w:rPr>
          <w:bCs/>
        </w:rPr>
      </w:pPr>
    </w:p>
    <w:p w14:paraId="33A74ED4" w14:textId="39FC69C5" w:rsidR="00D76615" w:rsidRPr="004101AA" w:rsidRDefault="00D76615" w:rsidP="00323EC4">
      <w:pPr>
        <w:pStyle w:val="Odstavecseseznamem"/>
        <w:numPr>
          <w:ilvl w:val="0"/>
          <w:numId w:val="8"/>
        </w:numPr>
        <w:rPr>
          <w:rFonts w:ascii="Times New Roman" w:hAnsi="Times New Roman"/>
          <w:bCs/>
        </w:rPr>
      </w:pPr>
      <w:r w:rsidRPr="004101AA">
        <w:rPr>
          <w:rFonts w:ascii="Times New Roman" w:hAnsi="Times New Roman"/>
          <w:bCs/>
        </w:rPr>
        <w:t>p</w:t>
      </w:r>
      <w:r w:rsidR="00714EDF" w:rsidRPr="004101AA">
        <w:rPr>
          <w:rFonts w:ascii="Times New Roman" w:hAnsi="Times New Roman"/>
          <w:bCs/>
        </w:rPr>
        <w:t xml:space="preserve">řijetím varianty </w:t>
      </w:r>
      <w:proofErr w:type="gramStart"/>
      <w:r w:rsidR="00714EDF" w:rsidRPr="004101AA">
        <w:rPr>
          <w:rFonts w:ascii="Times New Roman" w:hAnsi="Times New Roman"/>
          <w:bCs/>
        </w:rPr>
        <w:t>I</w:t>
      </w:r>
      <w:proofErr w:type="gramEnd"/>
      <w:r w:rsidR="00714EDF" w:rsidRPr="004101AA">
        <w:rPr>
          <w:rFonts w:ascii="Times New Roman" w:hAnsi="Times New Roman"/>
          <w:bCs/>
        </w:rPr>
        <w:t xml:space="preserve"> by došlo k</w:t>
      </w:r>
      <w:r w:rsidRPr="004101AA">
        <w:rPr>
          <w:rFonts w:ascii="Times New Roman" w:hAnsi="Times New Roman"/>
          <w:bCs/>
        </w:rPr>
        <w:t xml:space="preserve"> optimálnímu řešení identifikovaného problému </w:t>
      </w:r>
      <w:r w:rsidR="00002AC9">
        <w:rPr>
          <w:rFonts w:ascii="Times New Roman" w:hAnsi="Times New Roman"/>
          <w:bCs/>
        </w:rPr>
        <w:br/>
      </w:r>
      <w:r w:rsidRPr="004101AA">
        <w:rPr>
          <w:rFonts w:ascii="Times New Roman" w:hAnsi="Times New Roman"/>
          <w:bCs/>
        </w:rPr>
        <w:t>a k dosažení očekávaného cíle</w:t>
      </w:r>
    </w:p>
    <w:p w14:paraId="3487E3EC" w14:textId="77777777" w:rsidR="00D76615" w:rsidRPr="004101AA" w:rsidRDefault="00D76615" w:rsidP="00F45E96">
      <w:pPr>
        <w:jc w:val="both"/>
        <w:rPr>
          <w:bCs/>
        </w:rPr>
      </w:pPr>
    </w:p>
    <w:p w14:paraId="5C3FA475" w14:textId="77777777" w:rsidR="004101AA" w:rsidRPr="004101AA" w:rsidRDefault="004101AA" w:rsidP="00323EC4">
      <w:pPr>
        <w:pStyle w:val="Odstavecseseznamem"/>
        <w:numPr>
          <w:ilvl w:val="0"/>
          <w:numId w:val="8"/>
        </w:numPr>
        <w:rPr>
          <w:rFonts w:ascii="Times New Roman" w:hAnsi="Times New Roman"/>
          <w:bCs/>
          <w:iCs/>
          <w:noProof/>
        </w:rPr>
      </w:pPr>
      <w:r w:rsidRPr="004101AA">
        <w:rPr>
          <w:rFonts w:ascii="Times New Roman" w:hAnsi="Times New Roman"/>
          <w:bCs/>
          <w:iCs/>
          <w:noProof/>
        </w:rPr>
        <w:t>přijetím varianty II by došlo k neúměrnému zatížení státního rozpočtu, potencioníálnímu narušení trhu jako takového a její přijetí by neodpovídalo cílům státní poli</w:t>
      </w:r>
      <w:r w:rsidR="000B2C5B">
        <w:rPr>
          <w:rFonts w:ascii="Times New Roman" w:hAnsi="Times New Roman"/>
          <w:bCs/>
          <w:iCs/>
          <w:noProof/>
        </w:rPr>
        <w:t>t</w:t>
      </w:r>
      <w:r w:rsidRPr="004101AA">
        <w:rPr>
          <w:rFonts w:ascii="Times New Roman" w:hAnsi="Times New Roman"/>
          <w:bCs/>
          <w:iCs/>
          <w:noProof/>
        </w:rPr>
        <w:t xml:space="preserve">iky zaměstnanosti.  </w:t>
      </w:r>
    </w:p>
    <w:p w14:paraId="10950089" w14:textId="77777777" w:rsidR="007E7816" w:rsidRPr="004101AA" w:rsidRDefault="007E7816" w:rsidP="00F45E96">
      <w:pPr>
        <w:jc w:val="both"/>
        <w:rPr>
          <w:bCs/>
        </w:rPr>
      </w:pPr>
    </w:p>
    <w:p w14:paraId="3F424E0D" w14:textId="77777777" w:rsidR="002A6B4C" w:rsidRPr="000F23EA" w:rsidRDefault="009A59B5" w:rsidP="00FB3B3B">
      <w:pPr>
        <w:jc w:val="both"/>
        <w:rPr>
          <w:b/>
          <w:bCs/>
        </w:rPr>
      </w:pPr>
      <w:r w:rsidRPr="000F23EA">
        <w:rPr>
          <w:b/>
          <w:bCs/>
        </w:rPr>
        <w:t>4.</w:t>
      </w:r>
      <w:r w:rsidR="002A6B4C" w:rsidRPr="000F23EA">
        <w:rPr>
          <w:b/>
          <w:bCs/>
        </w:rPr>
        <w:t xml:space="preserve"> Stanovení pořadí variant a výběr nejvhodnějšího řešení</w:t>
      </w:r>
    </w:p>
    <w:p w14:paraId="6DB93118" w14:textId="77777777" w:rsidR="003E527A" w:rsidRDefault="003E527A" w:rsidP="00FB3B3B">
      <w:pPr>
        <w:jc w:val="both"/>
        <w:rPr>
          <w:bCs/>
        </w:rPr>
      </w:pPr>
    </w:p>
    <w:p w14:paraId="749D66E4" w14:textId="77777777" w:rsidR="00A20107" w:rsidRPr="000F23EA" w:rsidRDefault="005E6684" w:rsidP="00FB3B3B">
      <w:pPr>
        <w:jc w:val="both"/>
        <w:rPr>
          <w:bCs/>
        </w:rPr>
      </w:pPr>
      <w:r w:rsidRPr="000F23EA">
        <w:rPr>
          <w:bCs/>
        </w:rPr>
        <w:t>Nejvhodnější – varianta I</w:t>
      </w:r>
    </w:p>
    <w:p w14:paraId="55813EB9" w14:textId="77777777" w:rsidR="005E6684" w:rsidRPr="000F23EA" w:rsidRDefault="005E6684" w:rsidP="00FB3B3B">
      <w:pPr>
        <w:jc w:val="both"/>
        <w:rPr>
          <w:bCs/>
        </w:rPr>
      </w:pPr>
      <w:r w:rsidRPr="000F23EA">
        <w:rPr>
          <w:bCs/>
        </w:rPr>
        <w:t>Méně vhodná – varianta II</w:t>
      </w:r>
    </w:p>
    <w:p w14:paraId="5A502FD3" w14:textId="77777777" w:rsidR="005E6684" w:rsidRPr="000F23EA" w:rsidRDefault="005E6684" w:rsidP="00FB3B3B">
      <w:pPr>
        <w:jc w:val="both"/>
        <w:rPr>
          <w:bCs/>
        </w:rPr>
      </w:pPr>
      <w:r w:rsidRPr="000F23EA">
        <w:rPr>
          <w:bCs/>
        </w:rPr>
        <w:t xml:space="preserve">Nevhodná – </w:t>
      </w:r>
      <w:r w:rsidR="004101AA" w:rsidRPr="000F23EA">
        <w:rPr>
          <w:bCs/>
        </w:rPr>
        <w:t>varianta</w:t>
      </w:r>
      <w:r w:rsidRPr="000F23EA">
        <w:rPr>
          <w:bCs/>
        </w:rPr>
        <w:t xml:space="preserve"> </w:t>
      </w:r>
      <w:r w:rsidR="00333B22">
        <w:rPr>
          <w:bCs/>
        </w:rPr>
        <w:t>0</w:t>
      </w:r>
    </w:p>
    <w:p w14:paraId="51478BB7" w14:textId="77777777" w:rsidR="005E6684" w:rsidRPr="000F23EA" w:rsidRDefault="005E6684" w:rsidP="00FB3B3B">
      <w:pPr>
        <w:jc w:val="both"/>
        <w:rPr>
          <w:bCs/>
        </w:rPr>
      </w:pPr>
    </w:p>
    <w:p w14:paraId="40C7D20F" w14:textId="2BAFF8F7" w:rsidR="00333B22" w:rsidRPr="00333B22" w:rsidRDefault="005E6684" w:rsidP="00333B22">
      <w:pPr>
        <w:jc w:val="both"/>
        <w:rPr>
          <w:rFonts w:cs="Arial"/>
          <w:b/>
        </w:rPr>
      </w:pPr>
      <w:r w:rsidRPr="000F23EA">
        <w:rPr>
          <w:bCs/>
        </w:rPr>
        <w:t>Jako nejvhodnější řešení byla vybrána varianta I</w:t>
      </w:r>
      <w:r w:rsidR="00A5687D" w:rsidRPr="000F23EA">
        <w:rPr>
          <w:bCs/>
        </w:rPr>
        <w:t xml:space="preserve">, neboť přináší řešení všech identifikovaných problémů a zaručuje naplnění sledovaných cílů. </w:t>
      </w:r>
      <w:r w:rsidR="00333B22" w:rsidRPr="008A03C0">
        <w:rPr>
          <w:b/>
        </w:rPr>
        <w:t>Proto i M</w:t>
      </w:r>
      <w:r w:rsidR="008A03C0">
        <w:rPr>
          <w:b/>
        </w:rPr>
        <w:t>inisterstvo práce a sociálních věcí</w:t>
      </w:r>
      <w:r w:rsidR="00333B22" w:rsidRPr="008A03C0">
        <w:rPr>
          <w:b/>
        </w:rPr>
        <w:t xml:space="preserve"> n</w:t>
      </w:r>
      <w:r w:rsidR="00333B22" w:rsidRPr="008A03C0">
        <w:rPr>
          <w:rFonts w:cs="Arial"/>
          <w:b/>
        </w:rPr>
        <w:t xml:space="preserve">a základě výše uvedeného hodnocení jednotlivých kritérií doporučuje Variantu I, </w:t>
      </w:r>
      <w:r w:rsidR="008A03C0">
        <w:rPr>
          <w:rFonts w:cs="Arial"/>
          <w:b/>
        </w:rPr>
        <w:br/>
      </w:r>
      <w:r w:rsidR="00333B22" w:rsidRPr="008A03C0">
        <w:rPr>
          <w:rFonts w:cs="Arial"/>
          <w:b/>
        </w:rPr>
        <w:t xml:space="preserve">tj. zvýšení </w:t>
      </w:r>
      <w:r w:rsidR="00D76615" w:rsidRPr="008A03C0">
        <w:rPr>
          <w:rFonts w:cs="Arial"/>
          <w:b/>
        </w:rPr>
        <w:t xml:space="preserve">maximální částky </w:t>
      </w:r>
      <w:r w:rsidR="00333B22" w:rsidRPr="008A03C0">
        <w:rPr>
          <w:rFonts w:cs="Arial"/>
          <w:b/>
        </w:rPr>
        <w:t xml:space="preserve">příspěvku o </w:t>
      </w:r>
      <w:r w:rsidR="00C519E0" w:rsidRPr="008A03C0">
        <w:rPr>
          <w:rFonts w:cs="Arial"/>
          <w:b/>
        </w:rPr>
        <w:t>6</w:t>
      </w:r>
      <w:r w:rsidR="00333B22" w:rsidRPr="008A03C0">
        <w:rPr>
          <w:rFonts w:cs="Arial"/>
          <w:b/>
        </w:rPr>
        <w:t>00 Kč</w:t>
      </w:r>
      <w:r w:rsidR="00D76615" w:rsidRPr="008A03C0">
        <w:rPr>
          <w:rFonts w:cs="Arial"/>
          <w:b/>
        </w:rPr>
        <w:t>, tj. na 1</w:t>
      </w:r>
      <w:r w:rsidR="00C519E0" w:rsidRPr="008A03C0">
        <w:rPr>
          <w:rFonts w:cs="Arial"/>
          <w:b/>
        </w:rPr>
        <w:t>4</w:t>
      </w:r>
      <w:r w:rsidR="00D76615" w:rsidRPr="008A03C0">
        <w:rPr>
          <w:rFonts w:cs="Arial"/>
          <w:b/>
        </w:rPr>
        <w:t> </w:t>
      </w:r>
      <w:r w:rsidR="00C519E0" w:rsidRPr="008A03C0">
        <w:rPr>
          <w:rFonts w:cs="Arial"/>
          <w:b/>
        </w:rPr>
        <w:t>2</w:t>
      </w:r>
      <w:r w:rsidR="00D76615" w:rsidRPr="008A03C0">
        <w:rPr>
          <w:rFonts w:cs="Arial"/>
          <w:b/>
        </w:rPr>
        <w:t>00 Kč</w:t>
      </w:r>
      <w:r w:rsidR="00333B22" w:rsidRPr="008A03C0">
        <w:rPr>
          <w:rFonts w:cs="Arial"/>
          <w:b/>
        </w:rPr>
        <w:t>.</w:t>
      </w:r>
    </w:p>
    <w:p w14:paraId="4CD2567A" w14:textId="77B415F0" w:rsidR="00267D79" w:rsidRDefault="00267D79" w:rsidP="00FB3B3B">
      <w:pPr>
        <w:jc w:val="both"/>
        <w:rPr>
          <w:rFonts w:eastAsia="MS Gothic"/>
          <w:b/>
          <w:bCs/>
          <w:noProof/>
          <w:u w:val="single"/>
        </w:rPr>
      </w:pPr>
    </w:p>
    <w:p w14:paraId="52BA8668" w14:textId="77777777" w:rsidR="00706904" w:rsidRPr="000F23EA" w:rsidRDefault="00706904" w:rsidP="00FB3B3B">
      <w:pPr>
        <w:jc w:val="both"/>
        <w:rPr>
          <w:rFonts w:eastAsia="MS Gothic"/>
          <w:b/>
          <w:bCs/>
          <w:noProof/>
          <w:u w:val="single"/>
        </w:rPr>
      </w:pPr>
    </w:p>
    <w:p w14:paraId="3C4C55AC" w14:textId="77777777" w:rsidR="002A6B4C" w:rsidRDefault="002A6B4C" w:rsidP="00FB3B3B">
      <w:pPr>
        <w:jc w:val="both"/>
        <w:rPr>
          <w:b/>
          <w:bCs/>
        </w:rPr>
      </w:pPr>
      <w:r w:rsidRPr="000F23EA">
        <w:rPr>
          <w:b/>
          <w:bCs/>
        </w:rPr>
        <w:t xml:space="preserve">5. </w:t>
      </w:r>
      <w:r w:rsidRPr="003E527A">
        <w:rPr>
          <w:b/>
          <w:bCs/>
        </w:rPr>
        <w:t>Implementace doporučené varianty a vynucování jejího plnění</w:t>
      </w:r>
      <w:r w:rsidR="00AE2F0B" w:rsidRPr="003E527A">
        <w:rPr>
          <w:b/>
          <w:bCs/>
        </w:rPr>
        <w:t xml:space="preserve"> </w:t>
      </w:r>
    </w:p>
    <w:p w14:paraId="577F68AC" w14:textId="77777777" w:rsidR="009772B1" w:rsidRPr="00B56880" w:rsidRDefault="009772B1" w:rsidP="00FB3B3B">
      <w:pPr>
        <w:jc w:val="both"/>
        <w:rPr>
          <w:i/>
        </w:rPr>
      </w:pPr>
    </w:p>
    <w:p w14:paraId="4DDF695F" w14:textId="1A1E2C93" w:rsidR="00794646" w:rsidRDefault="002A6B4C" w:rsidP="00FB3B3B">
      <w:pPr>
        <w:jc w:val="both"/>
        <w:rPr>
          <w:bCs/>
        </w:rPr>
      </w:pPr>
      <w:r w:rsidRPr="001C7694">
        <w:rPr>
          <w:bCs/>
        </w:rPr>
        <w:t>Orgánem odpovědným za implementaci navrhovan</w:t>
      </w:r>
      <w:r w:rsidR="002D4D15">
        <w:rPr>
          <w:bCs/>
        </w:rPr>
        <w:t>ého nařízení vlády</w:t>
      </w:r>
      <w:r w:rsidRPr="001C7694">
        <w:rPr>
          <w:bCs/>
        </w:rPr>
        <w:t xml:space="preserve"> </w:t>
      </w:r>
      <w:r w:rsidR="00831DC2" w:rsidRPr="001C7694">
        <w:rPr>
          <w:bCs/>
        </w:rPr>
        <w:t xml:space="preserve">bude </w:t>
      </w:r>
      <w:r w:rsidR="00794646" w:rsidRPr="001C7694">
        <w:rPr>
          <w:bCs/>
        </w:rPr>
        <w:t xml:space="preserve">Úřad práce České republiky, který </w:t>
      </w:r>
      <w:r w:rsidR="001C7694" w:rsidRPr="001D4282">
        <w:rPr>
          <w:bCs/>
        </w:rPr>
        <w:t xml:space="preserve">poskytuje příspěvek pro zaměstnavatele osob se zdravotním postižením na chráněném trhu práce.  </w:t>
      </w:r>
    </w:p>
    <w:p w14:paraId="0EDA4804" w14:textId="77777777" w:rsidR="001C7694" w:rsidRPr="00B56880" w:rsidRDefault="001C7694" w:rsidP="007E7816">
      <w:pPr>
        <w:pStyle w:val="Prosttext"/>
        <w:jc w:val="both"/>
        <w:rPr>
          <w:rFonts w:ascii="Times New Roman" w:hAnsi="Times New Roman"/>
          <w:sz w:val="24"/>
          <w:szCs w:val="24"/>
        </w:rPr>
      </w:pPr>
    </w:p>
    <w:p w14:paraId="67098782" w14:textId="77777777" w:rsidR="002A6B4C" w:rsidRDefault="002A6B4C" w:rsidP="00FB3B3B">
      <w:pPr>
        <w:jc w:val="both"/>
        <w:rPr>
          <w:b/>
          <w:bCs/>
        </w:rPr>
      </w:pPr>
      <w:r w:rsidRPr="00A21502">
        <w:rPr>
          <w:b/>
          <w:bCs/>
        </w:rPr>
        <w:t>6. Přezkum účinnosti regulace</w:t>
      </w:r>
    </w:p>
    <w:p w14:paraId="73A0800F" w14:textId="77777777" w:rsidR="009772B1" w:rsidRPr="00A21502" w:rsidRDefault="009772B1" w:rsidP="00FB3B3B">
      <w:pPr>
        <w:jc w:val="both"/>
        <w:rPr>
          <w:b/>
          <w:bCs/>
        </w:rPr>
      </w:pPr>
    </w:p>
    <w:p w14:paraId="6F5DA69F" w14:textId="77777777" w:rsidR="00B4368B" w:rsidRDefault="001C7694" w:rsidP="00FB3B3B">
      <w:pPr>
        <w:jc w:val="both"/>
        <w:rPr>
          <w:bCs/>
        </w:rPr>
      </w:pPr>
      <w:r w:rsidRPr="001D4282">
        <w:rPr>
          <w:bCs/>
        </w:rPr>
        <w:t xml:space="preserve">Přezkum účinnosti regulace bude </w:t>
      </w:r>
      <w:r w:rsidR="00E97086" w:rsidRPr="000F23EA">
        <w:rPr>
          <w:bCs/>
        </w:rPr>
        <w:t xml:space="preserve">proveden </w:t>
      </w:r>
      <w:r w:rsidR="00E97086" w:rsidRPr="003E527A">
        <w:rPr>
          <w:bCs/>
        </w:rPr>
        <w:t>s časovým odstupem</w:t>
      </w:r>
      <w:r w:rsidR="003E527A">
        <w:rPr>
          <w:bCs/>
        </w:rPr>
        <w:t xml:space="preserve"> alespoň 12 měsíců</w:t>
      </w:r>
      <w:r w:rsidR="00E97086" w:rsidRPr="003E527A">
        <w:rPr>
          <w:bCs/>
        </w:rPr>
        <w:t xml:space="preserve"> tak,</w:t>
      </w:r>
      <w:r w:rsidR="00E97086" w:rsidRPr="000F23EA">
        <w:rPr>
          <w:bCs/>
        </w:rPr>
        <w:t xml:space="preserve"> aby bylo možno </w:t>
      </w:r>
      <w:r w:rsidR="005F4B1C" w:rsidRPr="000F23EA">
        <w:rPr>
          <w:bCs/>
        </w:rPr>
        <w:t xml:space="preserve">relevantním způsobem zhodnotit dopady </w:t>
      </w:r>
      <w:r w:rsidR="003E527A">
        <w:rPr>
          <w:bCs/>
        </w:rPr>
        <w:t>zvýšení maximální částky příspěvku na chráněn</w:t>
      </w:r>
      <w:r w:rsidR="000B2C5B">
        <w:rPr>
          <w:bCs/>
        </w:rPr>
        <w:t>ý</w:t>
      </w:r>
      <w:r w:rsidR="003E527A">
        <w:rPr>
          <w:bCs/>
        </w:rPr>
        <w:t xml:space="preserve"> trh práce</w:t>
      </w:r>
      <w:r w:rsidR="005F4B1C" w:rsidRPr="000F23EA">
        <w:rPr>
          <w:bCs/>
        </w:rPr>
        <w:t xml:space="preserve">. </w:t>
      </w:r>
    </w:p>
    <w:p w14:paraId="76CE269B" w14:textId="77777777" w:rsidR="003E527A" w:rsidRPr="001C7694" w:rsidRDefault="003E527A" w:rsidP="00FB3B3B">
      <w:pPr>
        <w:jc w:val="both"/>
        <w:rPr>
          <w:bCs/>
        </w:rPr>
      </w:pPr>
    </w:p>
    <w:p w14:paraId="5DAC0A75" w14:textId="77777777" w:rsidR="00D51C2B" w:rsidRPr="00A21502" w:rsidRDefault="00D51C2B" w:rsidP="00D51C2B">
      <w:pPr>
        <w:autoSpaceDE w:val="0"/>
        <w:autoSpaceDN w:val="0"/>
        <w:adjustRightInd w:val="0"/>
        <w:jc w:val="both"/>
        <w:rPr>
          <w:rFonts w:eastAsia="Calibri"/>
        </w:rPr>
      </w:pPr>
      <w:r w:rsidRPr="00A21502">
        <w:rPr>
          <w:rFonts w:eastAsia="Calibri"/>
        </w:rPr>
        <w:t xml:space="preserve">Dopad </w:t>
      </w:r>
      <w:r w:rsidR="003E527A" w:rsidRPr="00A21502">
        <w:rPr>
          <w:rFonts w:eastAsia="Calibri"/>
        </w:rPr>
        <w:t>zvýšení maximální částky příspěvku na podporu zaměstnávání osob se zdravotním postižením</w:t>
      </w:r>
      <w:r w:rsidRPr="00A21502">
        <w:rPr>
          <w:rFonts w:eastAsia="Calibri"/>
        </w:rPr>
        <w:t xml:space="preserve"> bude vyhodnocován </w:t>
      </w:r>
      <w:r w:rsidR="00A21502" w:rsidRPr="00A21502">
        <w:rPr>
          <w:rFonts w:eastAsia="Calibri"/>
        </w:rPr>
        <w:t xml:space="preserve">jednak </w:t>
      </w:r>
      <w:r w:rsidRPr="00A21502">
        <w:rPr>
          <w:rFonts w:eastAsia="Calibri"/>
        </w:rPr>
        <w:t xml:space="preserve">průběžně, </w:t>
      </w:r>
      <w:r w:rsidR="00002AC9">
        <w:rPr>
          <w:rFonts w:eastAsia="Calibri"/>
        </w:rPr>
        <w:t>avšak</w:t>
      </w:r>
      <w:r w:rsidR="00A21502" w:rsidRPr="00A21502">
        <w:rPr>
          <w:rFonts w:eastAsia="Calibri"/>
        </w:rPr>
        <w:t xml:space="preserve"> </w:t>
      </w:r>
      <w:r w:rsidRPr="00A21502">
        <w:rPr>
          <w:rFonts w:eastAsia="Calibri"/>
        </w:rPr>
        <w:t xml:space="preserve">přezkum účinnosti bude realizován po uplynutí doby </w:t>
      </w:r>
      <w:r w:rsidRPr="00A21502">
        <w:t xml:space="preserve">alespoň 12 měsíců ode dne </w:t>
      </w:r>
      <w:r w:rsidR="00A21502" w:rsidRPr="00A21502">
        <w:t xml:space="preserve">zvýšení </w:t>
      </w:r>
      <w:r w:rsidR="003E527A" w:rsidRPr="00A21502">
        <w:t>maximální částky příspěvku</w:t>
      </w:r>
      <w:r w:rsidR="00A21502" w:rsidRPr="00A21502">
        <w:t>,</w:t>
      </w:r>
      <w:r w:rsidRPr="00A21502">
        <w:t xml:space="preserve"> což lze považovat za přiměřené časové období </w:t>
      </w:r>
      <w:r w:rsidRPr="00A21502">
        <w:rPr>
          <w:bCs/>
        </w:rPr>
        <w:t xml:space="preserve">pro získání </w:t>
      </w:r>
      <w:r w:rsidRPr="00A21502">
        <w:t xml:space="preserve">relevantních </w:t>
      </w:r>
      <w:r w:rsidR="00A21502" w:rsidRPr="00A21502">
        <w:t xml:space="preserve">údajů týkajících se zaměstnávání osob se zdravotním postižením na chráněném trhu práce a počtu zaměstnavatelů působících na chráněném trhu práce. </w:t>
      </w:r>
    </w:p>
    <w:p w14:paraId="2C1A17FA" w14:textId="77777777" w:rsidR="004A7987" w:rsidRPr="00B56880" w:rsidRDefault="004A7987" w:rsidP="00B4368B">
      <w:pPr>
        <w:jc w:val="both"/>
        <w:rPr>
          <w:bCs/>
        </w:rPr>
      </w:pPr>
    </w:p>
    <w:p w14:paraId="001693C3" w14:textId="77777777" w:rsidR="002A6B4C" w:rsidRDefault="002F4377" w:rsidP="00FB3B3B">
      <w:pPr>
        <w:jc w:val="both"/>
        <w:rPr>
          <w:b/>
          <w:bCs/>
        </w:rPr>
      </w:pPr>
      <w:r w:rsidRPr="000F23EA">
        <w:rPr>
          <w:b/>
          <w:bCs/>
        </w:rPr>
        <w:t>7. Konzultace</w:t>
      </w:r>
    </w:p>
    <w:p w14:paraId="7D2F4D51" w14:textId="77777777" w:rsidR="009772B1" w:rsidRDefault="009772B1" w:rsidP="00FB3B3B">
      <w:pPr>
        <w:jc w:val="both"/>
        <w:rPr>
          <w:b/>
          <w:bCs/>
        </w:rPr>
      </w:pPr>
    </w:p>
    <w:p w14:paraId="332BFC2A" w14:textId="76646C03" w:rsidR="00D51C2B" w:rsidRPr="00A86DD7" w:rsidRDefault="008A03C0" w:rsidP="00980DE0">
      <w:pPr>
        <w:jc w:val="both"/>
        <w:rPr>
          <w:rFonts w:cs="Arial"/>
        </w:rPr>
      </w:pPr>
      <w:r w:rsidRPr="008A03C0">
        <w:rPr>
          <w:rFonts w:cs="Arial"/>
        </w:rPr>
        <w:t>Uvedená p</w:t>
      </w:r>
      <w:r w:rsidR="00D51C2B" w:rsidRPr="008A03C0">
        <w:rPr>
          <w:rFonts w:cs="Arial"/>
        </w:rPr>
        <w:t xml:space="preserve">roblematika </w:t>
      </w:r>
      <w:r w:rsidR="00980DE0" w:rsidRPr="008A03C0">
        <w:rPr>
          <w:rFonts w:cs="Arial"/>
        </w:rPr>
        <w:t xml:space="preserve">byla </w:t>
      </w:r>
      <w:r w:rsidR="00980DE0" w:rsidRPr="00A86DD7">
        <w:rPr>
          <w:rFonts w:cs="Arial"/>
        </w:rPr>
        <w:t xml:space="preserve">opakovaně konzultována mezi zástupci Ministerstva práce </w:t>
      </w:r>
      <w:r>
        <w:rPr>
          <w:rFonts w:cs="Arial"/>
        </w:rPr>
        <w:br/>
      </w:r>
      <w:r w:rsidR="00980DE0" w:rsidRPr="00A86DD7">
        <w:rPr>
          <w:rFonts w:cs="Arial"/>
        </w:rPr>
        <w:t xml:space="preserve">a sociálních věcí a zástupci zaměstnavatelů osob se zdravotním postižením. Požadavky zaměstnavatelů byly </w:t>
      </w:r>
      <w:r w:rsidR="00A86DD7">
        <w:rPr>
          <w:rFonts w:cs="Arial"/>
        </w:rPr>
        <w:t>Ministerstvu práce a sociálních věcí</w:t>
      </w:r>
      <w:r w:rsidR="00980DE0" w:rsidRPr="00A86DD7">
        <w:rPr>
          <w:rFonts w:cs="Arial"/>
        </w:rPr>
        <w:t xml:space="preserve"> zaslány písemně, následně byly analyzovány a </w:t>
      </w:r>
      <w:r>
        <w:rPr>
          <w:rFonts w:cs="Arial"/>
        </w:rPr>
        <w:t xml:space="preserve">na pracovních setkáních se </w:t>
      </w:r>
      <w:r w:rsidRPr="008A03C0">
        <w:rPr>
          <w:rFonts w:cs="Arial"/>
        </w:rPr>
        <w:t xml:space="preserve">zaměstnavateli </w:t>
      </w:r>
      <w:r w:rsidR="00980DE0" w:rsidRPr="008A03C0">
        <w:rPr>
          <w:rFonts w:cs="Arial"/>
        </w:rPr>
        <w:t xml:space="preserve">projednány. </w:t>
      </w:r>
      <w:r w:rsidR="00980DE0" w:rsidRPr="00A86DD7">
        <w:rPr>
          <w:rFonts w:cs="Arial"/>
        </w:rPr>
        <w:t xml:space="preserve">Situace v oblasti zaměstnávání osob se zdravotním postižením bude nadále důkladně analyzována </w:t>
      </w:r>
      <w:r>
        <w:rPr>
          <w:rFonts w:cs="Arial"/>
        </w:rPr>
        <w:br/>
      </w:r>
      <w:r w:rsidR="00980DE0" w:rsidRPr="00A86DD7">
        <w:rPr>
          <w:rFonts w:cs="Arial"/>
        </w:rPr>
        <w:t xml:space="preserve">a projednávána v rámci nově vznikající pracovní skupiny zřízené </w:t>
      </w:r>
      <w:r w:rsidR="00D51C2B" w:rsidRPr="00A86DD7">
        <w:rPr>
          <w:rFonts w:cs="Arial"/>
        </w:rPr>
        <w:t xml:space="preserve">při Sekci zaměstnanosti </w:t>
      </w:r>
      <w:r w:rsidR="00A86DD7">
        <w:rPr>
          <w:rFonts w:cs="Arial"/>
        </w:rPr>
        <w:t>Ministerstva práce a sociálních věci</w:t>
      </w:r>
      <w:r w:rsidR="00D51C2B" w:rsidRPr="00A86DD7">
        <w:rPr>
          <w:rFonts w:cs="Arial"/>
        </w:rPr>
        <w:t xml:space="preserve">. Součástí této </w:t>
      </w:r>
      <w:r w:rsidR="00A86DD7">
        <w:rPr>
          <w:rFonts w:cs="Arial"/>
        </w:rPr>
        <w:t xml:space="preserve">pracovní </w:t>
      </w:r>
      <w:r w:rsidR="00D51C2B" w:rsidRPr="00A86DD7">
        <w:rPr>
          <w:rFonts w:cs="Arial"/>
        </w:rPr>
        <w:t>skupiny</w:t>
      </w:r>
      <w:r w:rsidR="00980DE0" w:rsidRPr="00A86DD7">
        <w:rPr>
          <w:rFonts w:cs="Arial"/>
        </w:rPr>
        <w:t xml:space="preserve"> budou </w:t>
      </w:r>
      <w:r w:rsidR="00D51C2B" w:rsidRPr="00A86DD7">
        <w:rPr>
          <w:rFonts w:cs="Arial"/>
        </w:rPr>
        <w:t>zástupci zaměstnavatelů osob se zdravotním postižením</w:t>
      </w:r>
      <w:r w:rsidR="00D51C2B" w:rsidRPr="00A86DD7">
        <w:rPr>
          <w:rFonts w:eastAsia="Calibri"/>
        </w:rPr>
        <w:t xml:space="preserve"> a zástupci osob se zdravotním postižením</w:t>
      </w:r>
      <w:r w:rsidR="00D51C2B" w:rsidRPr="00A86DD7">
        <w:rPr>
          <w:rFonts w:cs="Arial"/>
        </w:rPr>
        <w:t xml:space="preserve">. </w:t>
      </w:r>
    </w:p>
    <w:p w14:paraId="3975B931" w14:textId="77777777" w:rsidR="000F7141" w:rsidRPr="000F23EA" w:rsidRDefault="000F7141" w:rsidP="00FB3B3B">
      <w:pPr>
        <w:jc w:val="both"/>
        <w:rPr>
          <w:b/>
          <w:bCs/>
        </w:rPr>
      </w:pPr>
    </w:p>
    <w:p w14:paraId="744E4FC9" w14:textId="77777777" w:rsidR="00F90211" w:rsidRDefault="00491DD8" w:rsidP="00FB3B3B">
      <w:pPr>
        <w:jc w:val="both"/>
      </w:pPr>
      <w:r w:rsidRPr="000F23EA">
        <w:t xml:space="preserve">Ve zpracovaném návrhu </w:t>
      </w:r>
      <w:r w:rsidR="00D51C2B">
        <w:t>jsou</w:t>
      </w:r>
      <w:r w:rsidRPr="000F23EA">
        <w:t xml:space="preserve"> zohledněna stanoviska, připomínky a návrhy dotčených subjektů, které vyplynuly z uskutečněných jednání. </w:t>
      </w:r>
    </w:p>
    <w:p w14:paraId="7B57BAB1" w14:textId="77777777" w:rsidR="004A7987" w:rsidRDefault="004A7987" w:rsidP="00FB3B3B">
      <w:pPr>
        <w:jc w:val="both"/>
      </w:pPr>
    </w:p>
    <w:p w14:paraId="6FA20F0F" w14:textId="77777777" w:rsidR="009772B1" w:rsidRDefault="009772B1" w:rsidP="00FB3B3B">
      <w:pPr>
        <w:jc w:val="both"/>
        <w:rPr>
          <w:b/>
          <w:bCs/>
        </w:rPr>
      </w:pPr>
    </w:p>
    <w:p w14:paraId="3728AEE8" w14:textId="77777777" w:rsidR="002F4377" w:rsidRPr="000F23EA" w:rsidRDefault="002F4377" w:rsidP="00FB3B3B">
      <w:pPr>
        <w:jc w:val="both"/>
        <w:rPr>
          <w:b/>
          <w:bCs/>
        </w:rPr>
      </w:pPr>
      <w:r w:rsidRPr="000F23EA">
        <w:rPr>
          <w:b/>
          <w:bCs/>
        </w:rPr>
        <w:t>8. Dopady navrhované úpravy</w:t>
      </w:r>
      <w:r w:rsidR="00084C8D" w:rsidRPr="000F23EA">
        <w:rPr>
          <w:b/>
          <w:bCs/>
        </w:rPr>
        <w:t xml:space="preserve"> </w:t>
      </w:r>
    </w:p>
    <w:p w14:paraId="2ECAC8E2" w14:textId="77777777" w:rsidR="007A5B01" w:rsidRPr="000F23EA" w:rsidRDefault="007A5B01" w:rsidP="00FB3B3B">
      <w:pPr>
        <w:jc w:val="both"/>
        <w:rPr>
          <w:b/>
        </w:rPr>
      </w:pPr>
    </w:p>
    <w:p w14:paraId="34894E55" w14:textId="66313164" w:rsidR="002F4377" w:rsidRDefault="002F4377" w:rsidP="00FB3B3B">
      <w:pPr>
        <w:jc w:val="both"/>
        <w:rPr>
          <w:b/>
        </w:rPr>
      </w:pPr>
      <w:r w:rsidRPr="000F23EA">
        <w:rPr>
          <w:b/>
        </w:rPr>
        <w:t>8.1 Na státní rozpočet a ostatní veřejné rozpočty</w:t>
      </w:r>
    </w:p>
    <w:p w14:paraId="0840ABDD" w14:textId="340DEB4B" w:rsidR="000C3F1F" w:rsidRDefault="000C3F1F" w:rsidP="00FB3B3B">
      <w:pPr>
        <w:jc w:val="both"/>
        <w:rPr>
          <w:b/>
        </w:rPr>
      </w:pPr>
    </w:p>
    <w:p w14:paraId="443AA018" w14:textId="67423F5A" w:rsidR="000C3F1F" w:rsidRDefault="000C3F1F" w:rsidP="000C3F1F">
      <w:pPr>
        <w:pStyle w:val="Bezmezer"/>
        <w:spacing w:before="0" w:beforeAutospacing="0" w:after="0" w:afterAutospacing="0"/>
        <w:jc w:val="both"/>
        <w:rPr>
          <w:rFonts w:ascii="Times New Roman" w:hAnsi="Times New Roman"/>
          <w:sz w:val="24"/>
          <w:szCs w:val="24"/>
        </w:rPr>
      </w:pPr>
      <w:r w:rsidRPr="0053653D">
        <w:rPr>
          <w:rFonts w:ascii="Times New Roman" w:hAnsi="Times New Roman"/>
          <w:sz w:val="24"/>
          <w:szCs w:val="24"/>
        </w:rPr>
        <w:t>Předpokládané dopady na státní rozpočet:</w:t>
      </w:r>
    </w:p>
    <w:p w14:paraId="73853DA7" w14:textId="77777777" w:rsidR="000C3F1F" w:rsidRPr="000C3F1F" w:rsidRDefault="000C3F1F" w:rsidP="000C3F1F">
      <w:pPr>
        <w:pStyle w:val="Bezmezer"/>
        <w:spacing w:before="0" w:beforeAutospacing="0" w:after="0" w:afterAutospacing="0"/>
        <w:jc w:val="both"/>
        <w:rPr>
          <w:rFonts w:ascii="Times New Roman" w:hAnsi="Times New Roman"/>
        </w:rPr>
      </w:pPr>
    </w:p>
    <w:p w14:paraId="181C8287" w14:textId="77777777" w:rsidR="000C3F1F" w:rsidRPr="000C3F1F" w:rsidRDefault="000C3F1F" w:rsidP="000C3F1F">
      <w:pPr>
        <w:pStyle w:val="Odstavecseseznamem"/>
        <w:numPr>
          <w:ilvl w:val="0"/>
          <w:numId w:val="11"/>
        </w:numPr>
        <w:rPr>
          <w:rFonts w:ascii="Times New Roman" w:hAnsi="Times New Roman"/>
          <w:bCs/>
        </w:rPr>
      </w:pPr>
      <w:r w:rsidRPr="000C3F1F">
        <w:rPr>
          <w:rFonts w:ascii="Times New Roman" w:hAnsi="Times New Roman"/>
        </w:rPr>
        <w:t xml:space="preserve">při variantě I (zvýšení příspěvku o 600 Kč) lze odhadnout roční náklady státního rozpočtu na </w:t>
      </w:r>
      <w:r w:rsidRPr="000C3F1F">
        <w:rPr>
          <w:rFonts w:ascii="Times New Roman" w:hAnsi="Times New Roman"/>
          <w:b/>
          <w:bCs/>
        </w:rPr>
        <w:t>354 mil. Kč</w:t>
      </w:r>
      <w:r w:rsidRPr="000C3F1F">
        <w:rPr>
          <w:rFonts w:ascii="Times New Roman" w:hAnsi="Times New Roman"/>
        </w:rPr>
        <w:t xml:space="preserve"> (64 718 OZP x 600 Kč x 12 měsíců x průměrné čerpání maximální částky příspěvku 0,76); celkové roční náklady státního rozpočtu by činily téměř </w:t>
      </w:r>
      <w:r w:rsidRPr="000C3F1F">
        <w:rPr>
          <w:rFonts w:ascii="Times New Roman" w:hAnsi="Times New Roman"/>
          <w:b/>
          <w:bCs/>
        </w:rPr>
        <w:t>9,15</w:t>
      </w:r>
      <w:r w:rsidRPr="000C3F1F">
        <w:rPr>
          <w:rFonts w:ascii="Times New Roman" w:hAnsi="Times New Roman"/>
          <w:b/>
        </w:rPr>
        <w:t xml:space="preserve"> mld. Kč</w:t>
      </w:r>
      <w:r w:rsidRPr="000C3F1F">
        <w:rPr>
          <w:rFonts w:ascii="Times New Roman" w:hAnsi="Times New Roman"/>
          <w:bCs/>
        </w:rPr>
        <w:t>,</w:t>
      </w:r>
      <w:r w:rsidRPr="000C3F1F">
        <w:rPr>
          <w:rFonts w:ascii="Times New Roman" w:hAnsi="Times New Roman"/>
          <w:b/>
        </w:rPr>
        <w:t xml:space="preserve"> </w:t>
      </w:r>
      <w:r w:rsidRPr="000C3F1F">
        <w:rPr>
          <w:rFonts w:ascii="Times New Roman" w:hAnsi="Times New Roman"/>
          <w:bCs/>
        </w:rPr>
        <w:t xml:space="preserve">a to při započtení celkové maximální výše příspěvku, tj. včetně paušální částky </w:t>
      </w:r>
      <w:r w:rsidRPr="000C3F1F">
        <w:rPr>
          <w:rFonts w:ascii="Times New Roman" w:hAnsi="Times New Roman"/>
        </w:rPr>
        <w:t>(maximální částka příspěvku 14 200 Kč + 1 000 Kč paušální částka)</w:t>
      </w:r>
    </w:p>
    <w:p w14:paraId="18C8254D" w14:textId="77777777" w:rsidR="000C3F1F" w:rsidRPr="000C3F1F" w:rsidRDefault="000C3F1F" w:rsidP="000C3F1F">
      <w:pPr>
        <w:jc w:val="both"/>
        <w:rPr>
          <w:bCs/>
          <w:lang w:eastAsia="ar-SA"/>
        </w:rPr>
      </w:pPr>
    </w:p>
    <w:p w14:paraId="514BAD8C" w14:textId="16F6FA33" w:rsidR="000C3F1F" w:rsidRPr="000C3F1F" w:rsidRDefault="000C3F1F" w:rsidP="000C3F1F">
      <w:pPr>
        <w:pStyle w:val="Odstavecseseznamem"/>
        <w:numPr>
          <w:ilvl w:val="0"/>
          <w:numId w:val="6"/>
        </w:numPr>
        <w:rPr>
          <w:rFonts w:ascii="Times New Roman" w:hAnsi="Times New Roman"/>
        </w:rPr>
      </w:pPr>
      <w:r w:rsidRPr="000C3F1F">
        <w:rPr>
          <w:rFonts w:ascii="Times New Roman" w:hAnsi="Times New Roman"/>
        </w:rPr>
        <w:t xml:space="preserve">při variantě II (zvýšení příspěvku o 1 000 Kč) lze odhadnout roční náklady státního rozpočtu </w:t>
      </w:r>
      <w:r w:rsidRPr="00A86DD7">
        <w:rPr>
          <w:rFonts w:ascii="Times New Roman" w:hAnsi="Times New Roman"/>
        </w:rPr>
        <w:t xml:space="preserve">na </w:t>
      </w:r>
      <w:r w:rsidRPr="00A86DD7">
        <w:rPr>
          <w:rFonts w:ascii="Times New Roman" w:hAnsi="Times New Roman"/>
          <w:b/>
          <w:bCs/>
        </w:rPr>
        <w:t xml:space="preserve">590 </w:t>
      </w:r>
      <w:r w:rsidRPr="00A86DD7">
        <w:rPr>
          <w:rFonts w:ascii="Times New Roman" w:hAnsi="Times New Roman"/>
          <w:b/>
        </w:rPr>
        <w:t>m</w:t>
      </w:r>
      <w:r w:rsidR="00980DE0" w:rsidRPr="00A86DD7">
        <w:rPr>
          <w:rFonts w:ascii="Times New Roman" w:hAnsi="Times New Roman"/>
          <w:b/>
        </w:rPr>
        <w:t>il</w:t>
      </w:r>
      <w:r w:rsidRPr="00A86DD7">
        <w:rPr>
          <w:rFonts w:ascii="Times New Roman" w:hAnsi="Times New Roman"/>
          <w:b/>
        </w:rPr>
        <w:t xml:space="preserve">. Kč </w:t>
      </w:r>
      <w:r w:rsidRPr="000C3F1F">
        <w:rPr>
          <w:rFonts w:ascii="Times New Roman" w:hAnsi="Times New Roman"/>
        </w:rPr>
        <w:t>(64 718 OZP x 1 000 Kč x 12 měsíců x průměrné čerpání maximální částky příspěvku 0,76)</w:t>
      </w:r>
      <w:r w:rsidRPr="000C3F1F">
        <w:rPr>
          <w:rFonts w:ascii="Times New Roman" w:hAnsi="Times New Roman"/>
          <w:bCs/>
        </w:rPr>
        <w:t>;</w:t>
      </w:r>
      <w:r w:rsidRPr="000C3F1F">
        <w:rPr>
          <w:rFonts w:ascii="Times New Roman" w:hAnsi="Times New Roman"/>
          <w:b/>
          <w:color w:val="FF0000"/>
        </w:rPr>
        <w:t xml:space="preserve"> </w:t>
      </w:r>
      <w:r w:rsidRPr="000C3F1F">
        <w:rPr>
          <w:rFonts w:ascii="Times New Roman" w:hAnsi="Times New Roman"/>
        </w:rPr>
        <w:t xml:space="preserve">celkové roční náklady státního rozpočtu by činily téměř </w:t>
      </w:r>
      <w:r w:rsidRPr="000C3F1F">
        <w:rPr>
          <w:rFonts w:ascii="Times New Roman" w:hAnsi="Times New Roman"/>
          <w:b/>
          <w:bCs/>
        </w:rPr>
        <w:t>9,39</w:t>
      </w:r>
      <w:r w:rsidRPr="000C3F1F">
        <w:rPr>
          <w:rFonts w:ascii="Times New Roman" w:hAnsi="Times New Roman"/>
          <w:b/>
        </w:rPr>
        <w:t xml:space="preserve"> mld. Kč,</w:t>
      </w:r>
      <w:r w:rsidRPr="000C3F1F">
        <w:rPr>
          <w:rFonts w:ascii="Times New Roman" w:hAnsi="Times New Roman"/>
          <w:bCs/>
        </w:rPr>
        <w:t xml:space="preserve"> a to při započtení celkové maximální výše příspěvku, tj. včetně paušální částky </w:t>
      </w:r>
      <w:r w:rsidRPr="000C3F1F">
        <w:rPr>
          <w:rFonts w:ascii="Times New Roman" w:hAnsi="Times New Roman"/>
        </w:rPr>
        <w:t xml:space="preserve">(maximální částka příspěvku 14 600 Kč + 1 000 Kč paušální částka) </w:t>
      </w:r>
    </w:p>
    <w:p w14:paraId="387F91A2" w14:textId="77777777" w:rsidR="00D51C2B" w:rsidRPr="00AA3808" w:rsidRDefault="00D51C2B" w:rsidP="00D51C2B">
      <w:pPr>
        <w:pStyle w:val="Odstavecseseznamem"/>
        <w:rPr>
          <w:rFonts w:ascii="Times New Roman" w:hAnsi="Times New Roman"/>
        </w:rPr>
      </w:pPr>
    </w:p>
    <w:p w14:paraId="1102B33E" w14:textId="77777777" w:rsidR="00D51C2B" w:rsidRDefault="00D51C2B" w:rsidP="00D51C2B">
      <w:pPr>
        <w:suppressAutoHyphens/>
        <w:jc w:val="both"/>
      </w:pPr>
      <w:r>
        <w:t>Při posuzování těchto dopadů je však nutno vycházet ze skutečnosti, že na rozdíl od jiných sociálních výdajů generuje příspěvek na podporu zaměstnávání osob se zdravotním postižením významné příjmy veřejných financí, zejména daňové odvody hrazené zaměstnavateli na chráněném trhu práce, ale i zaměstnanci</w:t>
      </w:r>
      <w:r w:rsidR="009772B1">
        <w:t>. P</w:t>
      </w:r>
      <w:r>
        <w:t xml:space="preserve">řidaná hodnota práce zaměstnanců – osob se zdravotním postižením generuje také přímé i nepřímé daně a </w:t>
      </w:r>
      <w:r w:rsidR="009772B1">
        <w:t xml:space="preserve">nelze opomenout ani </w:t>
      </w:r>
      <w:r>
        <w:t>kupní sílu</w:t>
      </w:r>
      <w:r w:rsidR="009772B1">
        <w:t xml:space="preserve"> této skupiny osob</w:t>
      </w:r>
      <w:r>
        <w:t>.</w:t>
      </w:r>
    </w:p>
    <w:p w14:paraId="2FA31EA0" w14:textId="77777777" w:rsidR="00D51C2B" w:rsidRDefault="00D51C2B" w:rsidP="00D51C2B">
      <w:pPr>
        <w:suppressAutoHyphens/>
        <w:jc w:val="both"/>
      </w:pPr>
    </w:p>
    <w:p w14:paraId="1FDAB672" w14:textId="77777777" w:rsidR="00D51C2B" w:rsidRDefault="00D51C2B" w:rsidP="00D51C2B">
      <w:pPr>
        <w:suppressAutoHyphens/>
        <w:jc w:val="both"/>
      </w:pPr>
      <w:r w:rsidRPr="003E5760">
        <w:t xml:space="preserve">Kromě výše uvedených dopadů na státní rozpočet nemá navrhovaná právní úprava dopad </w:t>
      </w:r>
      <w:r>
        <w:t xml:space="preserve">na </w:t>
      </w:r>
      <w:r w:rsidRPr="003E5760">
        <w:t xml:space="preserve">ostatní veřejné rozpočty obcí a krajů. </w:t>
      </w:r>
    </w:p>
    <w:p w14:paraId="2495F07C" w14:textId="77777777" w:rsidR="00D51C2B" w:rsidRDefault="00D51C2B" w:rsidP="00D51C2B">
      <w:pPr>
        <w:suppressAutoHyphens/>
        <w:jc w:val="both"/>
      </w:pPr>
    </w:p>
    <w:p w14:paraId="273779F3" w14:textId="77777777" w:rsidR="00D51C2B" w:rsidRDefault="00D51C2B" w:rsidP="00D51C2B">
      <w:pPr>
        <w:suppressAutoHyphens/>
        <w:jc w:val="both"/>
      </w:pPr>
      <w:r w:rsidRPr="003E5760">
        <w:t xml:space="preserve">Zvýšení příspěvku bude financováno z rozpočtové kapitoly MPSV. </w:t>
      </w:r>
    </w:p>
    <w:p w14:paraId="164E1BE6" w14:textId="77777777" w:rsidR="00482A3A" w:rsidRPr="000F23EA" w:rsidRDefault="00482A3A" w:rsidP="00FB3B3B">
      <w:pPr>
        <w:jc w:val="both"/>
      </w:pPr>
    </w:p>
    <w:p w14:paraId="4D90F802" w14:textId="58C3251D" w:rsidR="004070EF" w:rsidRDefault="004070EF" w:rsidP="00FB3B3B">
      <w:pPr>
        <w:autoSpaceDE w:val="0"/>
        <w:autoSpaceDN w:val="0"/>
        <w:adjustRightInd w:val="0"/>
        <w:jc w:val="both"/>
        <w:rPr>
          <w:b/>
          <w:bCs/>
        </w:rPr>
      </w:pPr>
      <w:r w:rsidRPr="000F23EA">
        <w:rPr>
          <w:b/>
          <w:bCs/>
        </w:rPr>
        <w:t>8.2. Na mezinárodní konkurenceschopnost České republiky</w:t>
      </w:r>
    </w:p>
    <w:p w14:paraId="5173A180" w14:textId="77777777" w:rsidR="00706904" w:rsidRPr="000F23EA" w:rsidRDefault="00706904" w:rsidP="00FB3B3B">
      <w:pPr>
        <w:autoSpaceDE w:val="0"/>
        <w:autoSpaceDN w:val="0"/>
        <w:adjustRightInd w:val="0"/>
        <w:jc w:val="both"/>
        <w:rPr>
          <w:b/>
          <w:bCs/>
        </w:rPr>
      </w:pPr>
    </w:p>
    <w:p w14:paraId="4D873A12" w14:textId="77777777" w:rsidR="008706B2" w:rsidRPr="000F23EA" w:rsidRDefault="008706B2" w:rsidP="00FB3B3B">
      <w:pPr>
        <w:jc w:val="both"/>
      </w:pPr>
      <w:r w:rsidRPr="000F23EA">
        <w:t xml:space="preserve">Předmětný návrh </w:t>
      </w:r>
      <w:r w:rsidR="00D51C2B">
        <w:t>nařízení vlády</w:t>
      </w:r>
      <w:r w:rsidRPr="000F23EA">
        <w:t xml:space="preserve"> </w:t>
      </w:r>
      <w:r w:rsidR="00491DD8" w:rsidRPr="000F23EA">
        <w:t xml:space="preserve">nepředstavuje dopad na </w:t>
      </w:r>
      <w:r w:rsidR="00491DD8" w:rsidRPr="000F23EA">
        <w:rPr>
          <w:bCs/>
        </w:rPr>
        <w:t>mezinárodní konkurenceschopnost České republiky.</w:t>
      </w:r>
    </w:p>
    <w:p w14:paraId="57CB9A1B" w14:textId="77777777" w:rsidR="003229E6" w:rsidRPr="000F23EA" w:rsidRDefault="003229E6" w:rsidP="00FB3B3B">
      <w:pPr>
        <w:jc w:val="both"/>
      </w:pPr>
    </w:p>
    <w:p w14:paraId="38E3E848" w14:textId="5C078EC7" w:rsidR="00AF3C75" w:rsidRDefault="004070EF" w:rsidP="00FB3B3B">
      <w:pPr>
        <w:jc w:val="both"/>
        <w:rPr>
          <w:b/>
        </w:rPr>
      </w:pPr>
      <w:r w:rsidRPr="000F23EA">
        <w:rPr>
          <w:b/>
        </w:rPr>
        <w:t>8.3</w:t>
      </w:r>
      <w:r w:rsidR="002F4377" w:rsidRPr="000F23EA">
        <w:rPr>
          <w:b/>
        </w:rPr>
        <w:t xml:space="preserve"> Na podnikatelské prostředí České republiky</w:t>
      </w:r>
    </w:p>
    <w:p w14:paraId="28FD5BFC" w14:textId="77777777" w:rsidR="00706904" w:rsidRDefault="00706904" w:rsidP="00FB3B3B">
      <w:pPr>
        <w:jc w:val="both"/>
        <w:rPr>
          <w:b/>
        </w:rPr>
      </w:pPr>
    </w:p>
    <w:p w14:paraId="1A52F045" w14:textId="77777777" w:rsidR="00BB7418" w:rsidRDefault="00573875" w:rsidP="00D51C2B">
      <w:pPr>
        <w:jc w:val="both"/>
        <w:rPr>
          <w:bCs/>
        </w:rPr>
      </w:pPr>
      <w:r w:rsidRPr="001D4282">
        <w:rPr>
          <w:bCs/>
        </w:rPr>
        <w:t>V souvislosti s navrhovanou právní úpravou v oblasti zaměstnávání osob se zdravotním postižením lze očekávat dopady pouze na podnikatele – zaměstnavatele osob se zdravotním postižením na chráněném trhu práce</w:t>
      </w:r>
      <w:r w:rsidR="00D51C2B">
        <w:rPr>
          <w:bCs/>
        </w:rPr>
        <w:t xml:space="preserve">. </w:t>
      </w:r>
      <w:r w:rsidRPr="001D4282">
        <w:rPr>
          <w:bCs/>
        </w:rPr>
        <w:t xml:space="preserve"> </w:t>
      </w:r>
    </w:p>
    <w:p w14:paraId="7AD83FEF" w14:textId="77777777" w:rsidR="00BB7418" w:rsidRDefault="00BB7418" w:rsidP="00D51C2B">
      <w:pPr>
        <w:jc w:val="both"/>
        <w:rPr>
          <w:bCs/>
        </w:rPr>
      </w:pPr>
    </w:p>
    <w:p w14:paraId="5519AEDB" w14:textId="32F8C722" w:rsidR="00D51C2B" w:rsidRDefault="00D6669D" w:rsidP="00D51C2B">
      <w:pPr>
        <w:jc w:val="both"/>
        <w:rPr>
          <w:rFonts w:eastAsia="MS Mincho"/>
          <w:bCs/>
        </w:rPr>
      </w:pPr>
      <w:r>
        <w:rPr>
          <w:rFonts w:eastAsia="MS Mincho"/>
          <w:bCs/>
        </w:rPr>
        <w:t>N</w:t>
      </w:r>
      <w:r w:rsidR="00D51C2B" w:rsidRPr="00DE1B62">
        <w:rPr>
          <w:rFonts w:eastAsia="MS Mincho"/>
          <w:bCs/>
        </w:rPr>
        <w:t xml:space="preserve">avrhované </w:t>
      </w:r>
      <w:r w:rsidR="00D51C2B">
        <w:rPr>
          <w:rFonts w:eastAsia="MS Mincho"/>
          <w:bCs/>
        </w:rPr>
        <w:t xml:space="preserve">zvýšení maximální částky příspěvku </w:t>
      </w:r>
      <w:r w:rsidR="00D51C2B" w:rsidRPr="00DE1B62">
        <w:rPr>
          <w:rFonts w:eastAsia="MS Mincho"/>
          <w:bCs/>
        </w:rPr>
        <w:t>bud</w:t>
      </w:r>
      <w:r w:rsidR="00D51C2B">
        <w:rPr>
          <w:rFonts w:eastAsia="MS Mincho"/>
          <w:bCs/>
        </w:rPr>
        <w:t>e</w:t>
      </w:r>
      <w:r w:rsidR="00D51C2B" w:rsidRPr="00DE1B62">
        <w:rPr>
          <w:rFonts w:eastAsia="MS Mincho"/>
          <w:bCs/>
        </w:rPr>
        <w:t xml:space="preserve"> mít pozitivní dopad na podnikatelské prostředí</w:t>
      </w:r>
      <w:r w:rsidR="00D51C2B">
        <w:rPr>
          <w:rFonts w:eastAsia="MS Mincho"/>
          <w:bCs/>
        </w:rPr>
        <w:t xml:space="preserve"> ve vztahu k podnikatelům, kteří působí v rámci zaměstnavatelského segmentu na chráněném trhu práce, protože budou moci čerpat příspěvek ve vyšší částce, což </w:t>
      </w:r>
      <w:r w:rsidR="00BB7418">
        <w:rPr>
          <w:rFonts w:eastAsia="MS Mincho"/>
          <w:bCs/>
        </w:rPr>
        <w:t xml:space="preserve">také </w:t>
      </w:r>
      <w:r w:rsidR="00D51C2B">
        <w:rPr>
          <w:rFonts w:eastAsia="MS Mincho"/>
          <w:bCs/>
        </w:rPr>
        <w:t>napomůže zachování pracovních míst pro zaměstnance – osoby se zdravotním postižením</w:t>
      </w:r>
      <w:r w:rsidR="00BB7418">
        <w:rPr>
          <w:rFonts w:eastAsia="MS Mincho"/>
          <w:bCs/>
        </w:rPr>
        <w:t>.</w:t>
      </w:r>
      <w:r w:rsidR="00D51C2B">
        <w:rPr>
          <w:rFonts w:eastAsia="MS Mincho"/>
          <w:bCs/>
        </w:rPr>
        <w:t xml:space="preserve"> </w:t>
      </w:r>
    </w:p>
    <w:p w14:paraId="5555EB4A" w14:textId="77777777" w:rsidR="00874031" w:rsidRPr="000F23EA" w:rsidRDefault="00874031" w:rsidP="00491DD8">
      <w:pPr>
        <w:jc w:val="both"/>
        <w:rPr>
          <w:b/>
          <w:bCs/>
        </w:rPr>
      </w:pPr>
    </w:p>
    <w:p w14:paraId="5C3046A7" w14:textId="1ABE9769" w:rsidR="00F25F54" w:rsidRDefault="00F25F54" w:rsidP="00FB3B3B">
      <w:pPr>
        <w:jc w:val="both"/>
        <w:rPr>
          <w:b/>
        </w:rPr>
      </w:pPr>
      <w:r w:rsidRPr="000F23EA">
        <w:rPr>
          <w:b/>
        </w:rPr>
        <w:t>8.4</w:t>
      </w:r>
      <w:r w:rsidR="003C752A" w:rsidRPr="000F23EA">
        <w:rPr>
          <w:b/>
        </w:rPr>
        <w:t>.</w:t>
      </w:r>
      <w:r w:rsidRPr="000F23EA">
        <w:rPr>
          <w:b/>
        </w:rPr>
        <w:t xml:space="preserve"> Na územní samosprávné celky</w:t>
      </w:r>
    </w:p>
    <w:p w14:paraId="1CC347DA" w14:textId="77777777" w:rsidR="00706904" w:rsidRDefault="00706904" w:rsidP="00FB3B3B">
      <w:pPr>
        <w:jc w:val="both"/>
        <w:rPr>
          <w:b/>
        </w:rPr>
      </w:pPr>
    </w:p>
    <w:p w14:paraId="43136D87" w14:textId="77777777" w:rsidR="00F25F54" w:rsidRPr="000F23EA" w:rsidRDefault="00F25F54" w:rsidP="00FB3B3B">
      <w:pPr>
        <w:jc w:val="both"/>
      </w:pPr>
      <w:r w:rsidRPr="000F23EA">
        <w:t>Navrhovaná úprava nebude mít za následek žádné dopady na územní samosprávné celky.</w:t>
      </w:r>
    </w:p>
    <w:p w14:paraId="5B5DAD5B" w14:textId="77777777" w:rsidR="009772B1" w:rsidRDefault="009772B1" w:rsidP="00FB3B3B">
      <w:pPr>
        <w:jc w:val="both"/>
        <w:rPr>
          <w:b/>
        </w:rPr>
      </w:pPr>
    </w:p>
    <w:p w14:paraId="33D069AE" w14:textId="446B05D2" w:rsidR="00077C10" w:rsidRDefault="00472088" w:rsidP="00FB3B3B">
      <w:pPr>
        <w:jc w:val="both"/>
        <w:rPr>
          <w:b/>
        </w:rPr>
      </w:pPr>
      <w:r w:rsidRPr="000F23EA">
        <w:rPr>
          <w:b/>
        </w:rPr>
        <w:t>8.5</w:t>
      </w:r>
      <w:r w:rsidR="003C752A" w:rsidRPr="000F23EA">
        <w:rPr>
          <w:b/>
        </w:rPr>
        <w:t>.</w:t>
      </w:r>
      <w:r w:rsidR="002F4377" w:rsidRPr="000F23EA">
        <w:rPr>
          <w:b/>
        </w:rPr>
        <w:t xml:space="preserve"> Sociální dopady</w:t>
      </w:r>
    </w:p>
    <w:p w14:paraId="58CB1963" w14:textId="77777777" w:rsidR="00706904" w:rsidRDefault="00706904" w:rsidP="00FB3B3B">
      <w:pPr>
        <w:jc w:val="both"/>
        <w:rPr>
          <w:b/>
        </w:rPr>
      </w:pPr>
    </w:p>
    <w:p w14:paraId="5D730815" w14:textId="77777777" w:rsidR="00BB7418" w:rsidRDefault="00BB7418" w:rsidP="00BB7418">
      <w:pPr>
        <w:suppressAutoHyphens/>
        <w:jc w:val="both"/>
      </w:pPr>
      <w:r w:rsidRPr="003E5760">
        <w:rPr>
          <w:rFonts w:eastAsia="Calibri"/>
        </w:rPr>
        <w:t xml:space="preserve">Navrhovaná úprava nebude mít žádné negativní sociální dopady.  Naopak lze spatřovat pozitivní sociální dopad spojený se zvýšením </w:t>
      </w:r>
      <w:r>
        <w:rPr>
          <w:rFonts w:eastAsia="Calibri"/>
        </w:rPr>
        <w:t xml:space="preserve">maximální částky </w:t>
      </w:r>
      <w:r w:rsidRPr="003E5760">
        <w:rPr>
          <w:rFonts w:eastAsia="Calibri"/>
        </w:rPr>
        <w:t xml:space="preserve">příspěvku v tom, že </w:t>
      </w:r>
      <w:r w:rsidRPr="003E5760">
        <w:t>bude zachována, případně posílena motivace zaměstnavatelů zaměstnávat osoby se zdravotním postižením ve 2. a 3. stupni invalidity, které mají výrazně snížený pracovní potenciál</w:t>
      </w:r>
      <w:r>
        <w:t xml:space="preserve">. </w:t>
      </w:r>
    </w:p>
    <w:p w14:paraId="2109FF99" w14:textId="77777777" w:rsidR="00BB7418" w:rsidRDefault="00BB7418" w:rsidP="00BB7418">
      <w:pPr>
        <w:suppressAutoHyphens/>
        <w:jc w:val="both"/>
      </w:pPr>
    </w:p>
    <w:p w14:paraId="179F4EA0" w14:textId="0299CB7A" w:rsidR="00472088" w:rsidRDefault="00472088" w:rsidP="00FB3B3B">
      <w:pPr>
        <w:jc w:val="both"/>
        <w:rPr>
          <w:b/>
        </w:rPr>
      </w:pPr>
      <w:r w:rsidRPr="000F23EA">
        <w:rPr>
          <w:b/>
        </w:rPr>
        <w:t>8.6</w:t>
      </w:r>
      <w:r w:rsidR="003C752A" w:rsidRPr="000F23EA">
        <w:rPr>
          <w:b/>
        </w:rPr>
        <w:t>.</w:t>
      </w:r>
      <w:r w:rsidRPr="000F23EA">
        <w:rPr>
          <w:b/>
        </w:rPr>
        <w:t xml:space="preserve"> Na spotřebitele</w:t>
      </w:r>
    </w:p>
    <w:p w14:paraId="611FB8FF" w14:textId="77777777" w:rsidR="00706904" w:rsidRPr="000F23EA" w:rsidRDefault="00706904" w:rsidP="00FB3B3B">
      <w:pPr>
        <w:jc w:val="both"/>
        <w:rPr>
          <w:b/>
        </w:rPr>
      </w:pPr>
    </w:p>
    <w:p w14:paraId="559812E3" w14:textId="77777777" w:rsidR="00F91F65" w:rsidRPr="000F23EA" w:rsidRDefault="003229E6" w:rsidP="00FB3B3B">
      <w:pPr>
        <w:jc w:val="both"/>
      </w:pPr>
      <w:r w:rsidRPr="000F23EA">
        <w:t>Navrhovaná úprava nebude mít za následek žádné dopady na spotřebitele.</w:t>
      </w:r>
    </w:p>
    <w:p w14:paraId="4619623C" w14:textId="77777777" w:rsidR="002F4377" w:rsidRPr="000F23EA" w:rsidRDefault="002F4377" w:rsidP="00FB3B3B">
      <w:pPr>
        <w:jc w:val="both"/>
      </w:pPr>
    </w:p>
    <w:p w14:paraId="56DA747B" w14:textId="1908F8E4" w:rsidR="002F4377" w:rsidRDefault="00F82B7D" w:rsidP="00FB3B3B">
      <w:pPr>
        <w:jc w:val="both"/>
        <w:rPr>
          <w:b/>
        </w:rPr>
      </w:pPr>
      <w:r w:rsidRPr="000F23EA">
        <w:rPr>
          <w:b/>
        </w:rPr>
        <w:t>8.7</w:t>
      </w:r>
      <w:r w:rsidR="003C752A" w:rsidRPr="000F23EA">
        <w:rPr>
          <w:b/>
        </w:rPr>
        <w:t>.</w:t>
      </w:r>
      <w:r w:rsidR="002F4377" w:rsidRPr="000F23EA">
        <w:rPr>
          <w:b/>
        </w:rPr>
        <w:t xml:space="preserve"> Na životní prostředí</w:t>
      </w:r>
    </w:p>
    <w:p w14:paraId="0840FCAD" w14:textId="77777777" w:rsidR="00706904" w:rsidRPr="000F23EA" w:rsidRDefault="00706904" w:rsidP="00FB3B3B">
      <w:pPr>
        <w:jc w:val="both"/>
        <w:rPr>
          <w:b/>
        </w:rPr>
      </w:pPr>
    </w:p>
    <w:p w14:paraId="15B386FA" w14:textId="402A3504" w:rsidR="002F4377" w:rsidRDefault="002F4377" w:rsidP="00FB3B3B">
      <w:pPr>
        <w:jc w:val="both"/>
      </w:pPr>
      <w:r w:rsidRPr="000F23EA">
        <w:t>Navrhovaná úprava nebude mít za následek žádné dopady na životní prostředí.</w:t>
      </w:r>
    </w:p>
    <w:p w14:paraId="2E40AED3" w14:textId="027F9C5D" w:rsidR="00706904" w:rsidRDefault="00706904" w:rsidP="00FB3B3B">
      <w:pPr>
        <w:jc w:val="both"/>
      </w:pPr>
    </w:p>
    <w:p w14:paraId="749E48BD" w14:textId="77777777" w:rsidR="00706904" w:rsidRPr="000F23EA" w:rsidRDefault="00706904" w:rsidP="00FB3B3B">
      <w:pPr>
        <w:jc w:val="both"/>
      </w:pPr>
    </w:p>
    <w:p w14:paraId="234DD4B4" w14:textId="77777777" w:rsidR="002F4377" w:rsidRPr="000F23EA" w:rsidRDefault="002F4377" w:rsidP="00FB3B3B">
      <w:pPr>
        <w:jc w:val="both"/>
        <w:rPr>
          <w:b/>
        </w:rPr>
      </w:pPr>
    </w:p>
    <w:p w14:paraId="7BE5B37C" w14:textId="77597A43" w:rsidR="002F4377" w:rsidRDefault="002F4377" w:rsidP="00FB3B3B">
      <w:pPr>
        <w:jc w:val="both"/>
        <w:rPr>
          <w:b/>
        </w:rPr>
      </w:pPr>
      <w:r w:rsidRPr="000F23EA">
        <w:rPr>
          <w:b/>
        </w:rPr>
        <w:lastRenderedPageBreak/>
        <w:t>8.</w:t>
      </w:r>
      <w:r w:rsidR="00CE17E0" w:rsidRPr="000F23EA">
        <w:rPr>
          <w:b/>
        </w:rPr>
        <w:t>8</w:t>
      </w:r>
      <w:r w:rsidR="003C752A" w:rsidRPr="000F23EA">
        <w:rPr>
          <w:b/>
        </w:rPr>
        <w:t>.</w:t>
      </w:r>
      <w:r w:rsidRPr="000F23EA">
        <w:rPr>
          <w:b/>
        </w:rPr>
        <w:t xml:space="preserve"> </w:t>
      </w:r>
      <w:r w:rsidRPr="004E4338">
        <w:rPr>
          <w:b/>
        </w:rPr>
        <w:t>Ve vztahu k zákazu diskriminace a ve vztahu rovnosti mužů a žen</w:t>
      </w:r>
    </w:p>
    <w:p w14:paraId="3EB459FF" w14:textId="77777777" w:rsidR="00706904" w:rsidRPr="004E4338" w:rsidRDefault="00706904" w:rsidP="00FB3B3B">
      <w:pPr>
        <w:jc w:val="both"/>
        <w:rPr>
          <w:b/>
        </w:rPr>
      </w:pPr>
    </w:p>
    <w:p w14:paraId="3623A1CB" w14:textId="77777777" w:rsidR="004E4338" w:rsidRDefault="004E4338" w:rsidP="004E4338">
      <w:pPr>
        <w:suppressAutoHyphens/>
        <w:jc w:val="both"/>
      </w:pPr>
      <w:r w:rsidRPr="003E5760">
        <w:t xml:space="preserve">Navrhovaná právní úprava </w:t>
      </w:r>
      <w:r>
        <w:t xml:space="preserve">nařízení vlády </w:t>
      </w:r>
      <w:r w:rsidRPr="003E5760">
        <w:t>neobsahuje ustanovení, které by bylo diskriminační.</w:t>
      </w:r>
      <w:r>
        <w:t xml:space="preserve"> </w:t>
      </w:r>
      <w:r w:rsidRPr="00DE1B62">
        <w:t xml:space="preserve">Lze proto konstatovat, že navrhované </w:t>
      </w:r>
      <w:r>
        <w:t>zvýšení maximální částky příspěvku</w:t>
      </w:r>
      <w:r w:rsidRPr="00DE1B62">
        <w:t xml:space="preserve"> nemá žádné dopady ve vztahu k zákazu diskriminace. </w:t>
      </w:r>
    </w:p>
    <w:p w14:paraId="1002CB6E" w14:textId="77777777" w:rsidR="004E4338" w:rsidRDefault="004E4338" w:rsidP="004E4338">
      <w:pPr>
        <w:suppressAutoHyphens/>
        <w:jc w:val="both"/>
      </w:pPr>
    </w:p>
    <w:p w14:paraId="42599B12" w14:textId="27ED56A4" w:rsidR="00D6669D" w:rsidRDefault="004E4338" w:rsidP="004E4338">
      <w:pPr>
        <w:suppressAutoHyphens/>
        <w:jc w:val="both"/>
      </w:pPr>
      <w:r w:rsidRPr="00DE1B62">
        <w:t xml:space="preserve">Z hlediska rovnosti </w:t>
      </w:r>
      <w:r w:rsidR="00D6669D">
        <w:t>mužů</w:t>
      </w:r>
      <w:r w:rsidRPr="00DE1B62">
        <w:t xml:space="preserve"> a </w:t>
      </w:r>
      <w:r w:rsidR="00D6669D">
        <w:t>žen</w:t>
      </w:r>
      <w:r w:rsidRPr="00DE1B62">
        <w:t xml:space="preserve"> je návrh neutrální, neboť navrhovaná právní úprava je pro obě pohlaví stejná.</w:t>
      </w:r>
    </w:p>
    <w:p w14:paraId="5721A499" w14:textId="40B46550" w:rsidR="00706904" w:rsidRDefault="00706904" w:rsidP="004E4338">
      <w:pPr>
        <w:suppressAutoHyphens/>
        <w:jc w:val="both"/>
      </w:pPr>
    </w:p>
    <w:p w14:paraId="639F7ED5" w14:textId="77777777" w:rsidR="00706904" w:rsidRDefault="00706904" w:rsidP="004E4338">
      <w:pPr>
        <w:suppressAutoHyphens/>
        <w:jc w:val="both"/>
      </w:pPr>
    </w:p>
    <w:p w14:paraId="3D0F3075" w14:textId="78D1AA3C" w:rsidR="002F4377" w:rsidRDefault="002F4377" w:rsidP="00FB3B3B">
      <w:pPr>
        <w:ind w:firstLine="709"/>
        <w:jc w:val="center"/>
        <w:rPr>
          <w:b/>
        </w:rPr>
      </w:pPr>
      <w:r w:rsidRPr="000F23EA">
        <w:rPr>
          <w:b/>
        </w:rPr>
        <w:t>Tabulka hodnocení dopadů na rovnost mužů a žen</w:t>
      </w:r>
    </w:p>
    <w:p w14:paraId="1E7CBF7A" w14:textId="77777777" w:rsidR="00706904" w:rsidRPr="000F23EA" w:rsidRDefault="00706904" w:rsidP="00FB3B3B">
      <w:pPr>
        <w:ind w:firstLine="709"/>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06"/>
        <w:gridCol w:w="1503"/>
        <w:gridCol w:w="1514"/>
        <w:gridCol w:w="1503"/>
        <w:gridCol w:w="1510"/>
        <w:gridCol w:w="1506"/>
      </w:tblGrid>
      <w:tr w:rsidR="000F23EA" w:rsidRPr="000F23EA" w14:paraId="55B07B1E" w14:textId="77777777" w:rsidTr="000C3F1F">
        <w:tc>
          <w:tcPr>
            <w:tcW w:w="9042" w:type="dxa"/>
            <w:gridSpan w:val="6"/>
            <w:tcBorders>
              <w:top w:val="single" w:sz="12" w:space="0" w:color="auto"/>
              <w:bottom w:val="single" w:sz="6" w:space="0" w:color="auto"/>
            </w:tcBorders>
            <w:shd w:val="clear" w:color="auto" w:fill="BFBFBF"/>
          </w:tcPr>
          <w:p w14:paraId="6DE718D4" w14:textId="77777777" w:rsidR="002F4377" w:rsidRPr="000F23EA" w:rsidRDefault="002F4377" w:rsidP="00FB3B3B">
            <w:pPr>
              <w:autoSpaceDE w:val="0"/>
              <w:autoSpaceDN w:val="0"/>
              <w:adjustRightInd w:val="0"/>
              <w:jc w:val="both"/>
              <w:rPr>
                <w:b/>
              </w:rPr>
            </w:pPr>
            <w:r w:rsidRPr="000F23EA">
              <w:rPr>
                <w:b/>
              </w:rPr>
              <w:t>Název a jednací číslo materiálu</w:t>
            </w:r>
          </w:p>
        </w:tc>
      </w:tr>
      <w:tr w:rsidR="000F23EA" w:rsidRPr="000F23EA" w14:paraId="4B89120E" w14:textId="77777777" w:rsidTr="000C3F1F">
        <w:tc>
          <w:tcPr>
            <w:tcW w:w="9042" w:type="dxa"/>
            <w:gridSpan w:val="6"/>
            <w:tcBorders>
              <w:top w:val="single" w:sz="6" w:space="0" w:color="auto"/>
              <w:bottom w:val="single" w:sz="6" w:space="0" w:color="auto"/>
            </w:tcBorders>
            <w:shd w:val="clear" w:color="auto" w:fill="auto"/>
          </w:tcPr>
          <w:p w14:paraId="7F70D67B" w14:textId="77777777" w:rsidR="00D6669D" w:rsidRDefault="00D6669D" w:rsidP="004E4338">
            <w:pPr>
              <w:jc w:val="both"/>
              <w:rPr>
                <w:noProof/>
              </w:rPr>
            </w:pPr>
          </w:p>
          <w:p w14:paraId="6E7022B6" w14:textId="1DD49550" w:rsidR="004E4338" w:rsidRPr="003620F0" w:rsidRDefault="004E4338" w:rsidP="004E4338">
            <w:pPr>
              <w:jc w:val="both"/>
            </w:pPr>
            <w:r w:rsidRPr="003620F0">
              <w:rPr>
                <w:noProof/>
              </w:rPr>
              <w:t>Návrh nařízení vlády</w:t>
            </w:r>
            <w:r w:rsidR="00E4339F" w:rsidRPr="003620F0">
              <w:rPr>
                <w:noProof/>
              </w:rPr>
              <w:t xml:space="preserve"> o</w:t>
            </w:r>
            <w:r w:rsidRPr="003620F0">
              <w:rPr>
                <w:noProof/>
              </w:rPr>
              <w:t xml:space="preserve"> maximální část</w:t>
            </w:r>
            <w:r w:rsidR="00E4339F" w:rsidRPr="003620F0">
              <w:rPr>
                <w:noProof/>
              </w:rPr>
              <w:t>ce</w:t>
            </w:r>
            <w:r w:rsidRPr="003620F0">
              <w:rPr>
                <w:noProof/>
              </w:rPr>
              <w:t xml:space="preserve"> příspěvku na podporu zaměstnávání osob se zdravotním postižením na chráněném trhu práce</w:t>
            </w:r>
            <w:r w:rsidRPr="003620F0">
              <w:t>.</w:t>
            </w:r>
          </w:p>
          <w:p w14:paraId="5EF080C6" w14:textId="14ABADE5" w:rsidR="00D6669D" w:rsidRPr="000F23EA" w:rsidRDefault="00A95A70" w:rsidP="00D6669D">
            <w:pPr>
              <w:autoSpaceDE w:val="0"/>
              <w:autoSpaceDN w:val="0"/>
              <w:adjustRightInd w:val="0"/>
              <w:jc w:val="both"/>
            </w:pPr>
            <w:r w:rsidRPr="000F23EA">
              <w:t>Č. j.: MPSV-</w:t>
            </w:r>
            <w:r w:rsidR="00D6669D">
              <w:t>2021/185024</w:t>
            </w:r>
          </w:p>
        </w:tc>
      </w:tr>
      <w:tr w:rsidR="000F23EA" w:rsidRPr="000F23EA" w14:paraId="19C35B9F" w14:textId="77777777" w:rsidTr="000C3F1F">
        <w:tc>
          <w:tcPr>
            <w:tcW w:w="9042" w:type="dxa"/>
            <w:gridSpan w:val="6"/>
            <w:tcBorders>
              <w:top w:val="single" w:sz="6" w:space="0" w:color="auto"/>
              <w:bottom w:val="single" w:sz="6" w:space="0" w:color="auto"/>
            </w:tcBorders>
            <w:shd w:val="clear" w:color="auto" w:fill="BFBFBF"/>
          </w:tcPr>
          <w:p w14:paraId="64869307" w14:textId="77777777" w:rsidR="002F4377" w:rsidRPr="000F23EA" w:rsidRDefault="002F4377" w:rsidP="00FB3B3B">
            <w:pPr>
              <w:autoSpaceDE w:val="0"/>
              <w:autoSpaceDN w:val="0"/>
              <w:adjustRightInd w:val="0"/>
              <w:jc w:val="both"/>
              <w:rPr>
                <w:b/>
              </w:rPr>
            </w:pPr>
            <w:r w:rsidRPr="000F23EA">
              <w:rPr>
                <w:b/>
              </w:rPr>
              <w:t>Stručný popis materiálu</w:t>
            </w:r>
          </w:p>
        </w:tc>
      </w:tr>
      <w:tr w:rsidR="000F23EA" w:rsidRPr="000F23EA" w14:paraId="3EAE400C" w14:textId="77777777" w:rsidTr="000C3F1F">
        <w:tc>
          <w:tcPr>
            <w:tcW w:w="9042" w:type="dxa"/>
            <w:gridSpan w:val="6"/>
            <w:tcBorders>
              <w:top w:val="single" w:sz="6" w:space="0" w:color="auto"/>
              <w:bottom w:val="single" w:sz="6" w:space="0" w:color="auto"/>
            </w:tcBorders>
            <w:shd w:val="clear" w:color="auto" w:fill="auto"/>
          </w:tcPr>
          <w:p w14:paraId="769EA1B3" w14:textId="25DC3EBA" w:rsidR="002F4377" w:rsidRPr="000F23EA" w:rsidRDefault="004E4338" w:rsidP="004E4338">
            <w:pPr>
              <w:tabs>
                <w:tab w:val="left" w:pos="6660"/>
              </w:tabs>
              <w:jc w:val="both"/>
            </w:pPr>
            <w:r>
              <w:rPr>
                <w:rFonts w:eastAsia="MS Gothic"/>
                <w:bCs/>
                <w:noProof/>
              </w:rPr>
              <w:t xml:space="preserve">Předkládaným nařízením vlády se navrhuje </w:t>
            </w:r>
            <w:r w:rsidRPr="003B0320">
              <w:rPr>
                <w:rFonts w:eastAsia="MS Gothic"/>
                <w:bCs/>
                <w:noProof/>
              </w:rPr>
              <w:t xml:space="preserve">zvýšit maximální čátku příspěvku na podporu zaměstnávání osob se zdravotním postižením na chráněném trhu práce, která nyní </w:t>
            </w:r>
            <w:r w:rsidR="009772B1">
              <w:rPr>
                <w:rFonts w:eastAsia="MS Gothic"/>
                <w:bCs/>
                <w:noProof/>
              </w:rPr>
              <w:br/>
            </w:r>
            <w:r w:rsidRPr="003B0320">
              <w:rPr>
                <w:rFonts w:eastAsia="MS Gothic"/>
                <w:bCs/>
                <w:noProof/>
              </w:rPr>
              <w:t>činí 1</w:t>
            </w:r>
            <w:r w:rsidR="00D6669D">
              <w:rPr>
                <w:rFonts w:eastAsia="MS Gothic"/>
                <w:bCs/>
                <w:noProof/>
              </w:rPr>
              <w:t>3</w:t>
            </w:r>
            <w:r w:rsidRPr="003B0320">
              <w:rPr>
                <w:rFonts w:eastAsia="MS Gothic"/>
                <w:bCs/>
                <w:noProof/>
              </w:rPr>
              <w:t> </w:t>
            </w:r>
            <w:r w:rsidR="00D6669D">
              <w:rPr>
                <w:rFonts w:eastAsia="MS Gothic"/>
                <w:bCs/>
                <w:noProof/>
              </w:rPr>
              <w:t>6</w:t>
            </w:r>
            <w:r w:rsidRPr="003B0320">
              <w:rPr>
                <w:rFonts w:eastAsia="MS Gothic"/>
                <w:bCs/>
                <w:noProof/>
              </w:rPr>
              <w:t>00 Kč.</w:t>
            </w:r>
          </w:p>
        </w:tc>
      </w:tr>
      <w:tr w:rsidR="000F23EA" w:rsidRPr="000F23EA" w14:paraId="358BA1B0" w14:textId="77777777" w:rsidTr="000C3F1F">
        <w:tc>
          <w:tcPr>
            <w:tcW w:w="9042" w:type="dxa"/>
            <w:gridSpan w:val="6"/>
            <w:tcBorders>
              <w:top w:val="single" w:sz="6" w:space="0" w:color="auto"/>
              <w:bottom w:val="single" w:sz="6" w:space="0" w:color="auto"/>
            </w:tcBorders>
            <w:shd w:val="clear" w:color="auto" w:fill="BFBFBF"/>
          </w:tcPr>
          <w:p w14:paraId="3DDBD51D" w14:textId="77777777" w:rsidR="002F4377" w:rsidRPr="000F23EA" w:rsidRDefault="002F4377" w:rsidP="00FB3B3B">
            <w:pPr>
              <w:autoSpaceDE w:val="0"/>
              <w:autoSpaceDN w:val="0"/>
              <w:adjustRightInd w:val="0"/>
              <w:jc w:val="both"/>
              <w:rPr>
                <w:b/>
              </w:rPr>
            </w:pPr>
            <w:r w:rsidRPr="000F23EA">
              <w:rPr>
                <w:b/>
              </w:rPr>
              <w:t>1. Týká se materiál fyzických osob?</w:t>
            </w:r>
          </w:p>
        </w:tc>
      </w:tr>
      <w:tr w:rsidR="000F23EA" w:rsidRPr="000F23EA" w14:paraId="0D93EF8E" w14:textId="77777777" w:rsidTr="000C3F1F">
        <w:tc>
          <w:tcPr>
            <w:tcW w:w="4523" w:type="dxa"/>
            <w:gridSpan w:val="3"/>
            <w:vMerge w:val="restart"/>
            <w:tcBorders>
              <w:top w:val="single" w:sz="6" w:space="0" w:color="auto"/>
            </w:tcBorders>
            <w:shd w:val="clear" w:color="auto" w:fill="FFC000"/>
          </w:tcPr>
          <w:p w14:paraId="48C6A2D8" w14:textId="77777777" w:rsidR="002F4377" w:rsidRPr="000F23EA" w:rsidRDefault="002F4377" w:rsidP="00FB3B3B">
            <w:pPr>
              <w:autoSpaceDE w:val="0"/>
              <w:autoSpaceDN w:val="0"/>
              <w:adjustRightInd w:val="0"/>
              <w:jc w:val="center"/>
            </w:pPr>
          </w:p>
          <w:p w14:paraId="0762245F" w14:textId="77777777" w:rsidR="002F4377" w:rsidRPr="000F23EA" w:rsidRDefault="002F4377" w:rsidP="00FB3B3B">
            <w:pPr>
              <w:autoSpaceDE w:val="0"/>
              <w:autoSpaceDN w:val="0"/>
              <w:adjustRightInd w:val="0"/>
              <w:jc w:val="center"/>
            </w:pPr>
            <w:r w:rsidRPr="000F23EA">
              <w:t xml:space="preserve">× </w:t>
            </w:r>
            <w:r w:rsidRPr="000F23EA">
              <w:rPr>
                <w:b/>
              </w:rPr>
              <w:t>ANO</w:t>
            </w:r>
          </w:p>
        </w:tc>
        <w:tc>
          <w:tcPr>
            <w:tcW w:w="4519" w:type="dxa"/>
            <w:gridSpan w:val="3"/>
            <w:tcBorders>
              <w:top w:val="single" w:sz="6" w:space="0" w:color="auto"/>
              <w:bottom w:val="single" w:sz="6" w:space="0" w:color="auto"/>
            </w:tcBorders>
            <w:shd w:val="clear" w:color="auto" w:fill="auto"/>
          </w:tcPr>
          <w:p w14:paraId="5B19F334" w14:textId="77777777" w:rsidR="002F4377" w:rsidRPr="000F23EA" w:rsidRDefault="002F4377" w:rsidP="00FB3B3B">
            <w:pPr>
              <w:autoSpaceDE w:val="0"/>
              <w:autoSpaceDN w:val="0"/>
              <w:adjustRightInd w:val="0"/>
              <w:jc w:val="both"/>
            </w:pPr>
            <w:r w:rsidRPr="000F23EA">
              <w:t>□ NE</w:t>
            </w:r>
          </w:p>
        </w:tc>
      </w:tr>
      <w:tr w:rsidR="000F23EA" w:rsidRPr="000F23EA" w14:paraId="618FE898" w14:textId="77777777" w:rsidTr="000C3F1F">
        <w:tc>
          <w:tcPr>
            <w:tcW w:w="4523" w:type="dxa"/>
            <w:gridSpan w:val="3"/>
            <w:vMerge/>
            <w:shd w:val="clear" w:color="auto" w:fill="FFC000"/>
          </w:tcPr>
          <w:p w14:paraId="7F59D002" w14:textId="77777777" w:rsidR="002F4377" w:rsidRPr="000F23EA" w:rsidRDefault="002F4377" w:rsidP="00FB3B3B">
            <w:pPr>
              <w:autoSpaceDE w:val="0"/>
              <w:autoSpaceDN w:val="0"/>
              <w:adjustRightInd w:val="0"/>
              <w:jc w:val="both"/>
            </w:pPr>
          </w:p>
        </w:tc>
        <w:tc>
          <w:tcPr>
            <w:tcW w:w="4519" w:type="dxa"/>
            <w:gridSpan w:val="3"/>
            <w:tcBorders>
              <w:top w:val="single" w:sz="6" w:space="0" w:color="auto"/>
              <w:bottom w:val="single" w:sz="6" w:space="0" w:color="auto"/>
            </w:tcBorders>
            <w:shd w:val="clear" w:color="auto" w:fill="BFBFBF"/>
          </w:tcPr>
          <w:p w14:paraId="338DCA1F" w14:textId="77777777" w:rsidR="002F4377" w:rsidRPr="000F23EA" w:rsidRDefault="002F4377" w:rsidP="00FB3B3B">
            <w:pPr>
              <w:autoSpaceDE w:val="0"/>
              <w:autoSpaceDN w:val="0"/>
              <w:adjustRightInd w:val="0"/>
              <w:jc w:val="center"/>
              <w:rPr>
                <w:b/>
              </w:rPr>
            </w:pPr>
            <w:r w:rsidRPr="000F23EA">
              <w:rPr>
                <w:b/>
              </w:rPr>
              <w:t>Hodnocení</w:t>
            </w:r>
          </w:p>
        </w:tc>
      </w:tr>
      <w:tr w:rsidR="000F23EA" w:rsidRPr="000F23EA" w14:paraId="30164563" w14:textId="77777777" w:rsidTr="000C3F1F">
        <w:tc>
          <w:tcPr>
            <w:tcW w:w="4523" w:type="dxa"/>
            <w:gridSpan w:val="3"/>
            <w:vMerge/>
            <w:tcBorders>
              <w:bottom w:val="single" w:sz="6" w:space="0" w:color="auto"/>
            </w:tcBorders>
            <w:shd w:val="clear" w:color="auto" w:fill="FFC000"/>
          </w:tcPr>
          <w:p w14:paraId="68DAE72F" w14:textId="77777777" w:rsidR="002F4377" w:rsidRPr="000F23EA" w:rsidRDefault="002F4377" w:rsidP="00FB3B3B">
            <w:pPr>
              <w:autoSpaceDE w:val="0"/>
              <w:autoSpaceDN w:val="0"/>
              <w:adjustRightInd w:val="0"/>
              <w:jc w:val="both"/>
            </w:pPr>
          </w:p>
        </w:tc>
        <w:tc>
          <w:tcPr>
            <w:tcW w:w="4519" w:type="dxa"/>
            <w:gridSpan w:val="3"/>
            <w:tcBorders>
              <w:top w:val="single" w:sz="6" w:space="0" w:color="auto"/>
              <w:bottom w:val="single" w:sz="6" w:space="0" w:color="auto"/>
            </w:tcBorders>
            <w:shd w:val="clear" w:color="auto" w:fill="auto"/>
          </w:tcPr>
          <w:p w14:paraId="30E3D95B" w14:textId="77777777" w:rsidR="002F4377" w:rsidRPr="000F23EA" w:rsidRDefault="00D01F85" w:rsidP="00FB3B3B">
            <w:pPr>
              <w:autoSpaceDE w:val="0"/>
              <w:autoSpaceDN w:val="0"/>
              <w:adjustRightInd w:val="0"/>
              <w:jc w:val="both"/>
            </w:pPr>
            <w:r w:rsidRPr="000F23EA">
              <w:t xml:space="preserve">Materiál se týká postavení fyzických osob </w:t>
            </w:r>
            <w:r w:rsidR="009772B1">
              <w:br/>
            </w:r>
            <w:r w:rsidRPr="000F23EA">
              <w:t>a nemá dopad na rovnost žen a mužů.</w:t>
            </w:r>
          </w:p>
        </w:tc>
      </w:tr>
      <w:tr w:rsidR="000F23EA" w:rsidRPr="000F23EA" w14:paraId="3A7C94B8" w14:textId="77777777" w:rsidTr="000C3F1F">
        <w:tc>
          <w:tcPr>
            <w:tcW w:w="9042" w:type="dxa"/>
            <w:gridSpan w:val="6"/>
            <w:tcBorders>
              <w:top w:val="single" w:sz="6" w:space="0" w:color="auto"/>
              <w:bottom w:val="single" w:sz="6" w:space="0" w:color="auto"/>
            </w:tcBorders>
            <w:shd w:val="clear" w:color="auto" w:fill="BFBFBF"/>
          </w:tcPr>
          <w:p w14:paraId="6170ABD2" w14:textId="77777777" w:rsidR="002F4377" w:rsidRPr="000F23EA" w:rsidRDefault="002F4377" w:rsidP="00FB3B3B">
            <w:pPr>
              <w:autoSpaceDE w:val="0"/>
              <w:autoSpaceDN w:val="0"/>
              <w:adjustRightInd w:val="0"/>
              <w:jc w:val="both"/>
              <w:rPr>
                <w:b/>
              </w:rPr>
            </w:pPr>
            <w:r w:rsidRPr="000F23EA">
              <w:rPr>
                <w:b/>
              </w:rPr>
              <w:t xml:space="preserve">Analýza a popis stávajícího </w:t>
            </w:r>
            <w:r w:rsidR="004E4338" w:rsidRPr="000F23EA">
              <w:rPr>
                <w:b/>
              </w:rPr>
              <w:t>stavu – odůvodnění</w:t>
            </w:r>
            <w:r w:rsidRPr="000F23EA">
              <w:rPr>
                <w:b/>
              </w:rPr>
              <w:t xml:space="preserve"> dopadu na fyzické osoby</w:t>
            </w:r>
          </w:p>
        </w:tc>
      </w:tr>
      <w:tr w:rsidR="000F23EA" w:rsidRPr="000F23EA" w14:paraId="4A5436D9" w14:textId="77777777" w:rsidTr="000C3F1F">
        <w:tc>
          <w:tcPr>
            <w:tcW w:w="9042" w:type="dxa"/>
            <w:gridSpan w:val="6"/>
            <w:tcBorders>
              <w:top w:val="single" w:sz="6" w:space="0" w:color="auto"/>
              <w:bottom w:val="single" w:sz="6" w:space="0" w:color="auto"/>
            </w:tcBorders>
            <w:shd w:val="clear" w:color="auto" w:fill="auto"/>
          </w:tcPr>
          <w:p w14:paraId="5862333B" w14:textId="77777777" w:rsidR="002F4377" w:rsidRPr="000F23EA" w:rsidRDefault="00D01F85" w:rsidP="00761645">
            <w:pPr>
              <w:autoSpaceDE w:val="0"/>
              <w:autoSpaceDN w:val="0"/>
              <w:adjustRightInd w:val="0"/>
              <w:jc w:val="both"/>
            </w:pPr>
            <w:r w:rsidRPr="000F23EA">
              <w:t>Stávající právní úpr</w:t>
            </w:r>
            <w:r w:rsidR="002A011C" w:rsidRPr="000F23EA">
              <w:t xml:space="preserve">ava </w:t>
            </w:r>
            <w:r w:rsidR="004E4338">
              <w:t xml:space="preserve">poskytování příspěvku </w:t>
            </w:r>
            <w:r w:rsidRPr="000F23EA">
              <w:t>se týká fyzických osob</w:t>
            </w:r>
            <w:r w:rsidR="005C69EA">
              <w:t xml:space="preserve"> </w:t>
            </w:r>
            <w:r w:rsidR="00C04424" w:rsidRPr="001D4282">
              <w:rPr>
                <w:rFonts w:eastAsia="Calibri"/>
              </w:rPr>
              <w:t>se zdravotním postižením</w:t>
            </w:r>
            <w:r w:rsidR="00C04424" w:rsidRPr="001D4282">
              <w:t xml:space="preserve"> </w:t>
            </w:r>
            <w:r w:rsidR="00C04424">
              <w:t xml:space="preserve">zaměstnávaných na chráněném trhu práce a jejich zaměstnavatelů. </w:t>
            </w:r>
          </w:p>
        </w:tc>
      </w:tr>
      <w:tr w:rsidR="000F23EA" w:rsidRPr="000F23EA" w14:paraId="0A808DEA" w14:textId="77777777" w:rsidTr="000C3F1F">
        <w:tc>
          <w:tcPr>
            <w:tcW w:w="9042" w:type="dxa"/>
            <w:gridSpan w:val="6"/>
            <w:tcBorders>
              <w:top w:val="single" w:sz="6" w:space="0" w:color="auto"/>
              <w:bottom w:val="single" w:sz="6" w:space="0" w:color="auto"/>
            </w:tcBorders>
            <w:shd w:val="clear" w:color="auto" w:fill="BFBFBF"/>
          </w:tcPr>
          <w:p w14:paraId="1BC90990" w14:textId="77777777" w:rsidR="002F4377" w:rsidRPr="000F23EA" w:rsidRDefault="002F4377" w:rsidP="00FB3B3B">
            <w:pPr>
              <w:autoSpaceDE w:val="0"/>
              <w:autoSpaceDN w:val="0"/>
              <w:adjustRightInd w:val="0"/>
              <w:jc w:val="both"/>
              <w:rPr>
                <w:b/>
              </w:rPr>
            </w:pPr>
            <w:r w:rsidRPr="000F23EA">
              <w:rPr>
                <w:b/>
              </w:rPr>
              <w:t>2. Je postavení žen a mužů v oblasti, které se materiál dotýká, rovné?</w:t>
            </w:r>
          </w:p>
        </w:tc>
      </w:tr>
      <w:tr w:rsidR="000F23EA" w:rsidRPr="000F23EA" w14:paraId="2CA47E97" w14:textId="77777777" w:rsidTr="000C3F1F">
        <w:tc>
          <w:tcPr>
            <w:tcW w:w="4523" w:type="dxa"/>
            <w:gridSpan w:val="3"/>
            <w:tcBorders>
              <w:top w:val="single" w:sz="6" w:space="0" w:color="auto"/>
              <w:bottom w:val="single" w:sz="6" w:space="0" w:color="auto"/>
            </w:tcBorders>
            <w:shd w:val="clear" w:color="auto" w:fill="FFC000"/>
          </w:tcPr>
          <w:p w14:paraId="00D1111E" w14:textId="77777777" w:rsidR="002F4377" w:rsidRPr="000F23EA" w:rsidRDefault="002F4377" w:rsidP="00FB3B3B">
            <w:pPr>
              <w:autoSpaceDE w:val="0"/>
              <w:autoSpaceDN w:val="0"/>
              <w:adjustRightInd w:val="0"/>
              <w:jc w:val="center"/>
            </w:pPr>
            <w:r w:rsidRPr="000F23EA">
              <w:rPr>
                <w:b/>
              </w:rPr>
              <w:t>×ANO</w:t>
            </w:r>
            <w:r w:rsidRPr="000F23EA">
              <w:t xml:space="preserve"> → </w:t>
            </w:r>
            <w:proofErr w:type="gramStart"/>
            <w:r w:rsidRPr="000F23EA">
              <w:rPr>
                <w:b/>
              </w:rPr>
              <w:t>3a</w:t>
            </w:r>
            <w:proofErr w:type="gramEnd"/>
          </w:p>
        </w:tc>
        <w:tc>
          <w:tcPr>
            <w:tcW w:w="4519" w:type="dxa"/>
            <w:gridSpan w:val="3"/>
            <w:tcBorders>
              <w:top w:val="single" w:sz="6" w:space="0" w:color="auto"/>
              <w:bottom w:val="single" w:sz="6" w:space="0" w:color="auto"/>
            </w:tcBorders>
            <w:shd w:val="clear" w:color="auto" w:fill="auto"/>
          </w:tcPr>
          <w:p w14:paraId="6F8A6DD5" w14:textId="77777777" w:rsidR="002F4377" w:rsidRPr="000F23EA" w:rsidRDefault="002F4377" w:rsidP="00FB3B3B">
            <w:pPr>
              <w:autoSpaceDE w:val="0"/>
              <w:autoSpaceDN w:val="0"/>
              <w:adjustRightInd w:val="0"/>
              <w:jc w:val="both"/>
            </w:pPr>
            <w:r w:rsidRPr="000F23EA">
              <w:t>□ NE</w:t>
            </w:r>
          </w:p>
        </w:tc>
      </w:tr>
      <w:tr w:rsidR="000F23EA" w:rsidRPr="000F23EA" w14:paraId="38CA1B90" w14:textId="77777777" w:rsidTr="000C3F1F">
        <w:tc>
          <w:tcPr>
            <w:tcW w:w="9042" w:type="dxa"/>
            <w:gridSpan w:val="6"/>
            <w:tcBorders>
              <w:top w:val="single" w:sz="6" w:space="0" w:color="auto"/>
              <w:bottom w:val="single" w:sz="6" w:space="0" w:color="auto"/>
            </w:tcBorders>
            <w:shd w:val="clear" w:color="auto" w:fill="BFBFBF"/>
          </w:tcPr>
          <w:p w14:paraId="3D992FC3" w14:textId="77777777" w:rsidR="002F4377" w:rsidRPr="000F23EA" w:rsidRDefault="002F4377" w:rsidP="00FB3B3B">
            <w:pPr>
              <w:autoSpaceDE w:val="0"/>
              <w:autoSpaceDN w:val="0"/>
              <w:adjustRightInd w:val="0"/>
              <w:jc w:val="both"/>
              <w:rPr>
                <w:b/>
              </w:rPr>
            </w:pPr>
            <w:r w:rsidRPr="000F23EA">
              <w:rPr>
                <w:b/>
              </w:rPr>
              <w:t>Analýza a popis výchozího stavu</w:t>
            </w:r>
          </w:p>
        </w:tc>
      </w:tr>
      <w:tr w:rsidR="000F23EA" w:rsidRPr="000F23EA" w14:paraId="307480F0" w14:textId="77777777" w:rsidTr="000C3F1F">
        <w:tc>
          <w:tcPr>
            <w:tcW w:w="9042" w:type="dxa"/>
            <w:gridSpan w:val="6"/>
            <w:tcBorders>
              <w:top w:val="single" w:sz="6" w:space="0" w:color="auto"/>
              <w:bottom w:val="single" w:sz="6" w:space="0" w:color="auto"/>
            </w:tcBorders>
            <w:shd w:val="clear" w:color="auto" w:fill="auto"/>
          </w:tcPr>
          <w:p w14:paraId="3C904758" w14:textId="0D86CA2F" w:rsidR="00761645" w:rsidRPr="000F23EA" w:rsidRDefault="00761645" w:rsidP="00FB3B3B">
            <w:pPr>
              <w:autoSpaceDE w:val="0"/>
              <w:autoSpaceDN w:val="0"/>
              <w:adjustRightInd w:val="0"/>
              <w:jc w:val="both"/>
            </w:pPr>
            <w:r w:rsidRPr="000F23EA">
              <w:t xml:space="preserve">Postavení žen a mužů v oblasti </w:t>
            </w:r>
            <w:r w:rsidR="005C69EA">
              <w:t xml:space="preserve">zaměstnávání osob se zdravotním postřižením </w:t>
            </w:r>
            <w:r w:rsidRPr="000F23EA">
              <w:t xml:space="preserve">je rovné. Zákon o zaměstnanosti předpokládá, že jeho ustanovení budou obecně aplikována jak na ženy, tak na muže. Účastníci právních vztahů podle zákona o zaměstnanosti, </w:t>
            </w:r>
            <w:r w:rsidR="003F1644" w:rsidRPr="000F23EA">
              <w:t xml:space="preserve">tedy </w:t>
            </w:r>
            <w:r w:rsidRPr="000F23EA">
              <w:t>Česká republika, za kterou jedná MPSV a Úřad práce České republiky, zaměstnavatelé a právnické a fyzické osoby a další subjekty podle zvláštních právních předpisů vykonávající činnosti podle zákona o zaměstnanosti, jsou podle ustanovení § 4 zákona o zaměstnanosti povinni zajišťovat rovné zacházení se všemi fyzickými osobami uplatňujícími právo na zaměstnání, přičemž při uplatňování práva na zaměstnání je zakázána jakákoliv diskriminace.</w:t>
            </w:r>
          </w:p>
          <w:p w14:paraId="060DC141" w14:textId="77777777" w:rsidR="00761645" w:rsidRPr="000F23EA" w:rsidRDefault="00761645" w:rsidP="00FB3B3B">
            <w:pPr>
              <w:autoSpaceDE w:val="0"/>
              <w:autoSpaceDN w:val="0"/>
              <w:adjustRightInd w:val="0"/>
              <w:jc w:val="both"/>
            </w:pPr>
          </w:p>
          <w:p w14:paraId="1B9A67A4" w14:textId="77777777" w:rsidR="0077192D" w:rsidRDefault="00977E51" w:rsidP="002823BC">
            <w:pPr>
              <w:autoSpaceDE w:val="0"/>
              <w:autoSpaceDN w:val="0"/>
              <w:adjustRightInd w:val="0"/>
              <w:jc w:val="both"/>
            </w:pPr>
            <w:r w:rsidRPr="000F23EA">
              <w:t>Následně, v rámci uplatnění se na trhu práce, jsou v</w:t>
            </w:r>
            <w:r w:rsidR="00761645" w:rsidRPr="000F23EA">
              <w:t xml:space="preserve"> pracovněprávní oblasti </w:t>
            </w:r>
            <w:r w:rsidRPr="000F23EA">
              <w:t xml:space="preserve">činěny </w:t>
            </w:r>
            <w:r w:rsidR="00761645" w:rsidRPr="000F23EA">
              <w:t xml:space="preserve">rozdíly </w:t>
            </w:r>
            <w:r w:rsidRPr="000F23EA">
              <w:t xml:space="preserve">pouze </w:t>
            </w:r>
            <w:r w:rsidR="00761645" w:rsidRPr="000F23EA">
              <w:t>v případě, že je konkrétní problematika považována za hodnou ochrany ze strany veřejného zájmu (zejm. v záležitostech vyplývající</w:t>
            </w:r>
            <w:r w:rsidR="00D6669D">
              <w:t>ch</w:t>
            </w:r>
            <w:r w:rsidR="00761645" w:rsidRPr="000F23EA">
              <w:t xml:space="preserve"> ze zdravotních dopadů s ohledem na vykonávanou práci a rozdílnou fyziologii žen a mužů - např. zvl</w:t>
            </w:r>
            <w:r w:rsidRPr="000F23EA">
              <w:t>áštní ochrana těhotných žen</w:t>
            </w:r>
            <w:r w:rsidR="00761645" w:rsidRPr="000F23EA">
              <w:t>). Taková úprava je součástí zákoníku práce také z důvodu plnění mezinár</w:t>
            </w:r>
            <w:r w:rsidR="003F1644" w:rsidRPr="000F23EA">
              <w:t>odních závazků a</w:t>
            </w:r>
            <w:r w:rsidR="002823BC" w:rsidRPr="000F23EA">
              <w:t> </w:t>
            </w:r>
            <w:r w:rsidR="003F1644" w:rsidRPr="000F23EA">
              <w:t xml:space="preserve">závazků vůči Evropské unii. </w:t>
            </w:r>
          </w:p>
          <w:p w14:paraId="58BB9CA0" w14:textId="32CA7294" w:rsidR="00706904" w:rsidRPr="000F23EA" w:rsidRDefault="00706904" w:rsidP="002823BC">
            <w:pPr>
              <w:autoSpaceDE w:val="0"/>
              <w:autoSpaceDN w:val="0"/>
              <w:adjustRightInd w:val="0"/>
              <w:jc w:val="both"/>
            </w:pPr>
          </w:p>
        </w:tc>
      </w:tr>
      <w:tr w:rsidR="000F23EA" w:rsidRPr="000F23EA" w14:paraId="03E1C611" w14:textId="77777777" w:rsidTr="000C3F1F">
        <w:tc>
          <w:tcPr>
            <w:tcW w:w="4523" w:type="dxa"/>
            <w:gridSpan w:val="3"/>
            <w:tcBorders>
              <w:top w:val="single" w:sz="6" w:space="0" w:color="auto"/>
              <w:bottom w:val="single" w:sz="6" w:space="0" w:color="auto"/>
            </w:tcBorders>
            <w:shd w:val="clear" w:color="auto" w:fill="BFBFBF"/>
          </w:tcPr>
          <w:p w14:paraId="008356BA" w14:textId="77777777" w:rsidR="002F4377" w:rsidRPr="000F23EA" w:rsidRDefault="002F4377" w:rsidP="00FB3B3B">
            <w:pPr>
              <w:autoSpaceDE w:val="0"/>
              <w:autoSpaceDN w:val="0"/>
              <w:adjustRightInd w:val="0"/>
              <w:jc w:val="both"/>
              <w:rPr>
                <w:b/>
              </w:rPr>
            </w:pPr>
            <w:proofErr w:type="gramStart"/>
            <w:r w:rsidRPr="000F23EA">
              <w:rPr>
                <w:b/>
              </w:rPr>
              <w:lastRenderedPageBreak/>
              <w:t>3a</w:t>
            </w:r>
            <w:proofErr w:type="gramEnd"/>
            <w:r w:rsidRPr="000F23EA">
              <w:rPr>
                <w:b/>
              </w:rPr>
              <w:t>. Je-li postavení žen a mužů v dané oblasti rovné, přináší materiál zhoršení výchozího stavu?</w:t>
            </w:r>
          </w:p>
        </w:tc>
        <w:tc>
          <w:tcPr>
            <w:tcW w:w="4519" w:type="dxa"/>
            <w:gridSpan w:val="3"/>
            <w:tcBorders>
              <w:top w:val="single" w:sz="6" w:space="0" w:color="auto"/>
              <w:bottom w:val="single" w:sz="6" w:space="0" w:color="auto"/>
            </w:tcBorders>
            <w:shd w:val="clear" w:color="auto" w:fill="BFBFBF"/>
          </w:tcPr>
          <w:p w14:paraId="49A2C163" w14:textId="77777777" w:rsidR="002F4377" w:rsidRPr="000F23EA" w:rsidRDefault="002F4377" w:rsidP="00FB3B3B">
            <w:pPr>
              <w:autoSpaceDE w:val="0"/>
              <w:autoSpaceDN w:val="0"/>
              <w:adjustRightInd w:val="0"/>
              <w:jc w:val="both"/>
              <w:rPr>
                <w:b/>
              </w:rPr>
            </w:pPr>
            <w:proofErr w:type="gramStart"/>
            <w:r w:rsidRPr="000F23EA">
              <w:rPr>
                <w:b/>
              </w:rPr>
              <w:t>3b</w:t>
            </w:r>
            <w:proofErr w:type="gramEnd"/>
            <w:r w:rsidRPr="000F23EA">
              <w:rPr>
                <w:b/>
              </w:rPr>
              <w:t>. Je-li postavení žen a mužů v dané oblasti nerovné, přináší materiál zlepšení výchozího stavu?</w:t>
            </w:r>
          </w:p>
        </w:tc>
      </w:tr>
      <w:tr w:rsidR="000F23EA" w:rsidRPr="000F23EA" w14:paraId="1A3D39D5" w14:textId="77777777" w:rsidTr="000C3F1F">
        <w:tc>
          <w:tcPr>
            <w:tcW w:w="1506" w:type="dxa"/>
            <w:tcBorders>
              <w:top w:val="single" w:sz="6" w:space="0" w:color="auto"/>
              <w:bottom w:val="single" w:sz="6" w:space="0" w:color="auto"/>
            </w:tcBorders>
            <w:shd w:val="clear" w:color="auto" w:fill="auto"/>
          </w:tcPr>
          <w:p w14:paraId="0778239D" w14:textId="77777777" w:rsidR="002F4377" w:rsidRPr="000F23EA" w:rsidRDefault="002F4377" w:rsidP="00FB3B3B">
            <w:pPr>
              <w:autoSpaceDE w:val="0"/>
              <w:autoSpaceDN w:val="0"/>
              <w:adjustRightInd w:val="0"/>
              <w:jc w:val="both"/>
            </w:pPr>
            <w:r w:rsidRPr="000F23EA">
              <w:t>□ ANO</w:t>
            </w:r>
          </w:p>
          <w:p w14:paraId="26FB02AC" w14:textId="77777777" w:rsidR="002F4377" w:rsidRPr="000F23EA" w:rsidRDefault="002F4377" w:rsidP="00FB3B3B">
            <w:pPr>
              <w:autoSpaceDE w:val="0"/>
              <w:autoSpaceDN w:val="0"/>
              <w:adjustRightInd w:val="0"/>
              <w:jc w:val="both"/>
            </w:pPr>
            <w:r w:rsidRPr="000F23EA">
              <w:t>Materiál přináší zhoršení.</w:t>
            </w:r>
          </w:p>
        </w:tc>
        <w:tc>
          <w:tcPr>
            <w:tcW w:w="1503" w:type="dxa"/>
            <w:tcBorders>
              <w:top w:val="single" w:sz="6" w:space="0" w:color="auto"/>
              <w:bottom w:val="single" w:sz="6" w:space="0" w:color="auto"/>
            </w:tcBorders>
            <w:shd w:val="clear" w:color="auto" w:fill="auto"/>
          </w:tcPr>
          <w:p w14:paraId="06A242A6" w14:textId="77777777" w:rsidR="002F4377" w:rsidRPr="000F23EA" w:rsidRDefault="002F4377" w:rsidP="00FB3B3B">
            <w:pPr>
              <w:autoSpaceDE w:val="0"/>
              <w:autoSpaceDN w:val="0"/>
              <w:adjustRightInd w:val="0"/>
              <w:jc w:val="both"/>
            </w:pPr>
            <w:r w:rsidRPr="000F23EA">
              <w:t>□ NE</w:t>
            </w:r>
          </w:p>
          <w:p w14:paraId="19E39CB2" w14:textId="77777777" w:rsidR="002F4377" w:rsidRPr="000F23EA" w:rsidRDefault="002F4377" w:rsidP="00FB3B3B">
            <w:pPr>
              <w:autoSpaceDE w:val="0"/>
              <w:autoSpaceDN w:val="0"/>
              <w:adjustRightInd w:val="0"/>
              <w:jc w:val="both"/>
            </w:pPr>
            <w:r w:rsidRPr="000F23EA">
              <w:t>Materiál přináší zlepšení.</w:t>
            </w:r>
          </w:p>
        </w:tc>
        <w:tc>
          <w:tcPr>
            <w:tcW w:w="1514" w:type="dxa"/>
            <w:tcBorders>
              <w:top w:val="single" w:sz="6" w:space="0" w:color="auto"/>
              <w:bottom w:val="single" w:sz="6" w:space="0" w:color="auto"/>
            </w:tcBorders>
            <w:shd w:val="clear" w:color="auto" w:fill="FFC000"/>
          </w:tcPr>
          <w:p w14:paraId="4BFF0998" w14:textId="77777777" w:rsidR="002F4377" w:rsidRPr="000F23EA" w:rsidRDefault="002F4377" w:rsidP="00FB3B3B">
            <w:pPr>
              <w:autoSpaceDE w:val="0"/>
              <w:autoSpaceDN w:val="0"/>
              <w:adjustRightInd w:val="0"/>
              <w:jc w:val="both"/>
              <w:rPr>
                <w:b/>
              </w:rPr>
            </w:pPr>
            <w:r w:rsidRPr="000F23EA">
              <w:rPr>
                <w:b/>
              </w:rPr>
              <w:t>×</w:t>
            </w:r>
            <w:r w:rsidRPr="000F23EA">
              <w:rPr>
                <w:rFonts w:ascii="Calibri" w:hAnsi="Calibri"/>
                <w:sz w:val="20"/>
                <w:szCs w:val="20"/>
              </w:rPr>
              <w:t xml:space="preserve"> </w:t>
            </w:r>
            <w:r w:rsidRPr="000F23EA">
              <w:rPr>
                <w:b/>
              </w:rPr>
              <w:t>NE</w:t>
            </w:r>
          </w:p>
          <w:p w14:paraId="121FD726" w14:textId="77777777" w:rsidR="002F4377" w:rsidRPr="000F23EA" w:rsidRDefault="002F4377" w:rsidP="00FB3B3B">
            <w:pPr>
              <w:autoSpaceDE w:val="0"/>
              <w:autoSpaceDN w:val="0"/>
              <w:adjustRightInd w:val="0"/>
              <w:jc w:val="both"/>
            </w:pPr>
            <w:r w:rsidRPr="000F23EA">
              <w:rPr>
                <w:b/>
              </w:rPr>
              <w:t>Postavení žen a mužů se nemění.</w:t>
            </w:r>
          </w:p>
        </w:tc>
        <w:tc>
          <w:tcPr>
            <w:tcW w:w="1503" w:type="dxa"/>
            <w:tcBorders>
              <w:top w:val="single" w:sz="6" w:space="0" w:color="auto"/>
              <w:bottom w:val="single" w:sz="6" w:space="0" w:color="auto"/>
            </w:tcBorders>
            <w:shd w:val="clear" w:color="auto" w:fill="auto"/>
          </w:tcPr>
          <w:p w14:paraId="6A8D98DB" w14:textId="77777777" w:rsidR="002F4377" w:rsidRPr="000F23EA" w:rsidRDefault="002F4377" w:rsidP="00FB3B3B">
            <w:pPr>
              <w:autoSpaceDE w:val="0"/>
              <w:autoSpaceDN w:val="0"/>
              <w:adjustRightInd w:val="0"/>
              <w:jc w:val="both"/>
            </w:pPr>
            <w:r w:rsidRPr="000F23EA">
              <w:t>□ ANO</w:t>
            </w:r>
          </w:p>
          <w:p w14:paraId="552DF169" w14:textId="77777777" w:rsidR="002F4377" w:rsidRPr="000F23EA" w:rsidRDefault="002F4377" w:rsidP="00FB3B3B">
            <w:pPr>
              <w:autoSpaceDE w:val="0"/>
              <w:autoSpaceDN w:val="0"/>
              <w:adjustRightInd w:val="0"/>
              <w:jc w:val="both"/>
            </w:pPr>
            <w:r w:rsidRPr="000F23EA">
              <w:t>Materiál přináší zlepšení.</w:t>
            </w:r>
          </w:p>
        </w:tc>
        <w:tc>
          <w:tcPr>
            <w:tcW w:w="1510" w:type="dxa"/>
            <w:tcBorders>
              <w:top w:val="single" w:sz="6" w:space="0" w:color="auto"/>
              <w:bottom w:val="single" w:sz="6" w:space="0" w:color="auto"/>
            </w:tcBorders>
            <w:shd w:val="clear" w:color="auto" w:fill="auto"/>
          </w:tcPr>
          <w:p w14:paraId="5E93198B" w14:textId="77777777" w:rsidR="002F4377" w:rsidRPr="000F23EA" w:rsidRDefault="002F4377" w:rsidP="00FB3B3B">
            <w:pPr>
              <w:autoSpaceDE w:val="0"/>
              <w:autoSpaceDN w:val="0"/>
              <w:adjustRightInd w:val="0"/>
              <w:jc w:val="both"/>
            </w:pPr>
            <w:r w:rsidRPr="000F23EA">
              <w:t>□ NE</w:t>
            </w:r>
          </w:p>
          <w:p w14:paraId="4C47BF83" w14:textId="77777777" w:rsidR="002F4377" w:rsidRPr="000F23EA" w:rsidRDefault="002F4377" w:rsidP="00FB3B3B">
            <w:pPr>
              <w:autoSpaceDE w:val="0"/>
              <w:autoSpaceDN w:val="0"/>
              <w:adjustRightInd w:val="0"/>
              <w:jc w:val="both"/>
            </w:pPr>
            <w:r w:rsidRPr="000F23EA">
              <w:t>Postavení žen a mužů se nemění.</w:t>
            </w:r>
          </w:p>
        </w:tc>
        <w:tc>
          <w:tcPr>
            <w:tcW w:w="1506" w:type="dxa"/>
            <w:tcBorders>
              <w:top w:val="single" w:sz="6" w:space="0" w:color="auto"/>
              <w:bottom w:val="single" w:sz="6" w:space="0" w:color="auto"/>
            </w:tcBorders>
            <w:shd w:val="clear" w:color="auto" w:fill="auto"/>
          </w:tcPr>
          <w:p w14:paraId="778AF282" w14:textId="77777777" w:rsidR="002F4377" w:rsidRPr="000F23EA" w:rsidRDefault="002F4377" w:rsidP="00FB3B3B">
            <w:pPr>
              <w:autoSpaceDE w:val="0"/>
              <w:autoSpaceDN w:val="0"/>
              <w:adjustRightInd w:val="0"/>
              <w:jc w:val="both"/>
            </w:pPr>
            <w:r w:rsidRPr="000F23EA">
              <w:t>□ NE</w:t>
            </w:r>
          </w:p>
          <w:p w14:paraId="288650FA" w14:textId="77777777" w:rsidR="002F4377" w:rsidRPr="000F23EA" w:rsidRDefault="002F4377" w:rsidP="00FB3B3B">
            <w:pPr>
              <w:autoSpaceDE w:val="0"/>
              <w:autoSpaceDN w:val="0"/>
              <w:adjustRightInd w:val="0"/>
              <w:jc w:val="both"/>
            </w:pPr>
            <w:r w:rsidRPr="000F23EA">
              <w:t>Materiál přináší zhoršení.</w:t>
            </w:r>
          </w:p>
          <w:p w14:paraId="43DD4217" w14:textId="77777777" w:rsidR="00917D01" w:rsidRPr="000F23EA" w:rsidRDefault="00917D01" w:rsidP="00FB3B3B">
            <w:pPr>
              <w:autoSpaceDE w:val="0"/>
              <w:autoSpaceDN w:val="0"/>
              <w:adjustRightInd w:val="0"/>
              <w:jc w:val="both"/>
            </w:pPr>
          </w:p>
        </w:tc>
      </w:tr>
      <w:tr w:rsidR="000F23EA" w:rsidRPr="000F23EA" w14:paraId="72AF542B" w14:textId="77777777" w:rsidTr="000C3F1F">
        <w:tc>
          <w:tcPr>
            <w:tcW w:w="9042" w:type="dxa"/>
            <w:gridSpan w:val="6"/>
            <w:tcBorders>
              <w:top w:val="single" w:sz="6" w:space="0" w:color="auto"/>
              <w:bottom w:val="single" w:sz="6" w:space="0" w:color="auto"/>
            </w:tcBorders>
            <w:shd w:val="clear" w:color="auto" w:fill="BFBFBF"/>
          </w:tcPr>
          <w:p w14:paraId="39E0732D" w14:textId="77777777" w:rsidR="002F4377" w:rsidRPr="000F23EA" w:rsidRDefault="002F4377" w:rsidP="00FB3B3B">
            <w:pPr>
              <w:autoSpaceDE w:val="0"/>
              <w:autoSpaceDN w:val="0"/>
              <w:adjustRightInd w:val="0"/>
              <w:jc w:val="both"/>
              <w:rPr>
                <w:b/>
              </w:rPr>
            </w:pPr>
            <w:r w:rsidRPr="000F23EA">
              <w:rPr>
                <w:b/>
              </w:rPr>
              <w:t>Hodnocení</w:t>
            </w:r>
          </w:p>
        </w:tc>
      </w:tr>
      <w:tr w:rsidR="000F23EA" w:rsidRPr="000F23EA" w14:paraId="4492B85F" w14:textId="77777777" w:rsidTr="000C3F1F">
        <w:tc>
          <w:tcPr>
            <w:tcW w:w="1506" w:type="dxa"/>
            <w:tcBorders>
              <w:top w:val="single" w:sz="6" w:space="0" w:color="auto"/>
              <w:bottom w:val="single" w:sz="6" w:space="0" w:color="auto"/>
            </w:tcBorders>
            <w:shd w:val="clear" w:color="auto" w:fill="auto"/>
          </w:tcPr>
          <w:p w14:paraId="4B3CF91F" w14:textId="77777777" w:rsidR="002F4377" w:rsidRPr="000F23EA" w:rsidRDefault="002F4377" w:rsidP="00FB3B3B">
            <w:pPr>
              <w:autoSpaceDE w:val="0"/>
              <w:autoSpaceDN w:val="0"/>
              <w:adjustRightInd w:val="0"/>
              <w:jc w:val="center"/>
            </w:pPr>
          </w:p>
        </w:tc>
        <w:tc>
          <w:tcPr>
            <w:tcW w:w="1503" w:type="dxa"/>
            <w:tcBorders>
              <w:top w:val="single" w:sz="6" w:space="0" w:color="auto"/>
              <w:bottom w:val="single" w:sz="6" w:space="0" w:color="auto"/>
            </w:tcBorders>
            <w:shd w:val="clear" w:color="auto" w:fill="auto"/>
          </w:tcPr>
          <w:p w14:paraId="7D2DEBB5" w14:textId="77777777" w:rsidR="002F4377" w:rsidRPr="000F23EA" w:rsidRDefault="002F4377" w:rsidP="00FB3B3B">
            <w:pPr>
              <w:autoSpaceDE w:val="0"/>
              <w:autoSpaceDN w:val="0"/>
              <w:adjustRightInd w:val="0"/>
              <w:jc w:val="center"/>
            </w:pPr>
          </w:p>
        </w:tc>
        <w:tc>
          <w:tcPr>
            <w:tcW w:w="1514" w:type="dxa"/>
            <w:tcBorders>
              <w:top w:val="single" w:sz="6" w:space="0" w:color="auto"/>
              <w:bottom w:val="single" w:sz="6" w:space="0" w:color="auto"/>
            </w:tcBorders>
            <w:shd w:val="clear" w:color="auto" w:fill="FFC000"/>
          </w:tcPr>
          <w:p w14:paraId="65B8699A" w14:textId="77777777" w:rsidR="002F4377" w:rsidRPr="000F23EA" w:rsidRDefault="002F4377" w:rsidP="00FB3B3B">
            <w:pPr>
              <w:autoSpaceDE w:val="0"/>
              <w:autoSpaceDN w:val="0"/>
              <w:adjustRightInd w:val="0"/>
              <w:jc w:val="center"/>
            </w:pPr>
            <w:r w:rsidRPr="000F23EA">
              <w:t xml:space="preserve">Materiál má </w:t>
            </w:r>
            <w:r w:rsidRPr="000F23EA">
              <w:rPr>
                <w:b/>
              </w:rPr>
              <w:t xml:space="preserve">neutrální </w:t>
            </w:r>
            <w:r w:rsidRPr="000F23EA">
              <w:t>dopad na rovnost žen a mužů.</w:t>
            </w:r>
          </w:p>
        </w:tc>
        <w:tc>
          <w:tcPr>
            <w:tcW w:w="1503" w:type="dxa"/>
            <w:tcBorders>
              <w:top w:val="single" w:sz="6" w:space="0" w:color="auto"/>
              <w:bottom w:val="single" w:sz="6" w:space="0" w:color="auto"/>
            </w:tcBorders>
            <w:shd w:val="clear" w:color="auto" w:fill="auto"/>
          </w:tcPr>
          <w:p w14:paraId="6EB813AE" w14:textId="77777777" w:rsidR="002F4377" w:rsidRPr="000F23EA" w:rsidRDefault="002F4377" w:rsidP="00FB3B3B">
            <w:pPr>
              <w:autoSpaceDE w:val="0"/>
              <w:autoSpaceDN w:val="0"/>
              <w:adjustRightInd w:val="0"/>
              <w:jc w:val="center"/>
            </w:pPr>
          </w:p>
          <w:p w14:paraId="26D7F924" w14:textId="77777777" w:rsidR="003F1644" w:rsidRPr="000F23EA" w:rsidRDefault="003F1644" w:rsidP="00FB3B3B">
            <w:pPr>
              <w:autoSpaceDE w:val="0"/>
              <w:autoSpaceDN w:val="0"/>
              <w:adjustRightInd w:val="0"/>
              <w:jc w:val="center"/>
            </w:pPr>
          </w:p>
          <w:p w14:paraId="467DA887" w14:textId="77777777" w:rsidR="003F1644" w:rsidRPr="000F23EA" w:rsidRDefault="003F1644" w:rsidP="00FB3B3B">
            <w:pPr>
              <w:autoSpaceDE w:val="0"/>
              <w:autoSpaceDN w:val="0"/>
              <w:adjustRightInd w:val="0"/>
              <w:jc w:val="center"/>
            </w:pPr>
          </w:p>
        </w:tc>
        <w:tc>
          <w:tcPr>
            <w:tcW w:w="1510" w:type="dxa"/>
            <w:tcBorders>
              <w:top w:val="single" w:sz="6" w:space="0" w:color="auto"/>
              <w:bottom w:val="single" w:sz="6" w:space="0" w:color="auto"/>
            </w:tcBorders>
            <w:shd w:val="clear" w:color="auto" w:fill="auto"/>
          </w:tcPr>
          <w:p w14:paraId="5DB723B3" w14:textId="77777777" w:rsidR="002F4377" w:rsidRPr="000F23EA" w:rsidRDefault="002F4377" w:rsidP="00FB3B3B">
            <w:pPr>
              <w:autoSpaceDE w:val="0"/>
              <w:autoSpaceDN w:val="0"/>
              <w:adjustRightInd w:val="0"/>
              <w:jc w:val="center"/>
            </w:pPr>
          </w:p>
        </w:tc>
        <w:tc>
          <w:tcPr>
            <w:tcW w:w="1506" w:type="dxa"/>
            <w:tcBorders>
              <w:top w:val="single" w:sz="6" w:space="0" w:color="auto"/>
              <w:bottom w:val="single" w:sz="6" w:space="0" w:color="auto"/>
            </w:tcBorders>
            <w:shd w:val="clear" w:color="auto" w:fill="auto"/>
          </w:tcPr>
          <w:p w14:paraId="55E17001" w14:textId="77777777" w:rsidR="002F4377" w:rsidRPr="000F23EA" w:rsidRDefault="002F4377" w:rsidP="00FB3B3B">
            <w:pPr>
              <w:autoSpaceDE w:val="0"/>
              <w:autoSpaceDN w:val="0"/>
              <w:adjustRightInd w:val="0"/>
              <w:jc w:val="center"/>
            </w:pPr>
          </w:p>
        </w:tc>
      </w:tr>
      <w:tr w:rsidR="000F23EA" w:rsidRPr="000F23EA" w14:paraId="590D72B7" w14:textId="77777777" w:rsidTr="000C3F1F">
        <w:tc>
          <w:tcPr>
            <w:tcW w:w="9042" w:type="dxa"/>
            <w:gridSpan w:val="6"/>
            <w:tcBorders>
              <w:top w:val="single" w:sz="6" w:space="0" w:color="auto"/>
              <w:bottom w:val="single" w:sz="6" w:space="0" w:color="auto"/>
            </w:tcBorders>
            <w:shd w:val="clear" w:color="auto" w:fill="BFBFBF"/>
          </w:tcPr>
          <w:p w14:paraId="4BB7DE77" w14:textId="77777777" w:rsidR="003F1644" w:rsidRPr="000F23EA" w:rsidRDefault="003F1644" w:rsidP="00FB3B3B">
            <w:pPr>
              <w:autoSpaceDE w:val="0"/>
              <w:autoSpaceDN w:val="0"/>
              <w:adjustRightInd w:val="0"/>
              <w:jc w:val="both"/>
              <w:rPr>
                <w:b/>
              </w:rPr>
            </w:pPr>
          </w:p>
          <w:p w14:paraId="67DE5FC8" w14:textId="77777777" w:rsidR="002F4377" w:rsidRPr="000F23EA" w:rsidRDefault="002F4377" w:rsidP="00FB3B3B">
            <w:pPr>
              <w:autoSpaceDE w:val="0"/>
              <w:autoSpaceDN w:val="0"/>
              <w:adjustRightInd w:val="0"/>
              <w:jc w:val="both"/>
              <w:rPr>
                <w:b/>
              </w:rPr>
            </w:pPr>
            <w:r w:rsidRPr="000F23EA">
              <w:rPr>
                <w:b/>
              </w:rPr>
              <w:t>Analýza a popis případných změn materiálu</w:t>
            </w:r>
          </w:p>
        </w:tc>
      </w:tr>
      <w:tr w:rsidR="000F23EA" w:rsidRPr="000F23EA" w14:paraId="22082E2A" w14:textId="77777777" w:rsidTr="000C3F1F">
        <w:tc>
          <w:tcPr>
            <w:tcW w:w="9042" w:type="dxa"/>
            <w:gridSpan w:val="6"/>
            <w:tcBorders>
              <w:top w:val="single" w:sz="6" w:space="0" w:color="auto"/>
              <w:bottom w:val="single" w:sz="6" w:space="0" w:color="auto"/>
            </w:tcBorders>
            <w:shd w:val="clear" w:color="auto" w:fill="auto"/>
          </w:tcPr>
          <w:p w14:paraId="73F6C85E" w14:textId="77777777" w:rsidR="005C69EA" w:rsidRPr="003B0320" w:rsidRDefault="003F1644" w:rsidP="005C69EA">
            <w:pPr>
              <w:jc w:val="both"/>
              <w:rPr>
                <w:bCs/>
              </w:rPr>
            </w:pPr>
            <w:r w:rsidRPr="000F23EA">
              <w:t>V rámci předkládané právní úpravy se navrhuje</w:t>
            </w:r>
            <w:r w:rsidR="005C69EA">
              <w:t xml:space="preserve"> z</w:t>
            </w:r>
            <w:r w:rsidR="005C69EA" w:rsidRPr="003B0320">
              <w:rPr>
                <w:bCs/>
              </w:rPr>
              <w:t xml:space="preserve">výšení maximální částky příspěvku </w:t>
            </w:r>
            <w:r w:rsidR="005C69EA">
              <w:rPr>
                <w:bCs/>
              </w:rPr>
              <w:t xml:space="preserve">a </w:t>
            </w:r>
            <w:r w:rsidR="005C69EA" w:rsidRPr="003B0320">
              <w:rPr>
                <w:bCs/>
              </w:rPr>
              <w:t>v rámci meziresortního připomínkového řízení se předkládá ve dvou variantách:</w:t>
            </w:r>
          </w:p>
          <w:p w14:paraId="5D71C1F2" w14:textId="24F31EA6" w:rsidR="005C69EA" w:rsidRPr="003B0320" w:rsidRDefault="005C69EA" w:rsidP="00323EC4">
            <w:pPr>
              <w:pStyle w:val="Odstavecseseznamem"/>
              <w:numPr>
                <w:ilvl w:val="0"/>
                <w:numId w:val="5"/>
              </w:numPr>
              <w:rPr>
                <w:rFonts w:ascii="Times New Roman" w:hAnsi="Times New Roman"/>
                <w:bCs/>
                <w:color w:val="000000"/>
              </w:rPr>
            </w:pPr>
            <w:r w:rsidRPr="003B0320">
              <w:rPr>
                <w:rFonts w:ascii="Times New Roman" w:hAnsi="Times New Roman"/>
                <w:b/>
                <w:color w:val="000000"/>
              </w:rPr>
              <w:t xml:space="preserve">varianta </w:t>
            </w:r>
            <w:r w:rsidR="00CF04CA">
              <w:rPr>
                <w:rFonts w:ascii="Times New Roman" w:hAnsi="Times New Roman"/>
                <w:b/>
                <w:color w:val="000000"/>
              </w:rPr>
              <w:t>I</w:t>
            </w:r>
            <w:r w:rsidRPr="003B0320">
              <w:rPr>
                <w:rFonts w:ascii="Times New Roman" w:hAnsi="Times New Roman"/>
                <w:bCs/>
                <w:color w:val="000000"/>
              </w:rPr>
              <w:t xml:space="preserve"> </w:t>
            </w:r>
            <w:r w:rsidR="00CF04CA" w:rsidRPr="003B0320">
              <w:rPr>
                <w:rFonts w:ascii="Times New Roman" w:hAnsi="Times New Roman"/>
                <w:bCs/>
                <w:color w:val="000000"/>
              </w:rPr>
              <w:t xml:space="preserve">– </w:t>
            </w:r>
            <w:r w:rsidR="00CF04CA">
              <w:rPr>
                <w:rFonts w:ascii="Times New Roman" w:hAnsi="Times New Roman"/>
                <w:bCs/>
                <w:color w:val="000000"/>
              </w:rPr>
              <w:t>maximální</w:t>
            </w:r>
            <w:r w:rsidRPr="003B0320">
              <w:rPr>
                <w:rFonts w:ascii="Times New Roman" w:hAnsi="Times New Roman"/>
                <w:bCs/>
                <w:color w:val="000000"/>
              </w:rPr>
              <w:t xml:space="preserve"> částka příspěvku </w:t>
            </w:r>
            <w:r w:rsidRPr="003B0320">
              <w:rPr>
                <w:rFonts w:ascii="Times New Roman" w:hAnsi="Times New Roman"/>
                <w:b/>
                <w:color w:val="000000"/>
              </w:rPr>
              <w:t>1</w:t>
            </w:r>
            <w:r w:rsidR="00D6669D">
              <w:rPr>
                <w:rFonts w:ascii="Times New Roman" w:hAnsi="Times New Roman"/>
                <w:b/>
                <w:color w:val="000000"/>
              </w:rPr>
              <w:t>4</w:t>
            </w:r>
            <w:r w:rsidRPr="003B0320">
              <w:rPr>
                <w:rFonts w:ascii="Times New Roman" w:hAnsi="Times New Roman"/>
                <w:b/>
                <w:color w:val="000000"/>
              </w:rPr>
              <w:t> </w:t>
            </w:r>
            <w:r w:rsidR="00D6669D">
              <w:rPr>
                <w:rFonts w:ascii="Times New Roman" w:hAnsi="Times New Roman"/>
                <w:b/>
                <w:color w:val="000000"/>
              </w:rPr>
              <w:t>2</w:t>
            </w:r>
            <w:r w:rsidRPr="003B0320">
              <w:rPr>
                <w:rFonts w:ascii="Times New Roman" w:hAnsi="Times New Roman"/>
                <w:b/>
                <w:color w:val="000000"/>
              </w:rPr>
              <w:t xml:space="preserve">00 Kč </w:t>
            </w:r>
            <w:r w:rsidRPr="003B0320">
              <w:rPr>
                <w:rFonts w:ascii="Times New Roman" w:hAnsi="Times New Roman"/>
                <w:bCs/>
                <w:color w:val="000000"/>
              </w:rPr>
              <w:t xml:space="preserve">(zvýšení o </w:t>
            </w:r>
            <w:r w:rsidR="00D6669D">
              <w:rPr>
                <w:rFonts w:ascii="Times New Roman" w:hAnsi="Times New Roman"/>
                <w:bCs/>
                <w:color w:val="000000"/>
              </w:rPr>
              <w:t>6</w:t>
            </w:r>
            <w:r w:rsidRPr="003B0320">
              <w:rPr>
                <w:rFonts w:ascii="Times New Roman" w:hAnsi="Times New Roman"/>
                <w:bCs/>
                <w:color w:val="000000"/>
              </w:rPr>
              <w:t>00 Kč)</w:t>
            </w:r>
          </w:p>
          <w:p w14:paraId="702A4E3B" w14:textId="60FFC7B0" w:rsidR="002A011C" w:rsidRPr="000F23EA" w:rsidRDefault="005C69EA" w:rsidP="00323EC4">
            <w:pPr>
              <w:pStyle w:val="Odstavecseseznamem"/>
              <w:numPr>
                <w:ilvl w:val="0"/>
                <w:numId w:val="5"/>
              </w:numPr>
              <w:tabs>
                <w:tab w:val="left" w:pos="-720"/>
              </w:tabs>
              <w:suppressAutoHyphens/>
              <w:autoSpaceDE w:val="0"/>
              <w:autoSpaceDN w:val="0"/>
              <w:adjustRightInd w:val="0"/>
            </w:pPr>
            <w:r w:rsidRPr="005C69EA">
              <w:rPr>
                <w:rFonts w:ascii="Times New Roman" w:hAnsi="Times New Roman"/>
                <w:b/>
                <w:color w:val="000000"/>
              </w:rPr>
              <w:t xml:space="preserve">varianta </w:t>
            </w:r>
            <w:r w:rsidR="00CF04CA">
              <w:rPr>
                <w:rFonts w:ascii="Times New Roman" w:hAnsi="Times New Roman"/>
                <w:b/>
                <w:color w:val="000000"/>
              </w:rPr>
              <w:t>II</w:t>
            </w:r>
            <w:r w:rsidRPr="005C69EA">
              <w:rPr>
                <w:rFonts w:ascii="Times New Roman" w:hAnsi="Times New Roman"/>
                <w:b/>
                <w:color w:val="000000"/>
              </w:rPr>
              <w:t xml:space="preserve"> </w:t>
            </w:r>
            <w:r w:rsidRPr="005C69EA">
              <w:rPr>
                <w:rFonts w:ascii="Times New Roman" w:hAnsi="Times New Roman"/>
                <w:bCs/>
                <w:color w:val="000000"/>
              </w:rPr>
              <w:t xml:space="preserve">– maximální částka příspěvku </w:t>
            </w:r>
            <w:r w:rsidRPr="005C69EA">
              <w:rPr>
                <w:rFonts w:ascii="Times New Roman" w:hAnsi="Times New Roman"/>
                <w:b/>
                <w:color w:val="000000"/>
              </w:rPr>
              <w:t>1</w:t>
            </w:r>
            <w:r w:rsidR="00D6669D">
              <w:rPr>
                <w:rFonts w:ascii="Times New Roman" w:hAnsi="Times New Roman"/>
                <w:b/>
                <w:color w:val="000000"/>
              </w:rPr>
              <w:t>4</w:t>
            </w:r>
            <w:r w:rsidRPr="005C69EA">
              <w:rPr>
                <w:rFonts w:ascii="Times New Roman" w:hAnsi="Times New Roman"/>
                <w:b/>
                <w:color w:val="000000"/>
              </w:rPr>
              <w:t> </w:t>
            </w:r>
            <w:r w:rsidR="00D6669D">
              <w:rPr>
                <w:rFonts w:ascii="Times New Roman" w:hAnsi="Times New Roman"/>
                <w:b/>
                <w:color w:val="000000"/>
              </w:rPr>
              <w:t>6</w:t>
            </w:r>
            <w:r w:rsidRPr="005C69EA">
              <w:rPr>
                <w:rFonts w:ascii="Times New Roman" w:hAnsi="Times New Roman"/>
                <w:b/>
                <w:color w:val="000000"/>
              </w:rPr>
              <w:t xml:space="preserve">00 Kč </w:t>
            </w:r>
            <w:r w:rsidRPr="005C69EA">
              <w:rPr>
                <w:rFonts w:ascii="Times New Roman" w:hAnsi="Times New Roman"/>
                <w:bCs/>
                <w:color w:val="000000"/>
              </w:rPr>
              <w:t>(zvýšení o 1 </w:t>
            </w:r>
            <w:r w:rsidR="00D6669D">
              <w:rPr>
                <w:rFonts w:ascii="Times New Roman" w:hAnsi="Times New Roman"/>
                <w:bCs/>
                <w:color w:val="000000"/>
              </w:rPr>
              <w:t>0</w:t>
            </w:r>
            <w:r w:rsidRPr="005C69EA">
              <w:rPr>
                <w:rFonts w:ascii="Times New Roman" w:hAnsi="Times New Roman"/>
                <w:bCs/>
                <w:color w:val="000000"/>
              </w:rPr>
              <w:t>00 Kč).</w:t>
            </w:r>
          </w:p>
        </w:tc>
      </w:tr>
      <w:tr w:rsidR="000F23EA" w:rsidRPr="000F23EA" w14:paraId="57815DD4" w14:textId="77777777" w:rsidTr="000C3F1F">
        <w:tc>
          <w:tcPr>
            <w:tcW w:w="9042" w:type="dxa"/>
            <w:gridSpan w:val="6"/>
            <w:tcBorders>
              <w:top w:val="single" w:sz="6" w:space="0" w:color="auto"/>
              <w:bottom w:val="single" w:sz="6" w:space="0" w:color="auto"/>
            </w:tcBorders>
            <w:shd w:val="clear" w:color="auto" w:fill="BFBFBF"/>
          </w:tcPr>
          <w:p w14:paraId="2EDFB722" w14:textId="77777777" w:rsidR="002F4377" w:rsidRPr="000F23EA" w:rsidRDefault="002F4377" w:rsidP="00FB3B3B">
            <w:pPr>
              <w:autoSpaceDE w:val="0"/>
              <w:autoSpaceDN w:val="0"/>
              <w:adjustRightInd w:val="0"/>
              <w:jc w:val="both"/>
              <w:rPr>
                <w:b/>
              </w:rPr>
            </w:pPr>
            <w:r w:rsidRPr="000F23EA">
              <w:rPr>
                <w:b/>
              </w:rPr>
              <w:t>Další poznámky a připomínky</w:t>
            </w:r>
          </w:p>
        </w:tc>
      </w:tr>
      <w:tr w:rsidR="002F4377" w:rsidRPr="000F23EA" w14:paraId="363CA9C3" w14:textId="77777777" w:rsidTr="000C3F1F">
        <w:tc>
          <w:tcPr>
            <w:tcW w:w="9042" w:type="dxa"/>
            <w:gridSpan w:val="6"/>
            <w:tcBorders>
              <w:top w:val="single" w:sz="6" w:space="0" w:color="auto"/>
            </w:tcBorders>
            <w:shd w:val="clear" w:color="auto" w:fill="auto"/>
          </w:tcPr>
          <w:p w14:paraId="18F97CFD" w14:textId="77777777" w:rsidR="002F4377" w:rsidRPr="000F23EA" w:rsidRDefault="003F1644" w:rsidP="00FB3B3B">
            <w:pPr>
              <w:autoSpaceDE w:val="0"/>
              <w:autoSpaceDN w:val="0"/>
              <w:adjustRightInd w:val="0"/>
              <w:jc w:val="both"/>
            </w:pPr>
            <w:r w:rsidRPr="000F23EA">
              <w:t>---</w:t>
            </w:r>
          </w:p>
        </w:tc>
      </w:tr>
    </w:tbl>
    <w:p w14:paraId="50496BFD" w14:textId="77777777" w:rsidR="002A6B4C" w:rsidRPr="000F23EA" w:rsidRDefault="002A6B4C" w:rsidP="00FB3B3B">
      <w:pPr>
        <w:jc w:val="both"/>
      </w:pPr>
    </w:p>
    <w:p w14:paraId="53B67A00" w14:textId="77777777" w:rsidR="00706904" w:rsidRDefault="00706904" w:rsidP="00FB3B3B">
      <w:pPr>
        <w:jc w:val="both"/>
        <w:rPr>
          <w:b/>
        </w:rPr>
      </w:pPr>
    </w:p>
    <w:p w14:paraId="2BC0B40F" w14:textId="1A73307D" w:rsidR="00F82B7D" w:rsidRDefault="00F82B7D" w:rsidP="00FB3B3B">
      <w:pPr>
        <w:jc w:val="both"/>
        <w:rPr>
          <w:b/>
        </w:rPr>
      </w:pPr>
      <w:r w:rsidRPr="000F23EA">
        <w:rPr>
          <w:b/>
        </w:rPr>
        <w:t>8.</w:t>
      </w:r>
      <w:r w:rsidR="00CE17E0" w:rsidRPr="000F23EA">
        <w:rPr>
          <w:b/>
        </w:rPr>
        <w:t>9</w:t>
      </w:r>
      <w:r w:rsidRPr="000F23EA">
        <w:rPr>
          <w:b/>
        </w:rPr>
        <w:t>.</w:t>
      </w:r>
      <w:r w:rsidR="005927C5" w:rsidRPr="000F23EA">
        <w:rPr>
          <w:b/>
        </w:rPr>
        <w:t xml:space="preserve"> </w:t>
      </w:r>
      <w:r w:rsidRPr="000F23EA">
        <w:rPr>
          <w:b/>
        </w:rPr>
        <w:t>Dopady na výkon státní statistické služby</w:t>
      </w:r>
    </w:p>
    <w:p w14:paraId="5017E0C2" w14:textId="77777777" w:rsidR="00706904" w:rsidRDefault="00706904" w:rsidP="00FB3B3B">
      <w:pPr>
        <w:jc w:val="both"/>
        <w:rPr>
          <w:b/>
        </w:rPr>
      </w:pPr>
    </w:p>
    <w:p w14:paraId="1AC8738D" w14:textId="77777777" w:rsidR="00BB7418" w:rsidRDefault="00BB7418" w:rsidP="00FB3B3B">
      <w:pPr>
        <w:jc w:val="both"/>
      </w:pPr>
      <w:r w:rsidRPr="000F23EA">
        <w:t xml:space="preserve">Navrhovaná úprava nebude mít za následek žádné dopady </w:t>
      </w:r>
      <w:r>
        <w:t>na výkon státní statistické služby.</w:t>
      </w:r>
    </w:p>
    <w:p w14:paraId="1705A25F" w14:textId="77777777" w:rsidR="00BB7418" w:rsidRDefault="00BB7418" w:rsidP="00FB3B3B">
      <w:pPr>
        <w:jc w:val="both"/>
      </w:pPr>
    </w:p>
    <w:p w14:paraId="4E32C830" w14:textId="3F1658E7" w:rsidR="00BA57BE" w:rsidRDefault="00F82B7D" w:rsidP="00FB3B3B">
      <w:pPr>
        <w:jc w:val="both"/>
        <w:rPr>
          <w:b/>
        </w:rPr>
      </w:pPr>
      <w:r w:rsidRPr="005C69EA">
        <w:rPr>
          <w:b/>
        </w:rPr>
        <w:t>8.</w:t>
      </w:r>
      <w:r w:rsidR="00CE17E0" w:rsidRPr="005C69EA">
        <w:rPr>
          <w:b/>
        </w:rPr>
        <w:t>10</w:t>
      </w:r>
      <w:r w:rsidR="00E648EC" w:rsidRPr="005C69EA">
        <w:rPr>
          <w:b/>
        </w:rPr>
        <w:t>.</w:t>
      </w:r>
      <w:r w:rsidR="00BA57BE" w:rsidRPr="005C69EA">
        <w:rPr>
          <w:b/>
        </w:rPr>
        <w:t xml:space="preserve"> Na ochranu soukromí a osobních údajů</w:t>
      </w:r>
    </w:p>
    <w:p w14:paraId="575D7B5F" w14:textId="77777777" w:rsidR="00706904" w:rsidRPr="005C69EA" w:rsidRDefault="00706904" w:rsidP="00FB3B3B">
      <w:pPr>
        <w:jc w:val="both"/>
        <w:rPr>
          <w:b/>
        </w:rPr>
      </w:pPr>
    </w:p>
    <w:p w14:paraId="0D36C3B0" w14:textId="77777777" w:rsidR="00BB7418" w:rsidRDefault="00BB7418" w:rsidP="005C69EA">
      <w:pPr>
        <w:jc w:val="both"/>
        <w:rPr>
          <w:bCs/>
        </w:rPr>
      </w:pPr>
      <w:r w:rsidRPr="00DE1B62">
        <w:rPr>
          <w:bCs/>
        </w:rPr>
        <w:t xml:space="preserve">Předkládaná právní úprava respektuje právní rámec ochrany a zpracování osobních údajů </w:t>
      </w:r>
      <w:r>
        <w:rPr>
          <w:bCs/>
        </w:rPr>
        <w:br/>
      </w:r>
      <w:r w:rsidRPr="00DE1B62">
        <w:rPr>
          <w:bCs/>
        </w:rPr>
        <w:t>a jeho jednotlivé parametry.</w:t>
      </w:r>
    </w:p>
    <w:p w14:paraId="08FE0025" w14:textId="77777777" w:rsidR="00BB7418" w:rsidRDefault="00BB7418" w:rsidP="005C69EA">
      <w:pPr>
        <w:jc w:val="both"/>
        <w:rPr>
          <w:bCs/>
        </w:rPr>
      </w:pPr>
    </w:p>
    <w:p w14:paraId="135850AE" w14:textId="77777777" w:rsidR="00BB7418" w:rsidRDefault="00BB7418" w:rsidP="005C69EA">
      <w:pPr>
        <w:suppressAutoHyphens/>
        <w:jc w:val="both"/>
        <w:rPr>
          <w:bCs/>
        </w:rPr>
      </w:pPr>
      <w:r w:rsidRPr="003E5760">
        <w:rPr>
          <w:rFonts w:eastAsia="Calibri"/>
        </w:rPr>
        <w:t>Navrhovaná právní úprava nemění existující zpracování osobních údajů a ani nezakládá žádné nové způsoby jejich zpracování. Z hlediska ochrany soukromí a osobních údajů nebyly</w:t>
      </w:r>
      <w:r>
        <w:rPr>
          <w:rFonts w:eastAsia="Calibri"/>
        </w:rPr>
        <w:t xml:space="preserve"> </w:t>
      </w:r>
      <w:r w:rsidRPr="003E5760">
        <w:rPr>
          <w:rFonts w:eastAsia="Calibri"/>
        </w:rPr>
        <w:t>identifikovány žádné negativní dopady</w:t>
      </w:r>
      <w:r>
        <w:rPr>
          <w:rFonts w:eastAsia="Calibri"/>
        </w:rPr>
        <w:t>, protože n</w:t>
      </w:r>
      <w:r w:rsidRPr="00DE1B62">
        <w:rPr>
          <w:bCs/>
        </w:rPr>
        <w:t>avrhovaná právní nezakládá žádné nové požadavky na předkládání a zpracování osobních údajů.</w:t>
      </w:r>
    </w:p>
    <w:p w14:paraId="3E1BD065" w14:textId="77777777" w:rsidR="00282E58" w:rsidRPr="004C390E" w:rsidRDefault="00282E58" w:rsidP="005C69EA">
      <w:pPr>
        <w:jc w:val="both"/>
      </w:pPr>
    </w:p>
    <w:p w14:paraId="4C167A79" w14:textId="77777777" w:rsidR="00282E58" w:rsidRDefault="00282E58" w:rsidP="005C69EA">
      <w:pPr>
        <w:jc w:val="both"/>
      </w:pPr>
      <w:r w:rsidRPr="004C390E">
        <w:t xml:space="preserve">Vzhledem k výše uvedenému </w:t>
      </w:r>
      <w:r w:rsidR="005C69EA">
        <w:t>předkladatel v souvislosti s navrhovanou právní úpravou neidentifikoval žádná</w:t>
      </w:r>
      <w:r w:rsidRPr="004C390E">
        <w:t xml:space="preserve"> rizik</w:t>
      </w:r>
      <w:r w:rsidR="005C69EA">
        <w:t>a</w:t>
      </w:r>
      <w:r w:rsidRPr="004C390E">
        <w:t xml:space="preserve"> v oblasti nakládání s osobními údaji dotčených fyzických osob, </w:t>
      </w:r>
      <w:r w:rsidR="005C69EA">
        <w:t>protože</w:t>
      </w:r>
      <w:r w:rsidRPr="004C390E">
        <w:t xml:space="preserve"> zabezpečení osobních údajů dotčených fyzických osob bude zajištěno stejně jako doposud v rámci stávajícího fungujícího informačního systému</w:t>
      </w:r>
      <w:r w:rsidR="005C69EA">
        <w:t>,</w:t>
      </w:r>
      <w:r w:rsidRPr="004C390E">
        <w:t xml:space="preserve"> a předkladatel konstatuje, že práva fyzických osob v oblasti ochrany osobních údajů nebudou </w:t>
      </w:r>
      <w:r w:rsidR="005C69EA">
        <w:t xml:space="preserve">navrhovaným nařízením vlády nijak </w:t>
      </w:r>
      <w:r w:rsidRPr="004C390E">
        <w:t>dotčena.</w:t>
      </w:r>
    </w:p>
    <w:p w14:paraId="15654E40" w14:textId="3852C31B" w:rsidR="00282E58" w:rsidRDefault="00282E58" w:rsidP="00282E58">
      <w:pPr>
        <w:jc w:val="both"/>
        <w:rPr>
          <w:color w:val="FF0000"/>
        </w:rPr>
      </w:pPr>
    </w:p>
    <w:p w14:paraId="5A13A33F" w14:textId="3E6A89D2" w:rsidR="00706904" w:rsidRDefault="00706904" w:rsidP="00282E58">
      <w:pPr>
        <w:jc w:val="both"/>
        <w:rPr>
          <w:color w:val="FF0000"/>
        </w:rPr>
      </w:pPr>
    </w:p>
    <w:p w14:paraId="18360047" w14:textId="6AB5661A" w:rsidR="00706904" w:rsidRDefault="00706904" w:rsidP="00282E58">
      <w:pPr>
        <w:jc w:val="both"/>
        <w:rPr>
          <w:color w:val="FF0000"/>
        </w:rPr>
      </w:pPr>
    </w:p>
    <w:p w14:paraId="4C1AEA22" w14:textId="3F94E967" w:rsidR="00706904" w:rsidRDefault="00706904" w:rsidP="00282E58">
      <w:pPr>
        <w:jc w:val="both"/>
        <w:rPr>
          <w:color w:val="FF0000"/>
        </w:rPr>
      </w:pPr>
    </w:p>
    <w:p w14:paraId="4ECAE018" w14:textId="77777777" w:rsidR="00706904" w:rsidRPr="00641D6C" w:rsidRDefault="00706904" w:rsidP="00282E58">
      <w:pPr>
        <w:jc w:val="both"/>
        <w:rPr>
          <w:color w:val="FF0000"/>
        </w:rPr>
      </w:pPr>
    </w:p>
    <w:p w14:paraId="6A779C01" w14:textId="77777777" w:rsidR="00E272D2" w:rsidRPr="00A21502" w:rsidRDefault="00F82B7D" w:rsidP="004A7987">
      <w:pPr>
        <w:jc w:val="both"/>
        <w:rPr>
          <w:b/>
        </w:rPr>
      </w:pPr>
      <w:r w:rsidRPr="00A21502">
        <w:rPr>
          <w:b/>
        </w:rPr>
        <w:lastRenderedPageBreak/>
        <w:t>8.1</w:t>
      </w:r>
      <w:r w:rsidR="00CE17E0" w:rsidRPr="00A21502">
        <w:rPr>
          <w:b/>
        </w:rPr>
        <w:t>1</w:t>
      </w:r>
      <w:r w:rsidR="00BA57BE" w:rsidRPr="00A21502">
        <w:rPr>
          <w:b/>
        </w:rPr>
        <w:t>. Zhodnocení korupčních rizik – CIA</w:t>
      </w:r>
    </w:p>
    <w:p w14:paraId="09A8B965" w14:textId="77777777" w:rsidR="00BA57BE" w:rsidRPr="000F23EA" w:rsidRDefault="00BA57BE" w:rsidP="00FB3B3B">
      <w:pPr>
        <w:jc w:val="both"/>
        <w:rPr>
          <w:b/>
        </w:rPr>
      </w:pPr>
    </w:p>
    <w:p w14:paraId="28DD01CE" w14:textId="77777777" w:rsidR="00F163C4" w:rsidRPr="000F23EA" w:rsidRDefault="00FC3665" w:rsidP="00FB3B3B">
      <w:pPr>
        <w:jc w:val="both"/>
        <w:rPr>
          <w:rFonts w:eastAsia="Calibri"/>
        </w:rPr>
      </w:pPr>
      <w:r w:rsidRPr="000F23EA">
        <w:t>C</w:t>
      </w:r>
      <w:r w:rsidR="00F163C4" w:rsidRPr="000F23EA">
        <w:t>íl</w:t>
      </w:r>
    </w:p>
    <w:p w14:paraId="419AF275" w14:textId="22E3E32D" w:rsidR="00282E58" w:rsidRPr="00A21502" w:rsidRDefault="00A21502" w:rsidP="00A21502">
      <w:pPr>
        <w:tabs>
          <w:tab w:val="left" w:pos="6660"/>
        </w:tabs>
        <w:jc w:val="both"/>
        <w:rPr>
          <w:rFonts w:eastAsia="MS Gothic"/>
          <w:bCs/>
          <w:noProof/>
        </w:rPr>
      </w:pPr>
      <w:r w:rsidRPr="003B0320">
        <w:rPr>
          <w:rFonts w:eastAsia="MS Gothic"/>
          <w:bCs/>
          <w:noProof/>
        </w:rPr>
        <w:t>Cílem návrhu nařízení vlády je zvýšit maximální čátku příspěvku na podporu zaměstnávání osob se zdravotním postižením na chráněném trhu práce, která nyní činí 1</w:t>
      </w:r>
      <w:r w:rsidR="00F1378F">
        <w:rPr>
          <w:rFonts w:eastAsia="MS Gothic"/>
          <w:bCs/>
          <w:noProof/>
        </w:rPr>
        <w:t>3</w:t>
      </w:r>
      <w:r w:rsidRPr="003B0320">
        <w:rPr>
          <w:rFonts w:eastAsia="MS Gothic"/>
          <w:bCs/>
          <w:noProof/>
        </w:rPr>
        <w:t> </w:t>
      </w:r>
      <w:r w:rsidR="00F1378F">
        <w:rPr>
          <w:rFonts w:eastAsia="MS Gothic"/>
          <w:bCs/>
          <w:noProof/>
        </w:rPr>
        <w:t>6</w:t>
      </w:r>
      <w:r w:rsidRPr="003B0320">
        <w:rPr>
          <w:rFonts w:eastAsia="MS Gothic"/>
          <w:bCs/>
          <w:noProof/>
        </w:rPr>
        <w:t>00 Kč.</w:t>
      </w:r>
      <w:r>
        <w:rPr>
          <w:rFonts w:eastAsia="MS Gothic"/>
          <w:bCs/>
          <w:noProof/>
        </w:rPr>
        <w:t xml:space="preserve"> </w:t>
      </w:r>
      <w:r w:rsidRPr="003B0320">
        <w:rPr>
          <w:bCs/>
        </w:rPr>
        <w:t>Toto opatření má zabránit nežádoucímu snižování zaměstnanosti osob se zdravotním postižením, které mají ztíženou možnost uplatnění na trhu práce.</w:t>
      </w:r>
      <w:r w:rsidR="00282E58" w:rsidRPr="00282E58">
        <w:rPr>
          <w:bCs/>
        </w:rPr>
        <w:t xml:space="preserve"> </w:t>
      </w:r>
    </w:p>
    <w:p w14:paraId="70545C4D" w14:textId="77777777" w:rsidR="00282E58" w:rsidRDefault="00282E58" w:rsidP="00874031">
      <w:pPr>
        <w:pStyle w:val="Odstavecseseznamem"/>
        <w:ind w:left="0"/>
        <w:rPr>
          <w:rFonts w:ascii="Times New Roman" w:hAnsi="Times New Roman"/>
          <w:bCs/>
        </w:rPr>
      </w:pPr>
    </w:p>
    <w:p w14:paraId="6F65E217" w14:textId="77777777" w:rsidR="00E272D2" w:rsidRPr="000F23EA" w:rsidRDefault="00E272D2" w:rsidP="00FB3B3B">
      <w:pPr>
        <w:jc w:val="both"/>
        <w:rPr>
          <w:rFonts w:eastAsia="Calibri"/>
        </w:rPr>
      </w:pPr>
      <w:r w:rsidRPr="000F23EA">
        <w:rPr>
          <w:rFonts w:eastAsia="Calibri"/>
        </w:rPr>
        <w:t>Zhodnocení korupčních rizik provedené dle metodiky CIA:</w:t>
      </w:r>
    </w:p>
    <w:p w14:paraId="329F90C1" w14:textId="77777777" w:rsidR="004314E2" w:rsidRPr="000F23EA" w:rsidRDefault="004314E2" w:rsidP="00FB3B3B">
      <w:pPr>
        <w:jc w:val="both"/>
        <w:rPr>
          <w:rFonts w:eastAsia="Calibri"/>
        </w:rPr>
      </w:pPr>
    </w:p>
    <w:p w14:paraId="2E811475" w14:textId="77777777" w:rsidR="004314E2" w:rsidRPr="000F23EA" w:rsidRDefault="004314E2" w:rsidP="004314E2">
      <w:pPr>
        <w:jc w:val="both"/>
        <w:rPr>
          <w:rFonts w:eastAsia="Calibri"/>
        </w:rPr>
      </w:pPr>
      <w:r w:rsidRPr="000F23EA">
        <w:rPr>
          <w:rFonts w:eastAsia="Calibri"/>
        </w:rPr>
        <w:t>Předkladatel provedl zhodnocení korupčních rizik ve smyslu čl. 9 odst. 2 písm. i)</w:t>
      </w:r>
      <w:r w:rsidR="002823BC" w:rsidRPr="000F23EA">
        <w:rPr>
          <w:rFonts w:eastAsia="Calibri"/>
        </w:rPr>
        <w:t> </w:t>
      </w:r>
      <w:r w:rsidRPr="000F23EA">
        <w:rPr>
          <w:rFonts w:eastAsia="Calibri"/>
        </w:rPr>
        <w:t xml:space="preserve">Legislativních pravidel vlády. S navrhovanou právní úpravou nejsou spojena korupční rizika. </w:t>
      </w:r>
    </w:p>
    <w:p w14:paraId="28FA85E7" w14:textId="77777777" w:rsidR="004314E2" w:rsidRPr="000F23EA" w:rsidRDefault="004314E2" w:rsidP="00FB3B3B">
      <w:pPr>
        <w:jc w:val="both"/>
        <w:rPr>
          <w:rFonts w:eastAsia="Calibri"/>
        </w:rPr>
      </w:pPr>
    </w:p>
    <w:p w14:paraId="2DEFA7A4" w14:textId="77777777" w:rsidR="00E272D2" w:rsidRPr="000F23EA" w:rsidRDefault="00E272D2" w:rsidP="00FB3B3B">
      <w:pPr>
        <w:jc w:val="both"/>
        <w:rPr>
          <w:rFonts w:eastAsia="Calibri"/>
        </w:rPr>
      </w:pPr>
      <w:r w:rsidRPr="000F23EA">
        <w:rPr>
          <w:rFonts w:eastAsia="Calibri"/>
        </w:rPr>
        <w:t>Zásady:</w:t>
      </w:r>
    </w:p>
    <w:p w14:paraId="5DFF054F" w14:textId="77777777" w:rsidR="00E272D2" w:rsidRPr="000F23EA" w:rsidRDefault="00E272D2" w:rsidP="00FB3B3B">
      <w:pPr>
        <w:jc w:val="both"/>
        <w:rPr>
          <w:rFonts w:eastAsia="Calibri"/>
        </w:rPr>
      </w:pPr>
    </w:p>
    <w:p w14:paraId="1B7B9386" w14:textId="77777777" w:rsidR="002D3EE9" w:rsidRPr="000F23EA" w:rsidRDefault="00E272D2" w:rsidP="00323EC4">
      <w:pPr>
        <w:pStyle w:val="Odstavecseseznamem"/>
        <w:numPr>
          <w:ilvl w:val="0"/>
          <w:numId w:val="2"/>
        </w:numPr>
        <w:rPr>
          <w:rFonts w:ascii="Times New Roman" w:hAnsi="Times New Roman"/>
          <w:szCs w:val="24"/>
        </w:rPr>
      </w:pPr>
      <w:r w:rsidRPr="000F23EA">
        <w:rPr>
          <w:rFonts w:ascii="Times New Roman" w:hAnsi="Times New Roman"/>
          <w:szCs w:val="24"/>
        </w:rPr>
        <w:t>Přiměřenost</w:t>
      </w:r>
    </w:p>
    <w:p w14:paraId="6ED73DC4" w14:textId="77777777" w:rsidR="00FC31EF" w:rsidRDefault="006432F3" w:rsidP="00874031">
      <w:pPr>
        <w:jc w:val="both"/>
      </w:pPr>
      <w:r>
        <w:t xml:space="preserve">Předkládaný návrh nařízení vlády je svým rozsahem zcela přiměřený k dosažení </w:t>
      </w:r>
      <w:r w:rsidR="00672203">
        <w:t xml:space="preserve">stanoveného </w:t>
      </w:r>
      <w:r w:rsidRPr="009772B1">
        <w:t>cíl</w:t>
      </w:r>
      <w:r w:rsidR="00672203" w:rsidRPr="009772B1">
        <w:t>e</w:t>
      </w:r>
      <w:r w:rsidRPr="009772B1">
        <w:t>,</w:t>
      </w:r>
      <w:r>
        <w:t xml:space="preserve"> k</w:t>
      </w:r>
      <w:r w:rsidR="00672203">
        <w:t>terým je dosažení stabilizace chráněného trhu práce a zamezení snižování zaměstnanosti osob se zdravotním postižením.</w:t>
      </w:r>
    </w:p>
    <w:p w14:paraId="526969FC" w14:textId="77777777" w:rsidR="001B2D6A" w:rsidRPr="000F23EA" w:rsidRDefault="001B2D6A" w:rsidP="00FB3B3B">
      <w:pPr>
        <w:pStyle w:val="Odstavecseseznamem"/>
        <w:ind w:left="0"/>
        <w:rPr>
          <w:rFonts w:ascii="Times New Roman" w:eastAsia="Times New Roman" w:hAnsi="Times New Roman"/>
          <w:szCs w:val="24"/>
        </w:rPr>
      </w:pPr>
    </w:p>
    <w:p w14:paraId="3113C409" w14:textId="77777777" w:rsidR="005503F1" w:rsidRPr="000F23EA" w:rsidRDefault="00E272D2" w:rsidP="00323EC4">
      <w:pPr>
        <w:pStyle w:val="Odstavecseseznamem"/>
        <w:numPr>
          <w:ilvl w:val="0"/>
          <w:numId w:val="2"/>
        </w:numPr>
        <w:rPr>
          <w:rFonts w:ascii="Times New Roman" w:hAnsi="Times New Roman"/>
          <w:szCs w:val="24"/>
        </w:rPr>
      </w:pPr>
      <w:r w:rsidRPr="000F23EA">
        <w:rPr>
          <w:rFonts w:ascii="Times New Roman" w:hAnsi="Times New Roman"/>
          <w:szCs w:val="24"/>
        </w:rPr>
        <w:t>Efektivita</w:t>
      </w:r>
    </w:p>
    <w:p w14:paraId="5E545ECA" w14:textId="789A88B4" w:rsidR="00FC31EF" w:rsidRDefault="00FC31EF" w:rsidP="00FC31EF">
      <w:pPr>
        <w:pStyle w:val="Odstavecseseznamem"/>
        <w:ind w:left="0"/>
        <w:rPr>
          <w:rFonts w:ascii="Times New Roman" w:eastAsia="Times New Roman" w:hAnsi="Times New Roman"/>
          <w:szCs w:val="24"/>
        </w:rPr>
      </w:pPr>
      <w:r w:rsidRPr="001D4282">
        <w:rPr>
          <w:rFonts w:ascii="Times New Roman" w:eastAsia="Times New Roman" w:hAnsi="Times New Roman"/>
          <w:szCs w:val="24"/>
        </w:rPr>
        <w:t>Efektivita navrhovan</w:t>
      </w:r>
      <w:r w:rsidR="00672203">
        <w:rPr>
          <w:rFonts w:ascii="Times New Roman" w:eastAsia="Times New Roman" w:hAnsi="Times New Roman"/>
          <w:szCs w:val="24"/>
        </w:rPr>
        <w:t>é</w:t>
      </w:r>
      <w:r w:rsidRPr="001D4282">
        <w:rPr>
          <w:rFonts w:ascii="Times New Roman" w:eastAsia="Times New Roman" w:hAnsi="Times New Roman"/>
          <w:szCs w:val="24"/>
        </w:rPr>
        <w:t xml:space="preserve"> změn</w:t>
      </w:r>
      <w:r w:rsidR="00672203">
        <w:rPr>
          <w:rFonts w:ascii="Times New Roman" w:eastAsia="Times New Roman" w:hAnsi="Times New Roman"/>
          <w:szCs w:val="24"/>
        </w:rPr>
        <w:t>y</w:t>
      </w:r>
      <w:r w:rsidRPr="001D4282">
        <w:rPr>
          <w:rFonts w:ascii="Times New Roman" w:eastAsia="Times New Roman" w:hAnsi="Times New Roman"/>
          <w:szCs w:val="24"/>
        </w:rPr>
        <w:t xml:space="preserve"> týkající se poskytování příspěvku na podporu zaměstnávání osob se zdravotním postižením na chráněném trhu práce bude v zamezení </w:t>
      </w:r>
      <w:r w:rsidR="00672203">
        <w:rPr>
          <w:rFonts w:ascii="Times New Roman" w:eastAsia="Times New Roman" w:hAnsi="Times New Roman"/>
          <w:szCs w:val="24"/>
        </w:rPr>
        <w:t xml:space="preserve">snižování počtu pracovních míst pro osoby se zdravotním postižením na chráněném trhu práce. </w:t>
      </w:r>
    </w:p>
    <w:p w14:paraId="5B7B6484" w14:textId="77777777" w:rsidR="000C3F1F" w:rsidRPr="001D4282" w:rsidRDefault="000C3F1F" w:rsidP="00FC31EF">
      <w:pPr>
        <w:pStyle w:val="Odstavecseseznamem"/>
        <w:ind w:left="0"/>
        <w:rPr>
          <w:rFonts w:ascii="Times New Roman" w:eastAsia="Times New Roman" w:hAnsi="Times New Roman"/>
          <w:szCs w:val="24"/>
        </w:rPr>
      </w:pPr>
    </w:p>
    <w:p w14:paraId="65C55D32" w14:textId="77777777" w:rsidR="00C65157" w:rsidRPr="000F23EA" w:rsidRDefault="00C65157" w:rsidP="00FB3B3B">
      <w:pPr>
        <w:pStyle w:val="Odstavecseseznamem"/>
        <w:ind w:left="0"/>
        <w:rPr>
          <w:rFonts w:ascii="Times New Roman" w:eastAsia="Times New Roman" w:hAnsi="Times New Roman"/>
          <w:szCs w:val="24"/>
        </w:rPr>
      </w:pPr>
    </w:p>
    <w:p w14:paraId="5F9543FE" w14:textId="77777777" w:rsidR="00E272D2" w:rsidRPr="000F23EA" w:rsidRDefault="00E272D2" w:rsidP="00323EC4">
      <w:pPr>
        <w:pStyle w:val="Odstavecseseznamem"/>
        <w:numPr>
          <w:ilvl w:val="0"/>
          <w:numId w:val="2"/>
        </w:numPr>
        <w:rPr>
          <w:rFonts w:ascii="Times New Roman" w:hAnsi="Times New Roman"/>
        </w:rPr>
      </w:pPr>
      <w:r w:rsidRPr="000F23EA">
        <w:rPr>
          <w:rFonts w:ascii="Times New Roman" w:hAnsi="Times New Roman"/>
        </w:rPr>
        <w:t>Odpovědnost</w:t>
      </w:r>
    </w:p>
    <w:p w14:paraId="7C5E58A3" w14:textId="77777777" w:rsidR="00A21502" w:rsidRDefault="00A21502" w:rsidP="00A21502">
      <w:pPr>
        <w:jc w:val="both"/>
      </w:pPr>
      <w:r w:rsidRPr="003E5760">
        <w:t>O poskytování příspěvku jednotlivým zaměstnavatelům</w:t>
      </w:r>
      <w:r>
        <w:t xml:space="preserve"> na chráněném trhu práce</w:t>
      </w:r>
      <w:r w:rsidRPr="003E5760">
        <w:t xml:space="preserve"> rozhodují příslušná pracoviště Úřadu práce České republiky ve správním řízení. </w:t>
      </w:r>
    </w:p>
    <w:p w14:paraId="4A7B5E99" w14:textId="01B8F493" w:rsidR="00A21502" w:rsidRDefault="00A21502" w:rsidP="00A21502">
      <w:pPr>
        <w:tabs>
          <w:tab w:val="left" w:pos="851"/>
        </w:tabs>
        <w:suppressAutoHyphens/>
        <w:jc w:val="both"/>
      </w:pPr>
      <w:r>
        <w:t xml:space="preserve">Podmínky pro přiznání a poskytování příspěvku na podporu zaměstnávání osob se </w:t>
      </w:r>
      <w:r w:rsidR="00F1378F">
        <w:br/>
      </w:r>
      <w:r>
        <w:t xml:space="preserve">zdravotním postižením na chráněném trhu práce jsou stanoveny právním předpisem – zákonem </w:t>
      </w:r>
      <w:r w:rsidR="00F1378F">
        <w:t xml:space="preserve">č. 435/2004 Sb., </w:t>
      </w:r>
      <w:r>
        <w:t xml:space="preserve">o zaměstnanosti, </w:t>
      </w:r>
      <w:r w:rsidR="00F1378F">
        <w:t xml:space="preserve">ve znění pozdějších předpisů, </w:t>
      </w:r>
      <w:r>
        <w:t>a to jednotně pro všechny zaměstnavatele působící na chráněném trhu práce.</w:t>
      </w:r>
    </w:p>
    <w:p w14:paraId="79E8F74F" w14:textId="77777777" w:rsidR="00A21502" w:rsidRPr="003E5760" w:rsidRDefault="00A21502" w:rsidP="00A21502">
      <w:pPr>
        <w:tabs>
          <w:tab w:val="left" w:pos="851"/>
        </w:tabs>
        <w:suppressAutoHyphens/>
        <w:jc w:val="both"/>
      </w:pPr>
    </w:p>
    <w:p w14:paraId="796488D5" w14:textId="77777777" w:rsidR="006432F3" w:rsidRDefault="00A21502" w:rsidP="00A21502">
      <w:pPr>
        <w:pStyle w:val="Odstavecseseznamem"/>
        <w:ind w:left="0"/>
        <w:contextualSpacing w:val="0"/>
        <w:rPr>
          <w:rFonts w:ascii="Times New Roman" w:hAnsi="Times New Roman"/>
          <w:bCs/>
        </w:rPr>
      </w:pPr>
      <w:r w:rsidRPr="00A21502">
        <w:rPr>
          <w:rFonts w:ascii="Times New Roman" w:hAnsi="Times New Roman"/>
          <w:bCs/>
        </w:rPr>
        <w:t xml:space="preserve">Veškeré postupy </w:t>
      </w:r>
      <w:r>
        <w:rPr>
          <w:rFonts w:ascii="Times New Roman" w:hAnsi="Times New Roman"/>
          <w:bCs/>
        </w:rPr>
        <w:t xml:space="preserve">Úřadu práce České republiky jako příslušného správního orgánu </w:t>
      </w:r>
      <w:r w:rsidRPr="00A21502">
        <w:rPr>
          <w:rFonts w:ascii="Times New Roman" w:hAnsi="Times New Roman"/>
          <w:bCs/>
        </w:rPr>
        <w:t xml:space="preserve">jsou </w:t>
      </w:r>
      <w:r w:rsidR="006432F3">
        <w:rPr>
          <w:rFonts w:ascii="Times New Roman" w:hAnsi="Times New Roman"/>
          <w:bCs/>
        </w:rPr>
        <w:t>přesně vymezeny z</w:t>
      </w:r>
      <w:r w:rsidRPr="00A21502">
        <w:rPr>
          <w:rFonts w:ascii="Times New Roman" w:hAnsi="Times New Roman"/>
          <w:bCs/>
        </w:rPr>
        <w:t xml:space="preserve">ákonem o zaměstnanosti, resp. správním řádem. </w:t>
      </w:r>
    </w:p>
    <w:p w14:paraId="20E24C64" w14:textId="77777777" w:rsidR="003229E6" w:rsidRPr="000F23EA" w:rsidRDefault="003229E6" w:rsidP="00FB3B3B">
      <w:pPr>
        <w:jc w:val="both"/>
        <w:rPr>
          <w:rFonts w:eastAsia="Calibri"/>
        </w:rPr>
      </w:pPr>
    </w:p>
    <w:p w14:paraId="2499594B" w14:textId="77777777" w:rsidR="0066323E" w:rsidRDefault="00E272D2" w:rsidP="00323EC4">
      <w:pPr>
        <w:pStyle w:val="Odstavecseseznamem"/>
        <w:numPr>
          <w:ilvl w:val="0"/>
          <w:numId w:val="2"/>
        </w:numPr>
        <w:rPr>
          <w:rFonts w:ascii="Times New Roman" w:hAnsi="Times New Roman"/>
          <w:szCs w:val="24"/>
        </w:rPr>
      </w:pPr>
      <w:r w:rsidRPr="000F23EA">
        <w:rPr>
          <w:rFonts w:ascii="Times New Roman" w:hAnsi="Times New Roman"/>
          <w:szCs w:val="24"/>
        </w:rPr>
        <w:t>Opravné prostředky</w:t>
      </w:r>
    </w:p>
    <w:p w14:paraId="2A03583B" w14:textId="77777777" w:rsidR="00672203" w:rsidRPr="00672203" w:rsidRDefault="00672203" w:rsidP="00672203">
      <w:pPr>
        <w:jc w:val="both"/>
        <w:rPr>
          <w:rFonts w:eastAsia="Calibri"/>
        </w:rPr>
      </w:pPr>
      <w:r w:rsidRPr="00672203">
        <w:rPr>
          <w:rFonts w:eastAsia="Calibri"/>
        </w:rPr>
        <w:t>O poskytnutí příspěvku na podporu zaměstnávání osob se zdravotním postižením na chráněném trhu práce a také o stanovení povinnosti poskytnutý příspěvek vrátit je rozhodováno Úřadem práce České republiky ve správním řízení. Zaměstnavatelé mají právo využít všechny opravné prostředky, které jim jako účastníkům správního řízení přísluší.</w:t>
      </w:r>
    </w:p>
    <w:p w14:paraId="5D5C9BEF" w14:textId="77777777" w:rsidR="000A1511" w:rsidRPr="000F23EA" w:rsidRDefault="000A1511" w:rsidP="00493E55">
      <w:pPr>
        <w:jc w:val="both"/>
        <w:rPr>
          <w:rFonts w:eastAsia="Calibri"/>
        </w:rPr>
      </w:pPr>
    </w:p>
    <w:p w14:paraId="44D70B1F" w14:textId="77777777" w:rsidR="004D1A86" w:rsidRPr="000F23EA" w:rsidRDefault="00493E55" w:rsidP="00FB3B3B">
      <w:pPr>
        <w:jc w:val="both"/>
        <w:rPr>
          <w:rFonts w:eastAsia="Calibri"/>
        </w:rPr>
      </w:pPr>
      <w:r w:rsidRPr="000F23EA">
        <w:rPr>
          <w:rFonts w:eastAsia="Calibri"/>
        </w:rPr>
        <w:t xml:space="preserve">5.  </w:t>
      </w:r>
      <w:r w:rsidR="00E272D2" w:rsidRPr="000F23EA">
        <w:t>Kontrolní mechanizmy</w:t>
      </w:r>
    </w:p>
    <w:p w14:paraId="08D2824D" w14:textId="77777777" w:rsidR="00E272D2" w:rsidRPr="000F23EA" w:rsidRDefault="00E272D2" w:rsidP="00FB3B3B">
      <w:pPr>
        <w:jc w:val="both"/>
        <w:rPr>
          <w:rFonts w:eastAsia="Calibri"/>
        </w:rPr>
      </w:pPr>
      <w:r w:rsidRPr="000F23EA">
        <w:rPr>
          <w:rFonts w:eastAsia="Calibri"/>
        </w:rPr>
        <w:t>Kritérium korupčních příležitostí</w:t>
      </w:r>
    </w:p>
    <w:p w14:paraId="0EDD75E1" w14:textId="77777777" w:rsidR="006118B4" w:rsidRPr="000F23EA" w:rsidRDefault="00E272D2" w:rsidP="00FB3B3B">
      <w:pPr>
        <w:jc w:val="both"/>
        <w:rPr>
          <w:rFonts w:eastAsia="Calibri"/>
        </w:rPr>
      </w:pPr>
      <w:r w:rsidRPr="000F23EA">
        <w:rPr>
          <w:rFonts w:eastAsia="Calibri"/>
        </w:rPr>
        <w:t xml:space="preserve">Navrhovaná úprava nepřináší žádná nová korupční rizika či příležitosti. </w:t>
      </w:r>
      <w:r w:rsidR="00531D89" w:rsidRPr="000F23EA">
        <w:t xml:space="preserve">Navrhovaná právní úprava zasahuje do oblasti zaměstnanosti. Tato sféra práva je doménou rozhodování orgánů veřejné správy. Tato skutečnost přináší nebezpečí nárůstu případných korupčních rizik, nikoliv však v oblastech upravených návrhem </w:t>
      </w:r>
      <w:r w:rsidR="006432F3">
        <w:t>nařízení vlády.</w:t>
      </w:r>
    </w:p>
    <w:p w14:paraId="60FFEB2A" w14:textId="77777777" w:rsidR="00C92AC6" w:rsidRPr="000F23EA" w:rsidRDefault="00C92AC6" w:rsidP="00FB3B3B">
      <w:pPr>
        <w:jc w:val="both"/>
        <w:rPr>
          <w:rFonts w:eastAsia="Calibri"/>
        </w:rPr>
      </w:pPr>
    </w:p>
    <w:p w14:paraId="54ED8D76" w14:textId="77777777" w:rsidR="00E272D2" w:rsidRPr="000F23EA" w:rsidRDefault="00E272D2" w:rsidP="00FB3B3B">
      <w:pPr>
        <w:jc w:val="both"/>
        <w:rPr>
          <w:rFonts w:eastAsia="Calibri"/>
        </w:rPr>
      </w:pPr>
      <w:r w:rsidRPr="000F23EA">
        <w:rPr>
          <w:rFonts w:eastAsia="Calibri"/>
        </w:rPr>
        <w:lastRenderedPageBreak/>
        <w:t>Transparence a otevřená data</w:t>
      </w:r>
    </w:p>
    <w:p w14:paraId="3858D497" w14:textId="77777777" w:rsidR="00E272D2" w:rsidRPr="000F23EA" w:rsidRDefault="00E272D2" w:rsidP="00FB3B3B">
      <w:pPr>
        <w:jc w:val="both"/>
        <w:rPr>
          <w:rFonts w:eastAsia="Calibri"/>
        </w:rPr>
      </w:pPr>
      <w:r w:rsidRPr="000F23EA">
        <w:rPr>
          <w:rFonts w:eastAsia="Calibri"/>
        </w:rPr>
        <w:t xml:space="preserve">Navrhovaná právní úprava nemá vliv na dostupnost informací podle zákona č. 106/1999 Sb., </w:t>
      </w:r>
      <w:r w:rsidR="009772B1">
        <w:rPr>
          <w:rFonts w:eastAsia="Calibri"/>
        </w:rPr>
        <w:br/>
      </w:r>
      <w:r w:rsidRPr="000F23EA">
        <w:rPr>
          <w:rFonts w:eastAsia="Calibri"/>
        </w:rPr>
        <w:t xml:space="preserve">o svobodném přístupu k informacím, ve znění pozdějších předpisů. </w:t>
      </w:r>
    </w:p>
    <w:p w14:paraId="42E06DD6" w14:textId="77777777" w:rsidR="00E272D2" w:rsidRPr="000F23EA" w:rsidRDefault="00E272D2" w:rsidP="00FB3B3B">
      <w:pPr>
        <w:jc w:val="both"/>
        <w:rPr>
          <w:rFonts w:eastAsia="Calibri"/>
        </w:rPr>
      </w:pPr>
    </w:p>
    <w:p w14:paraId="36E2816F" w14:textId="77777777" w:rsidR="00E272D2" w:rsidRPr="000F23EA" w:rsidRDefault="00E272D2" w:rsidP="00FB3B3B">
      <w:pPr>
        <w:jc w:val="both"/>
        <w:rPr>
          <w:rFonts w:eastAsia="Calibri"/>
        </w:rPr>
      </w:pPr>
      <w:r w:rsidRPr="000F23EA">
        <w:rPr>
          <w:rFonts w:eastAsia="Calibri"/>
        </w:rPr>
        <w:t>Srovnání se stávající legislativou</w:t>
      </w:r>
    </w:p>
    <w:p w14:paraId="2A8C5F3C" w14:textId="05AAA301" w:rsidR="00FC31EF" w:rsidRPr="001D4282" w:rsidRDefault="00D8238B" w:rsidP="00FC31EF">
      <w:pPr>
        <w:jc w:val="both"/>
        <w:rPr>
          <w:rFonts w:eastAsia="Calibri"/>
        </w:rPr>
      </w:pPr>
      <w:r w:rsidRPr="000F23EA">
        <w:rPr>
          <w:rFonts w:eastAsia="Calibri"/>
        </w:rPr>
        <w:t xml:space="preserve">Prostřednictvím navrhovaného </w:t>
      </w:r>
      <w:r w:rsidR="006432F3">
        <w:rPr>
          <w:rFonts w:eastAsia="Calibri"/>
        </w:rPr>
        <w:t>nařízení vlády, k</w:t>
      </w:r>
      <w:r w:rsidR="009772B1">
        <w:rPr>
          <w:rFonts w:eastAsia="Calibri"/>
        </w:rPr>
        <w:t xml:space="preserve"> jehož </w:t>
      </w:r>
      <w:r w:rsidR="001B2C13">
        <w:rPr>
          <w:rFonts w:eastAsia="Calibri"/>
        </w:rPr>
        <w:t>vydání</w:t>
      </w:r>
      <w:r w:rsidR="006432F3">
        <w:rPr>
          <w:rFonts w:eastAsia="Calibri"/>
        </w:rPr>
        <w:t xml:space="preserve"> je vláda ČR řádně zmocněna, dojde</w:t>
      </w:r>
      <w:r w:rsidR="00E272D2" w:rsidRPr="000F23EA">
        <w:rPr>
          <w:rFonts w:eastAsia="Calibri"/>
        </w:rPr>
        <w:t xml:space="preserve"> </w:t>
      </w:r>
      <w:r w:rsidR="009754B5" w:rsidRPr="000F23EA">
        <w:rPr>
          <w:rFonts w:eastAsia="Calibri"/>
        </w:rPr>
        <w:t xml:space="preserve">ke </w:t>
      </w:r>
      <w:r w:rsidR="006432F3">
        <w:rPr>
          <w:rFonts w:eastAsia="Calibri"/>
        </w:rPr>
        <w:t xml:space="preserve">zvýšení </w:t>
      </w:r>
      <w:r w:rsidR="00FC31EF" w:rsidRPr="001D4282">
        <w:rPr>
          <w:rFonts w:eastAsia="Calibri"/>
        </w:rPr>
        <w:t>maximální výše příspěvku na podporu zaměstnávání osob se zdravotním postižením</w:t>
      </w:r>
      <w:r w:rsidR="006432F3">
        <w:rPr>
          <w:rFonts w:eastAsia="Calibri"/>
        </w:rPr>
        <w:t xml:space="preserve">, který je poskytován zaměstnavatelům na chráněném trhu práce. Dosavadní maximální částka příspěvku </w:t>
      </w:r>
      <w:r w:rsidR="00F1378F">
        <w:rPr>
          <w:rFonts w:eastAsia="Calibri"/>
        </w:rPr>
        <w:t>je rovněž</w:t>
      </w:r>
      <w:r w:rsidR="006432F3">
        <w:rPr>
          <w:rFonts w:eastAsia="Calibri"/>
        </w:rPr>
        <w:t xml:space="preserve"> stanovena </w:t>
      </w:r>
      <w:r w:rsidR="00F1378F">
        <w:rPr>
          <w:rFonts w:eastAsia="Calibri"/>
        </w:rPr>
        <w:t>nařízením vlády</w:t>
      </w:r>
      <w:r w:rsidR="00D6669D">
        <w:rPr>
          <w:rFonts w:eastAsia="Calibri"/>
        </w:rPr>
        <w:t>, a to s účinností od 1. října 2020</w:t>
      </w:r>
      <w:r w:rsidR="006432F3">
        <w:rPr>
          <w:rFonts w:eastAsia="Calibri"/>
        </w:rPr>
        <w:t xml:space="preserve">. </w:t>
      </w:r>
    </w:p>
    <w:p w14:paraId="662E4774" w14:textId="77777777" w:rsidR="004D1A86" w:rsidRPr="000F23EA" w:rsidRDefault="004D1A86" w:rsidP="00FB3B3B">
      <w:pPr>
        <w:jc w:val="both"/>
        <w:rPr>
          <w:rFonts w:eastAsia="Calibri"/>
        </w:rPr>
      </w:pPr>
    </w:p>
    <w:p w14:paraId="187811FF" w14:textId="77777777" w:rsidR="00E272D2" w:rsidRPr="000F23EA" w:rsidRDefault="00E272D2" w:rsidP="00FB3B3B">
      <w:pPr>
        <w:jc w:val="both"/>
        <w:rPr>
          <w:rFonts w:eastAsia="Calibri"/>
        </w:rPr>
      </w:pPr>
      <w:r w:rsidRPr="000F23EA">
        <w:rPr>
          <w:rFonts w:eastAsia="Calibri"/>
        </w:rPr>
        <w:t xml:space="preserve">Systematický sběr dat </w:t>
      </w:r>
    </w:p>
    <w:p w14:paraId="515729D8" w14:textId="77777777" w:rsidR="00E272D2" w:rsidRPr="000F23EA" w:rsidRDefault="00E272D2" w:rsidP="00FB3B3B">
      <w:pPr>
        <w:jc w:val="both"/>
        <w:rPr>
          <w:rFonts w:eastAsia="Calibri"/>
        </w:rPr>
      </w:pPr>
      <w:r w:rsidRPr="000F23EA">
        <w:rPr>
          <w:rFonts w:eastAsia="Calibri"/>
        </w:rPr>
        <w:t>Data o zjištěných korupčních rizicích budou průběžně vyhodnocována.</w:t>
      </w:r>
    </w:p>
    <w:p w14:paraId="17ED24E1" w14:textId="77777777" w:rsidR="00572D05" w:rsidRPr="000F23EA" w:rsidRDefault="00572D05" w:rsidP="00FB3B3B">
      <w:pPr>
        <w:jc w:val="both"/>
        <w:rPr>
          <w:rFonts w:eastAsia="Calibri"/>
        </w:rPr>
      </w:pPr>
    </w:p>
    <w:p w14:paraId="7FAC844E" w14:textId="77777777" w:rsidR="00E272D2" w:rsidRPr="000F23EA" w:rsidRDefault="00E272D2" w:rsidP="00FB3B3B">
      <w:pPr>
        <w:jc w:val="both"/>
        <w:rPr>
          <w:rFonts w:eastAsia="Calibri"/>
        </w:rPr>
      </w:pPr>
      <w:r w:rsidRPr="000F23EA">
        <w:rPr>
          <w:rFonts w:eastAsia="Calibri"/>
        </w:rPr>
        <w:t>Závěr</w:t>
      </w:r>
    </w:p>
    <w:p w14:paraId="185CA9DC" w14:textId="77777777" w:rsidR="006432F3" w:rsidRDefault="005F0332" w:rsidP="00FB3B3B">
      <w:pPr>
        <w:jc w:val="both"/>
        <w:rPr>
          <w:rFonts w:eastAsia="Calibri"/>
        </w:rPr>
      </w:pPr>
      <w:r w:rsidRPr="000F23EA">
        <w:rPr>
          <w:rFonts w:eastAsia="Calibri"/>
        </w:rPr>
        <w:t>Vyhodnocením poznatků podle metodiky CIA bylo zjištěno, že navrhovan</w:t>
      </w:r>
      <w:r w:rsidR="009772B1">
        <w:rPr>
          <w:rFonts w:eastAsia="Calibri"/>
        </w:rPr>
        <w:t>é</w:t>
      </w:r>
      <w:r w:rsidRPr="000F23EA">
        <w:rPr>
          <w:rFonts w:eastAsia="Calibri"/>
        </w:rPr>
        <w:t xml:space="preserve"> </w:t>
      </w:r>
      <w:r w:rsidR="006432F3">
        <w:rPr>
          <w:rFonts w:eastAsia="Calibri"/>
        </w:rPr>
        <w:t xml:space="preserve">nařízení vlády </w:t>
      </w:r>
      <w:r w:rsidRPr="000F23EA">
        <w:rPr>
          <w:rFonts w:eastAsia="Calibri"/>
        </w:rPr>
        <w:t xml:space="preserve">nepřinese navýšení korupčních rizik. Vzhledem k základním principům správního řízení </w:t>
      </w:r>
      <w:r w:rsidR="009772B1">
        <w:rPr>
          <w:rFonts w:eastAsia="Calibri"/>
        </w:rPr>
        <w:br/>
      </w:r>
      <w:r w:rsidRPr="000F23EA">
        <w:rPr>
          <w:rFonts w:eastAsia="Calibri"/>
        </w:rPr>
        <w:t>a důsledně uplatňovaným rozhodovacím a kontrolním mechanismům dotčen</w:t>
      </w:r>
      <w:r w:rsidR="006432F3">
        <w:rPr>
          <w:rFonts w:eastAsia="Calibri"/>
        </w:rPr>
        <w:t>ého</w:t>
      </w:r>
      <w:r w:rsidRPr="000F23EA">
        <w:rPr>
          <w:rFonts w:eastAsia="Calibri"/>
        </w:rPr>
        <w:t xml:space="preserve"> správní</w:t>
      </w:r>
      <w:r w:rsidR="006432F3">
        <w:rPr>
          <w:rFonts w:eastAsia="Calibri"/>
        </w:rPr>
        <w:t>ho</w:t>
      </w:r>
      <w:r w:rsidRPr="000F23EA">
        <w:rPr>
          <w:rFonts w:eastAsia="Calibri"/>
        </w:rPr>
        <w:t xml:space="preserve"> úřad</w:t>
      </w:r>
      <w:r w:rsidR="006432F3">
        <w:rPr>
          <w:rFonts w:eastAsia="Calibri"/>
        </w:rPr>
        <w:t>u</w:t>
      </w:r>
      <w:r w:rsidRPr="000F23EA">
        <w:rPr>
          <w:rFonts w:eastAsia="Calibri"/>
        </w:rPr>
        <w:t xml:space="preserve">, nezávislosti a nestrannosti justice a kritériím a limitům upraveným </w:t>
      </w:r>
      <w:r w:rsidR="006432F3">
        <w:rPr>
          <w:rFonts w:eastAsia="Calibri"/>
        </w:rPr>
        <w:t xml:space="preserve">přímo </w:t>
      </w:r>
      <w:r w:rsidRPr="000F23EA">
        <w:rPr>
          <w:rFonts w:eastAsia="Calibri"/>
        </w:rPr>
        <w:t xml:space="preserve">v zákoně </w:t>
      </w:r>
      <w:r w:rsidR="009772B1">
        <w:rPr>
          <w:rFonts w:eastAsia="Calibri"/>
        </w:rPr>
        <w:br/>
      </w:r>
      <w:r w:rsidRPr="000F23EA">
        <w:rPr>
          <w:rFonts w:eastAsia="Calibri"/>
        </w:rPr>
        <w:t>o zaměstnanosti lze předpokládat, že potenciální korupční rizik</w:t>
      </w:r>
      <w:r w:rsidR="009772B1">
        <w:rPr>
          <w:rFonts w:eastAsia="Calibri"/>
        </w:rPr>
        <w:t>a</w:t>
      </w:r>
      <w:r w:rsidRPr="000F23EA">
        <w:rPr>
          <w:rFonts w:eastAsia="Calibri"/>
        </w:rPr>
        <w:t xml:space="preserve"> v</w:t>
      </w:r>
      <w:r w:rsidR="006432F3">
        <w:rPr>
          <w:rFonts w:eastAsia="Calibri"/>
        </w:rPr>
        <w:t xml:space="preserve"> dané </w:t>
      </w:r>
      <w:r w:rsidRPr="000F23EA">
        <w:rPr>
          <w:rFonts w:eastAsia="Calibri"/>
        </w:rPr>
        <w:t>oblasti</w:t>
      </w:r>
      <w:r w:rsidR="009772B1">
        <w:rPr>
          <w:rFonts w:eastAsia="Calibri"/>
        </w:rPr>
        <w:t xml:space="preserve"> budou i nadále minimalizována</w:t>
      </w:r>
      <w:r w:rsidR="006432F3">
        <w:rPr>
          <w:rFonts w:eastAsia="Calibri"/>
        </w:rPr>
        <w:t>.</w:t>
      </w:r>
    </w:p>
    <w:p w14:paraId="35ED2AC6" w14:textId="77777777" w:rsidR="00BA57BE" w:rsidRPr="000F23EA" w:rsidRDefault="005F0332" w:rsidP="00FB3B3B">
      <w:pPr>
        <w:jc w:val="both"/>
        <w:rPr>
          <w:rFonts w:eastAsia="Calibri"/>
        </w:rPr>
      </w:pPr>
      <w:r w:rsidRPr="000F23EA">
        <w:rPr>
          <w:rFonts w:eastAsia="Calibri"/>
        </w:rPr>
        <w:t xml:space="preserve"> </w:t>
      </w:r>
    </w:p>
    <w:p w14:paraId="668EBD34" w14:textId="5803E417" w:rsidR="00BA57BE" w:rsidRDefault="00F82B7D" w:rsidP="00FB3B3B">
      <w:pPr>
        <w:jc w:val="both"/>
        <w:rPr>
          <w:b/>
        </w:rPr>
      </w:pPr>
      <w:r w:rsidRPr="000F23EA">
        <w:rPr>
          <w:b/>
        </w:rPr>
        <w:t>8</w:t>
      </w:r>
      <w:r w:rsidR="00BA57BE" w:rsidRPr="000F23EA">
        <w:rPr>
          <w:b/>
        </w:rPr>
        <w:t xml:space="preserve">. </w:t>
      </w:r>
      <w:r w:rsidRPr="000F23EA">
        <w:rPr>
          <w:b/>
        </w:rPr>
        <w:t>1</w:t>
      </w:r>
      <w:r w:rsidR="00CE17E0" w:rsidRPr="000F23EA">
        <w:rPr>
          <w:b/>
        </w:rPr>
        <w:t>2</w:t>
      </w:r>
      <w:r w:rsidRPr="000F23EA">
        <w:rPr>
          <w:b/>
        </w:rPr>
        <w:t xml:space="preserve">. </w:t>
      </w:r>
      <w:r w:rsidR="00BA57BE" w:rsidRPr="000F23EA">
        <w:rPr>
          <w:b/>
        </w:rPr>
        <w:t>Dopady na bezpečnost nebo obranu státu</w:t>
      </w:r>
    </w:p>
    <w:p w14:paraId="28522B5C" w14:textId="77777777" w:rsidR="00706904" w:rsidRDefault="00706904" w:rsidP="00FB3B3B">
      <w:pPr>
        <w:jc w:val="both"/>
        <w:rPr>
          <w:b/>
        </w:rPr>
      </w:pPr>
    </w:p>
    <w:p w14:paraId="0CFD547A" w14:textId="77777777" w:rsidR="00BA57BE" w:rsidRPr="000F23EA" w:rsidRDefault="00BA57BE" w:rsidP="00FB3B3B">
      <w:pPr>
        <w:autoSpaceDE w:val="0"/>
        <w:autoSpaceDN w:val="0"/>
        <w:adjustRightInd w:val="0"/>
        <w:jc w:val="both"/>
        <w:rPr>
          <w:rFonts w:eastAsia="Calibri"/>
        </w:rPr>
      </w:pPr>
      <w:r w:rsidRPr="000F23EA">
        <w:rPr>
          <w:rFonts w:eastAsia="Calibri"/>
        </w:rPr>
        <w:t xml:space="preserve">Vzhledem k povaze navrhovaných změn lze konstatovat, že návrh zákona nemá dopady na bezpečnost nebo obranu státu, a to i s odkazem na bod 1.4 Identifikace dotčených subjektů Závěrečné zprávy o hodnocení dopadů regulace, podle něhož je možné přesně stanovit, které subjekty a oblasti navrhovaná úprava ovlivňuje. </w:t>
      </w:r>
    </w:p>
    <w:p w14:paraId="16D59886" w14:textId="77777777" w:rsidR="000B2C5B" w:rsidRPr="000F23EA" w:rsidRDefault="000B2C5B" w:rsidP="00FB3B3B">
      <w:pPr>
        <w:autoSpaceDE w:val="0"/>
        <w:autoSpaceDN w:val="0"/>
        <w:adjustRightInd w:val="0"/>
        <w:jc w:val="both"/>
        <w:rPr>
          <w:rFonts w:eastAsia="Calibri"/>
          <w:b/>
        </w:rPr>
      </w:pPr>
    </w:p>
    <w:p w14:paraId="1B490E8B" w14:textId="77777777" w:rsidR="00BA57BE" w:rsidRPr="000F23EA" w:rsidRDefault="00265DE3" w:rsidP="00FB3B3B">
      <w:pPr>
        <w:autoSpaceDE w:val="0"/>
        <w:autoSpaceDN w:val="0"/>
        <w:adjustRightInd w:val="0"/>
        <w:jc w:val="both"/>
        <w:rPr>
          <w:rFonts w:eastAsia="Calibri"/>
          <w:b/>
        </w:rPr>
      </w:pPr>
      <w:r w:rsidRPr="000F23EA">
        <w:rPr>
          <w:rFonts w:eastAsia="Calibri"/>
          <w:b/>
        </w:rPr>
        <w:t>9</w:t>
      </w:r>
      <w:r w:rsidR="00BA57BE" w:rsidRPr="000F23EA">
        <w:rPr>
          <w:rFonts w:eastAsia="Calibri"/>
          <w:b/>
        </w:rPr>
        <w:t xml:space="preserve">. Kontakt na zpracovatele RIA </w:t>
      </w:r>
    </w:p>
    <w:p w14:paraId="5CBFB75F" w14:textId="77777777" w:rsidR="008705BD" w:rsidRPr="000F23EA" w:rsidRDefault="008705BD" w:rsidP="00FB3B3B">
      <w:pPr>
        <w:autoSpaceDE w:val="0"/>
        <w:autoSpaceDN w:val="0"/>
        <w:adjustRightInd w:val="0"/>
        <w:jc w:val="both"/>
        <w:rPr>
          <w:rFonts w:eastAsia="Calibri"/>
          <w:b/>
        </w:rPr>
      </w:pPr>
    </w:p>
    <w:p w14:paraId="41EA9F4A" w14:textId="77777777" w:rsidR="00224FCD" w:rsidRPr="000F23EA" w:rsidRDefault="00A55CBA" w:rsidP="00FB3B3B">
      <w:pPr>
        <w:autoSpaceDE w:val="0"/>
        <w:autoSpaceDN w:val="0"/>
        <w:adjustRightInd w:val="0"/>
        <w:jc w:val="both"/>
        <w:rPr>
          <w:rFonts w:eastAsia="Calibri"/>
        </w:rPr>
      </w:pPr>
      <w:r w:rsidRPr="000F23EA">
        <w:rPr>
          <w:rFonts w:eastAsia="Calibri"/>
        </w:rPr>
        <w:t xml:space="preserve">JUDr. Jana </w:t>
      </w:r>
      <w:r w:rsidR="008705BD" w:rsidRPr="000F23EA">
        <w:rPr>
          <w:rFonts w:eastAsia="Calibri"/>
        </w:rPr>
        <w:t>P</w:t>
      </w:r>
      <w:r w:rsidRPr="000F23EA">
        <w:rPr>
          <w:rFonts w:eastAsia="Calibri"/>
        </w:rPr>
        <w:t>ašková</w:t>
      </w:r>
    </w:p>
    <w:p w14:paraId="60EDA350" w14:textId="77777777" w:rsidR="00224FCD" w:rsidRPr="000F23EA" w:rsidRDefault="00224FCD" w:rsidP="00FB3B3B">
      <w:pPr>
        <w:autoSpaceDE w:val="0"/>
        <w:autoSpaceDN w:val="0"/>
        <w:adjustRightInd w:val="0"/>
        <w:jc w:val="both"/>
        <w:rPr>
          <w:rFonts w:eastAsia="Calibri"/>
        </w:rPr>
      </w:pPr>
      <w:r w:rsidRPr="000F23EA">
        <w:rPr>
          <w:rFonts w:eastAsia="Calibri"/>
        </w:rPr>
        <w:t>Ministerstvo práce a sociálních věcí</w:t>
      </w:r>
    </w:p>
    <w:p w14:paraId="179F0E34" w14:textId="1C8B63D4" w:rsidR="005A1EE4" w:rsidRPr="000F23EA" w:rsidRDefault="005A1EE4" w:rsidP="00FB3B3B">
      <w:pPr>
        <w:autoSpaceDE w:val="0"/>
        <w:autoSpaceDN w:val="0"/>
        <w:adjustRightInd w:val="0"/>
        <w:jc w:val="both"/>
        <w:rPr>
          <w:rFonts w:eastAsia="Calibri"/>
        </w:rPr>
      </w:pPr>
      <w:r w:rsidRPr="000F23EA">
        <w:rPr>
          <w:rFonts w:eastAsia="MS Mincho"/>
        </w:rPr>
        <w:t xml:space="preserve">odbor </w:t>
      </w:r>
      <w:r w:rsidR="00C519E0">
        <w:rPr>
          <w:rFonts w:eastAsia="MS Mincho"/>
        </w:rPr>
        <w:t xml:space="preserve">politiky zaměstnanosti </w:t>
      </w:r>
    </w:p>
    <w:p w14:paraId="4BF0A812" w14:textId="77777777" w:rsidR="003229E6" w:rsidRPr="000F23EA" w:rsidRDefault="00224FCD" w:rsidP="00FB3B3B">
      <w:pPr>
        <w:autoSpaceDE w:val="0"/>
        <w:autoSpaceDN w:val="0"/>
        <w:adjustRightInd w:val="0"/>
        <w:jc w:val="both"/>
        <w:rPr>
          <w:rFonts w:eastAsia="Calibri"/>
        </w:rPr>
      </w:pPr>
      <w:r w:rsidRPr="000F23EA">
        <w:rPr>
          <w:rFonts w:eastAsia="Calibri"/>
        </w:rPr>
        <w:t>Telefon:</w:t>
      </w:r>
      <w:r w:rsidR="005A1EE4" w:rsidRPr="000F23EA">
        <w:rPr>
          <w:rFonts w:eastAsia="Calibri"/>
        </w:rPr>
        <w:t xml:space="preserve"> 221</w:t>
      </w:r>
      <w:r w:rsidR="005F4B1C" w:rsidRPr="000F23EA">
        <w:rPr>
          <w:rFonts w:eastAsia="Calibri"/>
        </w:rPr>
        <w:t> 923 836</w:t>
      </w:r>
    </w:p>
    <w:p w14:paraId="6A6CA9CE" w14:textId="16D65C04" w:rsidR="008705BD" w:rsidRDefault="00224FCD" w:rsidP="00FB3B3B">
      <w:pPr>
        <w:autoSpaceDE w:val="0"/>
        <w:autoSpaceDN w:val="0"/>
        <w:adjustRightInd w:val="0"/>
        <w:jc w:val="both"/>
        <w:rPr>
          <w:rStyle w:val="Hypertextovodkaz"/>
          <w:rFonts w:eastAsia="Calibri"/>
          <w:color w:val="auto"/>
        </w:rPr>
      </w:pPr>
      <w:r w:rsidRPr="000F23EA">
        <w:rPr>
          <w:rFonts w:eastAsia="Calibri"/>
        </w:rPr>
        <w:t xml:space="preserve">E-mail: </w:t>
      </w:r>
      <w:hyperlink r:id="rId8" w:history="1">
        <w:r w:rsidR="00A86DD7" w:rsidRPr="00E46E37">
          <w:rPr>
            <w:rStyle w:val="Hypertextovodkaz"/>
            <w:rFonts w:eastAsia="Calibri"/>
          </w:rPr>
          <w:t>jana.paskova@mpsv.cz</w:t>
        </w:r>
      </w:hyperlink>
      <w:r w:rsidR="00A86DD7">
        <w:rPr>
          <w:rFonts w:eastAsia="Calibri"/>
        </w:rPr>
        <w:t xml:space="preserve"> </w:t>
      </w:r>
    </w:p>
    <w:p w14:paraId="65BB39EC" w14:textId="77777777" w:rsidR="00BB7418" w:rsidRDefault="00BB7418" w:rsidP="00FB3B3B">
      <w:pPr>
        <w:autoSpaceDE w:val="0"/>
        <w:autoSpaceDN w:val="0"/>
        <w:adjustRightInd w:val="0"/>
        <w:jc w:val="both"/>
        <w:rPr>
          <w:rStyle w:val="Hypertextovodkaz"/>
          <w:rFonts w:eastAsia="Calibri"/>
          <w:color w:val="auto"/>
        </w:rPr>
      </w:pPr>
      <w:r>
        <w:rPr>
          <w:rStyle w:val="Hypertextovodkaz"/>
          <w:rFonts w:eastAsia="Calibri"/>
          <w:color w:val="auto"/>
        </w:rPr>
        <w:t xml:space="preserve"> </w:t>
      </w:r>
    </w:p>
    <w:p w14:paraId="5AA9F6C3" w14:textId="77777777" w:rsidR="009772B1" w:rsidRPr="000F23EA" w:rsidRDefault="009772B1" w:rsidP="00FB3B3B">
      <w:pPr>
        <w:autoSpaceDE w:val="0"/>
        <w:autoSpaceDN w:val="0"/>
        <w:adjustRightInd w:val="0"/>
        <w:jc w:val="both"/>
        <w:rPr>
          <w:rFonts w:eastAsia="Calibri"/>
        </w:rPr>
      </w:pPr>
    </w:p>
    <w:p w14:paraId="456C837C" w14:textId="4E523471" w:rsidR="008705BD" w:rsidRPr="000F23EA" w:rsidRDefault="00C519E0" w:rsidP="008705BD">
      <w:pPr>
        <w:autoSpaceDE w:val="0"/>
        <w:autoSpaceDN w:val="0"/>
        <w:adjustRightInd w:val="0"/>
        <w:jc w:val="both"/>
        <w:rPr>
          <w:rFonts w:eastAsia="Calibri"/>
        </w:rPr>
      </w:pPr>
      <w:r>
        <w:rPr>
          <w:rFonts w:eastAsia="Calibri"/>
        </w:rPr>
        <w:t>Ing. Petr Jiříček</w:t>
      </w:r>
    </w:p>
    <w:p w14:paraId="6EFD146B" w14:textId="77777777" w:rsidR="008705BD" w:rsidRPr="000F23EA" w:rsidRDefault="008705BD" w:rsidP="008705BD">
      <w:pPr>
        <w:autoSpaceDE w:val="0"/>
        <w:autoSpaceDN w:val="0"/>
        <w:adjustRightInd w:val="0"/>
        <w:jc w:val="both"/>
        <w:rPr>
          <w:rFonts w:eastAsia="Calibri"/>
        </w:rPr>
      </w:pPr>
      <w:r w:rsidRPr="000F23EA">
        <w:rPr>
          <w:rFonts w:eastAsia="Calibri"/>
        </w:rPr>
        <w:t>Ministerstvo práce a sociálních věcí</w:t>
      </w:r>
    </w:p>
    <w:p w14:paraId="7E054E0B" w14:textId="569DDC4F" w:rsidR="004E4338" w:rsidRDefault="004E4338" w:rsidP="004E4338">
      <w:pPr>
        <w:rPr>
          <w:sz w:val="22"/>
          <w:szCs w:val="22"/>
        </w:rPr>
      </w:pPr>
      <w:r>
        <w:t xml:space="preserve">odbor </w:t>
      </w:r>
      <w:r w:rsidR="00C519E0">
        <w:t>politiky zaměstnanosti</w:t>
      </w:r>
    </w:p>
    <w:p w14:paraId="2C9001E5" w14:textId="7F782E19" w:rsidR="008705BD" w:rsidRPr="000F23EA" w:rsidRDefault="008705BD" w:rsidP="008705BD">
      <w:pPr>
        <w:autoSpaceDE w:val="0"/>
        <w:autoSpaceDN w:val="0"/>
        <w:adjustRightInd w:val="0"/>
        <w:jc w:val="both"/>
        <w:rPr>
          <w:rFonts w:eastAsia="Calibri"/>
        </w:rPr>
      </w:pPr>
      <w:r w:rsidRPr="000F23EA">
        <w:rPr>
          <w:rFonts w:eastAsia="Calibri"/>
        </w:rPr>
        <w:t>Telefon: 221</w:t>
      </w:r>
      <w:r w:rsidR="00F1378F">
        <w:rPr>
          <w:rFonts w:eastAsia="Calibri"/>
        </w:rPr>
        <w:t> </w:t>
      </w:r>
      <w:r w:rsidRPr="000F23EA">
        <w:rPr>
          <w:rFonts w:eastAsia="Calibri"/>
        </w:rPr>
        <w:t>92</w:t>
      </w:r>
      <w:r w:rsidR="00F1378F">
        <w:rPr>
          <w:rFonts w:eastAsia="Calibri"/>
        </w:rPr>
        <w:t>2 830</w:t>
      </w:r>
      <w:r w:rsidRPr="000F23EA">
        <w:rPr>
          <w:rFonts w:eastAsia="Calibri"/>
        </w:rPr>
        <w:t xml:space="preserve"> </w:t>
      </w:r>
    </w:p>
    <w:p w14:paraId="2BA57872" w14:textId="591E0453" w:rsidR="008B4EB7" w:rsidRPr="00BB7418" w:rsidRDefault="008705BD" w:rsidP="00FB3B3B">
      <w:pPr>
        <w:autoSpaceDE w:val="0"/>
        <w:autoSpaceDN w:val="0"/>
        <w:adjustRightInd w:val="0"/>
        <w:jc w:val="both"/>
        <w:rPr>
          <w:rFonts w:eastAsia="Calibri"/>
        </w:rPr>
      </w:pPr>
      <w:r w:rsidRPr="000F23EA">
        <w:rPr>
          <w:rFonts w:eastAsia="Calibri"/>
        </w:rPr>
        <w:t xml:space="preserve">E-mail: </w:t>
      </w:r>
      <w:hyperlink r:id="rId9" w:history="1">
        <w:r w:rsidR="00F1378F" w:rsidRPr="003B1AD5">
          <w:rPr>
            <w:rStyle w:val="Hypertextovodkaz"/>
            <w:rFonts w:eastAsia="Calibri"/>
          </w:rPr>
          <w:t>petr.jiricek@mpsv.cz</w:t>
        </w:r>
      </w:hyperlink>
      <w:r w:rsidR="00BB7418" w:rsidRPr="00BB7418">
        <w:rPr>
          <w:rFonts w:eastAsia="Calibri"/>
        </w:rPr>
        <w:t xml:space="preserve"> </w:t>
      </w:r>
    </w:p>
    <w:sectPr w:rsidR="008B4EB7" w:rsidRPr="00BB7418" w:rsidSect="00C80E4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19FA5" w14:textId="77777777" w:rsidR="006D1879" w:rsidRDefault="006D1879" w:rsidP="00BC07CB">
      <w:r>
        <w:separator/>
      </w:r>
    </w:p>
  </w:endnote>
  <w:endnote w:type="continuationSeparator" w:id="0">
    <w:p w14:paraId="286D8D08" w14:textId="77777777" w:rsidR="006D1879" w:rsidRDefault="006D1879" w:rsidP="00BC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3494" w14:textId="77777777" w:rsidR="00681CA9" w:rsidRDefault="00681C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F9FB" w14:textId="77777777" w:rsidR="00681CA9" w:rsidRDefault="00681CA9">
    <w:pPr>
      <w:pStyle w:val="Zpat"/>
      <w:jc w:val="center"/>
    </w:pPr>
    <w:r>
      <w:fldChar w:fldCharType="begin"/>
    </w:r>
    <w:r>
      <w:instrText>PAGE   \* MERGEFORMAT</w:instrText>
    </w:r>
    <w:r>
      <w:fldChar w:fldCharType="separate"/>
    </w:r>
    <w:r>
      <w:rPr>
        <w:noProof/>
      </w:rPr>
      <w:t>30</w:t>
    </w:r>
    <w:r>
      <w:fldChar w:fldCharType="end"/>
    </w:r>
  </w:p>
  <w:p w14:paraId="0778FD43" w14:textId="77777777" w:rsidR="00681CA9" w:rsidRDefault="00681CA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E877" w14:textId="77777777" w:rsidR="00681CA9" w:rsidRDefault="00681C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6F5C" w14:textId="77777777" w:rsidR="006D1879" w:rsidRDefault="006D1879" w:rsidP="00BC07CB">
      <w:r>
        <w:separator/>
      </w:r>
    </w:p>
  </w:footnote>
  <w:footnote w:type="continuationSeparator" w:id="0">
    <w:p w14:paraId="00A7264D" w14:textId="77777777" w:rsidR="006D1879" w:rsidRDefault="006D1879" w:rsidP="00BC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A775" w14:textId="77777777" w:rsidR="00681CA9" w:rsidRDefault="00681C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C118" w14:textId="77777777" w:rsidR="00681CA9" w:rsidRDefault="00681CA9" w:rsidP="004D1A86">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6E70" w14:textId="77777777" w:rsidR="00681CA9" w:rsidRDefault="00681CA9" w:rsidP="000B22DE">
    <w:pPr>
      <w:pStyle w:val="Zhlav"/>
      <w:tabs>
        <w:tab w:val="left" w:pos="81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650"/>
    <w:multiLevelType w:val="hybridMultilevel"/>
    <w:tmpl w:val="2FD2E4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1F7CFD"/>
    <w:multiLevelType w:val="hybridMultilevel"/>
    <w:tmpl w:val="2DAEB1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C859A7"/>
    <w:multiLevelType w:val="hybridMultilevel"/>
    <w:tmpl w:val="8F22AE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DA166C"/>
    <w:multiLevelType w:val="multilevel"/>
    <w:tmpl w:val="C9FEC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830F0E"/>
    <w:multiLevelType w:val="hybridMultilevel"/>
    <w:tmpl w:val="094AC3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3">
      <w:start w:val="1"/>
      <w:numFmt w:val="bullet"/>
      <w:lvlText w:val="o"/>
      <w:lvlJc w:val="left"/>
      <w:pPr>
        <w:ind w:left="2880" w:hanging="360"/>
      </w:pPr>
      <w:rPr>
        <w:rFonts w:ascii="Courier New" w:hAnsi="Courier New" w:cs="Courier New"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1E1DB0"/>
    <w:multiLevelType w:val="hybridMultilevel"/>
    <w:tmpl w:val="48B6FE7A"/>
    <w:lvl w:ilvl="0" w:tplc="25741CE6">
      <w:start w:val="1"/>
      <w:numFmt w:val="bullet"/>
      <w:lvlText w:val=""/>
      <w:lvlJc w:val="left"/>
      <w:pPr>
        <w:ind w:left="783" w:hanging="360"/>
      </w:pPr>
      <w:rPr>
        <w:rFonts w:ascii="Wingdings" w:hAnsi="Wingdings" w:hint="default"/>
        <w:strike w:val="0"/>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 w15:restartNumberingAfterBreak="0">
    <w:nsid w:val="44B177AF"/>
    <w:multiLevelType w:val="hybridMultilevel"/>
    <w:tmpl w:val="B3C2B416"/>
    <w:lvl w:ilvl="0" w:tplc="3A94952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2122C6"/>
    <w:multiLevelType w:val="hybridMultilevel"/>
    <w:tmpl w:val="1132FF16"/>
    <w:lvl w:ilvl="0" w:tplc="43604B6E">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960DAB"/>
    <w:multiLevelType w:val="hybridMultilevel"/>
    <w:tmpl w:val="FB22EF5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686B1D51"/>
    <w:multiLevelType w:val="hybridMultilevel"/>
    <w:tmpl w:val="CB1C9E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937F6E"/>
    <w:multiLevelType w:val="multilevel"/>
    <w:tmpl w:val="F04C4A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68015B"/>
    <w:multiLevelType w:val="multilevel"/>
    <w:tmpl w:val="311665CE"/>
    <w:lvl w:ilvl="0">
      <w:start w:val="1"/>
      <w:numFmt w:val="decimal"/>
      <w:pStyle w:val="Nadpis1"/>
      <w:lvlText w:val="%1."/>
      <w:lvlJc w:val="right"/>
      <w:pPr>
        <w:tabs>
          <w:tab w:val="num" w:pos="567"/>
        </w:tabs>
        <w:ind w:left="567" w:hanging="113"/>
      </w:pPr>
      <w:rPr>
        <w:rFonts w:hint="default"/>
      </w:rPr>
    </w:lvl>
    <w:lvl w:ilvl="1">
      <w:start w:val="1"/>
      <w:numFmt w:val="none"/>
      <w:pStyle w:val="Nadpis2"/>
      <w:suff w:val="nothing"/>
      <w:lvlText w:val="%2Odůvodnění:"/>
      <w:lvlJc w:val="left"/>
      <w:pPr>
        <w:ind w:left="567" w:firstLine="0"/>
      </w:pPr>
      <w:rPr>
        <w:b/>
        <w:i w:val="0"/>
      </w:rPr>
    </w:lvl>
    <w:lvl w:ilvl="2">
      <w:start w:val="1"/>
      <w:numFmt w:val="none"/>
      <w:pStyle w:val="Nadpis3"/>
      <w:lvlText w:val="%3"/>
      <w:lvlJc w:val="left"/>
      <w:pPr>
        <w:tabs>
          <w:tab w:val="num" w:pos="530"/>
        </w:tabs>
        <w:ind w:left="0" w:firstLine="170"/>
      </w:pPr>
      <w:rPr>
        <w:rFonts w:hint="default"/>
      </w:rPr>
    </w:lvl>
    <w:lvl w:ilvl="3">
      <w:start w:val="1"/>
      <w:numFmt w:val="decimal"/>
      <w:pStyle w:val="Nadpis4"/>
      <w:lvlText w:val="%4."/>
      <w:lvlJc w:val="right"/>
      <w:pPr>
        <w:tabs>
          <w:tab w:val="num" w:pos="284"/>
        </w:tabs>
        <w:ind w:left="284" w:hanging="114"/>
      </w:pPr>
      <w:rPr>
        <w:rFonts w:hint="default"/>
      </w:rPr>
    </w:lvl>
    <w:lvl w:ilvl="4">
      <w:start w:val="1"/>
      <w:numFmt w:val="decimal"/>
      <w:pStyle w:val="Nadpis5"/>
      <w:lvlText w:val="%5."/>
      <w:lvlJc w:val="right"/>
      <w:pPr>
        <w:tabs>
          <w:tab w:val="num" w:pos="567"/>
        </w:tabs>
        <w:ind w:left="567" w:hanging="113"/>
      </w:pPr>
      <w:rPr>
        <w:rFonts w:hint="default"/>
      </w:rPr>
    </w:lvl>
    <w:lvl w:ilvl="5">
      <w:start w:val="1"/>
      <w:numFmt w:val="none"/>
      <w:pStyle w:val="Nadpis6"/>
      <w:suff w:val="nothing"/>
      <w:lvlText w:val="§ %6"/>
      <w:lvlJc w:val="center"/>
      <w:pPr>
        <w:ind w:left="0" w:firstLine="0"/>
      </w:pPr>
      <w:rPr>
        <w:rFonts w:hint="default"/>
      </w:rPr>
    </w:lvl>
    <w:lvl w:ilvl="6">
      <w:start w:val="1"/>
      <w:numFmt w:val="decimal"/>
      <w:pStyle w:val="Nadpis7"/>
      <w:lvlText w:val="(%7)"/>
      <w:lvlJc w:val="center"/>
      <w:pPr>
        <w:tabs>
          <w:tab w:val="num" w:pos="644"/>
        </w:tabs>
        <w:ind w:left="0" w:firstLine="284"/>
      </w:pPr>
      <w:rPr>
        <w:rFonts w:hint="default"/>
      </w:rPr>
    </w:lvl>
    <w:lvl w:ilvl="7">
      <w:start w:val="1"/>
      <w:numFmt w:val="lowerLetter"/>
      <w:pStyle w:val="Nadpis8"/>
      <w:lvlText w:val="%8)"/>
      <w:lvlJc w:val="right"/>
      <w:pPr>
        <w:tabs>
          <w:tab w:val="num" w:pos="170"/>
        </w:tabs>
        <w:ind w:left="170" w:hanging="57"/>
      </w:pPr>
      <w:rPr>
        <w:rFonts w:hint="default"/>
      </w:rPr>
    </w:lvl>
    <w:lvl w:ilvl="8">
      <w:start w:val="1"/>
      <w:numFmt w:val="decimal"/>
      <w:pStyle w:val="Nadpis9"/>
      <w:lvlText w:val="%9."/>
      <w:lvlJc w:val="right"/>
      <w:pPr>
        <w:tabs>
          <w:tab w:val="num" w:pos="567"/>
        </w:tabs>
        <w:ind w:left="567" w:hanging="113"/>
      </w:pPr>
      <w:rPr>
        <w:rFonts w:hint="default"/>
      </w:rPr>
    </w:lvl>
  </w:abstractNum>
  <w:abstractNum w:abstractNumId="12" w15:restartNumberingAfterBreak="0">
    <w:nsid w:val="768F1012"/>
    <w:multiLevelType w:val="multilevel"/>
    <w:tmpl w:val="739E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0"/>
  </w:num>
  <w:num w:numId="4">
    <w:abstractNumId w:val="3"/>
  </w:num>
  <w:num w:numId="5">
    <w:abstractNumId w:val="5"/>
  </w:num>
  <w:num w:numId="6">
    <w:abstractNumId w:val="6"/>
  </w:num>
  <w:num w:numId="7">
    <w:abstractNumId w:val="8"/>
  </w:num>
  <w:num w:numId="8">
    <w:abstractNumId w:val="2"/>
  </w:num>
  <w:num w:numId="9">
    <w:abstractNumId w:val="12"/>
  </w:num>
  <w:num w:numId="10">
    <w:abstractNumId w:val="1"/>
  </w:num>
  <w:num w:numId="11">
    <w:abstractNumId w:val="9"/>
  </w:num>
  <w:num w:numId="12">
    <w:abstractNumId w:val="4"/>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4C"/>
    <w:rsid w:val="00001368"/>
    <w:rsid w:val="00001BBB"/>
    <w:rsid w:val="0000283B"/>
    <w:rsid w:val="00002AC8"/>
    <w:rsid w:val="00002AC9"/>
    <w:rsid w:val="00004FCC"/>
    <w:rsid w:val="00006A8D"/>
    <w:rsid w:val="0001046D"/>
    <w:rsid w:val="000117A3"/>
    <w:rsid w:val="00012176"/>
    <w:rsid w:val="00023781"/>
    <w:rsid w:val="0002388E"/>
    <w:rsid w:val="00024D4B"/>
    <w:rsid w:val="00024FA5"/>
    <w:rsid w:val="00026EEB"/>
    <w:rsid w:val="00027C6A"/>
    <w:rsid w:val="00027F7E"/>
    <w:rsid w:val="00031F2A"/>
    <w:rsid w:val="00032265"/>
    <w:rsid w:val="00032A12"/>
    <w:rsid w:val="000349BF"/>
    <w:rsid w:val="00035655"/>
    <w:rsid w:val="0004487A"/>
    <w:rsid w:val="00045981"/>
    <w:rsid w:val="0004797A"/>
    <w:rsid w:val="00051305"/>
    <w:rsid w:val="00053848"/>
    <w:rsid w:val="00053AAE"/>
    <w:rsid w:val="00054706"/>
    <w:rsid w:val="0005477D"/>
    <w:rsid w:val="000547C6"/>
    <w:rsid w:val="00054AF3"/>
    <w:rsid w:val="00060BAB"/>
    <w:rsid w:val="000629BC"/>
    <w:rsid w:val="00063A8B"/>
    <w:rsid w:val="000659D3"/>
    <w:rsid w:val="00066490"/>
    <w:rsid w:val="0006689F"/>
    <w:rsid w:val="000676C7"/>
    <w:rsid w:val="00070C7D"/>
    <w:rsid w:val="00070E6A"/>
    <w:rsid w:val="0007312B"/>
    <w:rsid w:val="0007349D"/>
    <w:rsid w:val="00074058"/>
    <w:rsid w:val="000757A0"/>
    <w:rsid w:val="000765DE"/>
    <w:rsid w:val="00077C10"/>
    <w:rsid w:val="00081397"/>
    <w:rsid w:val="00082795"/>
    <w:rsid w:val="000827B9"/>
    <w:rsid w:val="00084C8D"/>
    <w:rsid w:val="000869AB"/>
    <w:rsid w:val="000875EA"/>
    <w:rsid w:val="0009061C"/>
    <w:rsid w:val="000913C8"/>
    <w:rsid w:val="000917C9"/>
    <w:rsid w:val="00092F6E"/>
    <w:rsid w:val="00092FBC"/>
    <w:rsid w:val="00093D0E"/>
    <w:rsid w:val="0009452D"/>
    <w:rsid w:val="000957FB"/>
    <w:rsid w:val="00097DA7"/>
    <w:rsid w:val="000A0675"/>
    <w:rsid w:val="000A1511"/>
    <w:rsid w:val="000A1A2C"/>
    <w:rsid w:val="000A2FA6"/>
    <w:rsid w:val="000A340A"/>
    <w:rsid w:val="000A7524"/>
    <w:rsid w:val="000B1CF5"/>
    <w:rsid w:val="000B22DE"/>
    <w:rsid w:val="000B2C5B"/>
    <w:rsid w:val="000B3A06"/>
    <w:rsid w:val="000B4461"/>
    <w:rsid w:val="000B4D28"/>
    <w:rsid w:val="000B5FC4"/>
    <w:rsid w:val="000B6454"/>
    <w:rsid w:val="000B6F1D"/>
    <w:rsid w:val="000C20D5"/>
    <w:rsid w:val="000C2CF9"/>
    <w:rsid w:val="000C3F1F"/>
    <w:rsid w:val="000C4A06"/>
    <w:rsid w:val="000C595E"/>
    <w:rsid w:val="000D07AF"/>
    <w:rsid w:val="000D0CE0"/>
    <w:rsid w:val="000D16AE"/>
    <w:rsid w:val="000D3C0F"/>
    <w:rsid w:val="000D47E1"/>
    <w:rsid w:val="000D4837"/>
    <w:rsid w:val="000D6F2E"/>
    <w:rsid w:val="000D746E"/>
    <w:rsid w:val="000D7CCE"/>
    <w:rsid w:val="000E3400"/>
    <w:rsid w:val="000E4D58"/>
    <w:rsid w:val="000E50EE"/>
    <w:rsid w:val="000E708C"/>
    <w:rsid w:val="000F23EA"/>
    <w:rsid w:val="000F2973"/>
    <w:rsid w:val="000F4288"/>
    <w:rsid w:val="000F5402"/>
    <w:rsid w:val="000F7141"/>
    <w:rsid w:val="000F7420"/>
    <w:rsid w:val="000F787C"/>
    <w:rsid w:val="00104ADC"/>
    <w:rsid w:val="0011243D"/>
    <w:rsid w:val="0011379D"/>
    <w:rsid w:val="00114715"/>
    <w:rsid w:val="00114B6A"/>
    <w:rsid w:val="0011603C"/>
    <w:rsid w:val="0012109F"/>
    <w:rsid w:val="00121A05"/>
    <w:rsid w:val="00121F43"/>
    <w:rsid w:val="00123662"/>
    <w:rsid w:val="0012596D"/>
    <w:rsid w:val="00125C64"/>
    <w:rsid w:val="00126DBF"/>
    <w:rsid w:val="001278C2"/>
    <w:rsid w:val="00130EEB"/>
    <w:rsid w:val="00132B91"/>
    <w:rsid w:val="00134415"/>
    <w:rsid w:val="00140ADB"/>
    <w:rsid w:val="00142C0F"/>
    <w:rsid w:val="00143D26"/>
    <w:rsid w:val="00145195"/>
    <w:rsid w:val="00145C94"/>
    <w:rsid w:val="00145F5D"/>
    <w:rsid w:val="00147F42"/>
    <w:rsid w:val="001519F9"/>
    <w:rsid w:val="001527B9"/>
    <w:rsid w:val="00152E64"/>
    <w:rsid w:val="00155A3D"/>
    <w:rsid w:val="00157D9A"/>
    <w:rsid w:val="001615A4"/>
    <w:rsid w:val="00162FCD"/>
    <w:rsid w:val="001639C0"/>
    <w:rsid w:val="00164EA1"/>
    <w:rsid w:val="00165154"/>
    <w:rsid w:val="0016718F"/>
    <w:rsid w:val="00170737"/>
    <w:rsid w:val="00170768"/>
    <w:rsid w:val="00170797"/>
    <w:rsid w:val="00173243"/>
    <w:rsid w:val="0017536D"/>
    <w:rsid w:val="001764DB"/>
    <w:rsid w:val="00177C90"/>
    <w:rsid w:val="00181EE6"/>
    <w:rsid w:val="00182524"/>
    <w:rsid w:val="00182DFF"/>
    <w:rsid w:val="00182E72"/>
    <w:rsid w:val="00183FE9"/>
    <w:rsid w:val="001854D9"/>
    <w:rsid w:val="00185B7F"/>
    <w:rsid w:val="00185E62"/>
    <w:rsid w:val="00186B84"/>
    <w:rsid w:val="00187A4F"/>
    <w:rsid w:val="001925BA"/>
    <w:rsid w:val="001928CD"/>
    <w:rsid w:val="00193665"/>
    <w:rsid w:val="00194A8B"/>
    <w:rsid w:val="00194FB2"/>
    <w:rsid w:val="001958F8"/>
    <w:rsid w:val="001960E0"/>
    <w:rsid w:val="00196886"/>
    <w:rsid w:val="00196B97"/>
    <w:rsid w:val="00196C11"/>
    <w:rsid w:val="001A28F9"/>
    <w:rsid w:val="001A296E"/>
    <w:rsid w:val="001A36E7"/>
    <w:rsid w:val="001A3AFE"/>
    <w:rsid w:val="001A6BA4"/>
    <w:rsid w:val="001A6E2C"/>
    <w:rsid w:val="001B05F4"/>
    <w:rsid w:val="001B172D"/>
    <w:rsid w:val="001B2C13"/>
    <w:rsid w:val="001B2D6A"/>
    <w:rsid w:val="001B4E5D"/>
    <w:rsid w:val="001C2A56"/>
    <w:rsid w:val="001C3AEE"/>
    <w:rsid w:val="001C3CEB"/>
    <w:rsid w:val="001C5BBA"/>
    <w:rsid w:val="001C6ACD"/>
    <w:rsid w:val="001C72D7"/>
    <w:rsid w:val="001C7694"/>
    <w:rsid w:val="001C78EC"/>
    <w:rsid w:val="001D1453"/>
    <w:rsid w:val="001D407D"/>
    <w:rsid w:val="001D424F"/>
    <w:rsid w:val="001E5E6D"/>
    <w:rsid w:val="001E645A"/>
    <w:rsid w:val="001E6C07"/>
    <w:rsid w:val="001E7D2A"/>
    <w:rsid w:val="001E7D51"/>
    <w:rsid w:val="001F05E4"/>
    <w:rsid w:val="001F0962"/>
    <w:rsid w:val="001F13A1"/>
    <w:rsid w:val="001F15C1"/>
    <w:rsid w:val="001F22D5"/>
    <w:rsid w:val="001F3055"/>
    <w:rsid w:val="00205639"/>
    <w:rsid w:val="002064AA"/>
    <w:rsid w:val="002072EE"/>
    <w:rsid w:val="00207A54"/>
    <w:rsid w:val="00211CFD"/>
    <w:rsid w:val="00211E4E"/>
    <w:rsid w:val="00211FB2"/>
    <w:rsid w:val="0021297C"/>
    <w:rsid w:val="00212EF7"/>
    <w:rsid w:val="00214CFF"/>
    <w:rsid w:val="00217493"/>
    <w:rsid w:val="00217650"/>
    <w:rsid w:val="00217960"/>
    <w:rsid w:val="00217B48"/>
    <w:rsid w:val="0022148F"/>
    <w:rsid w:val="00224FCD"/>
    <w:rsid w:val="00231E4E"/>
    <w:rsid w:val="00234725"/>
    <w:rsid w:val="00236981"/>
    <w:rsid w:val="00241A42"/>
    <w:rsid w:val="00242C21"/>
    <w:rsid w:val="00246EF8"/>
    <w:rsid w:val="00247CBF"/>
    <w:rsid w:val="00247F40"/>
    <w:rsid w:val="00257327"/>
    <w:rsid w:val="0025777C"/>
    <w:rsid w:val="0026028B"/>
    <w:rsid w:val="00261185"/>
    <w:rsid w:val="00261C39"/>
    <w:rsid w:val="002622F8"/>
    <w:rsid w:val="002624E5"/>
    <w:rsid w:val="002637F9"/>
    <w:rsid w:val="00264DF4"/>
    <w:rsid w:val="00265DE3"/>
    <w:rsid w:val="00267D79"/>
    <w:rsid w:val="00270B7B"/>
    <w:rsid w:val="00271857"/>
    <w:rsid w:val="00272EEE"/>
    <w:rsid w:val="00273674"/>
    <w:rsid w:val="00275D8D"/>
    <w:rsid w:val="00276A58"/>
    <w:rsid w:val="002778A9"/>
    <w:rsid w:val="0028083F"/>
    <w:rsid w:val="00280B1B"/>
    <w:rsid w:val="002810FD"/>
    <w:rsid w:val="002823BC"/>
    <w:rsid w:val="00282E58"/>
    <w:rsid w:val="00283D5C"/>
    <w:rsid w:val="00284EA8"/>
    <w:rsid w:val="002851A5"/>
    <w:rsid w:val="002854DC"/>
    <w:rsid w:val="0028576D"/>
    <w:rsid w:val="0028656E"/>
    <w:rsid w:val="002872E4"/>
    <w:rsid w:val="00287337"/>
    <w:rsid w:val="00287456"/>
    <w:rsid w:val="00287B0D"/>
    <w:rsid w:val="0029124E"/>
    <w:rsid w:val="002921E8"/>
    <w:rsid w:val="00293F0B"/>
    <w:rsid w:val="002A011C"/>
    <w:rsid w:val="002A1356"/>
    <w:rsid w:val="002A1EC0"/>
    <w:rsid w:val="002A28D0"/>
    <w:rsid w:val="002A2B6A"/>
    <w:rsid w:val="002A49A9"/>
    <w:rsid w:val="002A6B4C"/>
    <w:rsid w:val="002B13BC"/>
    <w:rsid w:val="002B16F2"/>
    <w:rsid w:val="002B414B"/>
    <w:rsid w:val="002B53B4"/>
    <w:rsid w:val="002B585B"/>
    <w:rsid w:val="002B6616"/>
    <w:rsid w:val="002B6A17"/>
    <w:rsid w:val="002B797B"/>
    <w:rsid w:val="002C2755"/>
    <w:rsid w:val="002C46BF"/>
    <w:rsid w:val="002C4D98"/>
    <w:rsid w:val="002D3E25"/>
    <w:rsid w:val="002D3EE9"/>
    <w:rsid w:val="002D49C0"/>
    <w:rsid w:val="002D4D15"/>
    <w:rsid w:val="002D5B3B"/>
    <w:rsid w:val="002D6FD2"/>
    <w:rsid w:val="002D7FC4"/>
    <w:rsid w:val="002E288C"/>
    <w:rsid w:val="002E3200"/>
    <w:rsid w:val="002E358E"/>
    <w:rsid w:val="002E424C"/>
    <w:rsid w:val="002E56CB"/>
    <w:rsid w:val="002E68C7"/>
    <w:rsid w:val="002E74A3"/>
    <w:rsid w:val="002F012D"/>
    <w:rsid w:val="002F1C6D"/>
    <w:rsid w:val="002F3C04"/>
    <w:rsid w:val="002F4377"/>
    <w:rsid w:val="002F58AA"/>
    <w:rsid w:val="002F6A98"/>
    <w:rsid w:val="002F6F39"/>
    <w:rsid w:val="003028DA"/>
    <w:rsid w:val="00304BD2"/>
    <w:rsid w:val="00306B77"/>
    <w:rsid w:val="00310CCE"/>
    <w:rsid w:val="0031124F"/>
    <w:rsid w:val="00312010"/>
    <w:rsid w:val="00312E89"/>
    <w:rsid w:val="00313D94"/>
    <w:rsid w:val="00315C5E"/>
    <w:rsid w:val="00316BF9"/>
    <w:rsid w:val="0032028B"/>
    <w:rsid w:val="003229E6"/>
    <w:rsid w:val="00322EA0"/>
    <w:rsid w:val="003232C1"/>
    <w:rsid w:val="00323EC4"/>
    <w:rsid w:val="00324E56"/>
    <w:rsid w:val="0032629D"/>
    <w:rsid w:val="00326F5C"/>
    <w:rsid w:val="00327715"/>
    <w:rsid w:val="003308CC"/>
    <w:rsid w:val="00331B35"/>
    <w:rsid w:val="00332139"/>
    <w:rsid w:val="003327EA"/>
    <w:rsid w:val="00332B3D"/>
    <w:rsid w:val="003336E9"/>
    <w:rsid w:val="00333B22"/>
    <w:rsid w:val="00333B6D"/>
    <w:rsid w:val="00333BB9"/>
    <w:rsid w:val="00333D19"/>
    <w:rsid w:val="00342AA4"/>
    <w:rsid w:val="003441AF"/>
    <w:rsid w:val="003468F3"/>
    <w:rsid w:val="00350357"/>
    <w:rsid w:val="00350571"/>
    <w:rsid w:val="00351895"/>
    <w:rsid w:val="003529C4"/>
    <w:rsid w:val="00352F2F"/>
    <w:rsid w:val="0035303F"/>
    <w:rsid w:val="0035623D"/>
    <w:rsid w:val="00356745"/>
    <w:rsid w:val="003567D4"/>
    <w:rsid w:val="00357119"/>
    <w:rsid w:val="00360EB4"/>
    <w:rsid w:val="003620F0"/>
    <w:rsid w:val="0036320E"/>
    <w:rsid w:val="00365B75"/>
    <w:rsid w:val="003675EA"/>
    <w:rsid w:val="00367C18"/>
    <w:rsid w:val="00370422"/>
    <w:rsid w:val="0037438A"/>
    <w:rsid w:val="00374F6D"/>
    <w:rsid w:val="00377BB2"/>
    <w:rsid w:val="00380328"/>
    <w:rsid w:val="00382560"/>
    <w:rsid w:val="003833ED"/>
    <w:rsid w:val="00386387"/>
    <w:rsid w:val="00391486"/>
    <w:rsid w:val="00391FC2"/>
    <w:rsid w:val="00393AAA"/>
    <w:rsid w:val="00396496"/>
    <w:rsid w:val="003A0619"/>
    <w:rsid w:val="003A0EFA"/>
    <w:rsid w:val="003A1C60"/>
    <w:rsid w:val="003A1E0D"/>
    <w:rsid w:val="003A2EB0"/>
    <w:rsid w:val="003A2F27"/>
    <w:rsid w:val="003A380C"/>
    <w:rsid w:val="003A5A2B"/>
    <w:rsid w:val="003A630E"/>
    <w:rsid w:val="003A63B8"/>
    <w:rsid w:val="003A7F8C"/>
    <w:rsid w:val="003B0320"/>
    <w:rsid w:val="003B3175"/>
    <w:rsid w:val="003B4449"/>
    <w:rsid w:val="003B54D0"/>
    <w:rsid w:val="003B57DF"/>
    <w:rsid w:val="003B5A38"/>
    <w:rsid w:val="003C040C"/>
    <w:rsid w:val="003C100F"/>
    <w:rsid w:val="003C3E98"/>
    <w:rsid w:val="003C6485"/>
    <w:rsid w:val="003C752A"/>
    <w:rsid w:val="003D0254"/>
    <w:rsid w:val="003D12E9"/>
    <w:rsid w:val="003D15F8"/>
    <w:rsid w:val="003D1D95"/>
    <w:rsid w:val="003D264C"/>
    <w:rsid w:val="003D32F5"/>
    <w:rsid w:val="003D48D2"/>
    <w:rsid w:val="003D4D37"/>
    <w:rsid w:val="003D5EDF"/>
    <w:rsid w:val="003E06AD"/>
    <w:rsid w:val="003E3C73"/>
    <w:rsid w:val="003E527A"/>
    <w:rsid w:val="003E771E"/>
    <w:rsid w:val="003E7E04"/>
    <w:rsid w:val="003F15C0"/>
    <w:rsid w:val="003F1644"/>
    <w:rsid w:val="003F54AF"/>
    <w:rsid w:val="004001D7"/>
    <w:rsid w:val="00402145"/>
    <w:rsid w:val="004028B3"/>
    <w:rsid w:val="004042B4"/>
    <w:rsid w:val="00404419"/>
    <w:rsid w:val="00407021"/>
    <w:rsid w:val="004070EF"/>
    <w:rsid w:val="004101AA"/>
    <w:rsid w:val="004122F1"/>
    <w:rsid w:val="004123E7"/>
    <w:rsid w:val="004126E2"/>
    <w:rsid w:val="00414FBF"/>
    <w:rsid w:val="00416AD0"/>
    <w:rsid w:val="00421BD0"/>
    <w:rsid w:val="00422616"/>
    <w:rsid w:val="004314E2"/>
    <w:rsid w:val="00432219"/>
    <w:rsid w:val="00437CF3"/>
    <w:rsid w:val="00437E90"/>
    <w:rsid w:val="004402C9"/>
    <w:rsid w:val="004414CD"/>
    <w:rsid w:val="004439B0"/>
    <w:rsid w:val="00443A32"/>
    <w:rsid w:val="00451269"/>
    <w:rsid w:val="00452892"/>
    <w:rsid w:val="00453216"/>
    <w:rsid w:val="004536BA"/>
    <w:rsid w:val="00461464"/>
    <w:rsid w:val="00461CA7"/>
    <w:rsid w:val="00462582"/>
    <w:rsid w:val="00463153"/>
    <w:rsid w:val="00465E4A"/>
    <w:rsid w:val="00466009"/>
    <w:rsid w:val="00472088"/>
    <w:rsid w:val="00472C39"/>
    <w:rsid w:val="004733AA"/>
    <w:rsid w:val="004777AE"/>
    <w:rsid w:val="004813B1"/>
    <w:rsid w:val="0048145D"/>
    <w:rsid w:val="00482A3A"/>
    <w:rsid w:val="00483A06"/>
    <w:rsid w:val="00483A93"/>
    <w:rsid w:val="00483B15"/>
    <w:rsid w:val="00484D22"/>
    <w:rsid w:val="0048555C"/>
    <w:rsid w:val="00485D39"/>
    <w:rsid w:val="0048767E"/>
    <w:rsid w:val="004901BB"/>
    <w:rsid w:val="00491DD8"/>
    <w:rsid w:val="00493637"/>
    <w:rsid w:val="004936FE"/>
    <w:rsid w:val="00493E55"/>
    <w:rsid w:val="004A147E"/>
    <w:rsid w:val="004A3A1C"/>
    <w:rsid w:val="004A5CF7"/>
    <w:rsid w:val="004A62EB"/>
    <w:rsid w:val="004A6D79"/>
    <w:rsid w:val="004A7428"/>
    <w:rsid w:val="004A7987"/>
    <w:rsid w:val="004B0A0C"/>
    <w:rsid w:val="004B1B74"/>
    <w:rsid w:val="004B1E7A"/>
    <w:rsid w:val="004B5109"/>
    <w:rsid w:val="004B62C0"/>
    <w:rsid w:val="004B6C09"/>
    <w:rsid w:val="004B7791"/>
    <w:rsid w:val="004C0141"/>
    <w:rsid w:val="004C500B"/>
    <w:rsid w:val="004C67AB"/>
    <w:rsid w:val="004C6FBC"/>
    <w:rsid w:val="004C70B4"/>
    <w:rsid w:val="004D1A86"/>
    <w:rsid w:val="004D1EA9"/>
    <w:rsid w:val="004D431D"/>
    <w:rsid w:val="004D6C74"/>
    <w:rsid w:val="004E0C91"/>
    <w:rsid w:val="004E1BF2"/>
    <w:rsid w:val="004E351D"/>
    <w:rsid w:val="004E4338"/>
    <w:rsid w:val="004E47BE"/>
    <w:rsid w:val="004E5C8E"/>
    <w:rsid w:val="004F121E"/>
    <w:rsid w:val="004F4AD3"/>
    <w:rsid w:val="004F56D2"/>
    <w:rsid w:val="00500688"/>
    <w:rsid w:val="00500A31"/>
    <w:rsid w:val="005022F0"/>
    <w:rsid w:val="0051050E"/>
    <w:rsid w:val="00511159"/>
    <w:rsid w:val="00525A07"/>
    <w:rsid w:val="00527675"/>
    <w:rsid w:val="0053071B"/>
    <w:rsid w:val="00530965"/>
    <w:rsid w:val="00531D89"/>
    <w:rsid w:val="00535547"/>
    <w:rsid w:val="00541E5B"/>
    <w:rsid w:val="0054329C"/>
    <w:rsid w:val="005503F1"/>
    <w:rsid w:val="00553533"/>
    <w:rsid w:val="005539E0"/>
    <w:rsid w:val="00553EFD"/>
    <w:rsid w:val="005541EF"/>
    <w:rsid w:val="005555DB"/>
    <w:rsid w:val="00555A1D"/>
    <w:rsid w:val="00555AC6"/>
    <w:rsid w:val="00562F6B"/>
    <w:rsid w:val="00565164"/>
    <w:rsid w:val="00572D05"/>
    <w:rsid w:val="00573875"/>
    <w:rsid w:val="0057535D"/>
    <w:rsid w:val="00576DD4"/>
    <w:rsid w:val="00582507"/>
    <w:rsid w:val="00583B6F"/>
    <w:rsid w:val="00583D3E"/>
    <w:rsid w:val="00584285"/>
    <w:rsid w:val="00584CBA"/>
    <w:rsid w:val="00585191"/>
    <w:rsid w:val="00590466"/>
    <w:rsid w:val="0059142C"/>
    <w:rsid w:val="00591689"/>
    <w:rsid w:val="005922B8"/>
    <w:rsid w:val="005927C5"/>
    <w:rsid w:val="0059456E"/>
    <w:rsid w:val="00594F33"/>
    <w:rsid w:val="005A1EE4"/>
    <w:rsid w:val="005A2110"/>
    <w:rsid w:val="005A216B"/>
    <w:rsid w:val="005A4E56"/>
    <w:rsid w:val="005A54FE"/>
    <w:rsid w:val="005A572D"/>
    <w:rsid w:val="005A6E4A"/>
    <w:rsid w:val="005A7500"/>
    <w:rsid w:val="005B0DB7"/>
    <w:rsid w:val="005B23B9"/>
    <w:rsid w:val="005B323D"/>
    <w:rsid w:val="005B3FA9"/>
    <w:rsid w:val="005B546B"/>
    <w:rsid w:val="005C10D5"/>
    <w:rsid w:val="005C1F93"/>
    <w:rsid w:val="005C4093"/>
    <w:rsid w:val="005C698C"/>
    <w:rsid w:val="005C69EA"/>
    <w:rsid w:val="005C7AEC"/>
    <w:rsid w:val="005D185B"/>
    <w:rsid w:val="005D2420"/>
    <w:rsid w:val="005D5B6A"/>
    <w:rsid w:val="005D5D08"/>
    <w:rsid w:val="005E478D"/>
    <w:rsid w:val="005E6684"/>
    <w:rsid w:val="005F0332"/>
    <w:rsid w:val="005F2C9A"/>
    <w:rsid w:val="005F3D56"/>
    <w:rsid w:val="005F4B1C"/>
    <w:rsid w:val="005F4E08"/>
    <w:rsid w:val="005F5DB8"/>
    <w:rsid w:val="005F6C84"/>
    <w:rsid w:val="00600BA4"/>
    <w:rsid w:val="006019B6"/>
    <w:rsid w:val="00604337"/>
    <w:rsid w:val="006118B4"/>
    <w:rsid w:val="00611EF8"/>
    <w:rsid w:val="006124D2"/>
    <w:rsid w:val="00612B39"/>
    <w:rsid w:val="006166BF"/>
    <w:rsid w:val="006227CC"/>
    <w:rsid w:val="00623A63"/>
    <w:rsid w:val="006241F3"/>
    <w:rsid w:val="00624943"/>
    <w:rsid w:val="006300FC"/>
    <w:rsid w:val="0063587D"/>
    <w:rsid w:val="006371EC"/>
    <w:rsid w:val="00641CF5"/>
    <w:rsid w:val="00641F42"/>
    <w:rsid w:val="006432F3"/>
    <w:rsid w:val="00643324"/>
    <w:rsid w:val="00644526"/>
    <w:rsid w:val="00645FE4"/>
    <w:rsid w:val="00653356"/>
    <w:rsid w:val="00654331"/>
    <w:rsid w:val="00654C85"/>
    <w:rsid w:val="00655448"/>
    <w:rsid w:val="0065567E"/>
    <w:rsid w:val="006575BA"/>
    <w:rsid w:val="00660976"/>
    <w:rsid w:val="0066138B"/>
    <w:rsid w:val="006623C0"/>
    <w:rsid w:val="00662C49"/>
    <w:rsid w:val="0066323E"/>
    <w:rsid w:val="0066366B"/>
    <w:rsid w:val="006643C2"/>
    <w:rsid w:val="00664E0D"/>
    <w:rsid w:val="00670F8B"/>
    <w:rsid w:val="00671649"/>
    <w:rsid w:val="00672203"/>
    <w:rsid w:val="00672DE9"/>
    <w:rsid w:val="0067491B"/>
    <w:rsid w:val="00681875"/>
    <w:rsid w:val="00681CA9"/>
    <w:rsid w:val="006846A2"/>
    <w:rsid w:val="00685021"/>
    <w:rsid w:val="006904E7"/>
    <w:rsid w:val="00690EF2"/>
    <w:rsid w:val="00692B92"/>
    <w:rsid w:val="00695DF7"/>
    <w:rsid w:val="00696335"/>
    <w:rsid w:val="006971C7"/>
    <w:rsid w:val="00697D9B"/>
    <w:rsid w:val="006A1967"/>
    <w:rsid w:val="006A1D1D"/>
    <w:rsid w:val="006A21DE"/>
    <w:rsid w:val="006A31BA"/>
    <w:rsid w:val="006A3250"/>
    <w:rsid w:val="006A51A6"/>
    <w:rsid w:val="006A52CF"/>
    <w:rsid w:val="006A64B1"/>
    <w:rsid w:val="006B16B5"/>
    <w:rsid w:val="006B17A6"/>
    <w:rsid w:val="006B3DB1"/>
    <w:rsid w:val="006B4BAF"/>
    <w:rsid w:val="006B6341"/>
    <w:rsid w:val="006C0D6E"/>
    <w:rsid w:val="006C2CBF"/>
    <w:rsid w:val="006C3E57"/>
    <w:rsid w:val="006C4D73"/>
    <w:rsid w:val="006C4F5D"/>
    <w:rsid w:val="006C5D5E"/>
    <w:rsid w:val="006C7A7E"/>
    <w:rsid w:val="006D0D33"/>
    <w:rsid w:val="006D1879"/>
    <w:rsid w:val="006D1B50"/>
    <w:rsid w:val="006D2BD6"/>
    <w:rsid w:val="006D5B7C"/>
    <w:rsid w:val="006E00D7"/>
    <w:rsid w:val="006E1892"/>
    <w:rsid w:val="006E7C90"/>
    <w:rsid w:val="006F0354"/>
    <w:rsid w:val="006F141D"/>
    <w:rsid w:val="006F18F2"/>
    <w:rsid w:val="006F1D66"/>
    <w:rsid w:val="006F5026"/>
    <w:rsid w:val="006F5A3E"/>
    <w:rsid w:val="006F6EE1"/>
    <w:rsid w:val="006F7755"/>
    <w:rsid w:val="006F77A5"/>
    <w:rsid w:val="006F78FE"/>
    <w:rsid w:val="00700F5F"/>
    <w:rsid w:val="00702116"/>
    <w:rsid w:val="007040C0"/>
    <w:rsid w:val="00706904"/>
    <w:rsid w:val="00706D1E"/>
    <w:rsid w:val="0070780E"/>
    <w:rsid w:val="00711239"/>
    <w:rsid w:val="00712F38"/>
    <w:rsid w:val="00714EDF"/>
    <w:rsid w:val="00715DC7"/>
    <w:rsid w:val="00716076"/>
    <w:rsid w:val="00716943"/>
    <w:rsid w:val="007178D2"/>
    <w:rsid w:val="00717E3B"/>
    <w:rsid w:val="00723470"/>
    <w:rsid w:val="00724B89"/>
    <w:rsid w:val="00726D38"/>
    <w:rsid w:val="0072757B"/>
    <w:rsid w:val="007320A4"/>
    <w:rsid w:val="00732481"/>
    <w:rsid w:val="00732D5A"/>
    <w:rsid w:val="007338DD"/>
    <w:rsid w:val="00735738"/>
    <w:rsid w:val="0074472B"/>
    <w:rsid w:val="00744C42"/>
    <w:rsid w:val="0075206B"/>
    <w:rsid w:val="0075300D"/>
    <w:rsid w:val="007530BB"/>
    <w:rsid w:val="007533E4"/>
    <w:rsid w:val="00754C80"/>
    <w:rsid w:val="007553DD"/>
    <w:rsid w:val="00755A9A"/>
    <w:rsid w:val="00761025"/>
    <w:rsid w:val="007610C3"/>
    <w:rsid w:val="00761645"/>
    <w:rsid w:val="00762A22"/>
    <w:rsid w:val="0076326B"/>
    <w:rsid w:val="007648DD"/>
    <w:rsid w:val="00764F4C"/>
    <w:rsid w:val="00765CE1"/>
    <w:rsid w:val="007711E7"/>
    <w:rsid w:val="0077192D"/>
    <w:rsid w:val="007811D7"/>
    <w:rsid w:val="00783233"/>
    <w:rsid w:val="007838C2"/>
    <w:rsid w:val="00784082"/>
    <w:rsid w:val="007846BA"/>
    <w:rsid w:val="00785A47"/>
    <w:rsid w:val="00786855"/>
    <w:rsid w:val="00786902"/>
    <w:rsid w:val="00786D99"/>
    <w:rsid w:val="00792AE1"/>
    <w:rsid w:val="00794646"/>
    <w:rsid w:val="00795EA1"/>
    <w:rsid w:val="007A0457"/>
    <w:rsid w:val="007A118E"/>
    <w:rsid w:val="007A227A"/>
    <w:rsid w:val="007A5388"/>
    <w:rsid w:val="007A5A46"/>
    <w:rsid w:val="007A5B01"/>
    <w:rsid w:val="007A5BB2"/>
    <w:rsid w:val="007A67E0"/>
    <w:rsid w:val="007B170B"/>
    <w:rsid w:val="007B1760"/>
    <w:rsid w:val="007B3C95"/>
    <w:rsid w:val="007B5A4D"/>
    <w:rsid w:val="007B6B07"/>
    <w:rsid w:val="007B7951"/>
    <w:rsid w:val="007C00A5"/>
    <w:rsid w:val="007C0280"/>
    <w:rsid w:val="007C0BE5"/>
    <w:rsid w:val="007C1074"/>
    <w:rsid w:val="007C21BE"/>
    <w:rsid w:val="007C3F13"/>
    <w:rsid w:val="007C4CA9"/>
    <w:rsid w:val="007C6081"/>
    <w:rsid w:val="007C759D"/>
    <w:rsid w:val="007D048C"/>
    <w:rsid w:val="007D0D2D"/>
    <w:rsid w:val="007D1D8A"/>
    <w:rsid w:val="007D2ED8"/>
    <w:rsid w:val="007D313C"/>
    <w:rsid w:val="007D4671"/>
    <w:rsid w:val="007D4F56"/>
    <w:rsid w:val="007D57DE"/>
    <w:rsid w:val="007D59C7"/>
    <w:rsid w:val="007D71C9"/>
    <w:rsid w:val="007D7EA5"/>
    <w:rsid w:val="007E1A1F"/>
    <w:rsid w:val="007E41E5"/>
    <w:rsid w:val="007E4907"/>
    <w:rsid w:val="007E55D3"/>
    <w:rsid w:val="007E61A8"/>
    <w:rsid w:val="007E7816"/>
    <w:rsid w:val="007F0A68"/>
    <w:rsid w:val="007F2C2B"/>
    <w:rsid w:val="007F5A60"/>
    <w:rsid w:val="00801B90"/>
    <w:rsid w:val="0080366B"/>
    <w:rsid w:val="00803C42"/>
    <w:rsid w:val="008077FF"/>
    <w:rsid w:val="0081120D"/>
    <w:rsid w:val="00813F5E"/>
    <w:rsid w:val="00814477"/>
    <w:rsid w:val="00814BE8"/>
    <w:rsid w:val="008158C9"/>
    <w:rsid w:val="00817921"/>
    <w:rsid w:val="00822CBA"/>
    <w:rsid w:val="0082506D"/>
    <w:rsid w:val="00826332"/>
    <w:rsid w:val="0082767F"/>
    <w:rsid w:val="00830D26"/>
    <w:rsid w:val="00831A66"/>
    <w:rsid w:val="00831DC2"/>
    <w:rsid w:val="008328DA"/>
    <w:rsid w:val="0083338A"/>
    <w:rsid w:val="0083431D"/>
    <w:rsid w:val="00834998"/>
    <w:rsid w:val="00834B63"/>
    <w:rsid w:val="00834C83"/>
    <w:rsid w:val="008369C5"/>
    <w:rsid w:val="00840FD9"/>
    <w:rsid w:val="00842BBD"/>
    <w:rsid w:val="00843154"/>
    <w:rsid w:val="00843EFC"/>
    <w:rsid w:val="0084524B"/>
    <w:rsid w:val="0084737D"/>
    <w:rsid w:val="00847865"/>
    <w:rsid w:val="0084791D"/>
    <w:rsid w:val="008506CE"/>
    <w:rsid w:val="00850B01"/>
    <w:rsid w:val="008574B9"/>
    <w:rsid w:val="008600B1"/>
    <w:rsid w:val="00860E8E"/>
    <w:rsid w:val="00861FA0"/>
    <w:rsid w:val="00863E45"/>
    <w:rsid w:val="008650AD"/>
    <w:rsid w:val="00865231"/>
    <w:rsid w:val="00865313"/>
    <w:rsid w:val="00866BAA"/>
    <w:rsid w:val="008705BD"/>
    <w:rsid w:val="008706B2"/>
    <w:rsid w:val="0087111C"/>
    <w:rsid w:val="0087122B"/>
    <w:rsid w:val="008720F8"/>
    <w:rsid w:val="00874031"/>
    <w:rsid w:val="0087508B"/>
    <w:rsid w:val="00875291"/>
    <w:rsid w:val="008753B2"/>
    <w:rsid w:val="0087668B"/>
    <w:rsid w:val="00881941"/>
    <w:rsid w:val="00882AFC"/>
    <w:rsid w:val="008848F7"/>
    <w:rsid w:val="00885192"/>
    <w:rsid w:val="008862B6"/>
    <w:rsid w:val="008871C4"/>
    <w:rsid w:val="00890F25"/>
    <w:rsid w:val="00892D6B"/>
    <w:rsid w:val="008959D8"/>
    <w:rsid w:val="00895E2F"/>
    <w:rsid w:val="008977EC"/>
    <w:rsid w:val="008A03C0"/>
    <w:rsid w:val="008A05D2"/>
    <w:rsid w:val="008A1150"/>
    <w:rsid w:val="008A1741"/>
    <w:rsid w:val="008A19B2"/>
    <w:rsid w:val="008A2167"/>
    <w:rsid w:val="008A21A8"/>
    <w:rsid w:val="008A3835"/>
    <w:rsid w:val="008A4AE2"/>
    <w:rsid w:val="008A5104"/>
    <w:rsid w:val="008B15F7"/>
    <w:rsid w:val="008B344E"/>
    <w:rsid w:val="008B385A"/>
    <w:rsid w:val="008B4EB7"/>
    <w:rsid w:val="008B5ACB"/>
    <w:rsid w:val="008B6871"/>
    <w:rsid w:val="008B77D9"/>
    <w:rsid w:val="008C14A8"/>
    <w:rsid w:val="008C246A"/>
    <w:rsid w:val="008C5567"/>
    <w:rsid w:val="008C579A"/>
    <w:rsid w:val="008C5B91"/>
    <w:rsid w:val="008C6CE4"/>
    <w:rsid w:val="008C784E"/>
    <w:rsid w:val="008D1D27"/>
    <w:rsid w:val="008D2426"/>
    <w:rsid w:val="008D6B50"/>
    <w:rsid w:val="008D6CC5"/>
    <w:rsid w:val="008D7F84"/>
    <w:rsid w:val="008E11BD"/>
    <w:rsid w:val="008E2F2B"/>
    <w:rsid w:val="008E33A0"/>
    <w:rsid w:val="008E342D"/>
    <w:rsid w:val="008E3F10"/>
    <w:rsid w:val="008E411D"/>
    <w:rsid w:val="008E508E"/>
    <w:rsid w:val="008E5CB0"/>
    <w:rsid w:val="008F308F"/>
    <w:rsid w:val="008F4BE9"/>
    <w:rsid w:val="00900490"/>
    <w:rsid w:val="0090076D"/>
    <w:rsid w:val="00901616"/>
    <w:rsid w:val="00902C16"/>
    <w:rsid w:val="00905618"/>
    <w:rsid w:val="00910712"/>
    <w:rsid w:val="00915363"/>
    <w:rsid w:val="009165FA"/>
    <w:rsid w:val="00916A12"/>
    <w:rsid w:val="00916FEC"/>
    <w:rsid w:val="00917D01"/>
    <w:rsid w:val="0092030E"/>
    <w:rsid w:val="00923786"/>
    <w:rsid w:val="0092530F"/>
    <w:rsid w:val="00926CDB"/>
    <w:rsid w:val="00930135"/>
    <w:rsid w:val="00931CF0"/>
    <w:rsid w:val="00934600"/>
    <w:rsid w:val="00937CFD"/>
    <w:rsid w:val="00940E4F"/>
    <w:rsid w:val="00941E83"/>
    <w:rsid w:val="00944932"/>
    <w:rsid w:val="00946366"/>
    <w:rsid w:val="0095082B"/>
    <w:rsid w:val="0095149D"/>
    <w:rsid w:val="009525D9"/>
    <w:rsid w:val="00952BE3"/>
    <w:rsid w:val="00953103"/>
    <w:rsid w:val="009560B6"/>
    <w:rsid w:val="00956D41"/>
    <w:rsid w:val="00963C43"/>
    <w:rsid w:val="00964D65"/>
    <w:rsid w:val="00965341"/>
    <w:rsid w:val="009664B7"/>
    <w:rsid w:val="00966651"/>
    <w:rsid w:val="00966F0B"/>
    <w:rsid w:val="00972D70"/>
    <w:rsid w:val="00973CD1"/>
    <w:rsid w:val="009754B5"/>
    <w:rsid w:val="00976C95"/>
    <w:rsid w:val="00976CC9"/>
    <w:rsid w:val="009772B1"/>
    <w:rsid w:val="00977615"/>
    <w:rsid w:val="00977E51"/>
    <w:rsid w:val="009803EC"/>
    <w:rsid w:val="00980DE0"/>
    <w:rsid w:val="0098109E"/>
    <w:rsid w:val="009811D8"/>
    <w:rsid w:val="00981404"/>
    <w:rsid w:val="00981CF3"/>
    <w:rsid w:val="009857F2"/>
    <w:rsid w:val="00985D8E"/>
    <w:rsid w:val="009913F9"/>
    <w:rsid w:val="009915F5"/>
    <w:rsid w:val="00994696"/>
    <w:rsid w:val="009A0340"/>
    <w:rsid w:val="009A26F3"/>
    <w:rsid w:val="009A3565"/>
    <w:rsid w:val="009A59B5"/>
    <w:rsid w:val="009A7D59"/>
    <w:rsid w:val="009B0ED7"/>
    <w:rsid w:val="009B16C2"/>
    <w:rsid w:val="009B4D97"/>
    <w:rsid w:val="009B5497"/>
    <w:rsid w:val="009B6C30"/>
    <w:rsid w:val="009B7385"/>
    <w:rsid w:val="009C5ED2"/>
    <w:rsid w:val="009D0D3C"/>
    <w:rsid w:val="009D0FDA"/>
    <w:rsid w:val="009D5AF5"/>
    <w:rsid w:val="009D6F18"/>
    <w:rsid w:val="009D7C88"/>
    <w:rsid w:val="009E1515"/>
    <w:rsid w:val="009E2EB9"/>
    <w:rsid w:val="009E2FD4"/>
    <w:rsid w:val="009F0388"/>
    <w:rsid w:val="009F0A33"/>
    <w:rsid w:val="009F0B11"/>
    <w:rsid w:val="009F1AF4"/>
    <w:rsid w:val="009F2539"/>
    <w:rsid w:val="009F25DC"/>
    <w:rsid w:val="009F4025"/>
    <w:rsid w:val="009F5008"/>
    <w:rsid w:val="009F5A65"/>
    <w:rsid w:val="009F5B84"/>
    <w:rsid w:val="00A00FB8"/>
    <w:rsid w:val="00A01F4B"/>
    <w:rsid w:val="00A0290B"/>
    <w:rsid w:val="00A041AC"/>
    <w:rsid w:val="00A044FA"/>
    <w:rsid w:val="00A07CDC"/>
    <w:rsid w:val="00A1124C"/>
    <w:rsid w:val="00A117AF"/>
    <w:rsid w:val="00A119E4"/>
    <w:rsid w:val="00A126E1"/>
    <w:rsid w:val="00A12819"/>
    <w:rsid w:val="00A142C6"/>
    <w:rsid w:val="00A1527F"/>
    <w:rsid w:val="00A170B4"/>
    <w:rsid w:val="00A20107"/>
    <w:rsid w:val="00A21502"/>
    <w:rsid w:val="00A246A5"/>
    <w:rsid w:val="00A2605B"/>
    <w:rsid w:val="00A279DD"/>
    <w:rsid w:val="00A3266D"/>
    <w:rsid w:val="00A3690A"/>
    <w:rsid w:val="00A42D7A"/>
    <w:rsid w:val="00A43DA8"/>
    <w:rsid w:val="00A44164"/>
    <w:rsid w:val="00A4638C"/>
    <w:rsid w:val="00A5139C"/>
    <w:rsid w:val="00A52CAE"/>
    <w:rsid w:val="00A53C5D"/>
    <w:rsid w:val="00A55CBA"/>
    <w:rsid w:val="00A5687D"/>
    <w:rsid w:val="00A579A4"/>
    <w:rsid w:val="00A57D31"/>
    <w:rsid w:val="00A621CD"/>
    <w:rsid w:val="00A6249B"/>
    <w:rsid w:val="00A63222"/>
    <w:rsid w:val="00A643C2"/>
    <w:rsid w:val="00A67E36"/>
    <w:rsid w:val="00A712AF"/>
    <w:rsid w:val="00A71B01"/>
    <w:rsid w:val="00A71C30"/>
    <w:rsid w:val="00A76461"/>
    <w:rsid w:val="00A7668B"/>
    <w:rsid w:val="00A77F12"/>
    <w:rsid w:val="00A83B24"/>
    <w:rsid w:val="00A84140"/>
    <w:rsid w:val="00A84F4C"/>
    <w:rsid w:val="00A86918"/>
    <w:rsid w:val="00A86DD7"/>
    <w:rsid w:val="00A91DA5"/>
    <w:rsid w:val="00A95A70"/>
    <w:rsid w:val="00A96FF6"/>
    <w:rsid w:val="00AA033C"/>
    <w:rsid w:val="00AA2A4D"/>
    <w:rsid w:val="00AA3808"/>
    <w:rsid w:val="00AA4979"/>
    <w:rsid w:val="00AA7479"/>
    <w:rsid w:val="00AB167D"/>
    <w:rsid w:val="00AB2134"/>
    <w:rsid w:val="00AB33FA"/>
    <w:rsid w:val="00AB7D31"/>
    <w:rsid w:val="00AC17B2"/>
    <w:rsid w:val="00AC217B"/>
    <w:rsid w:val="00AC61AA"/>
    <w:rsid w:val="00AC7BF9"/>
    <w:rsid w:val="00AC7E3F"/>
    <w:rsid w:val="00AD0F26"/>
    <w:rsid w:val="00AD3344"/>
    <w:rsid w:val="00AD3E0E"/>
    <w:rsid w:val="00AD5BE8"/>
    <w:rsid w:val="00AE027F"/>
    <w:rsid w:val="00AE2F0B"/>
    <w:rsid w:val="00AE50F7"/>
    <w:rsid w:val="00AE6184"/>
    <w:rsid w:val="00AE6E20"/>
    <w:rsid w:val="00AF038E"/>
    <w:rsid w:val="00AF16F3"/>
    <w:rsid w:val="00AF2B55"/>
    <w:rsid w:val="00AF34D5"/>
    <w:rsid w:val="00AF3C75"/>
    <w:rsid w:val="00AF433D"/>
    <w:rsid w:val="00AF4569"/>
    <w:rsid w:val="00AF4EE6"/>
    <w:rsid w:val="00AF51EC"/>
    <w:rsid w:val="00AF5CFD"/>
    <w:rsid w:val="00AF6887"/>
    <w:rsid w:val="00AF70E2"/>
    <w:rsid w:val="00B00536"/>
    <w:rsid w:val="00B044A0"/>
    <w:rsid w:val="00B04F82"/>
    <w:rsid w:val="00B05CC8"/>
    <w:rsid w:val="00B11B98"/>
    <w:rsid w:val="00B12E87"/>
    <w:rsid w:val="00B14117"/>
    <w:rsid w:val="00B1604A"/>
    <w:rsid w:val="00B22A97"/>
    <w:rsid w:val="00B23A04"/>
    <w:rsid w:val="00B2402B"/>
    <w:rsid w:val="00B24274"/>
    <w:rsid w:val="00B24613"/>
    <w:rsid w:val="00B253AC"/>
    <w:rsid w:val="00B26ADA"/>
    <w:rsid w:val="00B27745"/>
    <w:rsid w:val="00B3051E"/>
    <w:rsid w:val="00B33267"/>
    <w:rsid w:val="00B33887"/>
    <w:rsid w:val="00B33F0B"/>
    <w:rsid w:val="00B353F0"/>
    <w:rsid w:val="00B35BEA"/>
    <w:rsid w:val="00B36BE1"/>
    <w:rsid w:val="00B374DB"/>
    <w:rsid w:val="00B40998"/>
    <w:rsid w:val="00B415F2"/>
    <w:rsid w:val="00B41DE8"/>
    <w:rsid w:val="00B4368B"/>
    <w:rsid w:val="00B44B07"/>
    <w:rsid w:val="00B4502A"/>
    <w:rsid w:val="00B47398"/>
    <w:rsid w:val="00B47803"/>
    <w:rsid w:val="00B478C2"/>
    <w:rsid w:val="00B51811"/>
    <w:rsid w:val="00B523E4"/>
    <w:rsid w:val="00B52D46"/>
    <w:rsid w:val="00B53477"/>
    <w:rsid w:val="00B53520"/>
    <w:rsid w:val="00B541B9"/>
    <w:rsid w:val="00B56877"/>
    <w:rsid w:val="00B56880"/>
    <w:rsid w:val="00B578CF"/>
    <w:rsid w:val="00B57959"/>
    <w:rsid w:val="00B57A9C"/>
    <w:rsid w:val="00B65C31"/>
    <w:rsid w:val="00B67226"/>
    <w:rsid w:val="00B70217"/>
    <w:rsid w:val="00B71371"/>
    <w:rsid w:val="00B72B4A"/>
    <w:rsid w:val="00B81E77"/>
    <w:rsid w:val="00B82FFF"/>
    <w:rsid w:val="00B861BA"/>
    <w:rsid w:val="00B8789F"/>
    <w:rsid w:val="00B87C2C"/>
    <w:rsid w:val="00B87DA6"/>
    <w:rsid w:val="00B901E7"/>
    <w:rsid w:val="00B9092E"/>
    <w:rsid w:val="00B91686"/>
    <w:rsid w:val="00B917EC"/>
    <w:rsid w:val="00B91E02"/>
    <w:rsid w:val="00B92E62"/>
    <w:rsid w:val="00B95E18"/>
    <w:rsid w:val="00B97911"/>
    <w:rsid w:val="00B97A2A"/>
    <w:rsid w:val="00BA1176"/>
    <w:rsid w:val="00BA2DCF"/>
    <w:rsid w:val="00BA57BE"/>
    <w:rsid w:val="00BA7917"/>
    <w:rsid w:val="00BB40D6"/>
    <w:rsid w:val="00BB4455"/>
    <w:rsid w:val="00BB7418"/>
    <w:rsid w:val="00BB75F0"/>
    <w:rsid w:val="00BC07CB"/>
    <w:rsid w:val="00BC4A1F"/>
    <w:rsid w:val="00BC6C73"/>
    <w:rsid w:val="00BD0C57"/>
    <w:rsid w:val="00BD357D"/>
    <w:rsid w:val="00BD506B"/>
    <w:rsid w:val="00BD696B"/>
    <w:rsid w:val="00BD7174"/>
    <w:rsid w:val="00BE2160"/>
    <w:rsid w:val="00BE33C0"/>
    <w:rsid w:val="00BE3D85"/>
    <w:rsid w:val="00BE53E7"/>
    <w:rsid w:val="00BE6651"/>
    <w:rsid w:val="00BE68B2"/>
    <w:rsid w:val="00BE6B0A"/>
    <w:rsid w:val="00BE70FA"/>
    <w:rsid w:val="00BE7EC6"/>
    <w:rsid w:val="00BF0648"/>
    <w:rsid w:val="00BF1016"/>
    <w:rsid w:val="00BF4C81"/>
    <w:rsid w:val="00BF6C94"/>
    <w:rsid w:val="00C01D2C"/>
    <w:rsid w:val="00C0219C"/>
    <w:rsid w:val="00C02F60"/>
    <w:rsid w:val="00C03DBF"/>
    <w:rsid w:val="00C04424"/>
    <w:rsid w:val="00C074BD"/>
    <w:rsid w:val="00C117A6"/>
    <w:rsid w:val="00C12C73"/>
    <w:rsid w:val="00C132D6"/>
    <w:rsid w:val="00C173EC"/>
    <w:rsid w:val="00C21954"/>
    <w:rsid w:val="00C22DEB"/>
    <w:rsid w:val="00C23B3D"/>
    <w:rsid w:val="00C24B85"/>
    <w:rsid w:val="00C24FCB"/>
    <w:rsid w:val="00C2655F"/>
    <w:rsid w:val="00C316F8"/>
    <w:rsid w:val="00C34621"/>
    <w:rsid w:val="00C3795E"/>
    <w:rsid w:val="00C403A7"/>
    <w:rsid w:val="00C40CF9"/>
    <w:rsid w:val="00C450BB"/>
    <w:rsid w:val="00C45BF2"/>
    <w:rsid w:val="00C4621C"/>
    <w:rsid w:val="00C4690C"/>
    <w:rsid w:val="00C46C5B"/>
    <w:rsid w:val="00C519E0"/>
    <w:rsid w:val="00C52272"/>
    <w:rsid w:val="00C534AC"/>
    <w:rsid w:val="00C55945"/>
    <w:rsid w:val="00C569DA"/>
    <w:rsid w:val="00C571C4"/>
    <w:rsid w:val="00C61AAA"/>
    <w:rsid w:val="00C63BF5"/>
    <w:rsid w:val="00C65157"/>
    <w:rsid w:val="00C675F8"/>
    <w:rsid w:val="00C71508"/>
    <w:rsid w:val="00C74A5C"/>
    <w:rsid w:val="00C74E29"/>
    <w:rsid w:val="00C80E4B"/>
    <w:rsid w:val="00C86711"/>
    <w:rsid w:val="00C92AC6"/>
    <w:rsid w:val="00C963D8"/>
    <w:rsid w:val="00C96946"/>
    <w:rsid w:val="00CA00AC"/>
    <w:rsid w:val="00CA0203"/>
    <w:rsid w:val="00CA0C84"/>
    <w:rsid w:val="00CA37DB"/>
    <w:rsid w:val="00CA38C3"/>
    <w:rsid w:val="00CA3BEE"/>
    <w:rsid w:val="00CA5C27"/>
    <w:rsid w:val="00CA6C79"/>
    <w:rsid w:val="00CA6CE5"/>
    <w:rsid w:val="00CA79E8"/>
    <w:rsid w:val="00CB0DA4"/>
    <w:rsid w:val="00CB1646"/>
    <w:rsid w:val="00CB63A8"/>
    <w:rsid w:val="00CB69F9"/>
    <w:rsid w:val="00CB6DEB"/>
    <w:rsid w:val="00CB6EFA"/>
    <w:rsid w:val="00CB6F54"/>
    <w:rsid w:val="00CC1472"/>
    <w:rsid w:val="00CC38C9"/>
    <w:rsid w:val="00CC4E64"/>
    <w:rsid w:val="00CD1B89"/>
    <w:rsid w:val="00CD3455"/>
    <w:rsid w:val="00CD393E"/>
    <w:rsid w:val="00CD4E30"/>
    <w:rsid w:val="00CD51C8"/>
    <w:rsid w:val="00CD5D69"/>
    <w:rsid w:val="00CE17E0"/>
    <w:rsid w:val="00CE1EA2"/>
    <w:rsid w:val="00CE1EFE"/>
    <w:rsid w:val="00CE2702"/>
    <w:rsid w:val="00CE2B76"/>
    <w:rsid w:val="00CE47B4"/>
    <w:rsid w:val="00CE59CB"/>
    <w:rsid w:val="00CE7108"/>
    <w:rsid w:val="00CE7C14"/>
    <w:rsid w:val="00CE7CDC"/>
    <w:rsid w:val="00CE7E41"/>
    <w:rsid w:val="00CF04CA"/>
    <w:rsid w:val="00CF1D6E"/>
    <w:rsid w:val="00CF270B"/>
    <w:rsid w:val="00CF7A0C"/>
    <w:rsid w:val="00D01F85"/>
    <w:rsid w:val="00D02AC4"/>
    <w:rsid w:val="00D02E3C"/>
    <w:rsid w:val="00D02E87"/>
    <w:rsid w:val="00D03752"/>
    <w:rsid w:val="00D04B6E"/>
    <w:rsid w:val="00D10F2C"/>
    <w:rsid w:val="00D221A4"/>
    <w:rsid w:val="00D22F16"/>
    <w:rsid w:val="00D2696E"/>
    <w:rsid w:val="00D27C2B"/>
    <w:rsid w:val="00D304E8"/>
    <w:rsid w:val="00D30B7D"/>
    <w:rsid w:val="00D34338"/>
    <w:rsid w:val="00D3445B"/>
    <w:rsid w:val="00D367AD"/>
    <w:rsid w:val="00D36A07"/>
    <w:rsid w:val="00D41BCA"/>
    <w:rsid w:val="00D44338"/>
    <w:rsid w:val="00D453E9"/>
    <w:rsid w:val="00D4544B"/>
    <w:rsid w:val="00D468C5"/>
    <w:rsid w:val="00D50DE6"/>
    <w:rsid w:val="00D51C2B"/>
    <w:rsid w:val="00D52049"/>
    <w:rsid w:val="00D53D5D"/>
    <w:rsid w:val="00D562AD"/>
    <w:rsid w:val="00D56554"/>
    <w:rsid w:val="00D56C24"/>
    <w:rsid w:val="00D62139"/>
    <w:rsid w:val="00D62454"/>
    <w:rsid w:val="00D634B3"/>
    <w:rsid w:val="00D6669D"/>
    <w:rsid w:val="00D7204D"/>
    <w:rsid w:val="00D720CB"/>
    <w:rsid w:val="00D72646"/>
    <w:rsid w:val="00D73209"/>
    <w:rsid w:val="00D734F6"/>
    <w:rsid w:val="00D76615"/>
    <w:rsid w:val="00D772DB"/>
    <w:rsid w:val="00D81015"/>
    <w:rsid w:val="00D8238B"/>
    <w:rsid w:val="00D824CC"/>
    <w:rsid w:val="00D8345A"/>
    <w:rsid w:val="00D8427D"/>
    <w:rsid w:val="00D8692F"/>
    <w:rsid w:val="00D87B1C"/>
    <w:rsid w:val="00D87B53"/>
    <w:rsid w:val="00D910AB"/>
    <w:rsid w:val="00D91213"/>
    <w:rsid w:val="00D92A11"/>
    <w:rsid w:val="00D9455B"/>
    <w:rsid w:val="00D95742"/>
    <w:rsid w:val="00D970E4"/>
    <w:rsid w:val="00D9796F"/>
    <w:rsid w:val="00DA168F"/>
    <w:rsid w:val="00DA501E"/>
    <w:rsid w:val="00DA5813"/>
    <w:rsid w:val="00DA5A6B"/>
    <w:rsid w:val="00DA615C"/>
    <w:rsid w:val="00DA7F6E"/>
    <w:rsid w:val="00DB0194"/>
    <w:rsid w:val="00DB170A"/>
    <w:rsid w:val="00DB178F"/>
    <w:rsid w:val="00DB1841"/>
    <w:rsid w:val="00DB2287"/>
    <w:rsid w:val="00DB3C8E"/>
    <w:rsid w:val="00DB51CE"/>
    <w:rsid w:val="00DB52AE"/>
    <w:rsid w:val="00DB598E"/>
    <w:rsid w:val="00DB7FCA"/>
    <w:rsid w:val="00DC02CD"/>
    <w:rsid w:val="00DC08EB"/>
    <w:rsid w:val="00DC18E5"/>
    <w:rsid w:val="00DC32A2"/>
    <w:rsid w:val="00DC40E6"/>
    <w:rsid w:val="00DC4EC1"/>
    <w:rsid w:val="00DD1CB7"/>
    <w:rsid w:val="00DD1CFD"/>
    <w:rsid w:val="00DD251C"/>
    <w:rsid w:val="00DD4F5C"/>
    <w:rsid w:val="00DD62E6"/>
    <w:rsid w:val="00DD6F26"/>
    <w:rsid w:val="00DD6F9D"/>
    <w:rsid w:val="00DE110E"/>
    <w:rsid w:val="00DE5378"/>
    <w:rsid w:val="00DE6BF0"/>
    <w:rsid w:val="00DF055A"/>
    <w:rsid w:val="00DF17B9"/>
    <w:rsid w:val="00DF38D9"/>
    <w:rsid w:val="00DF6470"/>
    <w:rsid w:val="00E008CA"/>
    <w:rsid w:val="00E0141C"/>
    <w:rsid w:val="00E0161F"/>
    <w:rsid w:val="00E01A33"/>
    <w:rsid w:val="00E048F5"/>
    <w:rsid w:val="00E06B66"/>
    <w:rsid w:val="00E0729E"/>
    <w:rsid w:val="00E07708"/>
    <w:rsid w:val="00E07F8A"/>
    <w:rsid w:val="00E14FFC"/>
    <w:rsid w:val="00E1506B"/>
    <w:rsid w:val="00E157C5"/>
    <w:rsid w:val="00E17055"/>
    <w:rsid w:val="00E20337"/>
    <w:rsid w:val="00E250B0"/>
    <w:rsid w:val="00E25457"/>
    <w:rsid w:val="00E2655E"/>
    <w:rsid w:val="00E266A5"/>
    <w:rsid w:val="00E272D2"/>
    <w:rsid w:val="00E27458"/>
    <w:rsid w:val="00E33F9D"/>
    <w:rsid w:val="00E350C2"/>
    <w:rsid w:val="00E359CF"/>
    <w:rsid w:val="00E372AF"/>
    <w:rsid w:val="00E3755C"/>
    <w:rsid w:val="00E4105F"/>
    <w:rsid w:val="00E43305"/>
    <w:rsid w:val="00E4339F"/>
    <w:rsid w:val="00E506FF"/>
    <w:rsid w:val="00E528F3"/>
    <w:rsid w:val="00E53773"/>
    <w:rsid w:val="00E613E6"/>
    <w:rsid w:val="00E617AD"/>
    <w:rsid w:val="00E63210"/>
    <w:rsid w:val="00E648EC"/>
    <w:rsid w:val="00E668AB"/>
    <w:rsid w:val="00E66FA3"/>
    <w:rsid w:val="00E711F4"/>
    <w:rsid w:val="00E714E8"/>
    <w:rsid w:val="00E80177"/>
    <w:rsid w:val="00E804C7"/>
    <w:rsid w:val="00E80D70"/>
    <w:rsid w:val="00E82037"/>
    <w:rsid w:val="00E8265A"/>
    <w:rsid w:val="00E82D85"/>
    <w:rsid w:val="00E84D56"/>
    <w:rsid w:val="00E85116"/>
    <w:rsid w:val="00E86638"/>
    <w:rsid w:val="00E86BF2"/>
    <w:rsid w:val="00E91D49"/>
    <w:rsid w:val="00E93EF2"/>
    <w:rsid w:val="00E97086"/>
    <w:rsid w:val="00E97660"/>
    <w:rsid w:val="00EA059D"/>
    <w:rsid w:val="00EA063F"/>
    <w:rsid w:val="00EA0C7A"/>
    <w:rsid w:val="00EA2CFE"/>
    <w:rsid w:val="00EA38D7"/>
    <w:rsid w:val="00EA4012"/>
    <w:rsid w:val="00EA53B2"/>
    <w:rsid w:val="00EA5D97"/>
    <w:rsid w:val="00EA6772"/>
    <w:rsid w:val="00EA6B6A"/>
    <w:rsid w:val="00EA6D60"/>
    <w:rsid w:val="00EB1A29"/>
    <w:rsid w:val="00EB38A6"/>
    <w:rsid w:val="00EB5431"/>
    <w:rsid w:val="00EC15CB"/>
    <w:rsid w:val="00EC1ACA"/>
    <w:rsid w:val="00EC373F"/>
    <w:rsid w:val="00EC37C1"/>
    <w:rsid w:val="00EC45AD"/>
    <w:rsid w:val="00EC57F1"/>
    <w:rsid w:val="00EC62BA"/>
    <w:rsid w:val="00ED0563"/>
    <w:rsid w:val="00ED2130"/>
    <w:rsid w:val="00ED4999"/>
    <w:rsid w:val="00EE2271"/>
    <w:rsid w:val="00EE2DD0"/>
    <w:rsid w:val="00EE35EC"/>
    <w:rsid w:val="00EE3F39"/>
    <w:rsid w:val="00EE5736"/>
    <w:rsid w:val="00EE797C"/>
    <w:rsid w:val="00EF3723"/>
    <w:rsid w:val="00EF595C"/>
    <w:rsid w:val="00EF62FC"/>
    <w:rsid w:val="00EF690F"/>
    <w:rsid w:val="00EF7969"/>
    <w:rsid w:val="00F004F6"/>
    <w:rsid w:val="00F00D69"/>
    <w:rsid w:val="00F00E6E"/>
    <w:rsid w:val="00F0611C"/>
    <w:rsid w:val="00F1378F"/>
    <w:rsid w:val="00F13FBA"/>
    <w:rsid w:val="00F163C4"/>
    <w:rsid w:val="00F17639"/>
    <w:rsid w:val="00F17A9B"/>
    <w:rsid w:val="00F25C7E"/>
    <w:rsid w:val="00F25F54"/>
    <w:rsid w:val="00F26E41"/>
    <w:rsid w:val="00F305DB"/>
    <w:rsid w:val="00F30C09"/>
    <w:rsid w:val="00F315B3"/>
    <w:rsid w:val="00F32456"/>
    <w:rsid w:val="00F339B1"/>
    <w:rsid w:val="00F34225"/>
    <w:rsid w:val="00F36A98"/>
    <w:rsid w:val="00F44409"/>
    <w:rsid w:val="00F45043"/>
    <w:rsid w:val="00F45823"/>
    <w:rsid w:val="00F45DED"/>
    <w:rsid w:val="00F45E96"/>
    <w:rsid w:val="00F464EB"/>
    <w:rsid w:val="00F5085E"/>
    <w:rsid w:val="00F514EF"/>
    <w:rsid w:val="00F5408E"/>
    <w:rsid w:val="00F5419B"/>
    <w:rsid w:val="00F54666"/>
    <w:rsid w:val="00F55BF3"/>
    <w:rsid w:val="00F56241"/>
    <w:rsid w:val="00F56281"/>
    <w:rsid w:val="00F57DF2"/>
    <w:rsid w:val="00F60EBD"/>
    <w:rsid w:val="00F6106B"/>
    <w:rsid w:val="00F6350E"/>
    <w:rsid w:val="00F63519"/>
    <w:rsid w:val="00F6624D"/>
    <w:rsid w:val="00F6735D"/>
    <w:rsid w:val="00F67584"/>
    <w:rsid w:val="00F76802"/>
    <w:rsid w:val="00F77D5A"/>
    <w:rsid w:val="00F80830"/>
    <w:rsid w:val="00F82B7D"/>
    <w:rsid w:val="00F83443"/>
    <w:rsid w:val="00F845AE"/>
    <w:rsid w:val="00F84A00"/>
    <w:rsid w:val="00F84D9D"/>
    <w:rsid w:val="00F87F22"/>
    <w:rsid w:val="00F90211"/>
    <w:rsid w:val="00F909DB"/>
    <w:rsid w:val="00F91F65"/>
    <w:rsid w:val="00F92170"/>
    <w:rsid w:val="00F92342"/>
    <w:rsid w:val="00F95F01"/>
    <w:rsid w:val="00F96A38"/>
    <w:rsid w:val="00F97D00"/>
    <w:rsid w:val="00FA1F4B"/>
    <w:rsid w:val="00FA37D2"/>
    <w:rsid w:val="00FA705D"/>
    <w:rsid w:val="00FA77EF"/>
    <w:rsid w:val="00FB22C3"/>
    <w:rsid w:val="00FB2E05"/>
    <w:rsid w:val="00FB368B"/>
    <w:rsid w:val="00FB3B3B"/>
    <w:rsid w:val="00FB46D2"/>
    <w:rsid w:val="00FB704C"/>
    <w:rsid w:val="00FB71CC"/>
    <w:rsid w:val="00FB7C9E"/>
    <w:rsid w:val="00FC108B"/>
    <w:rsid w:val="00FC129F"/>
    <w:rsid w:val="00FC31EF"/>
    <w:rsid w:val="00FC32B0"/>
    <w:rsid w:val="00FC3665"/>
    <w:rsid w:val="00FC3FAD"/>
    <w:rsid w:val="00FC6D3D"/>
    <w:rsid w:val="00FD45E4"/>
    <w:rsid w:val="00FD7404"/>
    <w:rsid w:val="00FE1140"/>
    <w:rsid w:val="00FE3FEF"/>
    <w:rsid w:val="00FE4520"/>
    <w:rsid w:val="00FE4FAF"/>
    <w:rsid w:val="00FE51BC"/>
    <w:rsid w:val="00FE5287"/>
    <w:rsid w:val="00FE63C8"/>
    <w:rsid w:val="00FF2A67"/>
    <w:rsid w:val="00FF4F5D"/>
    <w:rsid w:val="00FF5302"/>
    <w:rsid w:val="00FF5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B9B3"/>
  <w15:chartTrackingRefBased/>
  <w15:docId w15:val="{E0AD42CA-DE6D-465E-9E1A-F76466F3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A38D7"/>
    <w:rPr>
      <w:rFonts w:ascii="Times New Roman" w:eastAsia="Times New Roman" w:hAnsi="Times New Roman"/>
      <w:sz w:val="24"/>
      <w:szCs w:val="24"/>
    </w:rPr>
  </w:style>
  <w:style w:type="paragraph" w:styleId="Nadpis1">
    <w:name w:val="heading 1"/>
    <w:aliases w:val="Návrh"/>
    <w:basedOn w:val="Normln"/>
    <w:next w:val="Nadpis2"/>
    <w:link w:val="Nadpis1Char"/>
    <w:qFormat/>
    <w:rsid w:val="000D4837"/>
    <w:pPr>
      <w:numPr>
        <w:numId w:val="1"/>
      </w:numPr>
      <w:spacing w:line="264" w:lineRule="auto"/>
      <w:jc w:val="both"/>
      <w:outlineLvl w:val="0"/>
    </w:pPr>
    <w:rPr>
      <w:rFonts w:ascii="Arial" w:hAnsi="Arial"/>
      <w:sz w:val="22"/>
      <w:szCs w:val="20"/>
    </w:rPr>
  </w:style>
  <w:style w:type="paragraph" w:styleId="Nadpis2">
    <w:name w:val="heading 2"/>
    <w:aliases w:val="Odrážka"/>
    <w:basedOn w:val="Normln"/>
    <w:next w:val="Nadpis3"/>
    <w:link w:val="Nadpis2Char"/>
    <w:qFormat/>
    <w:rsid w:val="000D4837"/>
    <w:pPr>
      <w:keepNext/>
      <w:numPr>
        <w:ilvl w:val="1"/>
        <w:numId w:val="1"/>
      </w:numPr>
      <w:spacing w:before="120" w:line="264" w:lineRule="auto"/>
      <w:jc w:val="both"/>
      <w:outlineLvl w:val="1"/>
    </w:pPr>
    <w:rPr>
      <w:rFonts w:ascii="Arial" w:hAnsi="Arial"/>
      <w:b/>
      <w:sz w:val="22"/>
      <w:szCs w:val="20"/>
    </w:rPr>
  </w:style>
  <w:style w:type="paragraph" w:styleId="Nadpis3">
    <w:name w:val="heading 3"/>
    <w:aliases w:val="Odůvodnění"/>
    <w:basedOn w:val="Normln"/>
    <w:next w:val="Nadpis1"/>
    <w:link w:val="Nadpis3Char"/>
    <w:qFormat/>
    <w:rsid w:val="000D4837"/>
    <w:pPr>
      <w:numPr>
        <w:ilvl w:val="2"/>
        <w:numId w:val="1"/>
      </w:numPr>
      <w:spacing w:after="240" w:line="264" w:lineRule="auto"/>
      <w:jc w:val="both"/>
      <w:outlineLvl w:val="2"/>
    </w:pPr>
    <w:rPr>
      <w:rFonts w:ascii="Arial" w:hAnsi="Arial"/>
      <w:i/>
      <w:sz w:val="22"/>
      <w:szCs w:val="20"/>
    </w:rPr>
  </w:style>
  <w:style w:type="paragraph" w:styleId="Nadpis4">
    <w:name w:val="heading 4"/>
    <w:basedOn w:val="Normln"/>
    <w:link w:val="Nadpis4Char"/>
    <w:qFormat/>
    <w:rsid w:val="000D4837"/>
    <w:pPr>
      <w:numPr>
        <w:ilvl w:val="3"/>
        <w:numId w:val="1"/>
      </w:numPr>
      <w:spacing w:line="264" w:lineRule="auto"/>
      <w:ind w:left="283" w:hanging="113"/>
      <w:jc w:val="both"/>
      <w:outlineLvl w:val="3"/>
    </w:pPr>
    <w:rPr>
      <w:rFonts w:ascii="Arial" w:hAnsi="Arial"/>
      <w:sz w:val="22"/>
      <w:szCs w:val="20"/>
    </w:rPr>
  </w:style>
  <w:style w:type="paragraph" w:styleId="Nadpis5">
    <w:name w:val="heading 5"/>
    <w:basedOn w:val="Normln"/>
    <w:link w:val="Nadpis5Char"/>
    <w:qFormat/>
    <w:rsid w:val="000D4837"/>
    <w:pPr>
      <w:numPr>
        <w:ilvl w:val="4"/>
        <w:numId w:val="1"/>
      </w:numPr>
      <w:spacing w:line="264" w:lineRule="auto"/>
      <w:jc w:val="both"/>
      <w:outlineLvl w:val="4"/>
    </w:pPr>
    <w:rPr>
      <w:rFonts w:ascii="Arial" w:hAnsi="Arial"/>
      <w:sz w:val="22"/>
      <w:szCs w:val="20"/>
    </w:rPr>
  </w:style>
  <w:style w:type="paragraph" w:styleId="Nadpis6">
    <w:name w:val="heading 6"/>
    <w:aliases w:val="Paragraf"/>
    <w:basedOn w:val="Normln"/>
    <w:next w:val="Nadpis7"/>
    <w:link w:val="Nadpis6Char"/>
    <w:qFormat/>
    <w:rsid w:val="000D4837"/>
    <w:pPr>
      <w:numPr>
        <w:ilvl w:val="5"/>
        <w:numId w:val="1"/>
      </w:numPr>
      <w:spacing w:before="120" w:after="120" w:line="264" w:lineRule="auto"/>
      <w:jc w:val="center"/>
      <w:outlineLvl w:val="5"/>
    </w:pPr>
    <w:rPr>
      <w:rFonts w:ascii="Arial" w:hAnsi="Arial"/>
      <w:sz w:val="22"/>
      <w:szCs w:val="20"/>
    </w:rPr>
  </w:style>
  <w:style w:type="paragraph" w:styleId="Nadpis7">
    <w:name w:val="heading 7"/>
    <w:aliases w:val="Odstavec"/>
    <w:basedOn w:val="Normln"/>
    <w:link w:val="Nadpis7Char"/>
    <w:qFormat/>
    <w:rsid w:val="000D4837"/>
    <w:pPr>
      <w:numPr>
        <w:ilvl w:val="6"/>
        <w:numId w:val="1"/>
      </w:numPr>
      <w:spacing w:line="264" w:lineRule="auto"/>
      <w:jc w:val="both"/>
      <w:outlineLvl w:val="6"/>
    </w:pPr>
    <w:rPr>
      <w:rFonts w:ascii="Arial" w:hAnsi="Arial"/>
      <w:sz w:val="22"/>
      <w:szCs w:val="20"/>
    </w:rPr>
  </w:style>
  <w:style w:type="paragraph" w:styleId="Nadpis8">
    <w:name w:val="heading 8"/>
    <w:aliases w:val="Písmeno"/>
    <w:basedOn w:val="Normln"/>
    <w:link w:val="Nadpis8Char"/>
    <w:qFormat/>
    <w:rsid w:val="000D4837"/>
    <w:pPr>
      <w:numPr>
        <w:ilvl w:val="7"/>
        <w:numId w:val="1"/>
      </w:numPr>
      <w:spacing w:line="264" w:lineRule="auto"/>
      <w:jc w:val="both"/>
      <w:outlineLvl w:val="7"/>
    </w:pPr>
    <w:rPr>
      <w:rFonts w:ascii="Arial" w:hAnsi="Arial"/>
      <w:sz w:val="22"/>
      <w:szCs w:val="20"/>
    </w:rPr>
  </w:style>
  <w:style w:type="paragraph" w:styleId="Nadpis9">
    <w:name w:val="heading 9"/>
    <w:aliases w:val="Bod"/>
    <w:basedOn w:val="Normln"/>
    <w:link w:val="Nadpis9Char"/>
    <w:qFormat/>
    <w:rsid w:val="000D4837"/>
    <w:pPr>
      <w:numPr>
        <w:ilvl w:val="8"/>
        <w:numId w:val="1"/>
      </w:numPr>
      <w:spacing w:line="264" w:lineRule="auto"/>
      <w:jc w:val="both"/>
      <w:outlineLvl w:val="8"/>
    </w:pPr>
    <w:rPr>
      <w:rFonts w:ascii="Arial" w:hAnsi="Arial"/>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A6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1 odstavecH,Odstavec_muj,List Paragraph (Czech Tourism),Conclusion de partie,List Paragraph,References,Odstavec se seznamem2,Nad,Odstavec se seznamem1"/>
    <w:basedOn w:val="Normln"/>
    <w:link w:val="OdstavecseseznamemChar"/>
    <w:uiPriority w:val="34"/>
    <w:qFormat/>
    <w:rsid w:val="002A6B4C"/>
    <w:pPr>
      <w:ind w:left="720"/>
      <w:contextualSpacing/>
      <w:jc w:val="both"/>
    </w:pPr>
    <w:rPr>
      <w:rFonts w:ascii="Arial" w:eastAsia="Calibri" w:hAnsi="Arial"/>
      <w:szCs w:val="22"/>
      <w:lang w:eastAsia="en-US"/>
    </w:rPr>
  </w:style>
  <w:style w:type="character" w:styleId="Odkaznakoment">
    <w:name w:val="annotation reference"/>
    <w:uiPriority w:val="99"/>
    <w:semiHidden/>
    <w:unhideWhenUsed/>
    <w:rsid w:val="007D59C7"/>
    <w:rPr>
      <w:sz w:val="16"/>
      <w:szCs w:val="16"/>
    </w:rPr>
  </w:style>
  <w:style w:type="paragraph" w:styleId="Textkomente">
    <w:name w:val="annotation text"/>
    <w:basedOn w:val="Normln"/>
    <w:link w:val="TextkomenteChar"/>
    <w:uiPriority w:val="99"/>
    <w:semiHidden/>
    <w:unhideWhenUsed/>
    <w:rsid w:val="007D59C7"/>
    <w:rPr>
      <w:sz w:val="20"/>
      <w:szCs w:val="20"/>
    </w:rPr>
  </w:style>
  <w:style w:type="character" w:customStyle="1" w:styleId="TextkomenteChar">
    <w:name w:val="Text komentáře Char"/>
    <w:link w:val="Textkomente"/>
    <w:uiPriority w:val="99"/>
    <w:semiHidden/>
    <w:rsid w:val="007D59C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59C7"/>
    <w:rPr>
      <w:b/>
      <w:bCs/>
    </w:rPr>
  </w:style>
  <w:style w:type="character" w:customStyle="1" w:styleId="PedmtkomenteChar">
    <w:name w:val="Předmět komentáře Char"/>
    <w:link w:val="Pedmtkomente"/>
    <w:uiPriority w:val="99"/>
    <w:semiHidden/>
    <w:rsid w:val="007D59C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D59C7"/>
    <w:rPr>
      <w:rFonts w:ascii="Tahoma" w:hAnsi="Tahoma" w:cs="Tahoma"/>
      <w:sz w:val="16"/>
      <w:szCs w:val="16"/>
    </w:rPr>
  </w:style>
  <w:style w:type="character" w:customStyle="1" w:styleId="TextbublinyChar">
    <w:name w:val="Text bubliny Char"/>
    <w:link w:val="Textbubliny"/>
    <w:uiPriority w:val="99"/>
    <w:semiHidden/>
    <w:rsid w:val="007D59C7"/>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287B0D"/>
    <w:pPr>
      <w:spacing w:after="120" w:line="480" w:lineRule="auto"/>
    </w:pPr>
    <w:rPr>
      <w:rFonts w:ascii="Calibri" w:eastAsia="Calibri" w:hAnsi="Calibri"/>
      <w:sz w:val="22"/>
      <w:szCs w:val="22"/>
      <w:lang w:eastAsia="en-US"/>
    </w:rPr>
  </w:style>
  <w:style w:type="character" w:customStyle="1" w:styleId="Zkladntext2Char">
    <w:name w:val="Základní text 2 Char"/>
    <w:link w:val="Zkladntext2"/>
    <w:uiPriority w:val="99"/>
    <w:semiHidden/>
    <w:rsid w:val="00287B0D"/>
    <w:rPr>
      <w:rFonts w:ascii="Calibri" w:eastAsia="Calibri" w:hAnsi="Calibri" w:cs="Times New Roman"/>
    </w:rPr>
  </w:style>
  <w:style w:type="paragraph" w:customStyle="1" w:styleId="trexppjinynaz">
    <w:name w:val="trexppjinynaz"/>
    <w:basedOn w:val="Normln"/>
    <w:rsid w:val="003308CC"/>
    <w:pPr>
      <w:spacing w:before="100" w:beforeAutospacing="1" w:after="100" w:afterAutospacing="1"/>
    </w:pPr>
  </w:style>
  <w:style w:type="character" w:styleId="Hypertextovodkaz">
    <w:name w:val="Hyperlink"/>
    <w:uiPriority w:val="99"/>
    <w:unhideWhenUsed/>
    <w:rsid w:val="00C21954"/>
    <w:rPr>
      <w:color w:val="0000FF"/>
      <w:u w:val="single"/>
    </w:rPr>
  </w:style>
  <w:style w:type="character" w:customStyle="1" w:styleId="highlight">
    <w:name w:val="highlight"/>
    <w:basedOn w:val="Standardnpsmoodstavce"/>
    <w:rsid w:val="00C21954"/>
  </w:style>
  <w:style w:type="character" w:customStyle="1" w:styleId="Nadpis1Char">
    <w:name w:val="Nadpis 1 Char"/>
    <w:aliases w:val="Návrh Char"/>
    <w:link w:val="Nadpis1"/>
    <w:rsid w:val="000D4837"/>
    <w:rPr>
      <w:rFonts w:ascii="Arial" w:eastAsia="Times New Roman" w:hAnsi="Arial"/>
      <w:sz w:val="22"/>
    </w:rPr>
  </w:style>
  <w:style w:type="character" w:customStyle="1" w:styleId="Nadpis2Char">
    <w:name w:val="Nadpis 2 Char"/>
    <w:aliases w:val="Odrážka Char"/>
    <w:link w:val="Nadpis2"/>
    <w:rsid w:val="000D4837"/>
    <w:rPr>
      <w:rFonts w:ascii="Arial" w:eastAsia="Times New Roman" w:hAnsi="Arial"/>
      <w:b/>
      <w:sz w:val="22"/>
    </w:rPr>
  </w:style>
  <w:style w:type="character" w:customStyle="1" w:styleId="Nadpis3Char">
    <w:name w:val="Nadpis 3 Char"/>
    <w:aliases w:val="Odůvodnění Char"/>
    <w:link w:val="Nadpis3"/>
    <w:rsid w:val="000D4837"/>
    <w:rPr>
      <w:rFonts w:ascii="Arial" w:eastAsia="Times New Roman" w:hAnsi="Arial"/>
      <w:i/>
      <w:sz w:val="22"/>
    </w:rPr>
  </w:style>
  <w:style w:type="character" w:customStyle="1" w:styleId="Nadpis4Char">
    <w:name w:val="Nadpis 4 Char"/>
    <w:link w:val="Nadpis4"/>
    <w:rsid w:val="000D4837"/>
    <w:rPr>
      <w:rFonts w:ascii="Arial" w:eastAsia="Times New Roman" w:hAnsi="Arial"/>
      <w:sz w:val="22"/>
    </w:rPr>
  </w:style>
  <w:style w:type="character" w:customStyle="1" w:styleId="Nadpis5Char">
    <w:name w:val="Nadpis 5 Char"/>
    <w:link w:val="Nadpis5"/>
    <w:rsid w:val="000D4837"/>
    <w:rPr>
      <w:rFonts w:ascii="Arial" w:eastAsia="Times New Roman" w:hAnsi="Arial"/>
      <w:sz w:val="22"/>
    </w:rPr>
  </w:style>
  <w:style w:type="character" w:customStyle="1" w:styleId="Nadpis6Char">
    <w:name w:val="Nadpis 6 Char"/>
    <w:aliases w:val="Paragraf Char"/>
    <w:link w:val="Nadpis6"/>
    <w:rsid w:val="000D4837"/>
    <w:rPr>
      <w:rFonts w:ascii="Arial" w:eastAsia="Times New Roman" w:hAnsi="Arial"/>
      <w:sz w:val="22"/>
    </w:rPr>
  </w:style>
  <w:style w:type="character" w:customStyle="1" w:styleId="Nadpis7Char">
    <w:name w:val="Nadpis 7 Char"/>
    <w:aliases w:val="Odstavec Char"/>
    <w:link w:val="Nadpis7"/>
    <w:rsid w:val="000D4837"/>
    <w:rPr>
      <w:rFonts w:ascii="Arial" w:eastAsia="Times New Roman" w:hAnsi="Arial"/>
      <w:sz w:val="22"/>
    </w:rPr>
  </w:style>
  <w:style w:type="character" w:customStyle="1" w:styleId="Nadpis8Char">
    <w:name w:val="Nadpis 8 Char"/>
    <w:aliases w:val="Písmeno Char"/>
    <w:link w:val="Nadpis8"/>
    <w:rsid w:val="000D4837"/>
    <w:rPr>
      <w:rFonts w:ascii="Arial" w:eastAsia="Times New Roman" w:hAnsi="Arial"/>
      <w:sz w:val="22"/>
    </w:rPr>
  </w:style>
  <w:style w:type="character" w:customStyle="1" w:styleId="Nadpis9Char">
    <w:name w:val="Nadpis 9 Char"/>
    <w:aliases w:val="Bod Char"/>
    <w:link w:val="Nadpis9"/>
    <w:rsid w:val="000D4837"/>
    <w:rPr>
      <w:rFonts w:ascii="Arial" w:eastAsia="Times New Roman" w:hAnsi="Arial"/>
      <w:sz w:val="22"/>
    </w:rPr>
  </w:style>
  <w:style w:type="paragraph" w:styleId="Zkladntextodsazen">
    <w:name w:val="Body Text Indent"/>
    <w:basedOn w:val="Normln"/>
    <w:link w:val="ZkladntextodsazenChar"/>
    <w:uiPriority w:val="99"/>
    <w:unhideWhenUsed/>
    <w:rsid w:val="00892D6B"/>
    <w:pPr>
      <w:spacing w:after="120"/>
      <w:ind w:left="283"/>
      <w:jc w:val="both"/>
    </w:pPr>
    <w:rPr>
      <w:rFonts w:ascii="Arial" w:eastAsia="Calibri" w:hAnsi="Arial"/>
      <w:szCs w:val="22"/>
      <w:lang w:eastAsia="en-US"/>
    </w:rPr>
  </w:style>
  <w:style w:type="character" w:customStyle="1" w:styleId="ZkladntextodsazenChar">
    <w:name w:val="Základní text odsazený Char"/>
    <w:link w:val="Zkladntextodsazen"/>
    <w:uiPriority w:val="99"/>
    <w:rsid w:val="00892D6B"/>
    <w:rPr>
      <w:rFonts w:ascii="Arial" w:hAnsi="Arial"/>
      <w:sz w:val="24"/>
    </w:rPr>
  </w:style>
  <w:style w:type="paragraph" w:styleId="Normlnweb">
    <w:name w:val="Normal (Web)"/>
    <w:basedOn w:val="Normln"/>
    <w:uiPriority w:val="99"/>
    <w:unhideWhenUsed/>
    <w:rsid w:val="00AE027F"/>
    <w:pPr>
      <w:spacing w:before="100" w:beforeAutospacing="1" w:after="100" w:afterAutospacing="1"/>
    </w:pPr>
  </w:style>
  <w:style w:type="character" w:customStyle="1" w:styleId="OdstavecseseznamemChar">
    <w:name w:val="Odstavec se seznamem Char"/>
    <w:aliases w:val="1 odstavecH Char,Odstavec_muj Char,List Paragraph (Czech Tourism) Char,Conclusion de partie Char,List Paragraph Char,References Char,Odstavec se seznamem2 Char,Nad Char,Odstavec se seznamem1 Char"/>
    <w:link w:val="Odstavecseseznamem"/>
    <w:uiPriority w:val="34"/>
    <w:qFormat/>
    <w:rsid w:val="00E272D2"/>
    <w:rPr>
      <w:rFonts w:ascii="Arial" w:hAnsi="Arial"/>
      <w:sz w:val="24"/>
    </w:rPr>
  </w:style>
  <w:style w:type="paragraph" w:customStyle="1" w:styleId="Default">
    <w:name w:val="Default"/>
    <w:rsid w:val="0028083F"/>
    <w:pPr>
      <w:autoSpaceDE w:val="0"/>
      <w:autoSpaceDN w:val="0"/>
      <w:adjustRightInd w:val="0"/>
    </w:pPr>
    <w:rPr>
      <w:rFonts w:ascii="Times New Roman" w:hAnsi="Times New Roman"/>
      <w:color w:val="000000"/>
      <w:sz w:val="24"/>
      <w:szCs w:val="24"/>
      <w:lang w:eastAsia="en-US"/>
    </w:rPr>
  </w:style>
  <w:style w:type="paragraph" w:styleId="Zhlav">
    <w:name w:val="header"/>
    <w:basedOn w:val="Normln"/>
    <w:link w:val="ZhlavChar"/>
    <w:uiPriority w:val="99"/>
    <w:unhideWhenUsed/>
    <w:rsid w:val="00BC07CB"/>
    <w:pPr>
      <w:tabs>
        <w:tab w:val="center" w:pos="4536"/>
        <w:tab w:val="right" w:pos="9072"/>
      </w:tabs>
    </w:pPr>
  </w:style>
  <w:style w:type="character" w:customStyle="1" w:styleId="ZhlavChar">
    <w:name w:val="Záhlaví Char"/>
    <w:link w:val="Zhlav"/>
    <w:uiPriority w:val="99"/>
    <w:rsid w:val="00BC07C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C07CB"/>
    <w:pPr>
      <w:tabs>
        <w:tab w:val="center" w:pos="4536"/>
        <w:tab w:val="right" w:pos="9072"/>
      </w:tabs>
    </w:pPr>
  </w:style>
  <w:style w:type="character" w:customStyle="1" w:styleId="ZpatChar">
    <w:name w:val="Zápatí Char"/>
    <w:link w:val="Zpat"/>
    <w:uiPriority w:val="99"/>
    <w:rsid w:val="00BC07CB"/>
    <w:rPr>
      <w:rFonts w:ascii="Times New Roman" w:eastAsia="Times New Roman" w:hAnsi="Times New Roman" w:cs="Times New Roman"/>
      <w:sz w:val="24"/>
      <w:szCs w:val="24"/>
      <w:lang w:eastAsia="cs-CZ"/>
    </w:rPr>
  </w:style>
  <w:style w:type="character" w:styleId="Zdraznn">
    <w:name w:val="Emphasis"/>
    <w:aliases w:val="Zvýraznění"/>
    <w:uiPriority w:val="20"/>
    <w:qFormat/>
    <w:rsid w:val="000D0CE0"/>
    <w:rPr>
      <w:b/>
      <w:bCs/>
      <w:i w:val="0"/>
      <w:iCs w:val="0"/>
    </w:rPr>
  </w:style>
  <w:style w:type="character" w:customStyle="1" w:styleId="st1">
    <w:name w:val="st1"/>
    <w:basedOn w:val="Standardnpsmoodstavce"/>
    <w:rsid w:val="000D0CE0"/>
  </w:style>
  <w:style w:type="paragraph" w:styleId="Textpoznpodarou">
    <w:name w:val="footnote text"/>
    <w:basedOn w:val="Normln"/>
    <w:link w:val="TextpoznpodarouChar"/>
    <w:uiPriority w:val="99"/>
    <w:unhideWhenUsed/>
    <w:rsid w:val="0005477D"/>
    <w:rPr>
      <w:sz w:val="20"/>
      <w:szCs w:val="20"/>
    </w:rPr>
  </w:style>
  <w:style w:type="character" w:customStyle="1" w:styleId="TextpoznpodarouChar">
    <w:name w:val="Text pozn. pod čarou Char"/>
    <w:link w:val="Textpoznpodarou"/>
    <w:uiPriority w:val="99"/>
    <w:rsid w:val="0005477D"/>
    <w:rPr>
      <w:rFonts w:ascii="Times New Roman" w:eastAsia="Times New Roman" w:hAnsi="Times New Roman" w:cs="Times New Roman"/>
      <w:sz w:val="20"/>
      <w:szCs w:val="20"/>
      <w:lang w:eastAsia="cs-CZ"/>
    </w:rPr>
  </w:style>
  <w:style w:type="character" w:styleId="Znakapoznpodarou">
    <w:name w:val="footnote reference"/>
    <w:uiPriority w:val="99"/>
    <w:unhideWhenUsed/>
    <w:rsid w:val="0005477D"/>
    <w:rPr>
      <w:vertAlign w:val="superscript"/>
    </w:rPr>
  </w:style>
  <w:style w:type="paragraph" w:customStyle="1" w:styleId="Char2CharChar">
    <w:name w:val="Char2 Char Char"/>
    <w:basedOn w:val="Normln"/>
    <w:rsid w:val="001C6ACD"/>
    <w:pPr>
      <w:spacing w:after="160" w:line="240" w:lineRule="exact"/>
    </w:pPr>
    <w:rPr>
      <w:rFonts w:ascii="Times New Roman Bold" w:hAnsi="Times New Roman Bold"/>
      <w:sz w:val="22"/>
      <w:szCs w:val="26"/>
      <w:lang w:val="sk-SK" w:eastAsia="en-US"/>
    </w:rPr>
  </w:style>
  <w:style w:type="paragraph" w:customStyle="1" w:styleId="Char2CharChar1">
    <w:name w:val="Char2 Char Char1"/>
    <w:basedOn w:val="Normln"/>
    <w:rsid w:val="00590466"/>
    <w:pPr>
      <w:spacing w:after="160" w:line="240" w:lineRule="exact"/>
    </w:pPr>
    <w:rPr>
      <w:rFonts w:ascii="Times New Roman Bold" w:hAnsi="Times New Roman Bold"/>
      <w:sz w:val="22"/>
      <w:szCs w:val="26"/>
      <w:lang w:val="sk-SK" w:eastAsia="en-US"/>
    </w:rPr>
  </w:style>
  <w:style w:type="paragraph" w:styleId="Textvysvtlivek">
    <w:name w:val="endnote text"/>
    <w:basedOn w:val="Normln"/>
    <w:link w:val="TextvysvtlivekChar"/>
    <w:uiPriority w:val="99"/>
    <w:semiHidden/>
    <w:unhideWhenUsed/>
    <w:rsid w:val="005A4E56"/>
    <w:rPr>
      <w:sz w:val="20"/>
      <w:szCs w:val="20"/>
    </w:rPr>
  </w:style>
  <w:style w:type="character" w:customStyle="1" w:styleId="TextvysvtlivekChar">
    <w:name w:val="Text vysvětlivek Char"/>
    <w:link w:val="Textvysvtlivek"/>
    <w:uiPriority w:val="99"/>
    <w:semiHidden/>
    <w:rsid w:val="005A4E56"/>
    <w:rPr>
      <w:rFonts w:ascii="Times New Roman" w:eastAsia="Times New Roman" w:hAnsi="Times New Roman"/>
    </w:rPr>
  </w:style>
  <w:style w:type="character" w:styleId="Odkaznavysvtlivky">
    <w:name w:val="endnote reference"/>
    <w:uiPriority w:val="99"/>
    <w:semiHidden/>
    <w:unhideWhenUsed/>
    <w:rsid w:val="005A4E56"/>
    <w:rPr>
      <w:vertAlign w:val="superscript"/>
    </w:rPr>
  </w:style>
  <w:style w:type="character" w:customStyle="1" w:styleId="Nevyeenzmnka1">
    <w:name w:val="Nevyřešená zmínka1"/>
    <w:uiPriority w:val="99"/>
    <w:semiHidden/>
    <w:unhideWhenUsed/>
    <w:rsid w:val="00224FCD"/>
    <w:rPr>
      <w:color w:val="605E5C"/>
      <w:shd w:val="clear" w:color="auto" w:fill="E1DFDD"/>
    </w:rPr>
  </w:style>
  <w:style w:type="paragraph" w:styleId="Prosttext">
    <w:name w:val="Plain Text"/>
    <w:basedOn w:val="Normln"/>
    <w:link w:val="ProsttextChar"/>
    <w:uiPriority w:val="99"/>
    <w:unhideWhenUsed/>
    <w:rsid w:val="004402C9"/>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4402C9"/>
    <w:rPr>
      <w:sz w:val="22"/>
      <w:szCs w:val="21"/>
      <w:lang w:eastAsia="en-US"/>
    </w:rPr>
  </w:style>
  <w:style w:type="paragraph" w:styleId="Bezmezer">
    <w:name w:val="No Spacing"/>
    <w:uiPriority w:val="1"/>
    <w:qFormat/>
    <w:rsid w:val="00DB598E"/>
    <w:pPr>
      <w:spacing w:before="100" w:beforeAutospacing="1" w:after="100" w:afterAutospacing="1"/>
    </w:pPr>
    <w:rPr>
      <w:sz w:val="22"/>
      <w:szCs w:val="22"/>
      <w:lang w:eastAsia="en-US"/>
    </w:rPr>
  </w:style>
  <w:style w:type="character" w:styleId="Zdraznnintenzivn">
    <w:name w:val="Intense Emphasis"/>
    <w:uiPriority w:val="21"/>
    <w:qFormat/>
    <w:rsid w:val="001F13A1"/>
    <w:rPr>
      <w:i/>
      <w:iCs/>
      <w:color w:val="5B9BD5"/>
    </w:rPr>
  </w:style>
  <w:style w:type="paragraph" w:customStyle="1" w:styleId="CharChar1CharCharCharCharCharCharChar">
    <w:name w:val="Char Char1 Char Char Char Char Char Char Char"/>
    <w:basedOn w:val="Normln"/>
    <w:rsid w:val="00312E89"/>
    <w:pPr>
      <w:spacing w:after="160" w:line="240" w:lineRule="exact"/>
    </w:pPr>
    <w:rPr>
      <w:rFonts w:ascii="Times New Roman Bold" w:hAnsi="Times New Roman Bold"/>
      <w:sz w:val="22"/>
      <w:szCs w:val="26"/>
      <w:lang w:val="sk-SK" w:eastAsia="en-US"/>
    </w:rPr>
  </w:style>
  <w:style w:type="character" w:styleId="Nevyeenzmnka">
    <w:name w:val="Unresolved Mention"/>
    <w:basedOn w:val="Standardnpsmoodstavce"/>
    <w:uiPriority w:val="99"/>
    <w:semiHidden/>
    <w:unhideWhenUsed/>
    <w:rsid w:val="00BB7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5117">
      <w:bodyDiv w:val="1"/>
      <w:marLeft w:val="0"/>
      <w:marRight w:val="0"/>
      <w:marTop w:val="0"/>
      <w:marBottom w:val="0"/>
      <w:divBdr>
        <w:top w:val="none" w:sz="0" w:space="0" w:color="auto"/>
        <w:left w:val="none" w:sz="0" w:space="0" w:color="auto"/>
        <w:bottom w:val="none" w:sz="0" w:space="0" w:color="auto"/>
        <w:right w:val="none" w:sz="0" w:space="0" w:color="auto"/>
      </w:divBdr>
      <w:divsChild>
        <w:div w:id="866214582">
          <w:marLeft w:val="0"/>
          <w:marRight w:val="0"/>
          <w:marTop w:val="0"/>
          <w:marBottom w:val="0"/>
          <w:divBdr>
            <w:top w:val="none" w:sz="0" w:space="0" w:color="auto"/>
            <w:left w:val="none" w:sz="0" w:space="0" w:color="auto"/>
            <w:bottom w:val="none" w:sz="0" w:space="0" w:color="auto"/>
            <w:right w:val="none" w:sz="0" w:space="0" w:color="auto"/>
          </w:divBdr>
          <w:divsChild>
            <w:div w:id="1931431773">
              <w:marLeft w:val="0"/>
              <w:marRight w:val="0"/>
              <w:marTop w:val="0"/>
              <w:marBottom w:val="0"/>
              <w:divBdr>
                <w:top w:val="none" w:sz="0" w:space="0" w:color="auto"/>
                <w:left w:val="none" w:sz="0" w:space="0" w:color="auto"/>
                <w:bottom w:val="none" w:sz="0" w:space="0" w:color="auto"/>
                <w:right w:val="none" w:sz="0" w:space="0" w:color="auto"/>
              </w:divBdr>
              <w:divsChild>
                <w:div w:id="293025101">
                  <w:marLeft w:val="0"/>
                  <w:marRight w:val="0"/>
                  <w:marTop w:val="0"/>
                  <w:marBottom w:val="0"/>
                  <w:divBdr>
                    <w:top w:val="none" w:sz="0" w:space="0" w:color="auto"/>
                    <w:left w:val="none" w:sz="0" w:space="0" w:color="auto"/>
                    <w:bottom w:val="none" w:sz="0" w:space="0" w:color="auto"/>
                    <w:right w:val="none" w:sz="0" w:space="0" w:color="auto"/>
                  </w:divBdr>
                  <w:divsChild>
                    <w:div w:id="404576536">
                      <w:marLeft w:val="0"/>
                      <w:marRight w:val="0"/>
                      <w:marTop w:val="0"/>
                      <w:marBottom w:val="0"/>
                      <w:divBdr>
                        <w:top w:val="none" w:sz="0" w:space="0" w:color="auto"/>
                        <w:left w:val="none" w:sz="0" w:space="0" w:color="auto"/>
                        <w:bottom w:val="none" w:sz="0" w:space="0" w:color="auto"/>
                        <w:right w:val="none" w:sz="0" w:space="0" w:color="auto"/>
                      </w:divBdr>
                      <w:divsChild>
                        <w:div w:id="1662196051">
                          <w:marLeft w:val="0"/>
                          <w:marRight w:val="0"/>
                          <w:marTop w:val="0"/>
                          <w:marBottom w:val="0"/>
                          <w:divBdr>
                            <w:top w:val="none" w:sz="0" w:space="0" w:color="auto"/>
                            <w:left w:val="none" w:sz="0" w:space="0" w:color="auto"/>
                            <w:bottom w:val="none" w:sz="0" w:space="0" w:color="auto"/>
                            <w:right w:val="none" w:sz="0" w:space="0" w:color="auto"/>
                          </w:divBdr>
                          <w:divsChild>
                            <w:div w:id="1630087871">
                              <w:marLeft w:val="0"/>
                              <w:marRight w:val="0"/>
                              <w:marTop w:val="0"/>
                              <w:marBottom w:val="0"/>
                              <w:divBdr>
                                <w:top w:val="none" w:sz="0" w:space="0" w:color="auto"/>
                                <w:left w:val="none" w:sz="0" w:space="0" w:color="auto"/>
                                <w:bottom w:val="none" w:sz="0" w:space="0" w:color="auto"/>
                                <w:right w:val="none" w:sz="0" w:space="0" w:color="auto"/>
                              </w:divBdr>
                              <w:divsChild>
                                <w:div w:id="9744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61822">
      <w:bodyDiv w:val="1"/>
      <w:marLeft w:val="0"/>
      <w:marRight w:val="0"/>
      <w:marTop w:val="0"/>
      <w:marBottom w:val="0"/>
      <w:divBdr>
        <w:top w:val="none" w:sz="0" w:space="0" w:color="auto"/>
        <w:left w:val="none" w:sz="0" w:space="0" w:color="auto"/>
        <w:bottom w:val="none" w:sz="0" w:space="0" w:color="auto"/>
        <w:right w:val="none" w:sz="0" w:space="0" w:color="auto"/>
      </w:divBdr>
    </w:div>
    <w:div w:id="324743791">
      <w:bodyDiv w:val="1"/>
      <w:marLeft w:val="0"/>
      <w:marRight w:val="0"/>
      <w:marTop w:val="0"/>
      <w:marBottom w:val="0"/>
      <w:divBdr>
        <w:top w:val="none" w:sz="0" w:space="0" w:color="auto"/>
        <w:left w:val="none" w:sz="0" w:space="0" w:color="auto"/>
        <w:bottom w:val="none" w:sz="0" w:space="0" w:color="auto"/>
        <w:right w:val="none" w:sz="0" w:space="0" w:color="auto"/>
      </w:divBdr>
    </w:div>
    <w:div w:id="361715356">
      <w:bodyDiv w:val="1"/>
      <w:marLeft w:val="0"/>
      <w:marRight w:val="0"/>
      <w:marTop w:val="0"/>
      <w:marBottom w:val="0"/>
      <w:divBdr>
        <w:top w:val="none" w:sz="0" w:space="0" w:color="auto"/>
        <w:left w:val="none" w:sz="0" w:space="0" w:color="auto"/>
        <w:bottom w:val="none" w:sz="0" w:space="0" w:color="auto"/>
        <w:right w:val="none" w:sz="0" w:space="0" w:color="auto"/>
      </w:divBdr>
    </w:div>
    <w:div w:id="452746479">
      <w:bodyDiv w:val="1"/>
      <w:marLeft w:val="0"/>
      <w:marRight w:val="0"/>
      <w:marTop w:val="0"/>
      <w:marBottom w:val="0"/>
      <w:divBdr>
        <w:top w:val="none" w:sz="0" w:space="0" w:color="auto"/>
        <w:left w:val="none" w:sz="0" w:space="0" w:color="auto"/>
        <w:bottom w:val="none" w:sz="0" w:space="0" w:color="auto"/>
        <w:right w:val="none" w:sz="0" w:space="0" w:color="auto"/>
      </w:divBdr>
    </w:div>
    <w:div w:id="455758573">
      <w:bodyDiv w:val="1"/>
      <w:marLeft w:val="0"/>
      <w:marRight w:val="0"/>
      <w:marTop w:val="0"/>
      <w:marBottom w:val="0"/>
      <w:divBdr>
        <w:top w:val="none" w:sz="0" w:space="0" w:color="auto"/>
        <w:left w:val="none" w:sz="0" w:space="0" w:color="auto"/>
        <w:bottom w:val="none" w:sz="0" w:space="0" w:color="auto"/>
        <w:right w:val="none" w:sz="0" w:space="0" w:color="auto"/>
      </w:divBdr>
    </w:div>
    <w:div w:id="998004488">
      <w:bodyDiv w:val="1"/>
      <w:marLeft w:val="0"/>
      <w:marRight w:val="0"/>
      <w:marTop w:val="0"/>
      <w:marBottom w:val="0"/>
      <w:divBdr>
        <w:top w:val="none" w:sz="0" w:space="0" w:color="auto"/>
        <w:left w:val="none" w:sz="0" w:space="0" w:color="auto"/>
        <w:bottom w:val="none" w:sz="0" w:space="0" w:color="auto"/>
        <w:right w:val="none" w:sz="0" w:space="0" w:color="auto"/>
      </w:divBdr>
      <w:divsChild>
        <w:div w:id="1196818814">
          <w:marLeft w:val="0"/>
          <w:marRight w:val="0"/>
          <w:marTop w:val="0"/>
          <w:marBottom w:val="0"/>
          <w:divBdr>
            <w:top w:val="none" w:sz="0" w:space="0" w:color="auto"/>
            <w:left w:val="none" w:sz="0" w:space="0" w:color="auto"/>
            <w:bottom w:val="none" w:sz="0" w:space="0" w:color="auto"/>
            <w:right w:val="none" w:sz="0" w:space="0" w:color="auto"/>
          </w:divBdr>
          <w:divsChild>
            <w:div w:id="1680619666">
              <w:marLeft w:val="0"/>
              <w:marRight w:val="0"/>
              <w:marTop w:val="0"/>
              <w:marBottom w:val="0"/>
              <w:divBdr>
                <w:top w:val="none" w:sz="0" w:space="0" w:color="auto"/>
                <w:left w:val="none" w:sz="0" w:space="0" w:color="auto"/>
                <w:bottom w:val="none" w:sz="0" w:space="0" w:color="auto"/>
                <w:right w:val="none" w:sz="0" w:space="0" w:color="auto"/>
              </w:divBdr>
              <w:divsChild>
                <w:div w:id="1568416656">
                  <w:marLeft w:val="0"/>
                  <w:marRight w:val="0"/>
                  <w:marTop w:val="0"/>
                  <w:marBottom w:val="0"/>
                  <w:divBdr>
                    <w:top w:val="none" w:sz="0" w:space="0" w:color="auto"/>
                    <w:left w:val="none" w:sz="0" w:space="0" w:color="auto"/>
                    <w:bottom w:val="none" w:sz="0" w:space="0" w:color="auto"/>
                    <w:right w:val="none" w:sz="0" w:space="0" w:color="auto"/>
                  </w:divBdr>
                  <w:divsChild>
                    <w:div w:id="1322271941">
                      <w:marLeft w:val="0"/>
                      <w:marRight w:val="0"/>
                      <w:marTop w:val="0"/>
                      <w:marBottom w:val="0"/>
                      <w:divBdr>
                        <w:top w:val="none" w:sz="0" w:space="0" w:color="auto"/>
                        <w:left w:val="none" w:sz="0" w:space="0" w:color="auto"/>
                        <w:bottom w:val="none" w:sz="0" w:space="0" w:color="auto"/>
                        <w:right w:val="none" w:sz="0" w:space="0" w:color="auto"/>
                      </w:divBdr>
                      <w:divsChild>
                        <w:div w:id="1430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8694">
      <w:bodyDiv w:val="1"/>
      <w:marLeft w:val="0"/>
      <w:marRight w:val="0"/>
      <w:marTop w:val="0"/>
      <w:marBottom w:val="0"/>
      <w:divBdr>
        <w:top w:val="none" w:sz="0" w:space="0" w:color="auto"/>
        <w:left w:val="none" w:sz="0" w:space="0" w:color="auto"/>
        <w:bottom w:val="none" w:sz="0" w:space="0" w:color="auto"/>
        <w:right w:val="none" w:sz="0" w:space="0" w:color="auto"/>
      </w:divBdr>
    </w:div>
    <w:div w:id="1175994552">
      <w:bodyDiv w:val="1"/>
      <w:marLeft w:val="0"/>
      <w:marRight w:val="0"/>
      <w:marTop w:val="0"/>
      <w:marBottom w:val="0"/>
      <w:divBdr>
        <w:top w:val="none" w:sz="0" w:space="0" w:color="auto"/>
        <w:left w:val="none" w:sz="0" w:space="0" w:color="auto"/>
        <w:bottom w:val="none" w:sz="0" w:space="0" w:color="auto"/>
        <w:right w:val="none" w:sz="0" w:space="0" w:color="auto"/>
      </w:divBdr>
    </w:div>
    <w:div w:id="1211376655">
      <w:bodyDiv w:val="1"/>
      <w:marLeft w:val="0"/>
      <w:marRight w:val="0"/>
      <w:marTop w:val="0"/>
      <w:marBottom w:val="0"/>
      <w:divBdr>
        <w:top w:val="none" w:sz="0" w:space="0" w:color="auto"/>
        <w:left w:val="none" w:sz="0" w:space="0" w:color="auto"/>
        <w:bottom w:val="none" w:sz="0" w:space="0" w:color="auto"/>
        <w:right w:val="none" w:sz="0" w:space="0" w:color="auto"/>
      </w:divBdr>
    </w:div>
    <w:div w:id="1443957788">
      <w:bodyDiv w:val="1"/>
      <w:marLeft w:val="0"/>
      <w:marRight w:val="0"/>
      <w:marTop w:val="0"/>
      <w:marBottom w:val="0"/>
      <w:divBdr>
        <w:top w:val="none" w:sz="0" w:space="0" w:color="auto"/>
        <w:left w:val="none" w:sz="0" w:space="0" w:color="auto"/>
        <w:bottom w:val="none" w:sz="0" w:space="0" w:color="auto"/>
        <w:right w:val="none" w:sz="0" w:space="0" w:color="auto"/>
      </w:divBdr>
    </w:div>
    <w:div w:id="1471361652">
      <w:bodyDiv w:val="1"/>
      <w:marLeft w:val="0"/>
      <w:marRight w:val="0"/>
      <w:marTop w:val="0"/>
      <w:marBottom w:val="0"/>
      <w:divBdr>
        <w:top w:val="none" w:sz="0" w:space="0" w:color="auto"/>
        <w:left w:val="none" w:sz="0" w:space="0" w:color="auto"/>
        <w:bottom w:val="none" w:sz="0" w:space="0" w:color="auto"/>
        <w:right w:val="none" w:sz="0" w:space="0" w:color="auto"/>
      </w:divBdr>
    </w:div>
    <w:div w:id="1552644556">
      <w:bodyDiv w:val="1"/>
      <w:marLeft w:val="0"/>
      <w:marRight w:val="0"/>
      <w:marTop w:val="0"/>
      <w:marBottom w:val="0"/>
      <w:divBdr>
        <w:top w:val="none" w:sz="0" w:space="0" w:color="auto"/>
        <w:left w:val="none" w:sz="0" w:space="0" w:color="auto"/>
        <w:bottom w:val="none" w:sz="0" w:space="0" w:color="auto"/>
        <w:right w:val="none" w:sz="0" w:space="0" w:color="auto"/>
      </w:divBdr>
    </w:div>
    <w:div w:id="173365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paskova@mps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jiricek@mpsv.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C515-177F-4CCB-ACF3-9BF2C951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4743</Words>
  <Characters>27990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32668</CharactersWithSpaces>
  <SharedDoc>false</SharedDoc>
  <HLinks>
    <vt:vector size="12" baseType="variant">
      <vt:variant>
        <vt:i4>852083</vt:i4>
      </vt:variant>
      <vt:variant>
        <vt:i4>3</vt:i4>
      </vt:variant>
      <vt:variant>
        <vt:i4>0</vt:i4>
      </vt:variant>
      <vt:variant>
        <vt:i4>5</vt:i4>
      </vt:variant>
      <vt:variant>
        <vt:lpwstr>mailto:veronika.pasekova@mpsv.cz</vt:lpwstr>
      </vt:variant>
      <vt:variant>
        <vt:lpwstr/>
      </vt:variant>
      <vt:variant>
        <vt:i4>1114231</vt:i4>
      </vt:variant>
      <vt:variant>
        <vt:i4>0</vt:i4>
      </vt:variant>
      <vt:variant>
        <vt:i4>0</vt:i4>
      </vt:variant>
      <vt:variant>
        <vt:i4>5</vt:i4>
      </vt:variant>
      <vt:variant>
        <vt:lpwstr>mailto:jana.paskova@mpsv.cz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 Petr Mgr. (MPSV)</dc:creator>
  <cp:keywords/>
  <dc:description/>
  <cp:lastModifiedBy>Václav Krása</cp:lastModifiedBy>
  <cp:revision>2</cp:revision>
  <cp:lastPrinted>2021-11-23T11:42:00Z</cp:lastPrinted>
  <dcterms:created xsi:type="dcterms:W3CDTF">2021-11-26T09:35:00Z</dcterms:created>
  <dcterms:modified xsi:type="dcterms:W3CDTF">2021-11-26T09:35:00Z</dcterms:modified>
</cp:coreProperties>
</file>