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1125" w14:textId="7D38B97F" w:rsidR="00A008BC" w:rsidRPr="00706904" w:rsidRDefault="00382A39" w:rsidP="00382A39">
      <w:pPr>
        <w:ind w:left="3540"/>
        <w:jc w:val="right"/>
      </w:pPr>
      <w:bookmarkStart w:id="0" w:name="_GoBack"/>
      <w:bookmarkEnd w:id="0"/>
      <w:r>
        <w:t>IV.</w:t>
      </w:r>
    </w:p>
    <w:p w14:paraId="1604FF42" w14:textId="77777777" w:rsidR="00FE035B" w:rsidRPr="00417C25" w:rsidRDefault="00FE035B" w:rsidP="001C6B9B">
      <w:pPr>
        <w:spacing w:line="360" w:lineRule="auto"/>
        <w:jc w:val="center"/>
        <w:rPr>
          <w:rFonts w:eastAsiaTheme="majorEastAsia"/>
        </w:rPr>
      </w:pPr>
    </w:p>
    <w:p w14:paraId="0B841C6F" w14:textId="77777777" w:rsidR="00FE035B" w:rsidRPr="00417C25" w:rsidRDefault="00FE035B" w:rsidP="001C6B9B">
      <w:pPr>
        <w:spacing w:line="360" w:lineRule="auto"/>
        <w:jc w:val="center"/>
        <w:rPr>
          <w:rFonts w:eastAsiaTheme="majorEastAsia"/>
        </w:rPr>
      </w:pPr>
    </w:p>
    <w:p w14:paraId="134104C6" w14:textId="58C1526E" w:rsidR="001C6B9B" w:rsidRPr="006F5155" w:rsidRDefault="001C6B9B" w:rsidP="001C6B9B">
      <w:pPr>
        <w:spacing w:line="360" w:lineRule="auto"/>
        <w:jc w:val="center"/>
        <w:rPr>
          <w:rFonts w:eastAsiaTheme="majorEastAsia"/>
          <w:b/>
          <w:bCs/>
          <w:sz w:val="28"/>
          <w:szCs w:val="28"/>
        </w:rPr>
      </w:pPr>
      <w:r w:rsidRPr="006F5155">
        <w:rPr>
          <w:rFonts w:eastAsiaTheme="majorEastAsia"/>
          <w:b/>
          <w:bCs/>
          <w:sz w:val="28"/>
          <w:szCs w:val="28"/>
        </w:rPr>
        <w:t>ODŮVODNĚNÍ</w:t>
      </w:r>
    </w:p>
    <w:p w14:paraId="2387D991" w14:textId="664372F6" w:rsidR="00FE035B" w:rsidRPr="00417C25" w:rsidRDefault="00FE035B" w:rsidP="00872C9F">
      <w:pPr>
        <w:pStyle w:val="Bezmezer"/>
        <w:tabs>
          <w:tab w:val="left" w:pos="284"/>
        </w:tabs>
        <w:spacing w:line="360" w:lineRule="auto"/>
        <w:ind w:left="-11"/>
        <w:jc w:val="center"/>
        <w:rPr>
          <w:rFonts w:ascii="Times New Roman" w:hAnsi="Times New Roman"/>
          <w:bCs/>
          <w:sz w:val="24"/>
          <w:szCs w:val="24"/>
        </w:rPr>
      </w:pPr>
    </w:p>
    <w:p w14:paraId="449E40C0" w14:textId="3C0C5C00" w:rsidR="00FE035B" w:rsidRDefault="00FE035B" w:rsidP="00872C9F">
      <w:pPr>
        <w:pStyle w:val="Bezmezer"/>
        <w:tabs>
          <w:tab w:val="left" w:pos="284"/>
        </w:tabs>
        <w:spacing w:line="360" w:lineRule="auto"/>
        <w:ind w:left="-11"/>
        <w:jc w:val="center"/>
        <w:rPr>
          <w:rFonts w:ascii="Times New Roman" w:hAnsi="Times New Roman"/>
          <w:bCs/>
          <w:sz w:val="24"/>
          <w:szCs w:val="24"/>
        </w:rPr>
      </w:pPr>
    </w:p>
    <w:p w14:paraId="5CE316BA" w14:textId="0F921198" w:rsidR="004769CC" w:rsidRDefault="004769CC" w:rsidP="00872C9F">
      <w:pPr>
        <w:pStyle w:val="Bezmezer"/>
        <w:tabs>
          <w:tab w:val="left" w:pos="284"/>
        </w:tabs>
        <w:spacing w:line="360" w:lineRule="auto"/>
        <w:ind w:left="-11"/>
        <w:jc w:val="center"/>
        <w:rPr>
          <w:rFonts w:ascii="Times New Roman" w:hAnsi="Times New Roman"/>
          <w:b/>
          <w:sz w:val="24"/>
          <w:szCs w:val="24"/>
        </w:rPr>
      </w:pPr>
      <w:r w:rsidRPr="006F5155">
        <w:rPr>
          <w:rFonts w:ascii="Times New Roman" w:hAnsi="Times New Roman"/>
          <w:b/>
          <w:sz w:val="24"/>
          <w:szCs w:val="24"/>
        </w:rPr>
        <w:t>Obecná část</w:t>
      </w:r>
    </w:p>
    <w:p w14:paraId="71B9BB8C" w14:textId="77777777" w:rsidR="00417C25" w:rsidRPr="00417C25" w:rsidRDefault="00417C25" w:rsidP="00872C9F">
      <w:pPr>
        <w:pStyle w:val="Bezmezer"/>
        <w:tabs>
          <w:tab w:val="left" w:pos="284"/>
        </w:tabs>
        <w:spacing w:line="360" w:lineRule="auto"/>
        <w:ind w:left="-11"/>
        <w:jc w:val="center"/>
        <w:rPr>
          <w:rFonts w:ascii="Times New Roman" w:hAnsi="Times New Roman"/>
          <w:bCs/>
          <w:sz w:val="24"/>
          <w:szCs w:val="24"/>
        </w:rPr>
      </w:pPr>
    </w:p>
    <w:p w14:paraId="0EEBD888" w14:textId="77777777" w:rsidR="00FE55B1" w:rsidRDefault="00FE55B1" w:rsidP="00872C9F">
      <w:pPr>
        <w:keepNext/>
        <w:spacing w:line="360" w:lineRule="auto"/>
        <w:jc w:val="both"/>
        <w:rPr>
          <w:b/>
          <w:bCs/>
          <w:smallCaps/>
        </w:rPr>
      </w:pPr>
      <w:r w:rsidRPr="00DE1B62">
        <w:rPr>
          <w:b/>
          <w:bCs/>
          <w:smallCaps/>
        </w:rPr>
        <w:t>A) Vysvětlení nezbytnosti navrhované právní úpravy, odůvodnění jejích hlavních principů</w:t>
      </w:r>
    </w:p>
    <w:p w14:paraId="08DE8FA8" w14:textId="77777777" w:rsidR="00FE55B1" w:rsidRDefault="00FE55B1" w:rsidP="00872C9F">
      <w:pPr>
        <w:keepNext/>
        <w:spacing w:line="360" w:lineRule="auto"/>
        <w:jc w:val="both"/>
        <w:rPr>
          <w:b/>
          <w:bCs/>
          <w:smallCaps/>
        </w:rPr>
      </w:pPr>
    </w:p>
    <w:p w14:paraId="5D39E6FD" w14:textId="1CEAAEF6" w:rsidR="00FE55B1" w:rsidRPr="00B7266F" w:rsidRDefault="00FE55B1" w:rsidP="00872C9F">
      <w:pPr>
        <w:spacing w:line="360" w:lineRule="auto"/>
        <w:jc w:val="both"/>
      </w:pPr>
      <w:bookmarkStart w:id="1" w:name="_Hlk44403199"/>
      <w:r w:rsidRPr="00B7266F">
        <w:t xml:space="preserve">S účinností od 1. </w:t>
      </w:r>
      <w:r w:rsidR="00D94317" w:rsidRPr="00B7266F">
        <w:t>října</w:t>
      </w:r>
      <w:r w:rsidRPr="00B7266F">
        <w:t xml:space="preserve"> 2020 došlo </w:t>
      </w:r>
      <w:r w:rsidR="00D94317" w:rsidRPr="00B7266F">
        <w:t>na základě nařízení vlády č. 388/2020 Sb., o maximální částce příspěvku na podporu zaměstnávání osob se zdravotním postižením na chráněném trhu práce,</w:t>
      </w:r>
      <w:r w:rsidRPr="00B7266F">
        <w:t xml:space="preserve"> ke zvýšení maximální částky příspěvku na podporu zaměstnávání osob se zdravotním postižením na chráněném trhu práce (dále jen „příspěvek“) o 800 Kč na částku 1</w:t>
      </w:r>
      <w:r w:rsidR="00D94317" w:rsidRPr="00B7266F">
        <w:t>3</w:t>
      </w:r>
      <w:r w:rsidRPr="00B7266F">
        <w:t> </w:t>
      </w:r>
      <w:r w:rsidR="00D94317" w:rsidRPr="00B7266F">
        <w:t>6</w:t>
      </w:r>
      <w:r w:rsidRPr="00B7266F">
        <w:t xml:space="preserve">00 Kč. Tímto zvýšením bylo reagováno na </w:t>
      </w:r>
      <w:r w:rsidR="00616D6F" w:rsidRPr="00B7266F">
        <w:rPr>
          <w:rFonts w:cs="Arial"/>
        </w:rPr>
        <w:t>výrazné změny hospodářské situace</w:t>
      </w:r>
      <w:r w:rsidR="00CD7971" w:rsidRPr="00B7266F">
        <w:rPr>
          <w:rFonts w:cs="Arial"/>
        </w:rPr>
        <w:t>, které přímo souvisely se šířením nákazy COVID-19 v České republice a měly</w:t>
      </w:r>
      <w:r w:rsidR="00616D6F" w:rsidRPr="00B7266F">
        <w:rPr>
          <w:rFonts w:cs="Arial"/>
        </w:rPr>
        <w:t xml:space="preserve"> negativní dopad na trh práce, </w:t>
      </w:r>
      <w:r w:rsidR="00417C25">
        <w:rPr>
          <w:rFonts w:cs="Arial"/>
        </w:rPr>
        <w:br/>
      </w:r>
      <w:r w:rsidR="00616D6F" w:rsidRPr="00B7266F">
        <w:rPr>
          <w:rFonts w:cs="Arial"/>
        </w:rPr>
        <w:t xml:space="preserve">a to včetně chráněného trhu práce. </w:t>
      </w:r>
    </w:p>
    <w:bookmarkEnd w:id="1"/>
    <w:p w14:paraId="115F5247" w14:textId="77777777" w:rsidR="00FE55B1" w:rsidRPr="00DE1B62" w:rsidRDefault="00FE55B1" w:rsidP="00872C9F">
      <w:pPr>
        <w:spacing w:line="360" w:lineRule="auto"/>
        <w:jc w:val="both"/>
      </w:pPr>
    </w:p>
    <w:p w14:paraId="10E42385" w14:textId="1B7C9928" w:rsidR="00FE55B1" w:rsidRPr="00B7266F" w:rsidRDefault="00FE55B1" w:rsidP="00872C9F">
      <w:pPr>
        <w:spacing w:line="360" w:lineRule="auto"/>
        <w:jc w:val="both"/>
      </w:pPr>
      <w:r w:rsidRPr="00B7266F">
        <w:t xml:space="preserve">Příspěvek na podporu zaměstnávání osob se zdravotním postižením na chráněném trhu práce může být tedy nyní zaměstnavatelům na chráněném trhu práce poskytnut nejvýše v částce </w:t>
      </w:r>
      <w:r w:rsidR="00CD7971" w:rsidRPr="00B7266F">
        <w:br/>
        <w:t>13 600</w:t>
      </w:r>
      <w:r w:rsidRPr="00B7266F">
        <w:t xml:space="preserve"> Kč v případě osob se zdravotním postižením a 5 000 Kč v případě osob zdravotně znevýhodněných. Zaměstnavateli k příspěvku zároveň náleží paušální částka ve výši 1 000 Kč měsíčně na každou osobu se zdravotním postižením, a to na náklady vynaložené zaměstnavatelem v souvislosti se zaměstnáváním osoby se zdravotním postižením. Celková výše příspěvku je tedy nyní 1</w:t>
      </w:r>
      <w:r w:rsidR="00CD7971" w:rsidRPr="00B7266F">
        <w:t>4</w:t>
      </w:r>
      <w:r w:rsidRPr="00B7266F">
        <w:t> </w:t>
      </w:r>
      <w:r w:rsidR="00CD7971" w:rsidRPr="00B7266F">
        <w:t>6</w:t>
      </w:r>
      <w:r w:rsidRPr="00B7266F">
        <w:t>00 Kč (1</w:t>
      </w:r>
      <w:r w:rsidR="00CD7971" w:rsidRPr="00B7266F">
        <w:t>3</w:t>
      </w:r>
      <w:r w:rsidRPr="00B7266F">
        <w:t> </w:t>
      </w:r>
      <w:r w:rsidR="00CD7971" w:rsidRPr="00B7266F">
        <w:t>6</w:t>
      </w:r>
      <w:r w:rsidRPr="00B7266F">
        <w:t>00 Kč maximální částka příspěvku + 1 000 Kč paušální částka).</w:t>
      </w:r>
    </w:p>
    <w:p w14:paraId="1B3361DC" w14:textId="77777777" w:rsidR="00FE55B1" w:rsidRPr="00DE1B62" w:rsidRDefault="00FE55B1" w:rsidP="00872C9F">
      <w:pPr>
        <w:spacing w:line="360" w:lineRule="auto"/>
        <w:jc w:val="both"/>
      </w:pPr>
    </w:p>
    <w:p w14:paraId="2BC4BEF8" w14:textId="7246E244" w:rsidR="003F11B8" w:rsidRDefault="00FE55B1" w:rsidP="00872C9F">
      <w:pPr>
        <w:spacing w:line="360" w:lineRule="auto"/>
        <w:jc w:val="both"/>
      </w:pPr>
      <w:bookmarkStart w:id="2" w:name="_Hlk88512364"/>
      <w:bookmarkStart w:id="3" w:name="_Hlk44403262"/>
      <w:r w:rsidRPr="00B7266F">
        <w:t>Vývoj</w:t>
      </w:r>
      <w:r w:rsidR="003F11B8" w:rsidRPr="00B7266F">
        <w:t xml:space="preserve"> situace na chráněném trhu práce</w:t>
      </w:r>
      <w:r w:rsidRPr="00B7266F">
        <w:t xml:space="preserve"> v průběhu roku </w:t>
      </w:r>
      <w:r w:rsidR="003F11B8" w:rsidRPr="00B7266F">
        <w:t>2021</w:t>
      </w:r>
      <w:r w:rsidRPr="00B7266F">
        <w:t xml:space="preserve"> nenaznač</w:t>
      </w:r>
      <w:r w:rsidR="003F11B8" w:rsidRPr="00B7266F">
        <w:t xml:space="preserve">uje </w:t>
      </w:r>
      <w:r w:rsidRPr="00B7266F">
        <w:t>nutnost reagovat na navýšení minimální mzdy od 1. ledna 202</w:t>
      </w:r>
      <w:r w:rsidR="003F11B8" w:rsidRPr="00B7266F">
        <w:t>2</w:t>
      </w:r>
      <w:r w:rsidRPr="00B7266F">
        <w:t xml:space="preserve">. </w:t>
      </w:r>
      <w:r w:rsidR="003F11B8" w:rsidRPr="00B7266F">
        <w:t xml:space="preserve">Počet podpořených osob se zdravotním postižením i počet zaměstnavatelů na chráněném trhu práce se meziročně zvýšil – v meziročním srovnání bylo v roce 2020 zaměstnáno na chráněném trhu práce o 4 097 osob se zdravotním postižením více než v roce 2019; stejně tak počet zaměstnavatelů se meziročně zvýšil o 248. Růstový trend </w:t>
      </w:r>
      <w:r w:rsidR="003F11B8" w:rsidRPr="00B7266F">
        <w:lastRenderedPageBreak/>
        <w:t xml:space="preserve">pokračuje i v roce 2021, kdy počet podpořených osob vzrostl ve 2. čtvrtletí 2021 oproti </w:t>
      </w:r>
      <w:r w:rsidR="00B7266F">
        <w:br/>
      </w:r>
      <w:r w:rsidR="003F11B8" w:rsidRPr="00B7266F">
        <w:t xml:space="preserve">2. čtvrtletí 2020 o více než 6 tis. a počet podpořených zaměstnavatelů o 179. </w:t>
      </w:r>
    </w:p>
    <w:bookmarkEnd w:id="2"/>
    <w:p w14:paraId="24632ECF" w14:textId="77777777" w:rsidR="00417C25" w:rsidRPr="00B7266F" w:rsidRDefault="00417C25" w:rsidP="00872C9F">
      <w:pPr>
        <w:spacing w:line="360" w:lineRule="auto"/>
        <w:jc w:val="both"/>
      </w:pPr>
    </w:p>
    <w:bookmarkEnd w:id="3"/>
    <w:p w14:paraId="0C87E0A7" w14:textId="7A388C74" w:rsidR="00FE55B1" w:rsidRPr="00B7266F" w:rsidRDefault="00FE55B1" w:rsidP="00FE55B1">
      <w:pPr>
        <w:pStyle w:val="Bezmezer"/>
        <w:jc w:val="both"/>
        <w:rPr>
          <w:rFonts w:ascii="Times New Roman" w:hAnsi="Times New Roman"/>
          <w:sz w:val="24"/>
          <w:szCs w:val="24"/>
        </w:rPr>
      </w:pPr>
      <w:r w:rsidRPr="00B7266F">
        <w:rPr>
          <w:rFonts w:ascii="Times New Roman" w:hAnsi="Times New Roman"/>
          <w:b/>
          <w:sz w:val="24"/>
          <w:szCs w:val="24"/>
          <w:u w:val="single"/>
        </w:rPr>
        <w:t xml:space="preserve">Související </w:t>
      </w:r>
      <w:r w:rsidR="003F11B8" w:rsidRPr="00B7266F">
        <w:rPr>
          <w:rFonts w:ascii="Times New Roman" w:hAnsi="Times New Roman"/>
          <w:b/>
          <w:sz w:val="24"/>
          <w:szCs w:val="24"/>
          <w:u w:val="single"/>
        </w:rPr>
        <w:t>ukazatele</w:t>
      </w:r>
      <w:r w:rsidRPr="00B7266F">
        <w:rPr>
          <w:rFonts w:ascii="Times New Roman" w:hAnsi="Times New Roman"/>
          <w:b/>
          <w:sz w:val="24"/>
          <w:szCs w:val="24"/>
          <w:u w:val="single"/>
        </w:rPr>
        <w:t xml:space="preserve"> (vývoj od roku 201</w:t>
      </w:r>
      <w:r w:rsidR="003F11B8" w:rsidRPr="00B7266F">
        <w:rPr>
          <w:rFonts w:ascii="Times New Roman" w:hAnsi="Times New Roman"/>
          <w:b/>
          <w:sz w:val="24"/>
          <w:szCs w:val="24"/>
          <w:u w:val="single"/>
        </w:rPr>
        <w:t>6</w:t>
      </w:r>
      <w:r w:rsidRPr="00B7266F">
        <w:rPr>
          <w:rFonts w:ascii="Times New Roman" w:hAnsi="Times New Roman"/>
          <w:b/>
          <w:sz w:val="24"/>
          <w:szCs w:val="24"/>
          <w:u w:val="single"/>
        </w:rPr>
        <w:t>)</w:t>
      </w:r>
      <w:r w:rsidRPr="00B7266F">
        <w:rPr>
          <w:rFonts w:ascii="Times New Roman" w:hAnsi="Times New Roman"/>
          <w:sz w:val="24"/>
          <w:szCs w:val="24"/>
        </w:rPr>
        <w:t>:</w:t>
      </w:r>
    </w:p>
    <w:p w14:paraId="3C7C3CBC" w14:textId="0532CF4B" w:rsidR="003F11B8" w:rsidRPr="00B7266F" w:rsidRDefault="003F11B8" w:rsidP="00FE55B1">
      <w:pPr>
        <w:pStyle w:val="Bezmezer"/>
        <w:jc w:val="both"/>
        <w:rPr>
          <w:rFonts w:ascii="Times New Roman" w:hAnsi="Times New Roman"/>
          <w:sz w:val="24"/>
          <w:szCs w:val="24"/>
        </w:rPr>
      </w:pPr>
    </w:p>
    <w:tbl>
      <w:tblPr>
        <w:tblStyle w:val="Mkatabulky"/>
        <w:tblW w:w="8929" w:type="dxa"/>
        <w:jc w:val="center"/>
        <w:tblLook w:val="04A0" w:firstRow="1" w:lastRow="0" w:firstColumn="1" w:lastColumn="0" w:noHBand="0" w:noVBand="1"/>
      </w:tblPr>
      <w:tblGrid>
        <w:gridCol w:w="1572"/>
        <w:gridCol w:w="821"/>
        <w:gridCol w:w="821"/>
        <w:gridCol w:w="821"/>
        <w:gridCol w:w="821"/>
        <w:gridCol w:w="821"/>
        <w:gridCol w:w="1681"/>
        <w:gridCol w:w="1681"/>
      </w:tblGrid>
      <w:tr w:rsidR="00B7266F" w:rsidRPr="00B7266F" w14:paraId="5C163838" w14:textId="77777777" w:rsidTr="00642366">
        <w:trPr>
          <w:jc w:val="center"/>
        </w:trPr>
        <w:tc>
          <w:tcPr>
            <w:tcW w:w="1018" w:type="dxa"/>
            <w:vAlign w:val="center"/>
          </w:tcPr>
          <w:p w14:paraId="3344F215" w14:textId="77777777" w:rsidR="003F11B8" w:rsidRPr="00FE035B" w:rsidRDefault="003F11B8" w:rsidP="00CB4423">
            <w:pPr>
              <w:pStyle w:val="Bezmezer"/>
              <w:jc w:val="both"/>
              <w:rPr>
                <w:rFonts w:ascii="Times New Roman" w:hAnsi="Times New Roman"/>
                <w:sz w:val="22"/>
                <w:szCs w:val="22"/>
              </w:rPr>
            </w:pPr>
            <w:bookmarkStart w:id="4" w:name="_Hlk88513502"/>
          </w:p>
        </w:tc>
        <w:tc>
          <w:tcPr>
            <w:tcW w:w="889" w:type="dxa"/>
            <w:vAlign w:val="center"/>
          </w:tcPr>
          <w:p w14:paraId="7707EF29" w14:textId="77777777" w:rsidR="003F11B8" w:rsidRPr="00FE035B" w:rsidRDefault="003F11B8" w:rsidP="00CB4423">
            <w:pPr>
              <w:pStyle w:val="Bezmezer"/>
              <w:jc w:val="center"/>
              <w:rPr>
                <w:rFonts w:ascii="Times New Roman" w:hAnsi="Times New Roman"/>
                <w:b/>
                <w:sz w:val="22"/>
                <w:szCs w:val="22"/>
              </w:rPr>
            </w:pPr>
            <w:r w:rsidRPr="00FE035B">
              <w:rPr>
                <w:rFonts w:ascii="Times New Roman" w:hAnsi="Times New Roman"/>
                <w:b/>
                <w:sz w:val="22"/>
                <w:szCs w:val="22"/>
              </w:rPr>
              <w:t>2016</w:t>
            </w:r>
          </w:p>
        </w:tc>
        <w:tc>
          <w:tcPr>
            <w:tcW w:w="889" w:type="dxa"/>
            <w:vAlign w:val="center"/>
          </w:tcPr>
          <w:p w14:paraId="066EE871" w14:textId="77777777" w:rsidR="003F11B8" w:rsidRPr="00FE035B" w:rsidRDefault="003F11B8" w:rsidP="00CB4423">
            <w:pPr>
              <w:pStyle w:val="Bezmezer"/>
              <w:jc w:val="center"/>
              <w:rPr>
                <w:rFonts w:ascii="Times New Roman" w:hAnsi="Times New Roman"/>
                <w:b/>
                <w:sz w:val="22"/>
                <w:szCs w:val="22"/>
              </w:rPr>
            </w:pPr>
            <w:r w:rsidRPr="00FE035B">
              <w:rPr>
                <w:rFonts w:ascii="Times New Roman" w:hAnsi="Times New Roman"/>
                <w:b/>
                <w:sz w:val="22"/>
                <w:szCs w:val="22"/>
              </w:rPr>
              <w:t>2017</w:t>
            </w:r>
          </w:p>
        </w:tc>
        <w:tc>
          <w:tcPr>
            <w:tcW w:w="890" w:type="dxa"/>
            <w:vAlign w:val="center"/>
          </w:tcPr>
          <w:p w14:paraId="67D7E3EE" w14:textId="77777777" w:rsidR="003F11B8" w:rsidRPr="00FE035B" w:rsidRDefault="003F11B8" w:rsidP="00CB4423">
            <w:pPr>
              <w:pStyle w:val="Bezmezer"/>
              <w:jc w:val="center"/>
              <w:rPr>
                <w:rFonts w:ascii="Times New Roman" w:hAnsi="Times New Roman"/>
                <w:b/>
                <w:sz w:val="22"/>
                <w:szCs w:val="22"/>
              </w:rPr>
            </w:pPr>
            <w:r w:rsidRPr="00FE035B">
              <w:rPr>
                <w:rFonts w:ascii="Times New Roman" w:hAnsi="Times New Roman"/>
                <w:b/>
                <w:sz w:val="22"/>
                <w:szCs w:val="22"/>
              </w:rPr>
              <w:t>2018</w:t>
            </w:r>
          </w:p>
        </w:tc>
        <w:tc>
          <w:tcPr>
            <w:tcW w:w="890" w:type="dxa"/>
            <w:vAlign w:val="center"/>
          </w:tcPr>
          <w:p w14:paraId="60501A18" w14:textId="77777777" w:rsidR="003F11B8" w:rsidRPr="00FE035B" w:rsidRDefault="003F11B8" w:rsidP="00CB4423">
            <w:pPr>
              <w:pStyle w:val="Bezmezer"/>
              <w:jc w:val="center"/>
              <w:rPr>
                <w:rFonts w:ascii="Times New Roman" w:hAnsi="Times New Roman"/>
                <w:b/>
                <w:sz w:val="22"/>
                <w:szCs w:val="22"/>
              </w:rPr>
            </w:pPr>
            <w:r w:rsidRPr="00FE035B">
              <w:rPr>
                <w:rFonts w:ascii="Times New Roman" w:hAnsi="Times New Roman"/>
                <w:b/>
                <w:sz w:val="22"/>
                <w:szCs w:val="22"/>
              </w:rPr>
              <w:t>2019</w:t>
            </w:r>
          </w:p>
        </w:tc>
        <w:tc>
          <w:tcPr>
            <w:tcW w:w="890" w:type="dxa"/>
            <w:vAlign w:val="center"/>
          </w:tcPr>
          <w:p w14:paraId="7C05F57D" w14:textId="77777777" w:rsidR="003F11B8" w:rsidRPr="00FE035B" w:rsidRDefault="003F11B8" w:rsidP="00CB4423">
            <w:pPr>
              <w:pStyle w:val="Bezmezer"/>
              <w:jc w:val="center"/>
              <w:rPr>
                <w:rFonts w:ascii="Times New Roman" w:hAnsi="Times New Roman"/>
                <w:b/>
                <w:sz w:val="22"/>
                <w:szCs w:val="22"/>
              </w:rPr>
            </w:pPr>
            <w:r w:rsidRPr="00FE035B">
              <w:rPr>
                <w:rFonts w:ascii="Times New Roman" w:hAnsi="Times New Roman"/>
                <w:b/>
                <w:sz w:val="22"/>
                <w:szCs w:val="22"/>
              </w:rPr>
              <w:t>2020</w:t>
            </w:r>
          </w:p>
        </w:tc>
        <w:tc>
          <w:tcPr>
            <w:tcW w:w="1732" w:type="dxa"/>
            <w:vAlign w:val="center"/>
          </w:tcPr>
          <w:p w14:paraId="0BA7B666" w14:textId="77777777" w:rsidR="003F11B8" w:rsidRPr="00FE035B" w:rsidRDefault="003F11B8" w:rsidP="003F11B8">
            <w:pPr>
              <w:pStyle w:val="Bezmezer"/>
              <w:numPr>
                <w:ilvl w:val="0"/>
                <w:numId w:val="29"/>
              </w:numPr>
              <w:jc w:val="center"/>
              <w:rPr>
                <w:rFonts w:ascii="Times New Roman" w:hAnsi="Times New Roman"/>
                <w:b/>
                <w:sz w:val="22"/>
                <w:szCs w:val="22"/>
              </w:rPr>
            </w:pPr>
            <w:r w:rsidRPr="00FE035B">
              <w:rPr>
                <w:rFonts w:ascii="Times New Roman" w:hAnsi="Times New Roman"/>
                <w:b/>
                <w:sz w:val="22"/>
                <w:szCs w:val="22"/>
              </w:rPr>
              <w:t>čtvrtletí 2021</w:t>
            </w:r>
          </w:p>
        </w:tc>
        <w:tc>
          <w:tcPr>
            <w:tcW w:w="1731" w:type="dxa"/>
            <w:vAlign w:val="center"/>
          </w:tcPr>
          <w:p w14:paraId="3C0D0F71" w14:textId="77777777" w:rsidR="003F11B8" w:rsidRPr="00FE035B" w:rsidRDefault="003F11B8" w:rsidP="003F11B8">
            <w:pPr>
              <w:pStyle w:val="Bezmezer"/>
              <w:numPr>
                <w:ilvl w:val="0"/>
                <w:numId w:val="29"/>
              </w:numPr>
              <w:jc w:val="center"/>
              <w:rPr>
                <w:rFonts w:ascii="Times New Roman" w:hAnsi="Times New Roman"/>
                <w:b/>
                <w:sz w:val="22"/>
                <w:szCs w:val="22"/>
              </w:rPr>
            </w:pPr>
            <w:r w:rsidRPr="00FE035B">
              <w:rPr>
                <w:rFonts w:ascii="Times New Roman" w:hAnsi="Times New Roman"/>
                <w:b/>
                <w:sz w:val="22"/>
                <w:szCs w:val="22"/>
              </w:rPr>
              <w:t>čtvrtletí 2021</w:t>
            </w:r>
          </w:p>
        </w:tc>
      </w:tr>
      <w:tr w:rsidR="00B7266F" w:rsidRPr="00B7266F" w14:paraId="40FA2745" w14:textId="77777777" w:rsidTr="00642366">
        <w:trPr>
          <w:jc w:val="center"/>
        </w:trPr>
        <w:tc>
          <w:tcPr>
            <w:tcW w:w="1018" w:type="dxa"/>
            <w:vAlign w:val="center"/>
          </w:tcPr>
          <w:p w14:paraId="5B7791D6" w14:textId="40553213"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Počet osob se zdravotním postižením podpořených příspěvkem</w:t>
            </w:r>
          </w:p>
        </w:tc>
        <w:tc>
          <w:tcPr>
            <w:tcW w:w="889" w:type="dxa"/>
            <w:vAlign w:val="center"/>
          </w:tcPr>
          <w:p w14:paraId="1522A240"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54 659</w:t>
            </w:r>
          </w:p>
        </w:tc>
        <w:tc>
          <w:tcPr>
            <w:tcW w:w="889" w:type="dxa"/>
            <w:vAlign w:val="center"/>
          </w:tcPr>
          <w:p w14:paraId="6CB72D1E"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55 984</w:t>
            </w:r>
          </w:p>
        </w:tc>
        <w:tc>
          <w:tcPr>
            <w:tcW w:w="890" w:type="dxa"/>
            <w:vAlign w:val="center"/>
          </w:tcPr>
          <w:p w14:paraId="4A4AB6C2"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55 392</w:t>
            </w:r>
          </w:p>
        </w:tc>
        <w:tc>
          <w:tcPr>
            <w:tcW w:w="890" w:type="dxa"/>
            <w:vAlign w:val="center"/>
          </w:tcPr>
          <w:p w14:paraId="2F5208D2"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59 142</w:t>
            </w:r>
          </w:p>
        </w:tc>
        <w:tc>
          <w:tcPr>
            <w:tcW w:w="890" w:type="dxa"/>
            <w:vAlign w:val="center"/>
          </w:tcPr>
          <w:p w14:paraId="792919AE"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63 239</w:t>
            </w:r>
          </w:p>
        </w:tc>
        <w:tc>
          <w:tcPr>
            <w:tcW w:w="1732" w:type="dxa"/>
            <w:vAlign w:val="center"/>
          </w:tcPr>
          <w:p w14:paraId="38CB2DA9"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61 205</w:t>
            </w:r>
          </w:p>
          <w:p w14:paraId="65A37333" w14:textId="77777777" w:rsidR="003F11B8" w:rsidRPr="009A6233" w:rsidRDefault="003F11B8" w:rsidP="00642366">
            <w:pPr>
              <w:pStyle w:val="Bezmezer"/>
              <w:jc w:val="center"/>
              <w:rPr>
                <w:rFonts w:ascii="Times New Roman" w:hAnsi="Times New Roman"/>
                <w:sz w:val="22"/>
                <w:szCs w:val="22"/>
              </w:rPr>
            </w:pPr>
            <w:r w:rsidRPr="009A6233">
              <w:rPr>
                <w:rFonts w:ascii="Times New Roman" w:hAnsi="Times New Roman"/>
                <w:sz w:val="22"/>
                <w:szCs w:val="22"/>
              </w:rPr>
              <w:t>(1. čtvrtletí 2020 – 60 207)</w:t>
            </w:r>
          </w:p>
        </w:tc>
        <w:tc>
          <w:tcPr>
            <w:tcW w:w="1731" w:type="dxa"/>
            <w:vAlign w:val="center"/>
          </w:tcPr>
          <w:p w14:paraId="4A875E51"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64 718</w:t>
            </w:r>
          </w:p>
          <w:p w14:paraId="463A2DC1"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(2. čtvrtletí 2020 - 58 107)</w:t>
            </w:r>
          </w:p>
        </w:tc>
      </w:tr>
      <w:tr w:rsidR="00B7266F" w:rsidRPr="00B7266F" w14:paraId="61E8B209" w14:textId="77777777" w:rsidTr="00642366">
        <w:trPr>
          <w:trHeight w:val="855"/>
          <w:jc w:val="center"/>
        </w:trPr>
        <w:tc>
          <w:tcPr>
            <w:tcW w:w="1018" w:type="dxa"/>
            <w:vAlign w:val="center"/>
          </w:tcPr>
          <w:p w14:paraId="57C159F5"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Počet zaměstnavatelů podpořených příspěvkem</w:t>
            </w:r>
          </w:p>
        </w:tc>
        <w:tc>
          <w:tcPr>
            <w:tcW w:w="889" w:type="dxa"/>
            <w:vAlign w:val="center"/>
          </w:tcPr>
          <w:p w14:paraId="2FA4E851"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2 940</w:t>
            </w:r>
          </w:p>
        </w:tc>
        <w:tc>
          <w:tcPr>
            <w:tcW w:w="889" w:type="dxa"/>
            <w:vAlign w:val="center"/>
          </w:tcPr>
          <w:p w14:paraId="64713CDF"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3 117</w:t>
            </w:r>
          </w:p>
        </w:tc>
        <w:tc>
          <w:tcPr>
            <w:tcW w:w="890" w:type="dxa"/>
            <w:vAlign w:val="center"/>
          </w:tcPr>
          <w:p w14:paraId="673921DB"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3 040</w:t>
            </w:r>
          </w:p>
        </w:tc>
        <w:tc>
          <w:tcPr>
            <w:tcW w:w="890" w:type="dxa"/>
            <w:vAlign w:val="center"/>
          </w:tcPr>
          <w:p w14:paraId="15D4CF83"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3 327</w:t>
            </w:r>
          </w:p>
        </w:tc>
        <w:tc>
          <w:tcPr>
            <w:tcW w:w="890" w:type="dxa"/>
            <w:vAlign w:val="center"/>
          </w:tcPr>
          <w:p w14:paraId="20299F38"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3 575</w:t>
            </w:r>
          </w:p>
        </w:tc>
        <w:tc>
          <w:tcPr>
            <w:tcW w:w="1732" w:type="dxa"/>
            <w:vAlign w:val="center"/>
          </w:tcPr>
          <w:p w14:paraId="77CDFDE2"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3 456</w:t>
            </w:r>
          </w:p>
          <w:p w14:paraId="3491BF70" w14:textId="77777777" w:rsidR="003F11B8" w:rsidRPr="009A6233" w:rsidRDefault="003F11B8" w:rsidP="00642366">
            <w:pPr>
              <w:pStyle w:val="Bezmezer"/>
              <w:jc w:val="center"/>
              <w:rPr>
                <w:rFonts w:ascii="Times New Roman" w:hAnsi="Times New Roman"/>
                <w:sz w:val="22"/>
                <w:szCs w:val="22"/>
              </w:rPr>
            </w:pPr>
            <w:r w:rsidRPr="009A6233">
              <w:rPr>
                <w:rFonts w:ascii="Times New Roman" w:hAnsi="Times New Roman"/>
                <w:sz w:val="22"/>
                <w:szCs w:val="22"/>
              </w:rPr>
              <w:t>(1. čtvrtletí 2020 – 3 450)</w:t>
            </w:r>
          </w:p>
          <w:p w14:paraId="5669FABC" w14:textId="77777777" w:rsidR="003F11B8" w:rsidRPr="00FE035B" w:rsidRDefault="003F11B8" w:rsidP="00642366">
            <w:pPr>
              <w:pStyle w:val="Bezmezer"/>
              <w:jc w:val="center"/>
              <w:rPr>
                <w:rFonts w:ascii="Times New Roman" w:hAnsi="Times New Roman"/>
                <w:sz w:val="22"/>
                <w:szCs w:val="22"/>
              </w:rPr>
            </w:pPr>
          </w:p>
        </w:tc>
        <w:tc>
          <w:tcPr>
            <w:tcW w:w="1731" w:type="dxa"/>
            <w:vAlign w:val="center"/>
          </w:tcPr>
          <w:p w14:paraId="3AC4F057"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3 613</w:t>
            </w:r>
          </w:p>
          <w:p w14:paraId="3044FE9E"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(2. čtvrtletí 2020 - 3 434)</w:t>
            </w:r>
          </w:p>
        </w:tc>
      </w:tr>
      <w:tr w:rsidR="00B7266F" w:rsidRPr="00B7266F" w14:paraId="0A4F9ABB" w14:textId="77777777" w:rsidTr="00642366">
        <w:trPr>
          <w:trHeight w:val="1111"/>
          <w:jc w:val="center"/>
        </w:trPr>
        <w:tc>
          <w:tcPr>
            <w:tcW w:w="1018" w:type="dxa"/>
            <w:vAlign w:val="center"/>
          </w:tcPr>
          <w:p w14:paraId="3702FDC7"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Náklady státního rozpočtu vynaložené na příspěvek</w:t>
            </w:r>
          </w:p>
        </w:tc>
        <w:tc>
          <w:tcPr>
            <w:tcW w:w="889" w:type="dxa"/>
            <w:vAlign w:val="center"/>
          </w:tcPr>
          <w:p w14:paraId="08CE9476"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5 mld. Kč</w:t>
            </w:r>
          </w:p>
        </w:tc>
        <w:tc>
          <w:tcPr>
            <w:tcW w:w="889" w:type="dxa"/>
            <w:vAlign w:val="center"/>
          </w:tcPr>
          <w:p w14:paraId="78222C2F"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5,7 mld. Kč</w:t>
            </w:r>
          </w:p>
        </w:tc>
        <w:tc>
          <w:tcPr>
            <w:tcW w:w="890" w:type="dxa"/>
            <w:vAlign w:val="center"/>
          </w:tcPr>
          <w:p w14:paraId="5206058D"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6,8 mld. Kč</w:t>
            </w:r>
          </w:p>
        </w:tc>
        <w:tc>
          <w:tcPr>
            <w:tcW w:w="890" w:type="dxa"/>
            <w:vAlign w:val="center"/>
          </w:tcPr>
          <w:p w14:paraId="4C0FE370"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7,4 mld. Kč</w:t>
            </w:r>
          </w:p>
        </w:tc>
        <w:tc>
          <w:tcPr>
            <w:tcW w:w="890" w:type="dxa"/>
            <w:vAlign w:val="center"/>
          </w:tcPr>
          <w:p w14:paraId="18952B23"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8,4 mld. Kč</w:t>
            </w:r>
          </w:p>
        </w:tc>
        <w:tc>
          <w:tcPr>
            <w:tcW w:w="1732" w:type="dxa"/>
            <w:vAlign w:val="center"/>
          </w:tcPr>
          <w:p w14:paraId="2DA4A353"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2,2 mld. Kč</w:t>
            </w:r>
          </w:p>
          <w:p w14:paraId="201A772E" w14:textId="77777777" w:rsidR="003F11B8" w:rsidRPr="009A6233" w:rsidRDefault="003F11B8" w:rsidP="00642366">
            <w:pPr>
              <w:pStyle w:val="Bezmezer"/>
              <w:jc w:val="center"/>
              <w:rPr>
                <w:rFonts w:ascii="Times New Roman" w:hAnsi="Times New Roman"/>
                <w:sz w:val="22"/>
                <w:szCs w:val="22"/>
              </w:rPr>
            </w:pPr>
            <w:r w:rsidRPr="009A6233">
              <w:rPr>
                <w:rFonts w:ascii="Times New Roman" w:hAnsi="Times New Roman"/>
                <w:sz w:val="22"/>
                <w:szCs w:val="22"/>
              </w:rPr>
              <w:t xml:space="preserve">(1. čtvrtletí </w:t>
            </w:r>
            <w:proofErr w:type="gramStart"/>
            <w:r w:rsidRPr="009A6233">
              <w:rPr>
                <w:rFonts w:ascii="Times New Roman" w:hAnsi="Times New Roman"/>
                <w:sz w:val="22"/>
                <w:szCs w:val="22"/>
              </w:rPr>
              <w:t>2020 – 2</w:t>
            </w:r>
            <w:proofErr w:type="gramEnd"/>
            <w:r w:rsidRPr="009A6233">
              <w:rPr>
                <w:rFonts w:ascii="Times New Roman" w:hAnsi="Times New Roman"/>
                <w:sz w:val="22"/>
                <w:szCs w:val="22"/>
              </w:rPr>
              <w:t xml:space="preserve"> mld. Kč)</w:t>
            </w:r>
          </w:p>
          <w:p w14:paraId="325AD2E3" w14:textId="77777777" w:rsidR="003F11B8" w:rsidRPr="00FE035B" w:rsidRDefault="003F11B8" w:rsidP="00642366">
            <w:pPr>
              <w:pStyle w:val="Bezmezer"/>
              <w:jc w:val="center"/>
              <w:rPr>
                <w:rFonts w:ascii="Times New Roman" w:hAnsi="Times New Roman"/>
                <w:sz w:val="22"/>
                <w:szCs w:val="22"/>
              </w:rPr>
            </w:pPr>
          </w:p>
        </w:tc>
        <w:tc>
          <w:tcPr>
            <w:tcW w:w="1731" w:type="dxa"/>
            <w:vAlign w:val="center"/>
          </w:tcPr>
          <w:p w14:paraId="61592AA0"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2,2 mld. Kč</w:t>
            </w:r>
          </w:p>
          <w:p w14:paraId="34C52600" w14:textId="77777777"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(2. čtvrtletí 2020 - 1,87 mld. Kč)</w:t>
            </w:r>
          </w:p>
        </w:tc>
      </w:tr>
      <w:tr w:rsidR="00B7266F" w:rsidRPr="00B7266F" w14:paraId="75E72975" w14:textId="77777777" w:rsidTr="00642366">
        <w:trPr>
          <w:jc w:val="center"/>
        </w:trPr>
        <w:tc>
          <w:tcPr>
            <w:tcW w:w="1018" w:type="dxa"/>
            <w:vAlign w:val="center"/>
          </w:tcPr>
          <w:p w14:paraId="2AEFAB69" w14:textId="1F6ED1CE" w:rsidR="003F11B8" w:rsidRPr="00FE035B" w:rsidRDefault="003F11B8" w:rsidP="00642366">
            <w:pPr>
              <w:pStyle w:val="Bezmezer"/>
              <w:jc w:val="center"/>
              <w:rPr>
                <w:rFonts w:ascii="Times New Roman" w:hAnsi="Times New Roman"/>
                <w:sz w:val="22"/>
                <w:szCs w:val="22"/>
              </w:rPr>
            </w:pPr>
            <w:r w:rsidRPr="00FE035B">
              <w:rPr>
                <w:rFonts w:ascii="Times New Roman" w:hAnsi="Times New Roman"/>
                <w:sz w:val="22"/>
                <w:szCs w:val="22"/>
              </w:rPr>
              <w:t>Maximální měsíční částka příspěvku</w:t>
            </w:r>
          </w:p>
        </w:tc>
        <w:tc>
          <w:tcPr>
            <w:tcW w:w="889" w:type="dxa"/>
            <w:vAlign w:val="center"/>
          </w:tcPr>
          <w:p w14:paraId="478FACD1" w14:textId="77777777" w:rsidR="003F11B8" w:rsidRPr="00FE035B" w:rsidRDefault="003F11B8" w:rsidP="00642366">
            <w:pPr>
              <w:jc w:val="center"/>
              <w:rPr>
                <w:sz w:val="22"/>
                <w:szCs w:val="22"/>
              </w:rPr>
            </w:pPr>
            <w:r w:rsidRPr="00FE035B">
              <w:rPr>
                <w:sz w:val="22"/>
                <w:szCs w:val="22"/>
              </w:rPr>
              <w:t>11 500 Kč</w:t>
            </w:r>
          </w:p>
        </w:tc>
        <w:tc>
          <w:tcPr>
            <w:tcW w:w="889" w:type="dxa"/>
            <w:vAlign w:val="center"/>
          </w:tcPr>
          <w:p w14:paraId="6DE5A750" w14:textId="77777777" w:rsidR="003F11B8" w:rsidRPr="00FE035B" w:rsidRDefault="003F11B8" w:rsidP="00642366">
            <w:pPr>
              <w:jc w:val="center"/>
              <w:rPr>
                <w:sz w:val="22"/>
                <w:szCs w:val="22"/>
              </w:rPr>
            </w:pPr>
            <w:r w:rsidRPr="00FE035B">
              <w:rPr>
                <w:sz w:val="22"/>
                <w:szCs w:val="22"/>
              </w:rPr>
              <w:t>12 200 Kč</w:t>
            </w:r>
          </w:p>
        </w:tc>
        <w:tc>
          <w:tcPr>
            <w:tcW w:w="890" w:type="dxa"/>
            <w:vAlign w:val="center"/>
          </w:tcPr>
          <w:p w14:paraId="1E509CA7" w14:textId="77777777" w:rsidR="003F11B8" w:rsidRPr="00FE035B" w:rsidRDefault="003F11B8" w:rsidP="00642366">
            <w:pPr>
              <w:jc w:val="center"/>
              <w:rPr>
                <w:sz w:val="22"/>
                <w:szCs w:val="22"/>
              </w:rPr>
            </w:pPr>
            <w:r w:rsidRPr="00FE035B">
              <w:rPr>
                <w:sz w:val="22"/>
                <w:szCs w:val="22"/>
              </w:rPr>
              <w:t>13 000 Kč</w:t>
            </w:r>
          </w:p>
        </w:tc>
        <w:tc>
          <w:tcPr>
            <w:tcW w:w="890" w:type="dxa"/>
            <w:vAlign w:val="center"/>
          </w:tcPr>
          <w:p w14:paraId="15967E6C" w14:textId="77777777" w:rsidR="003F11B8" w:rsidRPr="00FE035B" w:rsidRDefault="003F11B8" w:rsidP="00642366">
            <w:pPr>
              <w:jc w:val="center"/>
              <w:rPr>
                <w:sz w:val="22"/>
                <w:szCs w:val="22"/>
              </w:rPr>
            </w:pPr>
            <w:r w:rsidRPr="00FE035B">
              <w:rPr>
                <w:sz w:val="22"/>
                <w:szCs w:val="22"/>
              </w:rPr>
              <w:t>13 000 Kč</w:t>
            </w:r>
          </w:p>
        </w:tc>
        <w:tc>
          <w:tcPr>
            <w:tcW w:w="890" w:type="dxa"/>
            <w:vAlign w:val="center"/>
          </w:tcPr>
          <w:p w14:paraId="497CC136" w14:textId="79738993" w:rsidR="003F11B8" w:rsidRPr="00FE035B" w:rsidRDefault="003F11B8" w:rsidP="00642366">
            <w:pPr>
              <w:jc w:val="center"/>
              <w:rPr>
                <w:sz w:val="22"/>
                <w:szCs w:val="22"/>
              </w:rPr>
            </w:pPr>
            <w:r w:rsidRPr="00FE035B">
              <w:rPr>
                <w:sz w:val="22"/>
                <w:szCs w:val="22"/>
              </w:rPr>
              <w:t>13 800 /14 600 Kč (od října)</w:t>
            </w:r>
          </w:p>
        </w:tc>
        <w:tc>
          <w:tcPr>
            <w:tcW w:w="1732" w:type="dxa"/>
            <w:vAlign w:val="center"/>
          </w:tcPr>
          <w:p w14:paraId="520D1580" w14:textId="77777777" w:rsidR="003F11B8" w:rsidRPr="00FE035B" w:rsidRDefault="003F11B8" w:rsidP="00642366">
            <w:pPr>
              <w:jc w:val="center"/>
              <w:rPr>
                <w:sz w:val="22"/>
                <w:szCs w:val="22"/>
              </w:rPr>
            </w:pPr>
            <w:r w:rsidRPr="00FE035B">
              <w:rPr>
                <w:sz w:val="22"/>
                <w:szCs w:val="22"/>
              </w:rPr>
              <w:t>14 600 Kč</w:t>
            </w:r>
          </w:p>
        </w:tc>
        <w:tc>
          <w:tcPr>
            <w:tcW w:w="1731" w:type="dxa"/>
            <w:vAlign w:val="center"/>
          </w:tcPr>
          <w:p w14:paraId="5AFEA405" w14:textId="77777777" w:rsidR="003F11B8" w:rsidRPr="00FE035B" w:rsidRDefault="003F11B8" w:rsidP="00642366">
            <w:pPr>
              <w:jc w:val="center"/>
              <w:rPr>
                <w:sz w:val="22"/>
                <w:szCs w:val="22"/>
              </w:rPr>
            </w:pPr>
            <w:r w:rsidRPr="00FE035B">
              <w:rPr>
                <w:sz w:val="22"/>
                <w:szCs w:val="22"/>
              </w:rPr>
              <w:t>14 600 Kč</w:t>
            </w:r>
          </w:p>
        </w:tc>
      </w:tr>
      <w:tr w:rsidR="00B7266F" w:rsidRPr="00B7266F" w14:paraId="5D5DFEEE" w14:textId="77777777" w:rsidTr="00642366">
        <w:trPr>
          <w:jc w:val="center"/>
        </w:trPr>
        <w:tc>
          <w:tcPr>
            <w:tcW w:w="1018" w:type="dxa"/>
            <w:vAlign w:val="center"/>
          </w:tcPr>
          <w:p w14:paraId="402E5EF2" w14:textId="77777777" w:rsidR="003F11B8" w:rsidRPr="00FE035B" w:rsidRDefault="003F11B8" w:rsidP="00642366">
            <w:pPr>
              <w:jc w:val="center"/>
              <w:rPr>
                <w:sz w:val="22"/>
                <w:szCs w:val="22"/>
              </w:rPr>
            </w:pPr>
            <w:r w:rsidRPr="00FE035B">
              <w:rPr>
                <w:sz w:val="22"/>
                <w:szCs w:val="22"/>
              </w:rPr>
              <w:t>Výše minimální mzdy</w:t>
            </w:r>
          </w:p>
        </w:tc>
        <w:tc>
          <w:tcPr>
            <w:tcW w:w="889" w:type="dxa"/>
            <w:vAlign w:val="center"/>
          </w:tcPr>
          <w:p w14:paraId="4DFD440D" w14:textId="77777777" w:rsidR="003F11B8" w:rsidRPr="00FE035B" w:rsidRDefault="003F11B8" w:rsidP="00642366">
            <w:pPr>
              <w:jc w:val="center"/>
              <w:rPr>
                <w:sz w:val="22"/>
                <w:szCs w:val="22"/>
              </w:rPr>
            </w:pPr>
            <w:r w:rsidRPr="00FE035B">
              <w:rPr>
                <w:sz w:val="22"/>
                <w:szCs w:val="22"/>
              </w:rPr>
              <w:t>9 300 Kč</w:t>
            </w:r>
          </w:p>
        </w:tc>
        <w:tc>
          <w:tcPr>
            <w:tcW w:w="889" w:type="dxa"/>
            <w:vAlign w:val="center"/>
          </w:tcPr>
          <w:p w14:paraId="08289446" w14:textId="77777777" w:rsidR="003F11B8" w:rsidRPr="00FE035B" w:rsidRDefault="003F11B8" w:rsidP="00642366">
            <w:pPr>
              <w:jc w:val="center"/>
              <w:rPr>
                <w:sz w:val="22"/>
                <w:szCs w:val="22"/>
              </w:rPr>
            </w:pPr>
            <w:r w:rsidRPr="00FE035B">
              <w:rPr>
                <w:sz w:val="22"/>
                <w:szCs w:val="22"/>
              </w:rPr>
              <w:t>11 000 Kč</w:t>
            </w:r>
          </w:p>
        </w:tc>
        <w:tc>
          <w:tcPr>
            <w:tcW w:w="890" w:type="dxa"/>
            <w:vAlign w:val="center"/>
          </w:tcPr>
          <w:p w14:paraId="17CCE3F9" w14:textId="77777777" w:rsidR="003F11B8" w:rsidRPr="00FE035B" w:rsidRDefault="003F11B8" w:rsidP="00642366">
            <w:pPr>
              <w:jc w:val="center"/>
              <w:rPr>
                <w:sz w:val="22"/>
                <w:szCs w:val="22"/>
              </w:rPr>
            </w:pPr>
            <w:r w:rsidRPr="00FE035B">
              <w:rPr>
                <w:sz w:val="22"/>
                <w:szCs w:val="22"/>
              </w:rPr>
              <w:t>12 200 Kč</w:t>
            </w:r>
          </w:p>
        </w:tc>
        <w:tc>
          <w:tcPr>
            <w:tcW w:w="890" w:type="dxa"/>
            <w:vAlign w:val="center"/>
          </w:tcPr>
          <w:p w14:paraId="2A52972F" w14:textId="77777777" w:rsidR="003F11B8" w:rsidRPr="00FE035B" w:rsidRDefault="003F11B8" w:rsidP="00642366">
            <w:pPr>
              <w:jc w:val="center"/>
              <w:rPr>
                <w:sz w:val="22"/>
                <w:szCs w:val="22"/>
              </w:rPr>
            </w:pPr>
            <w:r w:rsidRPr="00FE035B">
              <w:rPr>
                <w:sz w:val="22"/>
                <w:szCs w:val="22"/>
              </w:rPr>
              <w:t>13 350 Kč</w:t>
            </w:r>
          </w:p>
        </w:tc>
        <w:tc>
          <w:tcPr>
            <w:tcW w:w="890" w:type="dxa"/>
            <w:vAlign w:val="center"/>
          </w:tcPr>
          <w:p w14:paraId="3D7EA3BE" w14:textId="77777777" w:rsidR="003F11B8" w:rsidRPr="00FE035B" w:rsidRDefault="003F11B8" w:rsidP="00642366">
            <w:pPr>
              <w:jc w:val="center"/>
              <w:rPr>
                <w:sz w:val="22"/>
                <w:szCs w:val="22"/>
              </w:rPr>
            </w:pPr>
            <w:r w:rsidRPr="00FE035B">
              <w:rPr>
                <w:sz w:val="22"/>
                <w:szCs w:val="22"/>
              </w:rPr>
              <w:t>14 600 Kč</w:t>
            </w:r>
          </w:p>
        </w:tc>
        <w:tc>
          <w:tcPr>
            <w:tcW w:w="1732" w:type="dxa"/>
            <w:vAlign w:val="center"/>
          </w:tcPr>
          <w:p w14:paraId="3E5C764E" w14:textId="77777777" w:rsidR="003F11B8" w:rsidRPr="00FE035B" w:rsidRDefault="003F11B8" w:rsidP="00642366">
            <w:pPr>
              <w:jc w:val="center"/>
              <w:rPr>
                <w:sz w:val="22"/>
                <w:szCs w:val="22"/>
              </w:rPr>
            </w:pPr>
            <w:r w:rsidRPr="00FE035B">
              <w:rPr>
                <w:sz w:val="22"/>
                <w:szCs w:val="22"/>
              </w:rPr>
              <w:t>15 200 Kč</w:t>
            </w:r>
          </w:p>
        </w:tc>
        <w:tc>
          <w:tcPr>
            <w:tcW w:w="1731" w:type="dxa"/>
            <w:vAlign w:val="center"/>
          </w:tcPr>
          <w:p w14:paraId="7C3376B5" w14:textId="77777777" w:rsidR="003F11B8" w:rsidRPr="00FE035B" w:rsidRDefault="003F11B8" w:rsidP="00642366">
            <w:pPr>
              <w:pStyle w:val="Odstavecseseznamem"/>
              <w:numPr>
                <w:ilvl w:val="0"/>
                <w:numId w:val="30"/>
              </w:numPr>
              <w:contextualSpacing w:val="0"/>
              <w:jc w:val="center"/>
              <w:rPr>
                <w:sz w:val="22"/>
                <w:szCs w:val="22"/>
              </w:rPr>
            </w:pPr>
            <w:r w:rsidRPr="00FE035B">
              <w:rPr>
                <w:sz w:val="22"/>
                <w:szCs w:val="22"/>
              </w:rPr>
              <w:t>200 Kč</w:t>
            </w:r>
          </w:p>
        </w:tc>
      </w:tr>
      <w:tr w:rsidR="00FE035B" w:rsidRPr="00B7266F" w14:paraId="51E504ED" w14:textId="77777777" w:rsidTr="00642366">
        <w:trPr>
          <w:jc w:val="center"/>
        </w:trPr>
        <w:tc>
          <w:tcPr>
            <w:tcW w:w="1018" w:type="dxa"/>
            <w:vAlign w:val="center"/>
          </w:tcPr>
          <w:p w14:paraId="49C93C0F" w14:textId="2CEEBD0C" w:rsidR="00642366" w:rsidRPr="00FE035B" w:rsidRDefault="00642366" w:rsidP="00642366">
            <w:pPr>
              <w:jc w:val="center"/>
              <w:rPr>
                <w:sz w:val="22"/>
                <w:szCs w:val="22"/>
              </w:rPr>
            </w:pPr>
            <w:r w:rsidRPr="00FE035B">
              <w:rPr>
                <w:sz w:val="22"/>
                <w:szCs w:val="22"/>
              </w:rPr>
              <w:t>Podíl částky minimální mzdy na maximální částce příspěvku</w:t>
            </w:r>
          </w:p>
        </w:tc>
        <w:tc>
          <w:tcPr>
            <w:tcW w:w="889" w:type="dxa"/>
            <w:vAlign w:val="center"/>
          </w:tcPr>
          <w:p w14:paraId="4811EDFB" w14:textId="4A545B8A" w:rsidR="00642366" w:rsidRPr="00FE035B" w:rsidRDefault="00642366" w:rsidP="00642366">
            <w:pPr>
              <w:jc w:val="center"/>
              <w:rPr>
                <w:sz w:val="22"/>
                <w:szCs w:val="22"/>
              </w:rPr>
            </w:pPr>
            <w:r w:rsidRPr="00FE035B">
              <w:rPr>
                <w:sz w:val="22"/>
                <w:szCs w:val="22"/>
              </w:rPr>
              <w:t>81 %</w:t>
            </w:r>
          </w:p>
        </w:tc>
        <w:tc>
          <w:tcPr>
            <w:tcW w:w="889" w:type="dxa"/>
            <w:vAlign w:val="center"/>
          </w:tcPr>
          <w:p w14:paraId="72E38A8D" w14:textId="6550E733" w:rsidR="00642366" w:rsidRPr="00FE035B" w:rsidRDefault="00642366" w:rsidP="00642366">
            <w:pPr>
              <w:jc w:val="center"/>
              <w:rPr>
                <w:sz w:val="22"/>
                <w:szCs w:val="22"/>
              </w:rPr>
            </w:pPr>
            <w:r w:rsidRPr="00FE035B">
              <w:rPr>
                <w:sz w:val="22"/>
                <w:szCs w:val="22"/>
              </w:rPr>
              <w:t>90 %</w:t>
            </w:r>
          </w:p>
        </w:tc>
        <w:tc>
          <w:tcPr>
            <w:tcW w:w="890" w:type="dxa"/>
            <w:vAlign w:val="center"/>
          </w:tcPr>
          <w:p w14:paraId="1E47314B" w14:textId="392DB074" w:rsidR="00642366" w:rsidRPr="00FE035B" w:rsidRDefault="00642366" w:rsidP="00642366">
            <w:pPr>
              <w:jc w:val="center"/>
              <w:rPr>
                <w:sz w:val="22"/>
                <w:szCs w:val="22"/>
              </w:rPr>
            </w:pPr>
            <w:r w:rsidRPr="00FE035B">
              <w:rPr>
                <w:sz w:val="22"/>
                <w:szCs w:val="22"/>
              </w:rPr>
              <w:t>94 %</w:t>
            </w:r>
          </w:p>
        </w:tc>
        <w:tc>
          <w:tcPr>
            <w:tcW w:w="890" w:type="dxa"/>
            <w:vAlign w:val="center"/>
          </w:tcPr>
          <w:p w14:paraId="2C3ADDA5" w14:textId="4B045F34" w:rsidR="00642366" w:rsidRPr="00FE035B" w:rsidRDefault="00642366" w:rsidP="00642366">
            <w:pPr>
              <w:jc w:val="center"/>
              <w:rPr>
                <w:sz w:val="22"/>
                <w:szCs w:val="22"/>
              </w:rPr>
            </w:pPr>
            <w:r w:rsidRPr="00FE035B">
              <w:rPr>
                <w:sz w:val="22"/>
                <w:szCs w:val="22"/>
              </w:rPr>
              <w:t>103 %</w:t>
            </w:r>
          </w:p>
        </w:tc>
        <w:tc>
          <w:tcPr>
            <w:tcW w:w="890" w:type="dxa"/>
            <w:vAlign w:val="center"/>
          </w:tcPr>
          <w:p w14:paraId="6955BCC9" w14:textId="4259A67A" w:rsidR="00642366" w:rsidRPr="00FE035B" w:rsidRDefault="00642366" w:rsidP="00642366">
            <w:pPr>
              <w:jc w:val="center"/>
              <w:rPr>
                <w:sz w:val="22"/>
                <w:szCs w:val="22"/>
              </w:rPr>
            </w:pPr>
            <w:r w:rsidRPr="00FE035B">
              <w:rPr>
                <w:sz w:val="22"/>
                <w:szCs w:val="22"/>
              </w:rPr>
              <w:t>100 %</w:t>
            </w:r>
          </w:p>
        </w:tc>
        <w:tc>
          <w:tcPr>
            <w:tcW w:w="1732" w:type="dxa"/>
            <w:vAlign w:val="center"/>
          </w:tcPr>
          <w:p w14:paraId="19384D8E" w14:textId="20D54282" w:rsidR="00642366" w:rsidRPr="00FE035B" w:rsidRDefault="00642366" w:rsidP="00642366">
            <w:pPr>
              <w:jc w:val="center"/>
              <w:rPr>
                <w:sz w:val="22"/>
                <w:szCs w:val="22"/>
              </w:rPr>
            </w:pPr>
            <w:r w:rsidRPr="00FE035B">
              <w:rPr>
                <w:sz w:val="22"/>
                <w:szCs w:val="22"/>
              </w:rPr>
              <w:t>104 %</w:t>
            </w:r>
          </w:p>
        </w:tc>
        <w:tc>
          <w:tcPr>
            <w:tcW w:w="1731" w:type="dxa"/>
            <w:vAlign w:val="center"/>
          </w:tcPr>
          <w:p w14:paraId="2003EE98" w14:textId="6AEA79F2" w:rsidR="00642366" w:rsidRPr="00FE035B" w:rsidRDefault="00642366" w:rsidP="00642366">
            <w:pPr>
              <w:jc w:val="center"/>
              <w:rPr>
                <w:sz w:val="22"/>
                <w:szCs w:val="22"/>
              </w:rPr>
            </w:pPr>
            <w:r w:rsidRPr="00FE035B">
              <w:rPr>
                <w:sz w:val="22"/>
                <w:szCs w:val="22"/>
              </w:rPr>
              <w:t>104 %</w:t>
            </w:r>
          </w:p>
        </w:tc>
      </w:tr>
      <w:bookmarkEnd w:id="4"/>
    </w:tbl>
    <w:p w14:paraId="09471F4E" w14:textId="0888A983" w:rsidR="003F11B8" w:rsidRPr="00B7266F" w:rsidRDefault="003F11B8" w:rsidP="00FE035B">
      <w:pPr>
        <w:pStyle w:val="Bezmezer"/>
        <w:spacing w:line="360" w:lineRule="auto"/>
        <w:jc w:val="both"/>
        <w:rPr>
          <w:rFonts w:ascii="Times New Roman" w:hAnsi="Times New Roman"/>
          <w:sz w:val="24"/>
          <w:szCs w:val="24"/>
        </w:rPr>
      </w:pPr>
    </w:p>
    <w:p w14:paraId="60CF6FAA" w14:textId="58D09D85" w:rsidR="00FE55B1" w:rsidRPr="00B7266F" w:rsidRDefault="00FE55B1" w:rsidP="00FE035B">
      <w:pPr>
        <w:tabs>
          <w:tab w:val="left" w:pos="284"/>
          <w:tab w:val="left" w:pos="567"/>
          <w:tab w:val="left" w:pos="709"/>
        </w:tabs>
        <w:spacing w:line="360" w:lineRule="auto"/>
        <w:jc w:val="both"/>
        <w:rPr>
          <w:bCs/>
        </w:rPr>
      </w:pPr>
      <w:bookmarkStart w:id="5" w:name="_Hlk88513161"/>
      <w:r w:rsidRPr="00B7266F">
        <w:t>Z</w:t>
      </w:r>
      <w:r w:rsidR="00FE035B">
        <w:t xml:space="preserve"> </w:t>
      </w:r>
      <w:r w:rsidRPr="00B7266F">
        <w:t>tabulky je patrné, že podíl minimální mzdy na maximální částce příspěvku vzrostl od roku 201</w:t>
      </w:r>
      <w:r w:rsidR="00642366" w:rsidRPr="00B7266F">
        <w:t>6</w:t>
      </w:r>
      <w:r w:rsidRPr="00B7266F">
        <w:t xml:space="preserve"> z 8</w:t>
      </w:r>
      <w:r w:rsidR="00642366" w:rsidRPr="00B7266F">
        <w:t>1</w:t>
      </w:r>
      <w:r w:rsidRPr="00B7266F">
        <w:t xml:space="preserve"> % na 94 % v roce 2018</w:t>
      </w:r>
      <w:r w:rsidR="00642366" w:rsidRPr="00B7266F">
        <w:t xml:space="preserve"> a 100 % v roce 2020</w:t>
      </w:r>
      <w:r w:rsidRPr="00B7266F">
        <w:t xml:space="preserve">. </w:t>
      </w:r>
      <w:bookmarkStart w:id="6" w:name="_Hlk88512889"/>
      <w:bookmarkEnd w:id="5"/>
      <w:r w:rsidRPr="00B7266F">
        <w:t>V současné době dokonce částka minimální mzdy převyšuje maximální částku příspěvku, tedy předmětný podíl činí 10</w:t>
      </w:r>
      <w:r w:rsidR="00642366" w:rsidRPr="00B7266F">
        <w:t>4</w:t>
      </w:r>
      <w:r w:rsidRPr="00B7266F">
        <w:t xml:space="preserve"> %. </w:t>
      </w:r>
      <w:bookmarkEnd w:id="6"/>
      <w:r w:rsidRPr="00B7266F">
        <w:t xml:space="preserve">Je tedy zřejmé, že </w:t>
      </w:r>
      <w:r w:rsidRPr="00B7266F">
        <w:rPr>
          <w:bCs/>
        </w:rPr>
        <w:t xml:space="preserve">spoluúčast zaměstnavatelů na mzdových nákladech vynaložených v souvislosti se zaměstnáváním osob se zdravotním postižením na chráněném trhu práce se postupně zvyšuje. </w:t>
      </w:r>
    </w:p>
    <w:p w14:paraId="10FBC5EC" w14:textId="77777777" w:rsidR="00FE55B1" w:rsidRPr="00FE035B" w:rsidRDefault="00FE55B1" w:rsidP="00872C9F">
      <w:pPr>
        <w:spacing w:line="360" w:lineRule="auto"/>
        <w:jc w:val="both"/>
        <w:rPr>
          <w:rFonts w:cs="Arial"/>
          <w:bCs/>
        </w:rPr>
      </w:pPr>
    </w:p>
    <w:p w14:paraId="1E0C5AA5" w14:textId="7BE9BE14" w:rsidR="00642366" w:rsidRDefault="00642366" w:rsidP="00872C9F">
      <w:pPr>
        <w:spacing w:line="360" w:lineRule="auto"/>
        <w:jc w:val="both"/>
      </w:pPr>
      <w:r w:rsidRPr="00B7266F">
        <w:rPr>
          <w:rFonts w:cs="Arial"/>
        </w:rPr>
        <w:t xml:space="preserve">Současně je potřeba </w:t>
      </w:r>
      <w:r w:rsidR="004D0FAD" w:rsidRPr="00B7266F">
        <w:rPr>
          <w:rFonts w:cs="Arial"/>
        </w:rPr>
        <w:t xml:space="preserve">vzít v potaz přetrvávající dopady pandemie </w:t>
      </w:r>
      <w:r w:rsidR="004D0FAD" w:rsidRPr="00B7266F">
        <w:t xml:space="preserve">onemocnění COVID-19, které mohou mít </w:t>
      </w:r>
      <w:r w:rsidRPr="00B7266F">
        <w:t>významný nepříznivý dopad na vybraná odvětví</w:t>
      </w:r>
      <w:r w:rsidR="004D0FAD" w:rsidRPr="00B7266F">
        <w:t xml:space="preserve">. Zaměstnavatelé osob se zdravotním postižením jsou vzhledem k úbytku pracovního potenciálu svých zaměstnanců </w:t>
      </w:r>
      <w:r w:rsidR="004D0FAD" w:rsidRPr="00B7266F">
        <w:lastRenderedPageBreak/>
        <w:t>méně konkurenceschopní a patří tedy k nejvíce ohroženému segmentu hospodářství. Také zaměstnanci na chráněném trhu práce, tj. osoby se zdravotním postižením, jsou jednou z nejvíce ohrožených skupin na trhu práce, která je významně limitována v přístupu k zaměstnání, a to právě s ohledem na zdravotní stav těchto osob.</w:t>
      </w:r>
    </w:p>
    <w:p w14:paraId="512E09E3" w14:textId="77777777" w:rsidR="00B7266F" w:rsidRPr="00B7266F" w:rsidRDefault="00B7266F" w:rsidP="00872C9F">
      <w:pPr>
        <w:spacing w:line="360" w:lineRule="auto"/>
        <w:jc w:val="both"/>
      </w:pPr>
    </w:p>
    <w:p w14:paraId="30A4CB8B" w14:textId="11EA4DDF" w:rsidR="00FE55B1" w:rsidRPr="00DB6C27" w:rsidRDefault="00FE55B1" w:rsidP="00872C9F">
      <w:pPr>
        <w:spacing w:line="360" w:lineRule="auto"/>
        <w:jc w:val="both"/>
        <w:rPr>
          <w:rFonts w:cs="Arial"/>
        </w:rPr>
      </w:pPr>
      <w:bookmarkStart w:id="7" w:name="_Hlk88512643"/>
      <w:bookmarkStart w:id="8" w:name="_Hlk44403323"/>
      <w:r w:rsidRPr="009A6233">
        <w:rPr>
          <w:rFonts w:cs="Arial"/>
        </w:rPr>
        <w:t xml:space="preserve">Mezi </w:t>
      </w:r>
      <w:r w:rsidR="004D0FAD" w:rsidRPr="009A6233">
        <w:rPr>
          <w:rFonts w:cs="Arial"/>
        </w:rPr>
        <w:t xml:space="preserve">říjnem 2019 </w:t>
      </w:r>
      <w:r w:rsidR="004D0FAD" w:rsidRPr="00B7266F">
        <w:rPr>
          <w:rFonts w:cs="Arial"/>
        </w:rPr>
        <w:t>a</w:t>
      </w:r>
      <w:r w:rsidR="009A6233">
        <w:rPr>
          <w:rFonts w:cs="Arial"/>
        </w:rPr>
        <w:t>ž</w:t>
      </w:r>
      <w:r w:rsidR="004D0FAD" w:rsidRPr="00B7266F">
        <w:rPr>
          <w:rFonts w:cs="Arial"/>
        </w:rPr>
        <w:t xml:space="preserve"> říjnem 2021 </w:t>
      </w:r>
      <w:r w:rsidRPr="00B7266F">
        <w:rPr>
          <w:rFonts w:cs="Arial"/>
        </w:rPr>
        <w:t xml:space="preserve">vzrostl počet uchazečů o zaměstnání, kteří jsou osobou se zdravotním postižením o </w:t>
      </w:r>
      <w:r w:rsidR="004D0FAD" w:rsidRPr="00B7266F">
        <w:rPr>
          <w:rFonts w:cs="Arial"/>
        </w:rPr>
        <w:t>4 996</w:t>
      </w:r>
      <w:r w:rsidRPr="00B7266F">
        <w:rPr>
          <w:rFonts w:cs="Arial"/>
        </w:rPr>
        <w:t xml:space="preserve"> osob, tj. o </w:t>
      </w:r>
      <w:r w:rsidR="00DA5AE9" w:rsidRPr="00B7266F">
        <w:rPr>
          <w:rFonts w:cs="Arial"/>
        </w:rPr>
        <w:t>15</w:t>
      </w:r>
      <w:r w:rsidRPr="00B7266F">
        <w:rPr>
          <w:rFonts w:cs="Arial"/>
        </w:rPr>
        <w:t xml:space="preserve"> %.</w:t>
      </w:r>
      <w:r w:rsidR="00DA5AE9" w:rsidRPr="00B7266F">
        <w:rPr>
          <w:rFonts w:cs="Arial"/>
        </w:rPr>
        <w:t xml:space="preserve"> Meziroční nárůst počtu těchto uchazečů (říjen </w:t>
      </w:r>
      <w:r w:rsidR="00DA5AE9" w:rsidRPr="00DB6C27">
        <w:rPr>
          <w:rFonts w:cs="Arial"/>
        </w:rPr>
        <w:t xml:space="preserve">2021 oproti říjnu 2020) byl jen velmi mírný – cca o 400 osob. Dynamika růstu nezaměstnanosti osob se zdravotním postižením tedy v roce 2021 oproti roku 2020 výrazně zpomalila, nicméně </w:t>
      </w:r>
      <w:r w:rsidRPr="00DB6C27">
        <w:rPr>
          <w:rFonts w:cs="Arial"/>
        </w:rPr>
        <w:t>statistika naznačuje, že postavení osob se zdravotním postižením na trhu práce se v souvislosti s</w:t>
      </w:r>
      <w:r w:rsidR="00DA5AE9" w:rsidRPr="00DB6C27">
        <w:rPr>
          <w:rFonts w:cs="Arial"/>
        </w:rPr>
        <w:t xml:space="preserve"> růstem </w:t>
      </w:r>
      <w:r w:rsidR="00DA5AE9" w:rsidRPr="00DB6C27">
        <w:t xml:space="preserve">minimální mzdy, s tím souvisejícím zvyšujícím se nákladovým zatížením zaměstnavatelů a v souvislosti s </w:t>
      </w:r>
      <w:proofErr w:type="spellStart"/>
      <w:r w:rsidR="00DA5AE9" w:rsidRPr="00DB6C27">
        <w:t>koronavirovou</w:t>
      </w:r>
      <w:proofErr w:type="spellEnd"/>
      <w:r w:rsidR="00DA5AE9" w:rsidRPr="00DB6C27">
        <w:t xml:space="preserve"> krizí</w:t>
      </w:r>
      <w:r w:rsidR="00DA5AE9" w:rsidRPr="00DB6C27">
        <w:rPr>
          <w:rFonts w:cs="Arial"/>
        </w:rPr>
        <w:t xml:space="preserve"> </w:t>
      </w:r>
      <w:r w:rsidRPr="00DB6C27">
        <w:rPr>
          <w:rFonts w:cs="Arial"/>
        </w:rPr>
        <w:t>zhoršuje</w:t>
      </w:r>
      <w:r w:rsidR="00DB6C27">
        <w:rPr>
          <w:rFonts w:cs="Arial"/>
        </w:rPr>
        <w:t>,</w:t>
      </w:r>
      <w:r w:rsidRPr="00DA5AE9">
        <w:rPr>
          <w:rFonts w:cs="Arial"/>
          <w:color w:val="FF0000"/>
        </w:rPr>
        <w:t xml:space="preserve"> </w:t>
      </w:r>
      <w:r w:rsidRPr="00DB6C27">
        <w:rPr>
          <w:rFonts w:cs="Arial"/>
        </w:rPr>
        <w:t xml:space="preserve">a </w:t>
      </w:r>
      <w:r w:rsidR="00DB6C27" w:rsidRPr="009A6233">
        <w:rPr>
          <w:rFonts w:cs="Arial"/>
        </w:rPr>
        <w:t>prot</w:t>
      </w:r>
      <w:r w:rsidR="008373C6" w:rsidRPr="009A6233">
        <w:rPr>
          <w:rFonts w:cs="Arial"/>
        </w:rPr>
        <w:t>o</w:t>
      </w:r>
      <w:r w:rsidR="00DB6C27" w:rsidRPr="00DB6C27">
        <w:rPr>
          <w:rFonts w:cs="Arial"/>
          <w:color w:val="FF0000"/>
        </w:rPr>
        <w:t xml:space="preserve"> </w:t>
      </w:r>
      <w:r w:rsidRPr="00DB6C27">
        <w:rPr>
          <w:rFonts w:cs="Arial"/>
        </w:rPr>
        <w:t xml:space="preserve">je nutné přistoupit ke krokům směřujícím k podpoře stabilizace chráněného trhu práce. </w:t>
      </w:r>
      <w:bookmarkEnd w:id="7"/>
      <w:r w:rsidRPr="00DB6C27">
        <w:rPr>
          <w:rFonts w:cs="Arial"/>
        </w:rPr>
        <w:t xml:space="preserve">Rovněž je nutné reflektovat, že osoby se zdravotním postižením jsou osobami potenciálně více ohroženými nákazou </w:t>
      </w:r>
      <w:r w:rsidR="00DB6C27">
        <w:rPr>
          <w:rFonts w:cs="Arial"/>
        </w:rPr>
        <w:br/>
      </w:r>
      <w:r w:rsidRPr="00DB6C27">
        <w:rPr>
          <w:rFonts w:cs="Arial"/>
        </w:rPr>
        <w:t xml:space="preserve">a vyžadujícími proto důslednější provádění hygienických opatření na pracovištích v průběhu pandemie. </w:t>
      </w:r>
      <w:r w:rsidRPr="00DB6C27">
        <w:t>Takovýmto krokem je bezpochyby zvýšení maximální částky příspěvku na podporu zaměstnávání osob se zdravotním postižením na trhu práce, což umožní zaměstnavatelům na chráněném trhu práce zachovat pracovní místa vhodná pro osoby se zdravotním postižením</w:t>
      </w:r>
      <w:r w:rsidRPr="00DB6C27">
        <w:rPr>
          <w:rFonts w:ascii="Arial" w:hAnsi="Arial" w:cs="Arial"/>
        </w:rPr>
        <w:t xml:space="preserve">. </w:t>
      </w:r>
    </w:p>
    <w:bookmarkEnd w:id="8"/>
    <w:p w14:paraId="3D215DC0" w14:textId="77777777" w:rsidR="00FE55B1" w:rsidRPr="00770310" w:rsidRDefault="00FE55B1" w:rsidP="00872C9F">
      <w:pPr>
        <w:keepNext/>
        <w:spacing w:line="360" w:lineRule="auto"/>
        <w:jc w:val="both"/>
        <w:rPr>
          <w:smallCaps/>
          <w:color w:val="FF0000"/>
        </w:rPr>
      </w:pPr>
    </w:p>
    <w:p w14:paraId="441668D0" w14:textId="77777777" w:rsidR="00FE55B1" w:rsidRDefault="00FE55B1" w:rsidP="00872C9F">
      <w:pPr>
        <w:keepNext/>
        <w:spacing w:line="360" w:lineRule="auto"/>
        <w:jc w:val="both"/>
        <w:rPr>
          <w:b/>
          <w:bCs/>
          <w:smallCaps/>
        </w:rPr>
      </w:pPr>
      <w:r w:rsidRPr="00DE1B62">
        <w:rPr>
          <w:b/>
          <w:bCs/>
          <w:smallCaps/>
        </w:rPr>
        <w:t>B) Zhodnocení souladu navrhované právní úpravy se zákonem, k jehož provedení je navržena, včetně souladu se zákonným zmocněním k jejímu vydání</w:t>
      </w:r>
    </w:p>
    <w:p w14:paraId="2ABFDA24" w14:textId="77777777" w:rsidR="00FE55B1" w:rsidRDefault="00FE55B1" w:rsidP="00872C9F">
      <w:pPr>
        <w:suppressAutoHyphens/>
        <w:overflowPunct w:val="0"/>
        <w:autoSpaceDE w:val="0"/>
        <w:spacing w:line="360" w:lineRule="auto"/>
        <w:jc w:val="both"/>
        <w:textAlignment w:val="baseline"/>
        <w:rPr>
          <w:bCs/>
          <w:lang w:eastAsia="ar-SA"/>
        </w:rPr>
      </w:pPr>
    </w:p>
    <w:p w14:paraId="1D20641B" w14:textId="77777777" w:rsidR="00FE55B1" w:rsidRDefault="00FE55B1" w:rsidP="00872C9F">
      <w:pPr>
        <w:suppressAutoHyphens/>
        <w:overflowPunct w:val="0"/>
        <w:autoSpaceDE w:val="0"/>
        <w:spacing w:line="360" w:lineRule="auto"/>
        <w:jc w:val="both"/>
        <w:textAlignment w:val="baseline"/>
        <w:rPr>
          <w:bCs/>
          <w:lang w:eastAsia="ar-SA"/>
        </w:rPr>
      </w:pPr>
      <w:r w:rsidRPr="00DE1B62">
        <w:rPr>
          <w:bCs/>
          <w:lang w:eastAsia="ar-SA"/>
        </w:rPr>
        <w:t>Návrh nařízení vlády je prováděcím právním předpisem k zákonu č</w:t>
      </w:r>
      <w:r w:rsidRPr="00DE1B62">
        <w:rPr>
          <w:lang w:eastAsia="ar-SA"/>
        </w:rPr>
        <w:t>. 435/2004 Sb., o zaměstnanosti, ve znění pozdějších předpisů</w:t>
      </w:r>
      <w:r w:rsidRPr="00DE1B62">
        <w:rPr>
          <w:bCs/>
          <w:lang w:eastAsia="ar-SA"/>
        </w:rPr>
        <w:t xml:space="preserve">. </w:t>
      </w:r>
    </w:p>
    <w:p w14:paraId="7EAD2F27" w14:textId="77777777" w:rsidR="00FE55B1" w:rsidRDefault="00FE55B1" w:rsidP="00872C9F">
      <w:pPr>
        <w:suppressAutoHyphens/>
        <w:overflowPunct w:val="0"/>
        <w:autoSpaceDE w:val="0"/>
        <w:spacing w:line="360" w:lineRule="auto"/>
        <w:jc w:val="both"/>
        <w:textAlignment w:val="baseline"/>
        <w:rPr>
          <w:bCs/>
          <w:lang w:eastAsia="ar-SA"/>
        </w:rPr>
      </w:pPr>
    </w:p>
    <w:p w14:paraId="54F6F915" w14:textId="77777777" w:rsidR="00FE55B1" w:rsidRDefault="00FE55B1" w:rsidP="00872C9F">
      <w:pPr>
        <w:suppressAutoHyphens/>
        <w:overflowPunct w:val="0"/>
        <w:autoSpaceDE w:val="0"/>
        <w:spacing w:line="360" w:lineRule="auto"/>
        <w:jc w:val="both"/>
        <w:textAlignment w:val="baseline"/>
        <w:rPr>
          <w:bCs/>
          <w:lang w:eastAsia="ar-SA"/>
        </w:rPr>
      </w:pPr>
      <w:r w:rsidRPr="00DE1B62">
        <w:rPr>
          <w:bCs/>
          <w:lang w:eastAsia="ar-SA"/>
        </w:rPr>
        <w:t xml:space="preserve">Navrhované nařízení vlády je vydáváno oprávněným subjektem na základě zmocnění uvedeného v § </w:t>
      </w:r>
      <w:proofErr w:type="gramStart"/>
      <w:r w:rsidRPr="00DE1B62">
        <w:rPr>
          <w:bCs/>
          <w:lang w:eastAsia="ar-SA"/>
        </w:rPr>
        <w:t>78a</w:t>
      </w:r>
      <w:proofErr w:type="gramEnd"/>
      <w:r w:rsidRPr="00DE1B62">
        <w:rPr>
          <w:bCs/>
          <w:lang w:eastAsia="ar-SA"/>
        </w:rPr>
        <w:t xml:space="preserve"> odst. 17 zákona o zaměstnanosti.</w:t>
      </w:r>
      <w:r>
        <w:rPr>
          <w:bCs/>
          <w:lang w:eastAsia="ar-SA"/>
        </w:rPr>
        <w:t xml:space="preserve"> Předmětné ustanovení </w:t>
      </w:r>
      <w:r w:rsidRPr="00DE1B62">
        <w:rPr>
          <w:bCs/>
          <w:lang w:eastAsia="ar-SA"/>
        </w:rPr>
        <w:t xml:space="preserve">zákona </w:t>
      </w:r>
      <w:r>
        <w:rPr>
          <w:bCs/>
          <w:lang w:eastAsia="ar-SA"/>
        </w:rPr>
        <w:br/>
      </w:r>
      <w:r w:rsidRPr="00DE1B62">
        <w:rPr>
          <w:bCs/>
          <w:lang w:eastAsia="ar-SA"/>
        </w:rPr>
        <w:t>o zaměstnanosti předpokládá, že vláda </w:t>
      </w:r>
      <w:r>
        <w:rPr>
          <w:bCs/>
          <w:lang w:eastAsia="ar-SA"/>
        </w:rPr>
        <w:t>nařízením zvýší maximální částku příspěvku.</w:t>
      </w:r>
    </w:p>
    <w:p w14:paraId="21BE75AB" w14:textId="77777777" w:rsidR="00FE55B1" w:rsidRPr="00DE1B62" w:rsidRDefault="00FE55B1" w:rsidP="00872C9F">
      <w:pPr>
        <w:suppressAutoHyphens/>
        <w:overflowPunct w:val="0"/>
        <w:autoSpaceDE w:val="0"/>
        <w:spacing w:line="360" w:lineRule="auto"/>
        <w:jc w:val="both"/>
        <w:textAlignment w:val="baseline"/>
        <w:rPr>
          <w:bCs/>
          <w:lang w:eastAsia="ar-SA"/>
        </w:rPr>
      </w:pPr>
    </w:p>
    <w:p w14:paraId="22B4EF33" w14:textId="039C59F9" w:rsidR="00FE55B1" w:rsidRPr="00DB6C27" w:rsidRDefault="00FE55B1" w:rsidP="00872C9F">
      <w:pPr>
        <w:spacing w:line="360" w:lineRule="auto"/>
        <w:jc w:val="both"/>
        <w:rPr>
          <w:bCs/>
          <w:lang w:eastAsia="ar-SA"/>
        </w:rPr>
      </w:pPr>
      <w:r w:rsidRPr="00DB6C27">
        <w:rPr>
          <w:bCs/>
          <w:lang w:eastAsia="ar-SA"/>
        </w:rPr>
        <w:t>Předložený návrh nařízení vlády nově stanovuje, že maximální částka</w:t>
      </w:r>
      <w:r w:rsidR="003C0B23" w:rsidRPr="00DB6C27">
        <w:rPr>
          <w:bCs/>
          <w:lang w:eastAsia="ar-SA"/>
        </w:rPr>
        <w:t xml:space="preserve"> příspěvku</w:t>
      </w:r>
      <w:r w:rsidRPr="00DB6C27">
        <w:rPr>
          <w:bCs/>
          <w:lang w:eastAsia="ar-SA"/>
        </w:rPr>
        <w:t xml:space="preserve"> činí </w:t>
      </w:r>
      <w:r w:rsidR="00CD7971" w:rsidRPr="00DB6C27">
        <w:rPr>
          <w:bCs/>
        </w:rPr>
        <w:t>14 200</w:t>
      </w:r>
      <w:r w:rsidRPr="00DB6C27">
        <w:rPr>
          <w:bCs/>
        </w:rPr>
        <w:t xml:space="preserve"> Kč (zvýšení o </w:t>
      </w:r>
      <w:r w:rsidR="00CD7971" w:rsidRPr="00DB6C27">
        <w:rPr>
          <w:bCs/>
        </w:rPr>
        <w:t xml:space="preserve">600 </w:t>
      </w:r>
      <w:r w:rsidRPr="00DB6C27">
        <w:rPr>
          <w:bCs/>
        </w:rPr>
        <w:t xml:space="preserve">Kč) – varianta </w:t>
      </w:r>
      <w:proofErr w:type="gramStart"/>
      <w:r w:rsidR="0069040E" w:rsidRPr="00DB6C27">
        <w:rPr>
          <w:bCs/>
        </w:rPr>
        <w:t>I</w:t>
      </w:r>
      <w:proofErr w:type="gramEnd"/>
      <w:r w:rsidRPr="00DB6C27">
        <w:rPr>
          <w:bCs/>
        </w:rPr>
        <w:t xml:space="preserve"> nebo </w:t>
      </w:r>
      <w:r w:rsidR="00B060FE" w:rsidRPr="00DB6C27">
        <w:rPr>
          <w:bCs/>
        </w:rPr>
        <w:t>14 600</w:t>
      </w:r>
      <w:r w:rsidRPr="00DB6C27">
        <w:rPr>
          <w:bCs/>
        </w:rPr>
        <w:t xml:space="preserve"> Kč (zvýšení o 1 </w:t>
      </w:r>
      <w:r w:rsidR="00B060FE" w:rsidRPr="00DB6C27">
        <w:rPr>
          <w:bCs/>
        </w:rPr>
        <w:t>0</w:t>
      </w:r>
      <w:r w:rsidRPr="00DB6C27">
        <w:rPr>
          <w:bCs/>
        </w:rPr>
        <w:t xml:space="preserve">00 Kč) – varianta </w:t>
      </w:r>
      <w:r w:rsidR="0069040E" w:rsidRPr="00DB6C27">
        <w:rPr>
          <w:bCs/>
        </w:rPr>
        <w:t>II</w:t>
      </w:r>
      <w:r w:rsidRPr="00DB6C27">
        <w:rPr>
          <w:bCs/>
        </w:rPr>
        <w:t xml:space="preserve">, </w:t>
      </w:r>
      <w:r w:rsidR="0042380E">
        <w:rPr>
          <w:bCs/>
        </w:rPr>
        <w:br/>
      </w:r>
      <w:r w:rsidRPr="00DB6C27">
        <w:rPr>
          <w:bCs/>
        </w:rPr>
        <w:t>a to</w:t>
      </w:r>
      <w:r w:rsidRPr="00DB6C27">
        <w:t xml:space="preserve"> </w:t>
      </w:r>
      <w:r w:rsidRPr="00DB6C27">
        <w:rPr>
          <w:bCs/>
          <w:lang w:eastAsia="ar-SA"/>
        </w:rPr>
        <w:t xml:space="preserve">od </w:t>
      </w:r>
      <w:r w:rsidR="00B060FE" w:rsidRPr="00DB6C27">
        <w:rPr>
          <w:bCs/>
          <w:lang w:eastAsia="ar-SA"/>
        </w:rPr>
        <w:t>1</w:t>
      </w:r>
      <w:r w:rsidRPr="00DB6C27">
        <w:rPr>
          <w:bCs/>
          <w:lang w:eastAsia="ar-SA"/>
        </w:rPr>
        <w:t>. kalendářního čtvrtletí roku 202</w:t>
      </w:r>
      <w:r w:rsidR="00B060FE" w:rsidRPr="00DB6C27">
        <w:rPr>
          <w:bCs/>
          <w:lang w:eastAsia="ar-SA"/>
        </w:rPr>
        <w:t>2</w:t>
      </w:r>
      <w:r w:rsidRPr="00DB6C27">
        <w:rPr>
          <w:bCs/>
          <w:lang w:eastAsia="ar-SA"/>
        </w:rPr>
        <w:t xml:space="preserve">. </w:t>
      </w:r>
    </w:p>
    <w:p w14:paraId="12493559" w14:textId="77777777" w:rsidR="00FE55B1" w:rsidRPr="00045C73" w:rsidRDefault="00FE55B1" w:rsidP="00872C9F">
      <w:pPr>
        <w:spacing w:line="360" w:lineRule="auto"/>
        <w:jc w:val="both"/>
      </w:pPr>
    </w:p>
    <w:p w14:paraId="1D904531" w14:textId="13F0440B" w:rsidR="00FE55B1" w:rsidRDefault="00FE55B1" w:rsidP="00872C9F">
      <w:pPr>
        <w:suppressAutoHyphens/>
        <w:overflowPunct w:val="0"/>
        <w:autoSpaceDE w:val="0"/>
        <w:spacing w:line="360" w:lineRule="auto"/>
        <w:jc w:val="both"/>
        <w:textAlignment w:val="baseline"/>
        <w:rPr>
          <w:bCs/>
          <w:lang w:eastAsia="ar-SA"/>
        </w:rPr>
      </w:pPr>
      <w:r w:rsidRPr="00DE1B62">
        <w:rPr>
          <w:bCs/>
          <w:lang w:eastAsia="ar-SA"/>
        </w:rPr>
        <w:lastRenderedPageBreak/>
        <w:t xml:space="preserve">Předložený návrh nařízení vlády je tedy v souladu se zákonem o </w:t>
      </w:r>
      <w:r>
        <w:rPr>
          <w:bCs/>
          <w:lang w:eastAsia="ar-SA"/>
        </w:rPr>
        <w:t>zaměstnanosti</w:t>
      </w:r>
      <w:r w:rsidRPr="00DE1B62">
        <w:rPr>
          <w:bCs/>
          <w:lang w:eastAsia="ar-SA"/>
        </w:rPr>
        <w:t xml:space="preserve"> a jeho obsah je stanoven v mezích uvedených zákonných zmocnění.</w:t>
      </w:r>
    </w:p>
    <w:p w14:paraId="036F1EDC" w14:textId="77777777" w:rsidR="00770310" w:rsidRDefault="00770310" w:rsidP="00872C9F">
      <w:pPr>
        <w:suppressAutoHyphens/>
        <w:overflowPunct w:val="0"/>
        <w:autoSpaceDE w:val="0"/>
        <w:spacing w:line="360" w:lineRule="auto"/>
        <w:jc w:val="both"/>
        <w:textAlignment w:val="baseline"/>
        <w:rPr>
          <w:bCs/>
          <w:lang w:eastAsia="ar-SA"/>
        </w:rPr>
      </w:pPr>
    </w:p>
    <w:p w14:paraId="202A169B" w14:textId="77777777" w:rsidR="00FE55B1" w:rsidRDefault="00FE55B1" w:rsidP="00872C9F">
      <w:pPr>
        <w:keepNext/>
        <w:spacing w:line="360" w:lineRule="auto"/>
        <w:jc w:val="both"/>
        <w:rPr>
          <w:b/>
          <w:bCs/>
          <w:smallCaps/>
        </w:rPr>
      </w:pPr>
      <w:r w:rsidRPr="00DE1B62">
        <w:rPr>
          <w:b/>
          <w:bCs/>
          <w:smallCaps/>
        </w:rPr>
        <w:t xml:space="preserve">C) Zhodnocení souladu navrhované právní úpravy s předpisy Evropské unie, judikaturou soudních orgánů Evropské unie a obecnými právními zásadami práva Evropské unie </w:t>
      </w:r>
    </w:p>
    <w:p w14:paraId="09B1EA70" w14:textId="77777777" w:rsidR="00FE55B1" w:rsidRDefault="00FE55B1" w:rsidP="00872C9F">
      <w:pPr>
        <w:keepNext/>
        <w:spacing w:line="360" w:lineRule="auto"/>
        <w:jc w:val="both"/>
        <w:rPr>
          <w:b/>
          <w:bCs/>
          <w:smallCaps/>
        </w:rPr>
      </w:pPr>
    </w:p>
    <w:p w14:paraId="097B9206" w14:textId="47C32BF9" w:rsidR="00FE55B1" w:rsidRPr="00B060FE" w:rsidRDefault="00FE55B1" w:rsidP="00872C9F">
      <w:pPr>
        <w:spacing w:line="360" w:lineRule="auto"/>
        <w:jc w:val="both"/>
        <w:rPr>
          <w:bCs/>
        </w:rPr>
      </w:pPr>
      <w:r w:rsidRPr="00DE1B62">
        <w:rPr>
          <w:bCs/>
        </w:rPr>
        <w:t>Navrhovaná právní úprava je v souladu s předpisy Evropské unie, judikaturou soudních orgánů Evropské unie a obecnými právními zásadami práva Evropské unie</w:t>
      </w:r>
      <w:r w:rsidR="00851A28">
        <w:rPr>
          <w:bCs/>
        </w:rPr>
        <w:t xml:space="preserve">. </w:t>
      </w:r>
      <w:r w:rsidR="00851A28" w:rsidRPr="00B060FE">
        <w:rPr>
          <w:bCs/>
        </w:rPr>
        <w:t xml:space="preserve">V tomto ohledu je nutné zmínit především soulad </w:t>
      </w:r>
      <w:r w:rsidR="00770310">
        <w:rPr>
          <w:bCs/>
        </w:rPr>
        <w:t xml:space="preserve">s </w:t>
      </w:r>
      <w:r w:rsidR="00851A28" w:rsidRPr="00B060FE">
        <w:rPr>
          <w:bCs/>
        </w:rPr>
        <w:t>Úmluvou OSN o právech osob se zdravotním postižení</w:t>
      </w:r>
      <w:r w:rsidR="007F7CF5" w:rsidRPr="00B060FE">
        <w:rPr>
          <w:bCs/>
        </w:rPr>
        <w:t>m, která je rovněž součástí práva EU</w:t>
      </w:r>
      <w:r w:rsidR="00851A28" w:rsidRPr="00B060FE">
        <w:rPr>
          <w:bCs/>
        </w:rPr>
        <w:t xml:space="preserve"> (2010/48/ES). </w:t>
      </w:r>
    </w:p>
    <w:p w14:paraId="0E293AE1" w14:textId="77777777" w:rsidR="00851A28" w:rsidRDefault="00851A28" w:rsidP="00872C9F">
      <w:pPr>
        <w:suppressAutoHyphens/>
        <w:spacing w:line="360" w:lineRule="auto"/>
        <w:jc w:val="both"/>
        <w:rPr>
          <w:strike/>
        </w:rPr>
      </w:pPr>
    </w:p>
    <w:p w14:paraId="5EC48827" w14:textId="77777777" w:rsidR="00FE55B1" w:rsidRDefault="00FE55B1" w:rsidP="00872C9F">
      <w:pPr>
        <w:keepNext/>
        <w:spacing w:line="360" w:lineRule="auto"/>
        <w:jc w:val="both"/>
        <w:rPr>
          <w:b/>
          <w:bCs/>
          <w:smallCaps/>
        </w:rPr>
      </w:pPr>
      <w:r w:rsidRPr="00DE1B62">
        <w:rPr>
          <w:b/>
          <w:bCs/>
          <w:smallCaps/>
        </w:rPr>
        <w:t>D) Zhodnocení platného právního stavu a odůvodnění nezbytnosti jeho změny</w:t>
      </w:r>
    </w:p>
    <w:p w14:paraId="34A825C6" w14:textId="77777777" w:rsidR="00FE55B1" w:rsidRDefault="00FE55B1" w:rsidP="00872C9F">
      <w:pPr>
        <w:keepNext/>
        <w:spacing w:line="360" w:lineRule="auto"/>
        <w:jc w:val="both"/>
        <w:rPr>
          <w:b/>
          <w:bCs/>
          <w:smallCaps/>
        </w:rPr>
      </w:pPr>
    </w:p>
    <w:p w14:paraId="31BDDC18" w14:textId="23E63D95" w:rsidR="00FE55B1" w:rsidRPr="00770310" w:rsidRDefault="00FE55B1" w:rsidP="00872C9F">
      <w:pPr>
        <w:spacing w:line="360" w:lineRule="auto"/>
        <w:jc w:val="both"/>
      </w:pPr>
      <w:r>
        <w:t xml:space="preserve">V současnosti je maximální částka příspěvku stanovena </w:t>
      </w:r>
      <w:r w:rsidR="00B060FE" w:rsidRPr="00770310">
        <w:t xml:space="preserve">nařízením vlády č. 388/2020 Sb., </w:t>
      </w:r>
      <w:r w:rsidR="00B060FE" w:rsidRPr="00770310">
        <w:br/>
        <w:t xml:space="preserve">o maximální částce příspěvku na podporu zaměstnávání osob se zdravotním postižením na chráněném trhu práce, </w:t>
      </w:r>
      <w:r w:rsidRPr="00770310">
        <w:t xml:space="preserve">a činí </w:t>
      </w:r>
      <w:r w:rsidR="00B060FE" w:rsidRPr="00770310">
        <w:t>13 600</w:t>
      </w:r>
      <w:r w:rsidR="0095752E" w:rsidRPr="00770310">
        <w:t> </w:t>
      </w:r>
      <w:r w:rsidRPr="00770310">
        <w:t>Kč</w:t>
      </w:r>
      <w:r w:rsidR="00B060FE" w:rsidRPr="00770310">
        <w:t>.</w:t>
      </w:r>
    </w:p>
    <w:p w14:paraId="52D54CB4" w14:textId="77777777" w:rsidR="00B060FE" w:rsidRDefault="00B060FE" w:rsidP="00872C9F">
      <w:pPr>
        <w:spacing w:line="360" w:lineRule="auto"/>
        <w:jc w:val="both"/>
      </w:pPr>
    </w:p>
    <w:p w14:paraId="2628892B" w14:textId="7A43C036" w:rsidR="00FE55B1" w:rsidRPr="00770310" w:rsidRDefault="00FE55B1" w:rsidP="00872C9F">
      <w:pPr>
        <w:spacing w:line="360" w:lineRule="auto"/>
        <w:jc w:val="both"/>
        <w:rPr>
          <w:bCs/>
        </w:rPr>
      </w:pPr>
      <w:r w:rsidRPr="00770310">
        <w:rPr>
          <w:bCs/>
        </w:rPr>
        <w:t xml:space="preserve">Vzhledem k aktuálnímu vývoji na trhu práce a zvýšenému počtu uchazečů o zaměstnání – osob se zdravotním postižením je na místě ze strany státu poskytnout intervenci zaměstnavatelům na chráněném trhu práce spočívající ve zvýšení maximální částky příspěvku na podporu zaměstnávání osob se zdravotním postižením. Tímto opatřením lze zabránit nežádoucímu snižování zaměstnanosti osob se zdravotním postižením, které mají ztíženou možnost uplatnění na trhu práce. Zároveň lze očekávat, že zvýšení maximální částky příspěvku bude mít pozitivní dopad nejen na zachování dosavadních pracovních míst pro osoby se zdravotním postižením na chráněném trhu práce, ale bude působit také jako motivační prvek pro samotné zaměstnavatelské subjekty, aby i nadále zaměstnávaly osoby se zdravotním postižením, </w:t>
      </w:r>
      <w:r w:rsidR="00FE035B">
        <w:rPr>
          <w:bCs/>
        </w:rPr>
        <w:br/>
      </w:r>
      <w:r w:rsidRPr="00770310">
        <w:rPr>
          <w:bCs/>
        </w:rPr>
        <w:t>resp. vytvářely další pracovní místa vhodná pro osoby se zdravotním postižením.</w:t>
      </w:r>
    </w:p>
    <w:p w14:paraId="7C230AB0" w14:textId="77777777" w:rsidR="00FE55B1" w:rsidRPr="00DE1B62" w:rsidRDefault="00FE55B1" w:rsidP="00872C9F">
      <w:pPr>
        <w:spacing w:line="360" w:lineRule="auto"/>
        <w:jc w:val="both"/>
        <w:rPr>
          <w:bCs/>
        </w:rPr>
      </w:pPr>
    </w:p>
    <w:p w14:paraId="675DFA7F" w14:textId="77777777" w:rsidR="00FE55B1" w:rsidRDefault="00FE55B1" w:rsidP="00872C9F">
      <w:pPr>
        <w:pStyle w:val="Seznamsodrkami"/>
        <w:numPr>
          <w:ilvl w:val="0"/>
          <w:numId w:val="0"/>
        </w:numPr>
        <w:spacing w:line="360" w:lineRule="auto"/>
        <w:contextualSpacing w:val="0"/>
        <w:jc w:val="both"/>
        <w:rPr>
          <w:b/>
          <w:bCs/>
          <w:smallCaps/>
        </w:rPr>
      </w:pPr>
      <w:r w:rsidRPr="00DE1B62">
        <w:rPr>
          <w:b/>
          <w:bCs/>
          <w:smallCaps/>
        </w:rPr>
        <w:t xml:space="preserve">E) 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 </w:t>
      </w:r>
    </w:p>
    <w:p w14:paraId="43097E2A" w14:textId="1A4ED347" w:rsidR="00FE55B1" w:rsidRPr="0053653D" w:rsidRDefault="00FE55B1" w:rsidP="00872C9F">
      <w:pPr>
        <w:pStyle w:val="Bezmezer"/>
        <w:spacing w:line="360" w:lineRule="auto"/>
        <w:jc w:val="both"/>
        <w:rPr>
          <w:rFonts w:ascii="Times New Roman" w:hAnsi="Times New Roman"/>
          <w:sz w:val="24"/>
          <w:szCs w:val="24"/>
        </w:rPr>
      </w:pPr>
      <w:bookmarkStart w:id="9" w:name="_Hlk88514669"/>
      <w:r w:rsidRPr="0053653D">
        <w:rPr>
          <w:rFonts w:ascii="Times New Roman" w:hAnsi="Times New Roman"/>
          <w:sz w:val="24"/>
          <w:szCs w:val="24"/>
        </w:rPr>
        <w:lastRenderedPageBreak/>
        <w:t>Předpokládané dopady na státní rozpočet:</w:t>
      </w:r>
    </w:p>
    <w:p w14:paraId="6CA70AA7" w14:textId="77777777" w:rsidR="00FE55B1" w:rsidRDefault="00FE55B1" w:rsidP="00872C9F">
      <w:pPr>
        <w:spacing w:line="360" w:lineRule="auto"/>
        <w:jc w:val="both"/>
        <w:rPr>
          <w:rFonts w:cs="Arial"/>
        </w:rPr>
      </w:pPr>
    </w:p>
    <w:p w14:paraId="5F508F3E" w14:textId="535564D0" w:rsidR="00FE55B1" w:rsidRPr="00FE035B" w:rsidRDefault="00FE55B1" w:rsidP="00872C9F">
      <w:pPr>
        <w:pStyle w:val="Odstavecseseznamem"/>
        <w:numPr>
          <w:ilvl w:val="0"/>
          <w:numId w:val="33"/>
        </w:numPr>
        <w:spacing w:line="360" w:lineRule="auto"/>
        <w:jc w:val="both"/>
        <w:rPr>
          <w:bCs/>
        </w:rPr>
      </w:pPr>
      <w:r w:rsidRPr="00FE035B">
        <w:t xml:space="preserve">při variantě </w:t>
      </w:r>
      <w:r w:rsidR="0069040E" w:rsidRPr="00FE035B">
        <w:t>I</w:t>
      </w:r>
      <w:r w:rsidRPr="00FE035B">
        <w:t xml:space="preserve"> (zvýšení příspěvku o </w:t>
      </w:r>
      <w:r w:rsidR="00B060FE" w:rsidRPr="00FE035B">
        <w:t>6</w:t>
      </w:r>
      <w:r w:rsidRPr="00FE035B">
        <w:t>00 Kč)</w:t>
      </w:r>
      <w:r w:rsidR="001014E6" w:rsidRPr="00FE035B">
        <w:t xml:space="preserve"> lze odhadnout roční náklady státního rozpočtu na </w:t>
      </w:r>
      <w:r w:rsidR="001014E6" w:rsidRPr="00FE035B">
        <w:rPr>
          <w:b/>
          <w:bCs/>
        </w:rPr>
        <w:t>354 mil. Kč</w:t>
      </w:r>
      <w:r w:rsidR="001014E6" w:rsidRPr="00FE035B">
        <w:t xml:space="preserve"> (64 718 OZP x 600 Kč x 12 měsíců x průměrné čerpání maximální částky příspěvku 0,76)</w:t>
      </w:r>
      <w:r w:rsidRPr="00FE035B">
        <w:t xml:space="preserve">; celkové roční náklady státního rozpočtu by činily téměř </w:t>
      </w:r>
      <w:r w:rsidR="001014E6" w:rsidRPr="00FE035B">
        <w:rPr>
          <w:b/>
          <w:bCs/>
        </w:rPr>
        <w:t>9,15</w:t>
      </w:r>
      <w:r w:rsidRPr="00FE035B">
        <w:rPr>
          <w:b/>
        </w:rPr>
        <w:t xml:space="preserve"> mld. Kč</w:t>
      </w:r>
      <w:r w:rsidRPr="00FE035B">
        <w:rPr>
          <w:bCs/>
        </w:rPr>
        <w:t>,</w:t>
      </w:r>
      <w:r w:rsidRPr="00FE035B">
        <w:rPr>
          <w:b/>
        </w:rPr>
        <w:t xml:space="preserve"> </w:t>
      </w:r>
      <w:r w:rsidRPr="00FE035B">
        <w:rPr>
          <w:bCs/>
        </w:rPr>
        <w:t xml:space="preserve">a to při započtení celkové maximální výše příspěvku, tj. včetně paušální částky </w:t>
      </w:r>
      <w:r w:rsidRPr="00FE035B">
        <w:t xml:space="preserve">(maximální částka příspěvku </w:t>
      </w:r>
      <w:r w:rsidR="00B060FE" w:rsidRPr="00FE035B">
        <w:t>14 200</w:t>
      </w:r>
      <w:r w:rsidRPr="00FE035B">
        <w:t xml:space="preserve"> Kč + 1 000 Kč paušální částka)</w:t>
      </w:r>
    </w:p>
    <w:p w14:paraId="309430FD" w14:textId="77777777" w:rsidR="00FE55B1" w:rsidRPr="00FE035B" w:rsidRDefault="00FE55B1" w:rsidP="00872C9F">
      <w:pPr>
        <w:spacing w:line="360" w:lineRule="auto"/>
        <w:jc w:val="both"/>
        <w:rPr>
          <w:bCs/>
          <w:lang w:eastAsia="ar-SA"/>
        </w:rPr>
      </w:pPr>
    </w:p>
    <w:p w14:paraId="4028303A" w14:textId="73A56A50" w:rsidR="00FE55B1" w:rsidRPr="00FE035B" w:rsidRDefault="00FE55B1" w:rsidP="00872C9F">
      <w:pPr>
        <w:pStyle w:val="Odstavecseseznamem"/>
        <w:numPr>
          <w:ilvl w:val="0"/>
          <w:numId w:val="27"/>
        </w:numPr>
        <w:spacing w:line="360" w:lineRule="auto"/>
        <w:jc w:val="both"/>
        <w:rPr>
          <w:rFonts w:cs="Arial"/>
        </w:rPr>
      </w:pPr>
      <w:r w:rsidRPr="00FE035B">
        <w:t xml:space="preserve">při variantě </w:t>
      </w:r>
      <w:r w:rsidR="0069040E" w:rsidRPr="00FE035B">
        <w:t>II</w:t>
      </w:r>
      <w:r w:rsidRPr="00FE035B">
        <w:t xml:space="preserve"> (zvýšení příspěvku o 1 </w:t>
      </w:r>
      <w:r w:rsidR="00B060FE" w:rsidRPr="00FE035B">
        <w:t>0</w:t>
      </w:r>
      <w:r w:rsidRPr="00FE035B">
        <w:t xml:space="preserve">00 Kč) </w:t>
      </w:r>
      <w:r w:rsidR="001014E6" w:rsidRPr="00FE035B">
        <w:t xml:space="preserve">lze odhadnout roční </w:t>
      </w:r>
      <w:r w:rsidRPr="00FE035B">
        <w:t xml:space="preserve">náklady státního </w:t>
      </w:r>
      <w:r w:rsidRPr="002F0E76">
        <w:t xml:space="preserve">rozpočtu </w:t>
      </w:r>
      <w:r w:rsidR="001014E6" w:rsidRPr="002F0E76">
        <w:t>na</w:t>
      </w:r>
      <w:r w:rsidRPr="002F0E76">
        <w:t xml:space="preserve"> </w:t>
      </w:r>
      <w:r w:rsidR="001014E6" w:rsidRPr="002F0E76">
        <w:rPr>
          <w:b/>
          <w:bCs/>
        </w:rPr>
        <w:t>590</w:t>
      </w:r>
      <w:r w:rsidRPr="002F0E76">
        <w:rPr>
          <w:b/>
          <w:bCs/>
        </w:rPr>
        <w:t xml:space="preserve"> </w:t>
      </w:r>
      <w:r w:rsidRPr="002F0E76">
        <w:rPr>
          <w:b/>
        </w:rPr>
        <w:t>m</w:t>
      </w:r>
      <w:r w:rsidR="00325785" w:rsidRPr="002F0E76">
        <w:rPr>
          <w:b/>
        </w:rPr>
        <w:t>i</w:t>
      </w:r>
      <w:r w:rsidRPr="002F0E76">
        <w:rPr>
          <w:b/>
        </w:rPr>
        <w:t>l. Kč</w:t>
      </w:r>
      <w:r w:rsidR="001014E6" w:rsidRPr="002F0E76">
        <w:rPr>
          <w:b/>
        </w:rPr>
        <w:t xml:space="preserve"> </w:t>
      </w:r>
      <w:r w:rsidR="001014E6" w:rsidRPr="008373C6">
        <w:t>(64 718 OZP x 1 000 Kč x 12 měsíců x průměrné čerpání maximální částky příspěvku 0,76)</w:t>
      </w:r>
      <w:r w:rsidR="00FE035B" w:rsidRPr="008373C6">
        <w:rPr>
          <w:bCs/>
        </w:rPr>
        <w:t>;</w:t>
      </w:r>
      <w:r w:rsidRPr="008D5985">
        <w:rPr>
          <w:b/>
          <w:color w:val="FF0000"/>
        </w:rPr>
        <w:t xml:space="preserve"> </w:t>
      </w:r>
      <w:r w:rsidR="00BD63F4" w:rsidRPr="00FE035B">
        <w:t xml:space="preserve">celkové roční náklady státního rozpočtu by činily téměř </w:t>
      </w:r>
      <w:r w:rsidR="00BD63F4" w:rsidRPr="00FE035B">
        <w:rPr>
          <w:b/>
          <w:bCs/>
        </w:rPr>
        <w:t>9,39</w:t>
      </w:r>
      <w:r w:rsidR="00BD63F4" w:rsidRPr="00FE035B">
        <w:rPr>
          <w:b/>
        </w:rPr>
        <w:t xml:space="preserve"> mld. Kč,</w:t>
      </w:r>
      <w:r w:rsidR="00BD63F4" w:rsidRPr="00FE035B">
        <w:rPr>
          <w:bCs/>
        </w:rPr>
        <w:t xml:space="preserve"> </w:t>
      </w:r>
      <w:r w:rsidRPr="00FE035B">
        <w:rPr>
          <w:bCs/>
        </w:rPr>
        <w:t xml:space="preserve">a to při započtení celkové maximální výše příspěvku, tj. včetně paušální částky </w:t>
      </w:r>
      <w:r w:rsidRPr="00FE035B">
        <w:t xml:space="preserve">(maximální částka příspěvku </w:t>
      </w:r>
      <w:r w:rsidR="00B060FE" w:rsidRPr="00FE035B">
        <w:t>14 600</w:t>
      </w:r>
      <w:r w:rsidRPr="00FE035B">
        <w:t xml:space="preserve"> Kč + 1</w:t>
      </w:r>
      <w:r w:rsidRPr="00FE035B">
        <w:rPr>
          <w:rFonts w:cs="Arial"/>
        </w:rPr>
        <w:t xml:space="preserve"> 000 Kč paušální částka) </w:t>
      </w:r>
    </w:p>
    <w:p w14:paraId="31477CE1" w14:textId="1E8E99C2" w:rsidR="001014E6" w:rsidRDefault="001014E6" w:rsidP="00872C9F">
      <w:pPr>
        <w:pStyle w:val="Odstavecseseznamem"/>
        <w:spacing w:line="360" w:lineRule="auto"/>
        <w:rPr>
          <w:rFonts w:cs="Arial"/>
        </w:rPr>
      </w:pPr>
    </w:p>
    <w:bookmarkEnd w:id="9"/>
    <w:p w14:paraId="00EC7DC4" w14:textId="77777777" w:rsidR="00FE55B1" w:rsidRDefault="00FE55B1" w:rsidP="00872C9F">
      <w:pPr>
        <w:suppressAutoHyphens/>
        <w:spacing w:line="360" w:lineRule="auto"/>
        <w:jc w:val="both"/>
      </w:pPr>
      <w:r>
        <w:t>Při posuzování těchto dopadů je však nutno vycházet ze skutečnosti, že na rozdíl od jiných sociálních výdajů generuje příspěvek na podporu zaměstnávání osob se zdravotním postižením významné příjmy veřejných financí, zejména daňové odvody hrazené zaměstnavateli na chráněném trhu práce, ale i zaměstnanci, přičemž přidaná hodnota práce zaměstnanců – osob se zdravotním postižením generuje také přímé i nepřímé daně a kupní sílu.</w:t>
      </w:r>
    </w:p>
    <w:p w14:paraId="0BA184D3" w14:textId="77777777" w:rsidR="00FE55B1" w:rsidRDefault="00FE55B1" w:rsidP="00872C9F">
      <w:pPr>
        <w:suppressAutoHyphens/>
        <w:spacing w:line="360" w:lineRule="auto"/>
        <w:jc w:val="both"/>
      </w:pPr>
    </w:p>
    <w:p w14:paraId="7708D339" w14:textId="77777777" w:rsidR="00417C25" w:rsidRDefault="00FE55B1" w:rsidP="00872C9F">
      <w:pPr>
        <w:suppressAutoHyphens/>
        <w:spacing w:line="360" w:lineRule="auto"/>
        <w:jc w:val="both"/>
      </w:pPr>
      <w:r w:rsidRPr="003E5760">
        <w:t xml:space="preserve">Kromě výše uvedených dopadů na státní rozpočet nemá navrhovaná právní úprava dopad </w:t>
      </w:r>
      <w:r>
        <w:t xml:space="preserve">na </w:t>
      </w:r>
      <w:r w:rsidRPr="003E5760">
        <w:t xml:space="preserve">ostatní veřejné rozpočty obcí a krajů. </w:t>
      </w:r>
    </w:p>
    <w:p w14:paraId="0BEB811E" w14:textId="77777777" w:rsidR="00417C25" w:rsidRDefault="00417C25" w:rsidP="00872C9F">
      <w:pPr>
        <w:suppressAutoHyphens/>
        <w:spacing w:line="360" w:lineRule="auto"/>
        <w:jc w:val="both"/>
      </w:pPr>
    </w:p>
    <w:p w14:paraId="4E71441B" w14:textId="289C36B5" w:rsidR="00FE55B1" w:rsidRDefault="00FE55B1" w:rsidP="00872C9F">
      <w:pPr>
        <w:suppressAutoHyphens/>
        <w:spacing w:line="360" w:lineRule="auto"/>
        <w:jc w:val="both"/>
      </w:pPr>
      <w:r w:rsidRPr="003E5760">
        <w:t xml:space="preserve">Zvýšení příspěvku bude financováno z rozpočtové kapitoly MPSV. </w:t>
      </w:r>
    </w:p>
    <w:p w14:paraId="6A4EA0A7" w14:textId="77777777" w:rsidR="00FE55B1" w:rsidRPr="00DE1B62" w:rsidRDefault="00FE55B1" w:rsidP="00872C9F">
      <w:pPr>
        <w:suppressAutoHyphens/>
        <w:spacing w:line="360" w:lineRule="auto"/>
        <w:jc w:val="both"/>
        <w:rPr>
          <w:bCs/>
          <w:lang w:eastAsia="ar-SA"/>
        </w:rPr>
      </w:pPr>
    </w:p>
    <w:p w14:paraId="65760AEC" w14:textId="33266100" w:rsidR="00FE55B1" w:rsidRDefault="00FE55B1" w:rsidP="00872C9F">
      <w:pPr>
        <w:spacing w:line="360" w:lineRule="auto"/>
        <w:jc w:val="both"/>
        <w:rPr>
          <w:rFonts w:eastAsia="MS Mincho"/>
          <w:bCs/>
        </w:rPr>
      </w:pPr>
      <w:r w:rsidRPr="00DE1B62">
        <w:rPr>
          <w:rFonts w:eastAsia="MS Mincho"/>
          <w:bCs/>
        </w:rPr>
        <w:t xml:space="preserve">Lze předpokládat, že navrhované </w:t>
      </w:r>
      <w:r>
        <w:rPr>
          <w:rFonts w:eastAsia="MS Mincho"/>
          <w:bCs/>
        </w:rPr>
        <w:t xml:space="preserve">zvýšení maximální částky příspěvku </w:t>
      </w:r>
      <w:r w:rsidRPr="00DE1B62">
        <w:rPr>
          <w:rFonts w:eastAsia="MS Mincho"/>
          <w:bCs/>
        </w:rPr>
        <w:t>bud</w:t>
      </w:r>
      <w:r>
        <w:rPr>
          <w:rFonts w:eastAsia="MS Mincho"/>
          <w:bCs/>
        </w:rPr>
        <w:t>e</w:t>
      </w:r>
      <w:r w:rsidRPr="00DE1B62">
        <w:rPr>
          <w:rFonts w:eastAsia="MS Mincho"/>
          <w:bCs/>
        </w:rPr>
        <w:t xml:space="preserve"> mít pozitivní dopad na podnikatelské prostředí</w:t>
      </w:r>
      <w:r>
        <w:rPr>
          <w:rFonts w:eastAsia="MS Mincho"/>
          <w:bCs/>
        </w:rPr>
        <w:t xml:space="preserve"> ve vztahu k podnikatelům, kteří působí v rámci zaměstnavatelského segmentu na chráněném trhu práce, protože budou moci čerpat příspěvek ve vyšší částce, což napomůže zachování pracovních míst pro zaměstnance – osoby se zdravotním postižením </w:t>
      </w:r>
      <w:r w:rsidR="00B060FE">
        <w:rPr>
          <w:rFonts w:eastAsia="MS Mincho"/>
          <w:bCs/>
        </w:rPr>
        <w:br/>
      </w:r>
      <w:r>
        <w:rPr>
          <w:rFonts w:eastAsia="MS Mincho"/>
          <w:bCs/>
        </w:rPr>
        <w:t xml:space="preserve">a následné generování dalšího zisku plynoucího z práce těchto zaměstnanců. </w:t>
      </w:r>
      <w:r w:rsidRPr="00DE1B62">
        <w:rPr>
          <w:rFonts w:eastAsia="MS Mincho"/>
          <w:bCs/>
        </w:rPr>
        <w:t xml:space="preserve"> </w:t>
      </w:r>
    </w:p>
    <w:p w14:paraId="7C8DDAEB" w14:textId="77777777" w:rsidR="00FE55B1" w:rsidRDefault="00FE55B1" w:rsidP="00872C9F">
      <w:pPr>
        <w:spacing w:line="360" w:lineRule="auto"/>
        <w:jc w:val="both"/>
        <w:rPr>
          <w:rFonts w:eastAsia="MS Mincho"/>
          <w:bCs/>
        </w:rPr>
      </w:pPr>
    </w:p>
    <w:p w14:paraId="69146BBE" w14:textId="77777777" w:rsidR="00FE55B1" w:rsidRDefault="00FE55B1" w:rsidP="00872C9F">
      <w:pPr>
        <w:suppressAutoHyphens/>
        <w:spacing w:line="360" w:lineRule="auto"/>
        <w:jc w:val="both"/>
      </w:pPr>
      <w:r w:rsidRPr="003E5760">
        <w:rPr>
          <w:rFonts w:eastAsia="Calibri"/>
        </w:rPr>
        <w:t xml:space="preserve">Navrhovaná úprava nebude mít žádné negativní sociální dopady.  Naopak lze spatřovat pozitivní sociální dopad spojený se zvýšením </w:t>
      </w:r>
      <w:r>
        <w:rPr>
          <w:rFonts w:eastAsia="Calibri"/>
        </w:rPr>
        <w:t xml:space="preserve">maximální částky </w:t>
      </w:r>
      <w:r w:rsidRPr="003E5760">
        <w:rPr>
          <w:rFonts w:eastAsia="Calibri"/>
        </w:rPr>
        <w:t xml:space="preserve">příspěvku v tom, že </w:t>
      </w:r>
      <w:r w:rsidRPr="003E5760">
        <w:t xml:space="preserve">bude </w:t>
      </w:r>
      <w:r w:rsidRPr="003E5760">
        <w:lastRenderedPageBreak/>
        <w:t>zachována, případně posílena motivace zaměstnavatelů zaměstnávat osoby se zdravotním postižením ve 2. a 3. stupni invalidity, které mají výrazně snížený pracovní potenciál</w:t>
      </w:r>
      <w:r>
        <w:t xml:space="preserve">. </w:t>
      </w:r>
    </w:p>
    <w:p w14:paraId="4F765A53" w14:textId="77777777" w:rsidR="00FE55B1" w:rsidRPr="003E5760" w:rsidRDefault="00FE55B1" w:rsidP="00872C9F">
      <w:pPr>
        <w:suppressAutoHyphens/>
        <w:spacing w:line="360" w:lineRule="auto"/>
        <w:jc w:val="both"/>
      </w:pPr>
    </w:p>
    <w:p w14:paraId="0A73F720" w14:textId="77777777" w:rsidR="00FE55B1" w:rsidRDefault="00FE55B1" w:rsidP="00872C9F">
      <w:pPr>
        <w:suppressAutoHyphens/>
        <w:spacing w:line="360" w:lineRule="auto"/>
        <w:rPr>
          <w:rFonts w:eastAsia="MS Mincho"/>
          <w:bCs/>
        </w:rPr>
      </w:pPr>
      <w:r w:rsidRPr="003E5760">
        <w:t xml:space="preserve">Navrhovaná právní úprava nemá dopad na životní prostředí. </w:t>
      </w:r>
    </w:p>
    <w:p w14:paraId="1DDC395B" w14:textId="77777777" w:rsidR="00FE55B1" w:rsidRPr="00DE1B62" w:rsidRDefault="00FE55B1" w:rsidP="00872C9F">
      <w:pPr>
        <w:spacing w:line="360" w:lineRule="auto"/>
        <w:jc w:val="both"/>
        <w:rPr>
          <w:bCs/>
          <w:lang w:eastAsia="ar-SA"/>
        </w:rPr>
      </w:pPr>
    </w:p>
    <w:p w14:paraId="24910A6A" w14:textId="77777777" w:rsidR="00FE55B1" w:rsidRDefault="00FE55B1" w:rsidP="00872C9F">
      <w:pPr>
        <w:keepNext/>
        <w:spacing w:line="360" w:lineRule="auto"/>
        <w:jc w:val="both"/>
        <w:rPr>
          <w:b/>
          <w:bCs/>
          <w:smallCaps/>
        </w:rPr>
      </w:pPr>
      <w:r w:rsidRPr="00DE1B62">
        <w:rPr>
          <w:b/>
          <w:bCs/>
          <w:smallCaps/>
        </w:rPr>
        <w:t xml:space="preserve">F) Zhodnocení současného stavu a dopadů navrhovaného řešení ve vztahu </w:t>
      </w:r>
      <w:r w:rsidRPr="00DE1B62">
        <w:rPr>
          <w:b/>
          <w:bCs/>
          <w:smallCaps/>
        </w:rPr>
        <w:br/>
        <w:t>k zákazu diskriminace a ve vztahu k rovnosti mužů a žen</w:t>
      </w:r>
    </w:p>
    <w:p w14:paraId="6B493A61" w14:textId="77777777" w:rsidR="00FE55B1" w:rsidRDefault="00FE55B1" w:rsidP="00872C9F">
      <w:pPr>
        <w:keepNext/>
        <w:spacing w:line="360" w:lineRule="auto"/>
        <w:jc w:val="both"/>
        <w:rPr>
          <w:b/>
          <w:bCs/>
          <w:smallCaps/>
        </w:rPr>
      </w:pPr>
    </w:p>
    <w:p w14:paraId="73518C14" w14:textId="77777777" w:rsidR="00FE55B1" w:rsidRDefault="00FE55B1" w:rsidP="00872C9F">
      <w:pPr>
        <w:suppressAutoHyphens/>
        <w:spacing w:line="360" w:lineRule="auto"/>
        <w:jc w:val="both"/>
      </w:pPr>
      <w:r w:rsidRPr="003E5760">
        <w:t xml:space="preserve">Navrhovaná právní úprava </w:t>
      </w:r>
      <w:r>
        <w:t xml:space="preserve">nařízení vlády </w:t>
      </w:r>
      <w:r w:rsidRPr="003E5760">
        <w:t>neobsahuje ustanovení, které by bylo diskriminační.</w:t>
      </w:r>
      <w:r>
        <w:t xml:space="preserve"> </w:t>
      </w:r>
      <w:r w:rsidRPr="00DE1B62">
        <w:t xml:space="preserve">Lze proto konstatovat, že navrhované </w:t>
      </w:r>
      <w:r>
        <w:t>zvýšení maximální částky příspěvku</w:t>
      </w:r>
      <w:r w:rsidRPr="00DE1B62">
        <w:t xml:space="preserve"> nemá žádné dopady ve vztahu k zákazu diskriminace. </w:t>
      </w:r>
    </w:p>
    <w:p w14:paraId="1A77CA63" w14:textId="77777777" w:rsidR="00FE55B1" w:rsidRDefault="00FE55B1" w:rsidP="00872C9F">
      <w:pPr>
        <w:suppressAutoHyphens/>
        <w:spacing w:line="360" w:lineRule="auto"/>
        <w:jc w:val="both"/>
      </w:pPr>
    </w:p>
    <w:p w14:paraId="009BF9D5" w14:textId="1694E323" w:rsidR="00FE55B1" w:rsidRDefault="00FE55B1" w:rsidP="00872C9F">
      <w:pPr>
        <w:suppressAutoHyphens/>
        <w:spacing w:line="360" w:lineRule="auto"/>
        <w:jc w:val="both"/>
      </w:pPr>
      <w:r w:rsidRPr="00DE1B62">
        <w:t xml:space="preserve">Z hlediska rovnosti </w:t>
      </w:r>
      <w:r w:rsidR="00417C25">
        <w:t>mužů</w:t>
      </w:r>
      <w:r w:rsidRPr="00DE1B62">
        <w:t xml:space="preserve"> a </w:t>
      </w:r>
      <w:r w:rsidR="00417C25">
        <w:t>žen</w:t>
      </w:r>
      <w:r w:rsidRPr="00DE1B62">
        <w:t xml:space="preserve"> je návrh neutrální, neboť navrhovaná právní úprava je pro obě pohlaví stejná.</w:t>
      </w:r>
    </w:p>
    <w:p w14:paraId="7ACC06E4" w14:textId="77777777" w:rsidR="00FE55B1" w:rsidRDefault="00FE55B1" w:rsidP="00872C9F">
      <w:pPr>
        <w:suppressAutoHyphens/>
        <w:spacing w:line="360" w:lineRule="auto"/>
        <w:jc w:val="both"/>
        <w:rPr>
          <w:b/>
          <w:bCs/>
          <w:smallCaps/>
        </w:rPr>
      </w:pPr>
    </w:p>
    <w:p w14:paraId="0031409C" w14:textId="77777777" w:rsidR="00FE55B1" w:rsidRDefault="00FE55B1" w:rsidP="00872C9F">
      <w:pPr>
        <w:keepNext/>
        <w:spacing w:line="360" w:lineRule="auto"/>
        <w:jc w:val="both"/>
        <w:rPr>
          <w:b/>
          <w:bCs/>
          <w:smallCaps/>
        </w:rPr>
      </w:pPr>
      <w:r w:rsidRPr="00DE1B62">
        <w:rPr>
          <w:b/>
          <w:bCs/>
          <w:smallCaps/>
        </w:rPr>
        <w:t xml:space="preserve">g) Zhodnocení dopadů navrhovaného řešení ve vztahu k ochraně soukromí </w:t>
      </w:r>
      <w:r w:rsidRPr="00DE1B62">
        <w:rPr>
          <w:b/>
          <w:bCs/>
          <w:smallCaps/>
        </w:rPr>
        <w:br/>
        <w:t>a osobních údajů</w:t>
      </w:r>
    </w:p>
    <w:p w14:paraId="7C884F59" w14:textId="77777777" w:rsidR="00FE55B1" w:rsidRPr="00DE1B62" w:rsidRDefault="00FE55B1" w:rsidP="00872C9F">
      <w:pPr>
        <w:keepNext/>
        <w:spacing w:line="360" w:lineRule="auto"/>
        <w:jc w:val="both"/>
        <w:rPr>
          <w:b/>
          <w:bCs/>
          <w:smallCaps/>
        </w:rPr>
      </w:pPr>
    </w:p>
    <w:p w14:paraId="14590FC2" w14:textId="77777777" w:rsidR="00FE55B1" w:rsidRDefault="00FE55B1" w:rsidP="00872C9F">
      <w:pPr>
        <w:spacing w:line="360" w:lineRule="auto"/>
        <w:jc w:val="both"/>
        <w:rPr>
          <w:bCs/>
        </w:rPr>
      </w:pPr>
      <w:r w:rsidRPr="00DE1B62">
        <w:rPr>
          <w:bCs/>
        </w:rPr>
        <w:t xml:space="preserve">Předkládaná právní úprava respektuje právní rámec ochrany a zpracování osobních údajů </w:t>
      </w:r>
      <w:r>
        <w:rPr>
          <w:bCs/>
        </w:rPr>
        <w:br/>
      </w:r>
      <w:r w:rsidRPr="00DE1B62">
        <w:rPr>
          <w:bCs/>
        </w:rPr>
        <w:t>a jeho jednotlivé parametry.</w:t>
      </w:r>
    </w:p>
    <w:p w14:paraId="37BE4218" w14:textId="77777777" w:rsidR="00ED789D" w:rsidRDefault="00ED789D" w:rsidP="00872C9F">
      <w:pPr>
        <w:spacing w:line="360" w:lineRule="auto"/>
        <w:jc w:val="both"/>
        <w:rPr>
          <w:bCs/>
        </w:rPr>
      </w:pPr>
    </w:p>
    <w:p w14:paraId="18FA6A8A" w14:textId="77777777" w:rsidR="00FE55B1" w:rsidRDefault="00FE55B1" w:rsidP="00872C9F">
      <w:pPr>
        <w:suppressAutoHyphens/>
        <w:spacing w:line="360" w:lineRule="auto"/>
        <w:jc w:val="both"/>
        <w:rPr>
          <w:bCs/>
        </w:rPr>
      </w:pPr>
      <w:r w:rsidRPr="003E5760">
        <w:rPr>
          <w:rFonts w:eastAsia="Calibri"/>
        </w:rPr>
        <w:t>Navrhovaná právní úprava nemění existující zpracování osobních údajů a ani nezakládá žádné nové způsoby jejich zpracování. Z hlediska ochrany soukromí a osobních údajů nebyly</w:t>
      </w:r>
      <w:r>
        <w:rPr>
          <w:rFonts w:eastAsia="Calibri"/>
        </w:rPr>
        <w:t xml:space="preserve"> </w:t>
      </w:r>
      <w:r w:rsidRPr="003E5760">
        <w:rPr>
          <w:rFonts w:eastAsia="Calibri"/>
        </w:rPr>
        <w:t>identifikovány žádné negativní dopady</w:t>
      </w:r>
      <w:r>
        <w:rPr>
          <w:rFonts w:eastAsia="Calibri"/>
        </w:rPr>
        <w:t>, protože n</w:t>
      </w:r>
      <w:r w:rsidRPr="00DE1B62">
        <w:rPr>
          <w:bCs/>
        </w:rPr>
        <w:t xml:space="preserve">avrhovaná právní </w:t>
      </w:r>
      <w:r w:rsidR="005C2DE0" w:rsidRPr="00B060FE">
        <w:rPr>
          <w:bCs/>
        </w:rPr>
        <w:t>úprava</w:t>
      </w:r>
      <w:r w:rsidR="005C2DE0">
        <w:rPr>
          <w:bCs/>
          <w:color w:val="FF0000"/>
        </w:rPr>
        <w:t xml:space="preserve"> </w:t>
      </w:r>
      <w:r w:rsidRPr="00DE1B62">
        <w:rPr>
          <w:bCs/>
        </w:rPr>
        <w:t>nezakládá žádné nové požadavky na předkládání a zpracování osobních údajů.</w:t>
      </w:r>
    </w:p>
    <w:p w14:paraId="59D5DF1D" w14:textId="77777777" w:rsidR="00FE55B1" w:rsidRPr="00DE1B62" w:rsidRDefault="00FE55B1" w:rsidP="00872C9F">
      <w:pPr>
        <w:spacing w:line="360" w:lineRule="auto"/>
        <w:jc w:val="both"/>
        <w:rPr>
          <w:b/>
          <w:bCs/>
          <w:smallCaps/>
        </w:rPr>
      </w:pPr>
    </w:p>
    <w:p w14:paraId="7CDD311A" w14:textId="77777777" w:rsidR="00FE55B1" w:rsidRDefault="00FE55B1" w:rsidP="00872C9F">
      <w:pPr>
        <w:keepNext/>
        <w:spacing w:line="360" w:lineRule="auto"/>
        <w:jc w:val="both"/>
        <w:rPr>
          <w:b/>
          <w:bCs/>
          <w:smallCaps/>
        </w:rPr>
      </w:pPr>
      <w:r w:rsidRPr="00DE1B62">
        <w:rPr>
          <w:b/>
          <w:bCs/>
          <w:smallCaps/>
        </w:rPr>
        <w:t>H) Zhodnocení korupčních rizik</w:t>
      </w:r>
    </w:p>
    <w:p w14:paraId="4CB19CEB" w14:textId="77777777" w:rsidR="00FE55B1" w:rsidRPr="00DE1B62" w:rsidRDefault="00FE55B1" w:rsidP="00872C9F">
      <w:pPr>
        <w:keepNext/>
        <w:spacing w:line="360" w:lineRule="auto"/>
        <w:jc w:val="both"/>
        <w:rPr>
          <w:b/>
          <w:bCs/>
          <w:smallCaps/>
        </w:rPr>
      </w:pPr>
    </w:p>
    <w:p w14:paraId="54DDC18E" w14:textId="77777777" w:rsidR="00FE55B1" w:rsidRDefault="00FE55B1" w:rsidP="00872C9F">
      <w:pPr>
        <w:spacing w:line="360" w:lineRule="auto"/>
        <w:jc w:val="both"/>
        <w:rPr>
          <w:b/>
          <w:bCs/>
        </w:rPr>
      </w:pPr>
      <w:r w:rsidRPr="00DE1B62">
        <w:rPr>
          <w:b/>
          <w:bCs/>
        </w:rPr>
        <w:t>Identifikace korupčních rizik</w:t>
      </w:r>
    </w:p>
    <w:p w14:paraId="61DCF7EE" w14:textId="5C5501B8" w:rsidR="00FE55B1" w:rsidRDefault="00FE55B1" w:rsidP="00872C9F">
      <w:pPr>
        <w:tabs>
          <w:tab w:val="left" w:pos="851"/>
        </w:tabs>
        <w:suppressAutoHyphens/>
        <w:spacing w:line="360" w:lineRule="auto"/>
        <w:jc w:val="both"/>
      </w:pPr>
      <w:r w:rsidRPr="003E5760">
        <w:t>O poskytování příspěvku jednotlivým zaměstnavatelům</w:t>
      </w:r>
      <w:r>
        <w:t xml:space="preserve"> na chráněném trhu práce</w:t>
      </w:r>
      <w:r w:rsidRPr="003E5760">
        <w:t xml:space="preserve"> rozhodují příslušná pracoviště Úřadu práce České republiky ve správním řízení. </w:t>
      </w:r>
      <w:r>
        <w:t xml:space="preserve">Podmínky pro přiznání </w:t>
      </w:r>
      <w:r w:rsidR="00B060FE">
        <w:br/>
      </w:r>
      <w:r>
        <w:t xml:space="preserve">a poskytování příspěvku na podporu zaměstnávání osob se zdravotním postižením na chráněném trhu práce jsou stanoveny právním předpisem – zákonem </w:t>
      </w:r>
      <w:r w:rsidR="00B060FE">
        <w:t xml:space="preserve">č. 435/2004 Sb., </w:t>
      </w:r>
      <w:r w:rsidR="00B060FE">
        <w:br/>
      </w:r>
      <w:r>
        <w:lastRenderedPageBreak/>
        <w:t xml:space="preserve">o zaměstnanosti, </w:t>
      </w:r>
      <w:r w:rsidR="00B060FE">
        <w:t xml:space="preserve">ve znění pozdějších předpisů, </w:t>
      </w:r>
      <w:r>
        <w:t>a to jednotně pro všechny zaměstnavatele působící na chráněném trhu práce.</w:t>
      </w:r>
    </w:p>
    <w:p w14:paraId="7520496A" w14:textId="77777777" w:rsidR="00FE55B1" w:rsidRPr="003E5760" w:rsidRDefault="00FE55B1" w:rsidP="00872C9F">
      <w:pPr>
        <w:tabs>
          <w:tab w:val="left" w:pos="851"/>
        </w:tabs>
        <w:suppressAutoHyphens/>
        <w:spacing w:line="360" w:lineRule="auto"/>
        <w:jc w:val="both"/>
      </w:pPr>
    </w:p>
    <w:p w14:paraId="72AD4D2F" w14:textId="77777777" w:rsidR="00FE55B1" w:rsidRDefault="00FE55B1" w:rsidP="00872C9F">
      <w:pPr>
        <w:pStyle w:val="Odstavecseseznamem"/>
        <w:spacing w:line="360" w:lineRule="auto"/>
        <w:ind w:left="0"/>
        <w:contextualSpacing w:val="0"/>
        <w:jc w:val="both"/>
        <w:rPr>
          <w:bCs/>
        </w:rPr>
      </w:pPr>
      <w:r w:rsidRPr="00DE1B62">
        <w:rPr>
          <w:bCs/>
        </w:rPr>
        <w:t>Na základě </w:t>
      </w:r>
      <w:r>
        <w:rPr>
          <w:bCs/>
        </w:rPr>
        <w:t>uvedeného</w:t>
      </w:r>
      <w:r w:rsidRPr="00DE1B62">
        <w:rPr>
          <w:bCs/>
        </w:rPr>
        <w:t xml:space="preserve"> tak lze konstatovat, že </w:t>
      </w:r>
      <w:r>
        <w:rPr>
          <w:bCs/>
        </w:rPr>
        <w:t>v rámci</w:t>
      </w:r>
      <w:r w:rsidRPr="00DE1B62">
        <w:rPr>
          <w:bCs/>
        </w:rPr>
        <w:t xml:space="preserve"> systému výkonu veřejné správy založeného na přesně definovaných podmínkách </w:t>
      </w:r>
      <w:r>
        <w:rPr>
          <w:bCs/>
        </w:rPr>
        <w:t>poskytování tohoto příspěvku</w:t>
      </w:r>
      <w:r w:rsidRPr="00DE1B62">
        <w:rPr>
          <w:bCs/>
        </w:rPr>
        <w:t xml:space="preserve"> a </w:t>
      </w:r>
      <w:r>
        <w:rPr>
          <w:bCs/>
        </w:rPr>
        <w:t xml:space="preserve">jeho </w:t>
      </w:r>
      <w:r w:rsidRPr="00DE1B62">
        <w:rPr>
          <w:bCs/>
        </w:rPr>
        <w:t xml:space="preserve">kontroly vzniká </w:t>
      </w:r>
      <w:r>
        <w:rPr>
          <w:bCs/>
        </w:rPr>
        <w:t>minimální</w:t>
      </w:r>
      <w:r w:rsidRPr="00DE1B62">
        <w:rPr>
          <w:bCs/>
        </w:rPr>
        <w:t xml:space="preserve"> prostor pro korupční jednání. Veškeré postupy správních orgánů jsou dostatečně upraveny přímo zákonem o zaměstnanosti</w:t>
      </w:r>
      <w:r>
        <w:rPr>
          <w:bCs/>
        </w:rPr>
        <w:t xml:space="preserve">, resp. správním řádem. </w:t>
      </w:r>
      <w:r w:rsidRPr="00DE1B62">
        <w:rPr>
          <w:bCs/>
        </w:rPr>
        <w:t xml:space="preserve">Při </w:t>
      </w:r>
      <w:r>
        <w:rPr>
          <w:bCs/>
        </w:rPr>
        <w:t xml:space="preserve">poskytování příspěvku na podporu zaměstnávání osob se zdravotním postižením na chráněném trhu práce je příslušnou krajskou pobočkou Úřadu práce České republiky </w:t>
      </w:r>
      <w:r w:rsidRPr="00DE1B62">
        <w:rPr>
          <w:bCs/>
        </w:rPr>
        <w:t>vykonávána kontrolní činnost, která spočívá ve výkonu veřejnosprávní kontroly předběžné, průběžné a následné</w:t>
      </w:r>
      <w:r>
        <w:rPr>
          <w:bCs/>
        </w:rPr>
        <w:t>. Proto ž</w:t>
      </w:r>
      <w:r w:rsidRPr="003E5760">
        <w:t xml:space="preserve">ádné zvýšení korupčních rizik nebylo v souvislosti se zvýšením </w:t>
      </w:r>
      <w:r>
        <w:t xml:space="preserve">maximální částky </w:t>
      </w:r>
      <w:r w:rsidRPr="003E5760">
        <w:t>příspěvku identifikováno.</w:t>
      </w:r>
    </w:p>
    <w:p w14:paraId="7D76F0A4" w14:textId="77777777" w:rsidR="00FE55B1" w:rsidRPr="00DE1B62" w:rsidRDefault="00FE55B1" w:rsidP="00872C9F">
      <w:pPr>
        <w:pStyle w:val="Odstavecseseznamem"/>
        <w:spacing w:line="360" w:lineRule="auto"/>
        <w:ind w:left="0"/>
        <w:contextualSpacing w:val="0"/>
        <w:jc w:val="both"/>
        <w:rPr>
          <w:bCs/>
        </w:rPr>
      </w:pPr>
    </w:p>
    <w:p w14:paraId="56FACB6C" w14:textId="77777777" w:rsidR="00FE55B1" w:rsidRDefault="00FE55B1" w:rsidP="00872C9F">
      <w:pPr>
        <w:keepNext/>
        <w:spacing w:line="360" w:lineRule="auto"/>
        <w:jc w:val="both"/>
        <w:rPr>
          <w:b/>
          <w:bCs/>
          <w:smallCaps/>
        </w:rPr>
      </w:pPr>
      <w:r w:rsidRPr="00DE1B62">
        <w:rPr>
          <w:b/>
          <w:bCs/>
          <w:smallCaps/>
        </w:rPr>
        <w:t>I) Zhodnocení dopadů na bezpečnost nebo obranu státu</w:t>
      </w:r>
    </w:p>
    <w:p w14:paraId="6E5AD436" w14:textId="77777777" w:rsidR="00FE55B1" w:rsidRPr="00DE1B62" w:rsidRDefault="00FE55B1" w:rsidP="00872C9F">
      <w:pPr>
        <w:keepNext/>
        <w:spacing w:line="360" w:lineRule="auto"/>
        <w:jc w:val="both"/>
        <w:rPr>
          <w:b/>
          <w:bCs/>
          <w:smallCaps/>
        </w:rPr>
      </w:pPr>
    </w:p>
    <w:p w14:paraId="2D8BFDA0" w14:textId="1E63ED30" w:rsidR="00FE55B1" w:rsidRDefault="00FE55B1" w:rsidP="00872C9F">
      <w:pPr>
        <w:pStyle w:val="Odstavecseseznamem"/>
        <w:spacing w:line="360" w:lineRule="auto"/>
        <w:ind w:left="0"/>
        <w:jc w:val="both"/>
        <w:rPr>
          <w:bCs/>
        </w:rPr>
      </w:pPr>
      <w:r w:rsidRPr="00DE1B62">
        <w:rPr>
          <w:bCs/>
        </w:rPr>
        <w:t>Navrhovaná právní úprava nemá dopad na bezpečnost nebo obranu státu.</w:t>
      </w:r>
    </w:p>
    <w:p w14:paraId="37DEF84A" w14:textId="4BAE9B13" w:rsidR="00CD0CCF" w:rsidRPr="00417C25" w:rsidRDefault="00CD0CCF" w:rsidP="00872C9F">
      <w:pPr>
        <w:pStyle w:val="Bezmezer"/>
        <w:spacing w:line="360" w:lineRule="auto"/>
        <w:jc w:val="center"/>
        <w:rPr>
          <w:rFonts w:ascii="Times New Roman" w:hAnsi="Times New Roman"/>
          <w:bCs/>
          <w:sz w:val="24"/>
          <w:szCs w:val="24"/>
        </w:rPr>
      </w:pPr>
    </w:p>
    <w:p w14:paraId="047FF5FB" w14:textId="77777777" w:rsidR="00417C25" w:rsidRPr="00417C25" w:rsidRDefault="00417C25" w:rsidP="00872C9F">
      <w:pPr>
        <w:pStyle w:val="Bezmezer"/>
        <w:spacing w:line="360" w:lineRule="auto"/>
        <w:jc w:val="center"/>
        <w:rPr>
          <w:rFonts w:ascii="Times New Roman" w:hAnsi="Times New Roman"/>
          <w:bCs/>
          <w:sz w:val="24"/>
          <w:szCs w:val="24"/>
        </w:rPr>
      </w:pPr>
    </w:p>
    <w:p w14:paraId="7FE7FC0E" w14:textId="71192354" w:rsidR="00CD0CCF" w:rsidRDefault="00CD0CCF" w:rsidP="00872C9F">
      <w:pPr>
        <w:pStyle w:val="Bezmezer"/>
        <w:spacing w:line="360" w:lineRule="auto"/>
        <w:jc w:val="center"/>
        <w:rPr>
          <w:rFonts w:ascii="Times New Roman" w:hAnsi="Times New Roman"/>
          <w:bCs/>
          <w:sz w:val="24"/>
          <w:szCs w:val="24"/>
        </w:rPr>
      </w:pPr>
    </w:p>
    <w:p w14:paraId="6C6D4B78" w14:textId="37F52179" w:rsidR="002B1A7B" w:rsidRDefault="002B1A7B" w:rsidP="00872C9F">
      <w:pPr>
        <w:pStyle w:val="Bezmezer"/>
        <w:spacing w:line="360" w:lineRule="auto"/>
        <w:jc w:val="center"/>
        <w:rPr>
          <w:rFonts w:ascii="Times New Roman" w:hAnsi="Times New Roman"/>
          <w:bCs/>
          <w:sz w:val="24"/>
          <w:szCs w:val="24"/>
        </w:rPr>
      </w:pPr>
    </w:p>
    <w:p w14:paraId="5211E191" w14:textId="130763E0" w:rsidR="002B1A7B" w:rsidRDefault="002B1A7B" w:rsidP="00872C9F">
      <w:pPr>
        <w:pStyle w:val="Bezmezer"/>
        <w:spacing w:line="360" w:lineRule="auto"/>
        <w:jc w:val="center"/>
        <w:rPr>
          <w:rFonts w:ascii="Times New Roman" w:hAnsi="Times New Roman"/>
          <w:bCs/>
          <w:sz w:val="24"/>
          <w:szCs w:val="24"/>
        </w:rPr>
      </w:pPr>
    </w:p>
    <w:p w14:paraId="1D8F46F1" w14:textId="1CA158BB" w:rsidR="002B1A7B" w:rsidRDefault="002B1A7B" w:rsidP="00872C9F">
      <w:pPr>
        <w:pStyle w:val="Bezmezer"/>
        <w:spacing w:line="360" w:lineRule="auto"/>
        <w:jc w:val="center"/>
        <w:rPr>
          <w:rFonts w:ascii="Times New Roman" w:hAnsi="Times New Roman"/>
          <w:bCs/>
          <w:sz w:val="24"/>
          <w:szCs w:val="24"/>
        </w:rPr>
      </w:pPr>
    </w:p>
    <w:p w14:paraId="74D5B4DA" w14:textId="458814DE" w:rsidR="002B1A7B" w:rsidRDefault="002B1A7B" w:rsidP="00872C9F">
      <w:pPr>
        <w:pStyle w:val="Bezmezer"/>
        <w:spacing w:line="360" w:lineRule="auto"/>
        <w:jc w:val="center"/>
        <w:rPr>
          <w:rFonts w:ascii="Times New Roman" w:hAnsi="Times New Roman"/>
          <w:bCs/>
          <w:sz w:val="24"/>
          <w:szCs w:val="24"/>
        </w:rPr>
      </w:pPr>
    </w:p>
    <w:p w14:paraId="1095644A" w14:textId="4E3523FA" w:rsidR="002B1A7B" w:rsidRDefault="002B1A7B" w:rsidP="00872C9F">
      <w:pPr>
        <w:pStyle w:val="Bezmezer"/>
        <w:spacing w:line="360" w:lineRule="auto"/>
        <w:jc w:val="center"/>
        <w:rPr>
          <w:rFonts w:ascii="Times New Roman" w:hAnsi="Times New Roman"/>
          <w:bCs/>
          <w:sz w:val="24"/>
          <w:szCs w:val="24"/>
        </w:rPr>
      </w:pPr>
    </w:p>
    <w:p w14:paraId="67B21764" w14:textId="363854E9" w:rsidR="002B1A7B" w:rsidRDefault="002B1A7B" w:rsidP="00872C9F">
      <w:pPr>
        <w:pStyle w:val="Bezmezer"/>
        <w:spacing w:line="360" w:lineRule="auto"/>
        <w:jc w:val="center"/>
        <w:rPr>
          <w:rFonts w:ascii="Times New Roman" w:hAnsi="Times New Roman"/>
          <w:bCs/>
          <w:sz w:val="24"/>
          <w:szCs w:val="24"/>
        </w:rPr>
      </w:pPr>
    </w:p>
    <w:p w14:paraId="2A1E329B" w14:textId="6388347B" w:rsidR="002B1A7B" w:rsidRDefault="002B1A7B" w:rsidP="00872C9F">
      <w:pPr>
        <w:pStyle w:val="Bezmezer"/>
        <w:spacing w:line="360" w:lineRule="auto"/>
        <w:jc w:val="center"/>
        <w:rPr>
          <w:rFonts w:ascii="Times New Roman" w:hAnsi="Times New Roman"/>
          <w:bCs/>
          <w:sz w:val="24"/>
          <w:szCs w:val="24"/>
        </w:rPr>
      </w:pPr>
    </w:p>
    <w:p w14:paraId="7B523A28" w14:textId="1C8E0AD1" w:rsidR="002B1A7B" w:rsidRDefault="002B1A7B" w:rsidP="00872C9F">
      <w:pPr>
        <w:pStyle w:val="Bezmezer"/>
        <w:spacing w:line="360" w:lineRule="auto"/>
        <w:jc w:val="center"/>
        <w:rPr>
          <w:rFonts w:ascii="Times New Roman" w:hAnsi="Times New Roman"/>
          <w:bCs/>
          <w:sz w:val="24"/>
          <w:szCs w:val="24"/>
        </w:rPr>
      </w:pPr>
    </w:p>
    <w:p w14:paraId="1041B830" w14:textId="4443CF1F" w:rsidR="002B1A7B" w:rsidRDefault="002B1A7B" w:rsidP="00872C9F">
      <w:pPr>
        <w:pStyle w:val="Bezmezer"/>
        <w:spacing w:line="360" w:lineRule="auto"/>
        <w:jc w:val="center"/>
        <w:rPr>
          <w:rFonts w:ascii="Times New Roman" w:hAnsi="Times New Roman"/>
          <w:bCs/>
          <w:sz w:val="24"/>
          <w:szCs w:val="24"/>
        </w:rPr>
      </w:pPr>
    </w:p>
    <w:p w14:paraId="786DAF40" w14:textId="22E92609" w:rsidR="002B1A7B" w:rsidRDefault="002B1A7B" w:rsidP="00872C9F">
      <w:pPr>
        <w:pStyle w:val="Bezmezer"/>
        <w:spacing w:line="360" w:lineRule="auto"/>
        <w:jc w:val="center"/>
        <w:rPr>
          <w:rFonts w:ascii="Times New Roman" w:hAnsi="Times New Roman"/>
          <w:bCs/>
          <w:sz w:val="24"/>
          <w:szCs w:val="24"/>
        </w:rPr>
      </w:pPr>
    </w:p>
    <w:p w14:paraId="6564DD71" w14:textId="69901E67" w:rsidR="002B1A7B" w:rsidRDefault="002B1A7B" w:rsidP="00872C9F">
      <w:pPr>
        <w:pStyle w:val="Bezmezer"/>
        <w:spacing w:line="360" w:lineRule="auto"/>
        <w:jc w:val="center"/>
        <w:rPr>
          <w:rFonts w:ascii="Times New Roman" w:hAnsi="Times New Roman"/>
          <w:bCs/>
          <w:sz w:val="24"/>
          <w:szCs w:val="24"/>
        </w:rPr>
      </w:pPr>
    </w:p>
    <w:p w14:paraId="58EB33E7" w14:textId="523300A1" w:rsidR="002B1A7B" w:rsidRDefault="002B1A7B" w:rsidP="00872C9F">
      <w:pPr>
        <w:pStyle w:val="Bezmezer"/>
        <w:spacing w:line="360" w:lineRule="auto"/>
        <w:jc w:val="center"/>
        <w:rPr>
          <w:rFonts w:ascii="Times New Roman" w:hAnsi="Times New Roman"/>
          <w:bCs/>
          <w:sz w:val="24"/>
          <w:szCs w:val="24"/>
        </w:rPr>
      </w:pPr>
    </w:p>
    <w:p w14:paraId="09AC06EB" w14:textId="27922476" w:rsidR="002B1A7B" w:rsidRDefault="002B1A7B" w:rsidP="00872C9F">
      <w:pPr>
        <w:pStyle w:val="Bezmezer"/>
        <w:spacing w:line="360" w:lineRule="auto"/>
        <w:jc w:val="center"/>
        <w:rPr>
          <w:rFonts w:ascii="Times New Roman" w:hAnsi="Times New Roman"/>
          <w:bCs/>
          <w:sz w:val="24"/>
          <w:szCs w:val="24"/>
        </w:rPr>
      </w:pPr>
    </w:p>
    <w:p w14:paraId="2C8D9A76" w14:textId="4F6B614E" w:rsidR="002B1A7B" w:rsidRDefault="002B1A7B" w:rsidP="00872C9F">
      <w:pPr>
        <w:pStyle w:val="Bezmezer"/>
        <w:spacing w:line="360" w:lineRule="auto"/>
        <w:jc w:val="center"/>
        <w:rPr>
          <w:rFonts w:ascii="Times New Roman" w:hAnsi="Times New Roman"/>
          <w:bCs/>
          <w:sz w:val="24"/>
          <w:szCs w:val="24"/>
        </w:rPr>
      </w:pPr>
    </w:p>
    <w:p w14:paraId="7A5D1C51" w14:textId="77777777" w:rsidR="002B1A7B" w:rsidRPr="00417C25" w:rsidRDefault="002B1A7B" w:rsidP="00872C9F">
      <w:pPr>
        <w:pStyle w:val="Bezmezer"/>
        <w:spacing w:line="360" w:lineRule="auto"/>
        <w:jc w:val="center"/>
        <w:rPr>
          <w:rFonts w:ascii="Times New Roman" w:hAnsi="Times New Roman"/>
          <w:bCs/>
          <w:sz w:val="24"/>
          <w:szCs w:val="24"/>
        </w:rPr>
      </w:pPr>
    </w:p>
    <w:p w14:paraId="01BDA8BD" w14:textId="77777777" w:rsidR="00FE55B1" w:rsidRPr="00417C25" w:rsidRDefault="00FE55B1" w:rsidP="00872C9F">
      <w:pPr>
        <w:pStyle w:val="Bezmezer"/>
        <w:spacing w:line="360" w:lineRule="auto"/>
        <w:jc w:val="center"/>
        <w:rPr>
          <w:rFonts w:ascii="Times New Roman" w:hAnsi="Times New Roman"/>
          <w:bCs/>
          <w:sz w:val="24"/>
          <w:szCs w:val="24"/>
        </w:rPr>
      </w:pPr>
      <w:r w:rsidRPr="00417C25">
        <w:rPr>
          <w:rFonts w:ascii="Times New Roman" w:hAnsi="Times New Roman"/>
          <w:b/>
          <w:sz w:val="24"/>
          <w:szCs w:val="24"/>
        </w:rPr>
        <w:lastRenderedPageBreak/>
        <w:t>Zvláštní část</w:t>
      </w:r>
    </w:p>
    <w:p w14:paraId="4BA2DCD2" w14:textId="77777777" w:rsidR="001C6B9B" w:rsidRPr="00417C25" w:rsidRDefault="001C6B9B" w:rsidP="00872C9F">
      <w:pPr>
        <w:spacing w:line="360" w:lineRule="auto"/>
        <w:jc w:val="both"/>
        <w:rPr>
          <w:rFonts w:eastAsia="Calibri"/>
          <w:lang w:eastAsia="en-US"/>
        </w:rPr>
      </w:pPr>
    </w:p>
    <w:p w14:paraId="41FE3044" w14:textId="412CA0B4" w:rsidR="003602A2" w:rsidRDefault="003602A2" w:rsidP="00872C9F">
      <w:pPr>
        <w:spacing w:line="360" w:lineRule="auto"/>
        <w:jc w:val="both"/>
        <w:rPr>
          <w:rFonts w:eastAsia="Calibri"/>
          <w:b/>
          <w:u w:val="single"/>
          <w:lang w:eastAsia="en-US"/>
        </w:rPr>
      </w:pPr>
      <w:r w:rsidRPr="00417C25">
        <w:rPr>
          <w:rFonts w:eastAsia="Calibri"/>
          <w:b/>
          <w:u w:val="single"/>
          <w:lang w:eastAsia="en-US"/>
        </w:rPr>
        <w:t xml:space="preserve">K </w:t>
      </w:r>
      <w:r w:rsidR="00FE55B1" w:rsidRPr="00417C25">
        <w:rPr>
          <w:rFonts w:eastAsia="Calibri"/>
          <w:b/>
          <w:u w:val="single"/>
          <w:lang w:eastAsia="en-US"/>
        </w:rPr>
        <w:t xml:space="preserve">§ </w:t>
      </w:r>
      <w:r w:rsidR="00EB5DC0" w:rsidRPr="00417C25">
        <w:rPr>
          <w:rFonts w:eastAsia="Calibri"/>
          <w:b/>
          <w:u w:val="single"/>
          <w:lang w:eastAsia="en-US"/>
        </w:rPr>
        <w:t xml:space="preserve">1 a </w:t>
      </w:r>
      <w:r w:rsidR="00FE55B1" w:rsidRPr="00417C25">
        <w:rPr>
          <w:rFonts w:eastAsia="Calibri"/>
          <w:b/>
          <w:u w:val="single"/>
          <w:lang w:eastAsia="en-US"/>
        </w:rPr>
        <w:t>2</w:t>
      </w:r>
    </w:p>
    <w:p w14:paraId="62DB5430" w14:textId="1339AF59" w:rsidR="006778A6" w:rsidRPr="00417C25" w:rsidRDefault="006778A6" w:rsidP="00872C9F">
      <w:pPr>
        <w:spacing w:line="360" w:lineRule="auto"/>
        <w:jc w:val="both"/>
      </w:pPr>
      <w:r w:rsidRPr="00417C25">
        <w:t xml:space="preserve">S účinností od 1. října 2020 došlo na základě nařízení vlády č. 388/2020 Sb., o maximální částce příspěvku na podporu zaměstnávání osob se zdravotním postižením na chráněném trhu práce, ke zvýšení maximální částky příspěvku na podporu zaměstnávání osob se zdravotním postižením na chráněném trhu práce o 800 Kč na částku 13 600 Kč. Tímto zvýšením bylo reagováno na výrazné změny hospodářské situace, které přímo souvisely se šířením nákazy COVID-19 v České republice a měly negativní dopad na trh práce, a to včetně chráněného trhu práce. </w:t>
      </w:r>
    </w:p>
    <w:p w14:paraId="5848F4C3" w14:textId="77777777" w:rsidR="00BA1320" w:rsidRDefault="00BA1320" w:rsidP="00872C9F">
      <w:pPr>
        <w:spacing w:line="360" w:lineRule="auto"/>
        <w:jc w:val="both"/>
        <w:rPr>
          <w:bCs/>
        </w:rPr>
      </w:pPr>
      <w:bookmarkStart w:id="10" w:name="_Hlk88514325"/>
    </w:p>
    <w:p w14:paraId="39164389" w14:textId="491900CA" w:rsidR="00872C9F" w:rsidRPr="00417C25" w:rsidRDefault="00417C25" w:rsidP="00872C9F">
      <w:pPr>
        <w:spacing w:line="360" w:lineRule="auto"/>
        <w:jc w:val="both"/>
        <w:rPr>
          <w:rFonts w:eastAsia="Calibri"/>
          <w:lang w:eastAsia="en-US"/>
        </w:rPr>
      </w:pPr>
      <w:r w:rsidRPr="002F0E76">
        <w:rPr>
          <w:bCs/>
        </w:rPr>
        <w:t>Vzhledem k aktuálnímu vývoji na trhu práce</w:t>
      </w:r>
      <w:r w:rsidR="00BA1320" w:rsidRPr="002F0E76">
        <w:rPr>
          <w:bCs/>
        </w:rPr>
        <w:t xml:space="preserve">, </w:t>
      </w:r>
      <w:r w:rsidRPr="002F0E76">
        <w:rPr>
          <w:bCs/>
        </w:rPr>
        <w:t>zvýšenému počtu uchazečů o zaměstnání – osob se zdravotním postižením</w:t>
      </w:r>
      <w:r w:rsidR="00BA1320" w:rsidRPr="002F0E76">
        <w:rPr>
          <w:bCs/>
        </w:rPr>
        <w:t xml:space="preserve">, vzhledem k růstu minimální mzdy a s tím souvisejícím růstem nákladového zatížení zaměstnavatelů </w:t>
      </w:r>
      <w:r w:rsidRPr="002F0E76">
        <w:rPr>
          <w:bCs/>
        </w:rPr>
        <w:t xml:space="preserve">je na místě ze strany státu poskytnout intervenci zaměstnavatelům na chráněném trhu práce spočívající ve zvýšení maximální </w:t>
      </w:r>
      <w:r w:rsidRPr="00417C25">
        <w:rPr>
          <w:bCs/>
        </w:rPr>
        <w:t>částky příspěvku na podporu zaměstnávání osob se zdravotním postižením. Tímto opatřením lze zabránit nežádoucímu snižování zaměstnanosti osob se zdravotním postižením, které mají ztíženou možnost uplatnění na trhu práce.</w:t>
      </w:r>
      <w:r w:rsidRPr="00417C25">
        <w:rPr>
          <w:rFonts w:eastAsia="Calibri"/>
          <w:lang w:eastAsia="en-US"/>
        </w:rPr>
        <w:t xml:space="preserve"> </w:t>
      </w:r>
      <w:r w:rsidR="00872C9F" w:rsidRPr="00417C25">
        <w:t xml:space="preserve">Současně je potřeba vzít v potaz přetrvávající dopady pandemie onemocnění COVID-19, které mohou mít významný nepříznivý dopad na vybraná odvětví. Zaměstnavatelé osob se zdravotním postižením jsou vzhledem k úbytku pracovního potenciálu svých zaměstnanců méně konkurenceschopní a patří tedy k nejvíce ohroženému segmentu hospodářství. </w:t>
      </w:r>
    </w:p>
    <w:bookmarkEnd w:id="10"/>
    <w:p w14:paraId="0B8CA0E1" w14:textId="77777777" w:rsidR="00872C9F" w:rsidRPr="00417C25" w:rsidRDefault="00872C9F" w:rsidP="00872C9F">
      <w:pPr>
        <w:spacing w:line="360" w:lineRule="auto"/>
        <w:jc w:val="both"/>
      </w:pPr>
    </w:p>
    <w:p w14:paraId="134EFEAE" w14:textId="2C039605" w:rsidR="002B1A7B" w:rsidRPr="00C22230" w:rsidRDefault="00EB5DC0" w:rsidP="006910F4">
      <w:pPr>
        <w:spacing w:line="360" w:lineRule="auto"/>
        <w:jc w:val="both"/>
        <w:rPr>
          <w:rFonts w:eastAsia="Calibri"/>
          <w:lang w:eastAsia="en-US"/>
        </w:rPr>
      </w:pPr>
      <w:r w:rsidRPr="00417C25">
        <w:rPr>
          <w:rFonts w:eastAsia="Calibri"/>
          <w:lang w:eastAsia="en-US"/>
        </w:rPr>
        <w:t xml:space="preserve">Na základě výše uvedeného se </w:t>
      </w:r>
      <w:r w:rsidR="00417C25">
        <w:rPr>
          <w:rFonts w:eastAsia="Calibri"/>
          <w:lang w:eastAsia="en-US"/>
        </w:rPr>
        <w:t xml:space="preserve">proto </w:t>
      </w:r>
      <w:r w:rsidRPr="00417C25">
        <w:rPr>
          <w:rFonts w:eastAsia="Calibri"/>
          <w:lang w:eastAsia="en-US"/>
        </w:rPr>
        <w:t xml:space="preserve">navrhuje, aby maximální částka příspěvku </w:t>
      </w:r>
      <w:r w:rsidR="00417C25">
        <w:rPr>
          <w:rFonts w:eastAsia="Calibri"/>
          <w:lang w:eastAsia="en-US"/>
        </w:rPr>
        <w:br/>
      </w:r>
      <w:r w:rsidRPr="00417C25">
        <w:rPr>
          <w:rFonts w:eastAsia="Calibri"/>
          <w:lang w:eastAsia="en-US"/>
        </w:rPr>
        <w:t xml:space="preserve">od </w:t>
      </w:r>
      <w:r w:rsidR="006778A6" w:rsidRPr="00417C25">
        <w:rPr>
          <w:rFonts w:eastAsia="Calibri"/>
          <w:lang w:eastAsia="en-US"/>
        </w:rPr>
        <w:t>1</w:t>
      </w:r>
      <w:r w:rsidRPr="00417C25">
        <w:rPr>
          <w:rFonts w:eastAsia="Calibri"/>
          <w:lang w:eastAsia="en-US"/>
        </w:rPr>
        <w:t>. kalendářního čtvrtletí roku 202</w:t>
      </w:r>
      <w:r w:rsidR="006778A6" w:rsidRPr="00417C25">
        <w:rPr>
          <w:rFonts w:eastAsia="Calibri"/>
          <w:lang w:eastAsia="en-US"/>
        </w:rPr>
        <w:t>2</w:t>
      </w:r>
      <w:r w:rsidRPr="00417C25">
        <w:rPr>
          <w:rFonts w:eastAsia="Calibri"/>
          <w:lang w:eastAsia="en-US"/>
        </w:rPr>
        <w:t xml:space="preserve"> činila 1</w:t>
      </w:r>
      <w:r w:rsidR="006778A6" w:rsidRPr="00417C25">
        <w:rPr>
          <w:rFonts w:eastAsia="Calibri"/>
          <w:lang w:eastAsia="en-US"/>
        </w:rPr>
        <w:t>4</w:t>
      </w:r>
      <w:r w:rsidRPr="00417C25">
        <w:rPr>
          <w:rFonts w:eastAsia="Calibri"/>
          <w:lang w:eastAsia="en-US"/>
        </w:rPr>
        <w:t xml:space="preserve"> </w:t>
      </w:r>
      <w:r w:rsidR="006778A6" w:rsidRPr="00417C25">
        <w:rPr>
          <w:rFonts w:eastAsia="Calibri"/>
          <w:lang w:eastAsia="en-US"/>
        </w:rPr>
        <w:t>2</w:t>
      </w:r>
      <w:r w:rsidRPr="00417C25">
        <w:rPr>
          <w:rFonts w:eastAsia="Calibri"/>
          <w:lang w:eastAsia="en-US"/>
        </w:rPr>
        <w:t xml:space="preserve">00 Kč (zvýšení o </w:t>
      </w:r>
      <w:r w:rsidR="006778A6" w:rsidRPr="00417C25">
        <w:rPr>
          <w:rFonts w:eastAsia="Calibri"/>
          <w:lang w:eastAsia="en-US"/>
        </w:rPr>
        <w:t>6</w:t>
      </w:r>
      <w:r w:rsidRPr="00417C25">
        <w:rPr>
          <w:rFonts w:eastAsia="Calibri"/>
          <w:lang w:eastAsia="en-US"/>
        </w:rPr>
        <w:t xml:space="preserve">00 Kč) – </w:t>
      </w:r>
      <w:r w:rsidRPr="00417C25">
        <w:rPr>
          <w:rFonts w:eastAsia="Calibri"/>
          <w:i/>
          <w:iCs/>
          <w:lang w:eastAsia="en-US"/>
        </w:rPr>
        <w:t xml:space="preserve">varianta </w:t>
      </w:r>
      <w:proofErr w:type="gramStart"/>
      <w:r w:rsidR="0069040E" w:rsidRPr="00417C25">
        <w:rPr>
          <w:rFonts w:eastAsia="Calibri"/>
          <w:i/>
          <w:iCs/>
          <w:lang w:eastAsia="en-US"/>
        </w:rPr>
        <w:t>I</w:t>
      </w:r>
      <w:proofErr w:type="gramEnd"/>
      <w:r w:rsidRPr="00417C25">
        <w:rPr>
          <w:rFonts w:eastAsia="Calibri"/>
          <w:lang w:eastAsia="en-US"/>
        </w:rPr>
        <w:t xml:space="preserve"> nebo </w:t>
      </w:r>
      <w:r w:rsidR="006778A6" w:rsidRPr="00417C25">
        <w:rPr>
          <w:rFonts w:eastAsia="Calibri"/>
          <w:lang w:eastAsia="en-US"/>
        </w:rPr>
        <w:t>14 600</w:t>
      </w:r>
      <w:r w:rsidRPr="00417C25">
        <w:rPr>
          <w:rFonts w:eastAsia="Calibri"/>
          <w:lang w:eastAsia="en-US"/>
        </w:rPr>
        <w:t xml:space="preserve"> Kč (zvýšení o 1 </w:t>
      </w:r>
      <w:r w:rsidR="006778A6" w:rsidRPr="00417C25">
        <w:rPr>
          <w:rFonts w:eastAsia="Calibri"/>
          <w:lang w:eastAsia="en-US"/>
        </w:rPr>
        <w:t>0</w:t>
      </w:r>
      <w:r w:rsidRPr="00417C25">
        <w:rPr>
          <w:rFonts w:eastAsia="Calibri"/>
          <w:lang w:eastAsia="en-US"/>
        </w:rPr>
        <w:t xml:space="preserve">00 Kč) </w:t>
      </w:r>
      <w:r w:rsidRPr="00417C25">
        <w:rPr>
          <w:rFonts w:eastAsia="Calibri"/>
          <w:i/>
          <w:iCs/>
          <w:lang w:eastAsia="en-US"/>
        </w:rPr>
        <w:t xml:space="preserve">– varianta </w:t>
      </w:r>
      <w:r w:rsidR="0069040E" w:rsidRPr="00417C25">
        <w:rPr>
          <w:rFonts w:eastAsia="Calibri"/>
          <w:i/>
          <w:iCs/>
          <w:lang w:eastAsia="en-US"/>
        </w:rPr>
        <w:t>II</w:t>
      </w:r>
      <w:r w:rsidRPr="00417C25">
        <w:rPr>
          <w:rFonts w:eastAsia="Calibri"/>
          <w:lang w:eastAsia="en-US"/>
        </w:rPr>
        <w:t>.</w:t>
      </w:r>
    </w:p>
    <w:p w14:paraId="18655D0C" w14:textId="77777777" w:rsidR="006910F4" w:rsidRPr="002B1A7B" w:rsidRDefault="006910F4" w:rsidP="006910F4">
      <w:pPr>
        <w:spacing w:line="360" w:lineRule="auto"/>
        <w:jc w:val="both"/>
        <w:rPr>
          <w:rFonts w:eastAsia="Calibri"/>
          <w:bCs/>
          <w:lang w:eastAsia="en-US"/>
        </w:rPr>
      </w:pPr>
    </w:p>
    <w:p w14:paraId="0FCF47B5" w14:textId="6B71DD56" w:rsidR="001C6B9B" w:rsidRPr="00417C25" w:rsidRDefault="002811A5" w:rsidP="00872C9F">
      <w:pPr>
        <w:spacing w:line="360" w:lineRule="auto"/>
        <w:jc w:val="both"/>
        <w:rPr>
          <w:rFonts w:eastAsia="Calibri"/>
          <w:b/>
          <w:u w:val="single"/>
          <w:lang w:eastAsia="en-US"/>
        </w:rPr>
      </w:pPr>
      <w:r w:rsidRPr="00417C25">
        <w:rPr>
          <w:rFonts w:eastAsia="Calibri"/>
          <w:b/>
          <w:u w:val="single"/>
          <w:lang w:eastAsia="en-US"/>
        </w:rPr>
        <w:t>K</w:t>
      </w:r>
      <w:r w:rsidR="001B38F9" w:rsidRPr="00417C25">
        <w:rPr>
          <w:rFonts w:eastAsia="Calibri"/>
          <w:b/>
          <w:u w:val="single"/>
          <w:lang w:eastAsia="en-US"/>
        </w:rPr>
        <w:t xml:space="preserve"> </w:t>
      </w:r>
      <w:r w:rsidR="00FE55B1" w:rsidRPr="00417C25">
        <w:rPr>
          <w:rFonts w:eastAsia="Calibri"/>
          <w:b/>
          <w:u w:val="single"/>
          <w:lang w:eastAsia="en-US"/>
        </w:rPr>
        <w:t xml:space="preserve">§ </w:t>
      </w:r>
      <w:r w:rsidR="00C22230">
        <w:rPr>
          <w:rFonts w:eastAsia="Calibri"/>
          <w:b/>
          <w:u w:val="single"/>
          <w:lang w:eastAsia="en-US"/>
        </w:rPr>
        <w:t>3</w:t>
      </w:r>
    </w:p>
    <w:p w14:paraId="33D49704" w14:textId="381D2754" w:rsidR="007560BD" w:rsidRPr="00C22230" w:rsidRDefault="00EB5DC0" w:rsidP="007560BD">
      <w:pPr>
        <w:spacing w:line="360" w:lineRule="auto"/>
        <w:jc w:val="both"/>
        <w:rPr>
          <w:rFonts w:eastAsia="Calibri"/>
          <w:lang w:eastAsia="en-US"/>
        </w:rPr>
      </w:pPr>
      <w:r w:rsidRPr="00C22230">
        <w:rPr>
          <w:rFonts w:eastAsia="Calibri"/>
          <w:lang w:eastAsia="en-US"/>
        </w:rPr>
        <w:t xml:space="preserve">Maximální částka příspěvku </w:t>
      </w:r>
      <w:r w:rsidR="0042380E" w:rsidRPr="00C22230">
        <w:rPr>
          <w:rFonts w:eastAsia="Calibri"/>
          <w:lang w:eastAsia="en-US"/>
        </w:rPr>
        <w:t xml:space="preserve">na podporu zaměstnávání osob se zdravotním postižením na chráněném trhu práce </w:t>
      </w:r>
      <w:r w:rsidRPr="00C22230">
        <w:rPr>
          <w:rFonts w:eastAsia="Calibri"/>
          <w:lang w:eastAsia="en-US"/>
        </w:rPr>
        <w:t xml:space="preserve">má být zvýšená pro účely poskytnutí příspěvku </w:t>
      </w:r>
      <w:r w:rsidR="002B1A7B" w:rsidRPr="00C22230">
        <w:rPr>
          <w:rFonts w:eastAsia="Calibri"/>
          <w:lang w:eastAsia="en-US"/>
        </w:rPr>
        <w:t xml:space="preserve">počínaje </w:t>
      </w:r>
      <w:r w:rsidR="006778A6" w:rsidRPr="00C22230">
        <w:rPr>
          <w:rFonts w:eastAsia="Calibri"/>
          <w:lang w:eastAsia="en-US"/>
        </w:rPr>
        <w:t>1</w:t>
      </w:r>
      <w:r w:rsidRPr="00C22230">
        <w:rPr>
          <w:rFonts w:eastAsia="Calibri"/>
          <w:lang w:eastAsia="en-US"/>
        </w:rPr>
        <w:t>. kalendářní</w:t>
      </w:r>
      <w:r w:rsidR="002B1A7B" w:rsidRPr="00C22230">
        <w:rPr>
          <w:rFonts w:eastAsia="Calibri"/>
          <w:lang w:eastAsia="en-US"/>
        </w:rPr>
        <w:t>m</w:t>
      </w:r>
      <w:r w:rsidRPr="00C22230">
        <w:rPr>
          <w:rFonts w:eastAsia="Calibri"/>
          <w:lang w:eastAsia="en-US"/>
        </w:rPr>
        <w:t xml:space="preserve"> čtvrtletí</w:t>
      </w:r>
      <w:r w:rsidR="002B1A7B" w:rsidRPr="00C22230">
        <w:rPr>
          <w:rFonts w:eastAsia="Calibri"/>
          <w:lang w:eastAsia="en-US"/>
        </w:rPr>
        <w:t>m</w:t>
      </w:r>
      <w:r w:rsidRPr="00C22230">
        <w:rPr>
          <w:rFonts w:eastAsia="Calibri"/>
          <w:lang w:eastAsia="en-US"/>
        </w:rPr>
        <w:t xml:space="preserve"> roku 202</w:t>
      </w:r>
      <w:r w:rsidR="006778A6" w:rsidRPr="00C22230">
        <w:rPr>
          <w:rFonts w:eastAsia="Calibri"/>
          <w:lang w:eastAsia="en-US"/>
        </w:rPr>
        <w:t>2</w:t>
      </w:r>
      <w:r w:rsidRPr="00C22230">
        <w:rPr>
          <w:rFonts w:eastAsia="Calibri"/>
          <w:lang w:eastAsia="en-US"/>
        </w:rPr>
        <w:t>. Proto se navrhuje, aby nařízení vlády nabylo účinnosti dnem 1</w:t>
      </w:r>
      <w:r w:rsidR="00ED789D" w:rsidRPr="00C22230">
        <w:rPr>
          <w:rFonts w:eastAsia="Calibri"/>
          <w:lang w:eastAsia="en-US"/>
        </w:rPr>
        <w:t xml:space="preserve">. </w:t>
      </w:r>
      <w:r w:rsidR="006778A6" w:rsidRPr="00C22230">
        <w:rPr>
          <w:rFonts w:eastAsia="Calibri"/>
          <w:lang w:eastAsia="en-US"/>
        </w:rPr>
        <w:t>dubna</w:t>
      </w:r>
      <w:r w:rsidR="00ED789D" w:rsidRPr="00C22230">
        <w:rPr>
          <w:rFonts w:eastAsia="Calibri"/>
          <w:lang w:eastAsia="en-US"/>
        </w:rPr>
        <w:t xml:space="preserve"> 202</w:t>
      </w:r>
      <w:r w:rsidR="006778A6" w:rsidRPr="00C22230">
        <w:rPr>
          <w:rFonts w:eastAsia="Calibri"/>
          <w:lang w:eastAsia="en-US"/>
        </w:rPr>
        <w:t>2</w:t>
      </w:r>
      <w:r w:rsidRPr="00C22230">
        <w:rPr>
          <w:rFonts w:eastAsia="Calibri"/>
          <w:lang w:eastAsia="en-US"/>
        </w:rPr>
        <w:t xml:space="preserve">, což reflektuje způsob poskytování tohoto příspěvku Úřadem práce České republiky, </w:t>
      </w:r>
      <w:r w:rsidR="00417C25" w:rsidRPr="00C22230">
        <w:rPr>
          <w:rFonts w:eastAsia="Calibri"/>
          <w:lang w:eastAsia="en-US"/>
        </w:rPr>
        <w:br/>
      </w:r>
      <w:r w:rsidRPr="00C22230">
        <w:rPr>
          <w:rFonts w:eastAsia="Calibri"/>
          <w:lang w:eastAsia="en-US"/>
        </w:rPr>
        <w:t xml:space="preserve">a to čtvrtletně zpětně na základě písemné žádosti zaměstnavatele, která musí být krajské pobočce Úřadu práce České republiky doručena nejpozději do konce kalendářního měsíce </w:t>
      </w:r>
      <w:r w:rsidRPr="00C22230">
        <w:rPr>
          <w:rFonts w:eastAsia="Calibri"/>
          <w:lang w:eastAsia="en-US"/>
        </w:rPr>
        <w:lastRenderedPageBreak/>
        <w:t xml:space="preserve">následujícího po uplynutí příslušného kalendářního čtvrtletí, nejdříve však 1. den kalendářního čtvrtletí následujícího po kalendářním čtvrtletí, za které zaměstnavatel o příspěvek žádá. </w:t>
      </w:r>
      <w:r w:rsidR="00417C25" w:rsidRPr="00C22230">
        <w:rPr>
          <w:rFonts w:eastAsia="Calibri"/>
          <w:lang w:eastAsia="en-US"/>
        </w:rPr>
        <w:br/>
      </w:r>
      <w:r w:rsidRPr="00C22230">
        <w:rPr>
          <w:rFonts w:eastAsia="Calibri"/>
          <w:lang w:eastAsia="en-US"/>
        </w:rPr>
        <w:t xml:space="preserve">Z uvedeného vyplývá, že žádosti o příspěvek za </w:t>
      </w:r>
      <w:r w:rsidR="006778A6" w:rsidRPr="00C22230">
        <w:rPr>
          <w:rFonts w:eastAsia="Calibri"/>
          <w:lang w:eastAsia="en-US"/>
        </w:rPr>
        <w:t>1</w:t>
      </w:r>
      <w:r w:rsidRPr="00C22230">
        <w:rPr>
          <w:rFonts w:eastAsia="Calibri"/>
          <w:lang w:eastAsia="en-US"/>
        </w:rPr>
        <w:t>. kalendářní čtvrtletí roku 202</w:t>
      </w:r>
      <w:r w:rsidR="006778A6" w:rsidRPr="00C22230">
        <w:rPr>
          <w:rFonts w:eastAsia="Calibri"/>
          <w:lang w:eastAsia="en-US"/>
        </w:rPr>
        <w:t>2</w:t>
      </w:r>
      <w:r w:rsidRPr="00C22230">
        <w:rPr>
          <w:rFonts w:eastAsia="Calibri"/>
          <w:lang w:eastAsia="en-US"/>
        </w:rPr>
        <w:t xml:space="preserve"> budou moci zaměstnavatelé podávat nejdříve od 1. </w:t>
      </w:r>
      <w:r w:rsidR="006778A6" w:rsidRPr="00C22230">
        <w:rPr>
          <w:rFonts w:eastAsia="Calibri"/>
          <w:lang w:eastAsia="en-US"/>
        </w:rPr>
        <w:t>dubna 2022</w:t>
      </w:r>
      <w:r w:rsidRPr="00C22230">
        <w:rPr>
          <w:rFonts w:eastAsia="Calibri"/>
          <w:lang w:eastAsia="en-US"/>
        </w:rPr>
        <w:t>, tedy v okamžiku nabytí účinnosti navrhovaného nařízení vlády.</w:t>
      </w:r>
      <w:r w:rsidR="007560BD" w:rsidRPr="00C22230">
        <w:rPr>
          <w:rFonts w:eastAsia="Calibri"/>
          <w:lang w:eastAsia="en-US"/>
        </w:rPr>
        <w:t xml:space="preserve"> V daném případě je v souvislosti se zachováním zaměstnanosti osob se zdravotním </w:t>
      </w:r>
      <w:r w:rsidR="003E1236" w:rsidRPr="00C22230">
        <w:rPr>
          <w:rFonts w:eastAsia="Calibri"/>
          <w:lang w:eastAsia="en-US"/>
        </w:rPr>
        <w:t xml:space="preserve">postižením, jako zvlášť ohrožené skupiny zaměstnanců, </w:t>
      </w:r>
      <w:r w:rsidR="007560BD" w:rsidRPr="00C22230">
        <w:rPr>
          <w:rFonts w:eastAsia="Calibri"/>
          <w:lang w:eastAsia="en-US"/>
        </w:rPr>
        <w:t xml:space="preserve">naléhavý </w:t>
      </w:r>
      <w:r w:rsidR="00C22230">
        <w:rPr>
          <w:rFonts w:eastAsia="Calibri"/>
          <w:lang w:eastAsia="en-US"/>
        </w:rPr>
        <w:t>obecný</w:t>
      </w:r>
      <w:r w:rsidR="007560BD" w:rsidRPr="00C22230">
        <w:rPr>
          <w:rFonts w:eastAsia="Calibri"/>
          <w:lang w:eastAsia="en-US"/>
        </w:rPr>
        <w:t xml:space="preserve"> zájem na aktualizaci maximální částky příspěvku tak, aby příspěvek v jeho zvýšené výši náležel zaměstnavatelům již za 1. kalendářní čtvrtletí 2022, což také navazuje i na zvýšení minimální mzdy od 1. ledna 2022. Toto řešení je plně v souladu s ustanovením § 3 odst. 4 zákona </w:t>
      </w:r>
      <w:r w:rsidR="003E1236" w:rsidRPr="00C22230">
        <w:rPr>
          <w:rFonts w:eastAsia="Calibri"/>
          <w:lang w:eastAsia="en-US"/>
        </w:rPr>
        <w:br/>
      </w:r>
      <w:r w:rsidR="007560BD" w:rsidRPr="00C22230">
        <w:rPr>
          <w:rFonts w:eastAsia="Calibri"/>
          <w:lang w:eastAsia="en-US"/>
        </w:rPr>
        <w:t>č. 309/1999 Sb., o Sbírce zákonů a o Sbírce mezinárodních smluv, ve znění pozdějších předpisů.</w:t>
      </w:r>
      <w:r w:rsidR="003E1236" w:rsidRPr="00C22230">
        <w:rPr>
          <w:rFonts w:eastAsia="Calibri"/>
          <w:lang w:eastAsia="en-US"/>
        </w:rPr>
        <w:t xml:space="preserve">  </w:t>
      </w:r>
    </w:p>
    <w:p w14:paraId="7DB23770" w14:textId="77777777" w:rsidR="007560BD" w:rsidRDefault="007560BD" w:rsidP="007560BD">
      <w:pPr>
        <w:spacing w:line="360" w:lineRule="auto"/>
        <w:jc w:val="both"/>
        <w:rPr>
          <w:rFonts w:eastAsia="Calibri"/>
          <w:lang w:eastAsia="en-US"/>
        </w:rPr>
      </w:pPr>
    </w:p>
    <w:p w14:paraId="1DFE94F1" w14:textId="3905AC5D" w:rsidR="00EB5DC0" w:rsidRPr="00417C25" w:rsidRDefault="00EB5DC0" w:rsidP="00872C9F">
      <w:pPr>
        <w:spacing w:line="360" w:lineRule="auto"/>
        <w:jc w:val="both"/>
        <w:rPr>
          <w:rFonts w:eastAsia="Calibri"/>
          <w:lang w:eastAsia="en-US"/>
        </w:rPr>
      </w:pPr>
    </w:p>
    <w:p w14:paraId="4AA49F24" w14:textId="77777777" w:rsidR="00EB5DC0" w:rsidRPr="00417C25" w:rsidRDefault="00EB5DC0" w:rsidP="00872C9F">
      <w:pPr>
        <w:spacing w:line="360" w:lineRule="auto"/>
        <w:jc w:val="both"/>
        <w:rPr>
          <w:rFonts w:eastAsia="Calibri"/>
          <w:lang w:eastAsia="en-US"/>
        </w:rPr>
      </w:pPr>
    </w:p>
    <w:p w14:paraId="287A0DC2" w14:textId="77777777" w:rsidR="00230B6C" w:rsidRPr="00417C25" w:rsidRDefault="00230B6C" w:rsidP="00872C9F">
      <w:pPr>
        <w:spacing w:line="360" w:lineRule="auto"/>
        <w:jc w:val="center"/>
        <w:rPr>
          <w:szCs w:val="22"/>
        </w:rPr>
      </w:pPr>
    </w:p>
    <w:sectPr w:rsidR="00230B6C" w:rsidRPr="00417C25" w:rsidSect="002B1A7B">
      <w:footerReference w:type="default" r:id="rId8"/>
      <w:pgSz w:w="11906" w:h="16838"/>
      <w:pgMar w:top="1417" w:right="1417" w:bottom="1417" w:left="1417" w:header="708" w:footer="708"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9FC4" w14:textId="77777777" w:rsidR="009054AD" w:rsidRDefault="009054AD" w:rsidP="00CC2304">
      <w:r>
        <w:separator/>
      </w:r>
    </w:p>
  </w:endnote>
  <w:endnote w:type="continuationSeparator" w:id="0">
    <w:p w14:paraId="56776C38" w14:textId="77777777" w:rsidR="009054AD" w:rsidRDefault="009054AD" w:rsidP="00C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095295"/>
      <w:docPartObj>
        <w:docPartGallery w:val="Page Numbers (Bottom of Page)"/>
        <w:docPartUnique/>
      </w:docPartObj>
    </w:sdtPr>
    <w:sdtEndPr/>
    <w:sdtContent>
      <w:p w14:paraId="1C45ABC9" w14:textId="77777777" w:rsidR="00164BFD" w:rsidRDefault="00164BFD">
        <w:pPr>
          <w:pStyle w:val="Zpat"/>
          <w:jc w:val="center"/>
        </w:pPr>
        <w:r>
          <w:fldChar w:fldCharType="begin"/>
        </w:r>
        <w:r>
          <w:instrText>PAGE   \* MERGEFORMAT</w:instrText>
        </w:r>
        <w:r>
          <w:fldChar w:fldCharType="separate"/>
        </w:r>
        <w:r w:rsidR="001048C2">
          <w:rPr>
            <w:noProof/>
          </w:rPr>
          <w:t>2</w:t>
        </w:r>
        <w:r>
          <w:fldChar w:fldCharType="end"/>
        </w:r>
      </w:p>
    </w:sdtContent>
  </w:sdt>
  <w:p w14:paraId="37DBF864" w14:textId="77777777" w:rsidR="00164BFD" w:rsidRDefault="00164B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75A1" w14:textId="77777777" w:rsidR="009054AD" w:rsidRDefault="009054AD" w:rsidP="00CC2304">
      <w:r>
        <w:separator/>
      </w:r>
    </w:p>
  </w:footnote>
  <w:footnote w:type="continuationSeparator" w:id="0">
    <w:p w14:paraId="6C3DC43F" w14:textId="77777777" w:rsidR="009054AD" w:rsidRDefault="009054AD" w:rsidP="00CC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1EC"/>
    <w:multiLevelType w:val="hybridMultilevel"/>
    <w:tmpl w:val="116EEE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40E8A"/>
    <w:multiLevelType w:val="hybridMultilevel"/>
    <w:tmpl w:val="61C8D420"/>
    <w:lvl w:ilvl="0" w:tplc="A6D6F98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33317"/>
    <w:multiLevelType w:val="hybridMultilevel"/>
    <w:tmpl w:val="4BB23C46"/>
    <w:lvl w:ilvl="0" w:tplc="1B142016">
      <w:start w:val="104"/>
      <w:numFmt w:val="bullet"/>
      <w:lvlText w:val="-"/>
      <w:lvlJc w:val="left"/>
      <w:pPr>
        <w:ind w:left="720" w:hanging="360"/>
      </w:pPr>
      <w:rPr>
        <w:rFonts w:ascii="Arial" w:eastAsia="Calibri" w:hAnsi="Arial" w:cs="Aria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82E3D"/>
    <w:multiLevelType w:val="hybridMultilevel"/>
    <w:tmpl w:val="5E963FA6"/>
    <w:lvl w:ilvl="0" w:tplc="04050005">
      <w:start w:val="1"/>
      <w:numFmt w:val="bullet"/>
      <w:lvlText w:val=""/>
      <w:lvlJc w:val="left"/>
      <w:pPr>
        <w:ind w:left="643" w:hanging="360"/>
      </w:pPr>
      <w:rPr>
        <w:rFonts w:ascii="Wingdings" w:hAnsi="Wingdings" w:hint="default"/>
      </w:rPr>
    </w:lvl>
    <w:lvl w:ilvl="1" w:tplc="04050003">
      <w:start w:val="1"/>
      <w:numFmt w:val="bullet"/>
      <w:lvlText w:val="o"/>
      <w:lvlJc w:val="left"/>
      <w:pPr>
        <w:ind w:left="1363" w:hanging="360"/>
      </w:pPr>
      <w:rPr>
        <w:rFonts w:ascii="Courier New" w:hAnsi="Courier New" w:cs="Courier New" w:hint="default"/>
      </w:rPr>
    </w:lvl>
    <w:lvl w:ilvl="2" w:tplc="04050005">
      <w:start w:val="1"/>
      <w:numFmt w:val="bullet"/>
      <w:lvlText w:val=""/>
      <w:lvlJc w:val="left"/>
      <w:pPr>
        <w:ind w:left="2083" w:hanging="360"/>
      </w:pPr>
      <w:rPr>
        <w:rFonts w:ascii="Wingdings" w:hAnsi="Wingdings" w:hint="default"/>
      </w:rPr>
    </w:lvl>
    <w:lvl w:ilvl="3" w:tplc="04050001">
      <w:start w:val="1"/>
      <w:numFmt w:val="bullet"/>
      <w:lvlText w:val=""/>
      <w:lvlJc w:val="left"/>
      <w:pPr>
        <w:ind w:left="2803" w:hanging="360"/>
      </w:pPr>
      <w:rPr>
        <w:rFonts w:ascii="Symbol" w:hAnsi="Symbol" w:hint="default"/>
      </w:rPr>
    </w:lvl>
    <w:lvl w:ilvl="4" w:tplc="04050003">
      <w:start w:val="1"/>
      <w:numFmt w:val="bullet"/>
      <w:lvlText w:val="o"/>
      <w:lvlJc w:val="left"/>
      <w:pPr>
        <w:ind w:left="3523" w:hanging="360"/>
      </w:pPr>
      <w:rPr>
        <w:rFonts w:ascii="Courier New" w:hAnsi="Courier New" w:cs="Courier New" w:hint="default"/>
      </w:rPr>
    </w:lvl>
    <w:lvl w:ilvl="5" w:tplc="04050005">
      <w:start w:val="1"/>
      <w:numFmt w:val="bullet"/>
      <w:lvlText w:val=""/>
      <w:lvlJc w:val="left"/>
      <w:pPr>
        <w:ind w:left="4243" w:hanging="360"/>
      </w:pPr>
      <w:rPr>
        <w:rFonts w:ascii="Wingdings" w:hAnsi="Wingdings" w:hint="default"/>
      </w:rPr>
    </w:lvl>
    <w:lvl w:ilvl="6" w:tplc="04050001">
      <w:start w:val="1"/>
      <w:numFmt w:val="bullet"/>
      <w:lvlText w:val=""/>
      <w:lvlJc w:val="left"/>
      <w:pPr>
        <w:ind w:left="4963" w:hanging="360"/>
      </w:pPr>
      <w:rPr>
        <w:rFonts w:ascii="Symbol" w:hAnsi="Symbol" w:hint="default"/>
      </w:rPr>
    </w:lvl>
    <w:lvl w:ilvl="7" w:tplc="04050003">
      <w:start w:val="1"/>
      <w:numFmt w:val="bullet"/>
      <w:lvlText w:val="o"/>
      <w:lvlJc w:val="left"/>
      <w:pPr>
        <w:ind w:left="5683" w:hanging="360"/>
      </w:pPr>
      <w:rPr>
        <w:rFonts w:ascii="Courier New" w:hAnsi="Courier New" w:cs="Courier New" w:hint="default"/>
      </w:rPr>
    </w:lvl>
    <w:lvl w:ilvl="8" w:tplc="04050005">
      <w:start w:val="1"/>
      <w:numFmt w:val="bullet"/>
      <w:lvlText w:val=""/>
      <w:lvlJc w:val="left"/>
      <w:pPr>
        <w:ind w:left="6403" w:hanging="360"/>
      </w:pPr>
      <w:rPr>
        <w:rFonts w:ascii="Wingdings" w:hAnsi="Wingdings" w:hint="default"/>
      </w:rPr>
    </w:lvl>
  </w:abstractNum>
  <w:abstractNum w:abstractNumId="4" w15:restartNumberingAfterBreak="0">
    <w:nsid w:val="12B6046C"/>
    <w:multiLevelType w:val="hybridMultilevel"/>
    <w:tmpl w:val="9B405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6DD4F08"/>
    <w:multiLevelType w:val="hybridMultilevel"/>
    <w:tmpl w:val="603099E2"/>
    <w:lvl w:ilvl="0" w:tplc="14E2603C">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E863D6"/>
    <w:multiLevelType w:val="hybridMultilevel"/>
    <w:tmpl w:val="56E64DAE"/>
    <w:lvl w:ilvl="0" w:tplc="6D56F226">
      <w:start w:val="1"/>
      <w:numFmt w:val="decimal"/>
      <w:lvlText w:val="%1)"/>
      <w:lvlJc w:val="left"/>
      <w:pPr>
        <w:ind w:left="786" w:hanging="360"/>
      </w:pPr>
      <w:rPr>
        <w:rFonts w:hint="default"/>
        <w:vertAlign w:val="superscript"/>
      </w:rPr>
    </w:lvl>
    <w:lvl w:ilvl="1" w:tplc="04050019" w:tentative="1">
      <w:start w:val="1"/>
      <w:numFmt w:val="lowerLetter"/>
      <w:lvlText w:val="%2."/>
      <w:lvlJc w:val="left"/>
      <w:pPr>
        <w:ind w:left="1157" w:hanging="360"/>
      </w:pPr>
    </w:lvl>
    <w:lvl w:ilvl="2" w:tplc="0405001B" w:tentative="1">
      <w:start w:val="1"/>
      <w:numFmt w:val="lowerRoman"/>
      <w:lvlText w:val="%3."/>
      <w:lvlJc w:val="right"/>
      <w:pPr>
        <w:ind w:left="1877" w:hanging="180"/>
      </w:pPr>
    </w:lvl>
    <w:lvl w:ilvl="3" w:tplc="0405000F" w:tentative="1">
      <w:start w:val="1"/>
      <w:numFmt w:val="decimal"/>
      <w:lvlText w:val="%4."/>
      <w:lvlJc w:val="left"/>
      <w:pPr>
        <w:ind w:left="2597" w:hanging="360"/>
      </w:pPr>
    </w:lvl>
    <w:lvl w:ilvl="4" w:tplc="04050019" w:tentative="1">
      <w:start w:val="1"/>
      <w:numFmt w:val="lowerLetter"/>
      <w:lvlText w:val="%5."/>
      <w:lvlJc w:val="left"/>
      <w:pPr>
        <w:ind w:left="3317" w:hanging="360"/>
      </w:pPr>
    </w:lvl>
    <w:lvl w:ilvl="5" w:tplc="0405001B" w:tentative="1">
      <w:start w:val="1"/>
      <w:numFmt w:val="lowerRoman"/>
      <w:lvlText w:val="%6."/>
      <w:lvlJc w:val="right"/>
      <w:pPr>
        <w:ind w:left="4037" w:hanging="180"/>
      </w:pPr>
    </w:lvl>
    <w:lvl w:ilvl="6" w:tplc="0405000F" w:tentative="1">
      <w:start w:val="1"/>
      <w:numFmt w:val="decimal"/>
      <w:lvlText w:val="%7."/>
      <w:lvlJc w:val="left"/>
      <w:pPr>
        <w:ind w:left="4757" w:hanging="360"/>
      </w:pPr>
    </w:lvl>
    <w:lvl w:ilvl="7" w:tplc="04050019" w:tentative="1">
      <w:start w:val="1"/>
      <w:numFmt w:val="lowerLetter"/>
      <w:lvlText w:val="%8."/>
      <w:lvlJc w:val="left"/>
      <w:pPr>
        <w:ind w:left="5477" w:hanging="360"/>
      </w:pPr>
    </w:lvl>
    <w:lvl w:ilvl="8" w:tplc="0405001B" w:tentative="1">
      <w:start w:val="1"/>
      <w:numFmt w:val="lowerRoman"/>
      <w:lvlText w:val="%9."/>
      <w:lvlJc w:val="right"/>
      <w:pPr>
        <w:ind w:left="6197" w:hanging="180"/>
      </w:pPr>
    </w:lvl>
  </w:abstractNum>
  <w:abstractNum w:abstractNumId="7" w15:restartNumberingAfterBreak="0">
    <w:nsid w:val="1A4E54FE"/>
    <w:multiLevelType w:val="hybridMultilevel"/>
    <w:tmpl w:val="B12A2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547FF6"/>
    <w:multiLevelType w:val="hybridMultilevel"/>
    <w:tmpl w:val="C6C4EBB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E2121C5"/>
    <w:multiLevelType w:val="hybridMultilevel"/>
    <w:tmpl w:val="95E05A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612A26"/>
    <w:multiLevelType w:val="hybridMultilevel"/>
    <w:tmpl w:val="EA8806B0"/>
    <w:lvl w:ilvl="0" w:tplc="04050015">
      <w:start w:val="2"/>
      <w:numFmt w:val="upp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35F3908"/>
    <w:multiLevelType w:val="hybridMultilevel"/>
    <w:tmpl w:val="043A9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97159F"/>
    <w:multiLevelType w:val="hybridMultilevel"/>
    <w:tmpl w:val="4A22723C"/>
    <w:lvl w:ilvl="0" w:tplc="B4CEB9FA">
      <w:start w:val="2"/>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E830F0E"/>
    <w:multiLevelType w:val="hybridMultilevel"/>
    <w:tmpl w:val="094AC3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3">
      <w:start w:val="1"/>
      <w:numFmt w:val="bullet"/>
      <w:lvlText w:val="o"/>
      <w:lvlJc w:val="left"/>
      <w:pPr>
        <w:ind w:left="2880" w:hanging="360"/>
      </w:pPr>
      <w:rPr>
        <w:rFonts w:ascii="Courier New" w:hAnsi="Courier New" w:cs="Courier New"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C75800"/>
    <w:multiLevelType w:val="hybridMultilevel"/>
    <w:tmpl w:val="AFEA24DC"/>
    <w:lvl w:ilvl="0" w:tplc="A1F49708">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33D47DD1"/>
    <w:multiLevelType w:val="multilevel"/>
    <w:tmpl w:val="E8A4666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0B4AF9"/>
    <w:multiLevelType w:val="hybridMultilevel"/>
    <w:tmpl w:val="9D40365C"/>
    <w:lvl w:ilvl="0" w:tplc="E5521BA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161FB9"/>
    <w:multiLevelType w:val="hybridMultilevel"/>
    <w:tmpl w:val="7870DB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3A2C9F"/>
    <w:multiLevelType w:val="hybridMultilevel"/>
    <w:tmpl w:val="B694C232"/>
    <w:lvl w:ilvl="0" w:tplc="D23C08E6">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4B177AF"/>
    <w:multiLevelType w:val="hybridMultilevel"/>
    <w:tmpl w:val="D6481F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2122C6"/>
    <w:multiLevelType w:val="hybridMultilevel"/>
    <w:tmpl w:val="1132FF16"/>
    <w:lvl w:ilvl="0" w:tplc="43604B6E">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B5991"/>
    <w:multiLevelType w:val="hybridMultilevel"/>
    <w:tmpl w:val="B4886D64"/>
    <w:lvl w:ilvl="0" w:tplc="518CCE9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54156D46"/>
    <w:multiLevelType w:val="hybridMultilevel"/>
    <w:tmpl w:val="CE58B326"/>
    <w:lvl w:ilvl="0" w:tplc="AAF64214">
      <w:start w:val="10"/>
      <w:numFmt w:val="bullet"/>
      <w:lvlText w:val="-"/>
      <w:lvlJc w:val="left"/>
      <w:pPr>
        <w:ind w:left="720" w:hanging="360"/>
      </w:pPr>
      <w:rPr>
        <w:rFonts w:ascii="Calibri" w:eastAsiaTheme="minorHAnsi" w:hAnsi="Calibri"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BD73C6"/>
    <w:multiLevelType w:val="hybridMultilevel"/>
    <w:tmpl w:val="7C762CC2"/>
    <w:lvl w:ilvl="0" w:tplc="4E7A342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57EC399A"/>
    <w:multiLevelType w:val="hybridMultilevel"/>
    <w:tmpl w:val="0CC42764"/>
    <w:lvl w:ilvl="0" w:tplc="2BAA5FAA">
      <w:start w:val="756"/>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1660F"/>
    <w:multiLevelType w:val="hybridMultilevel"/>
    <w:tmpl w:val="2918C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735D1"/>
    <w:multiLevelType w:val="hybridMultilevel"/>
    <w:tmpl w:val="E1E4A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6B1D51"/>
    <w:multiLevelType w:val="hybridMultilevel"/>
    <w:tmpl w:val="CB1C9E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AC5813"/>
    <w:multiLevelType w:val="hybridMultilevel"/>
    <w:tmpl w:val="FC68D1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C6FC8"/>
    <w:multiLevelType w:val="hybridMultilevel"/>
    <w:tmpl w:val="82E8A27E"/>
    <w:lvl w:ilvl="0" w:tplc="B51A2C54">
      <w:start w:val="3"/>
      <w:numFmt w:val="upperLetter"/>
      <w:pStyle w:val="Seznamsodrkami"/>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EDD340C"/>
    <w:multiLevelType w:val="hybridMultilevel"/>
    <w:tmpl w:val="3D4262F2"/>
    <w:lvl w:ilvl="0" w:tplc="0A20D08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0A04C4"/>
    <w:multiLevelType w:val="hybridMultilevel"/>
    <w:tmpl w:val="19CAD74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5"/>
  </w:num>
  <w:num w:numId="4">
    <w:abstractNumId w:val="11"/>
  </w:num>
  <w:num w:numId="5">
    <w:abstractNumId w:val="3"/>
  </w:num>
  <w:num w:numId="6">
    <w:abstractNumId w:val="10"/>
  </w:num>
  <w:num w:numId="7">
    <w:abstractNumId w:val="25"/>
  </w:num>
  <w:num w:numId="8">
    <w:abstractNumId w:val="5"/>
  </w:num>
  <w:num w:numId="9">
    <w:abstractNumId w:val="0"/>
  </w:num>
  <w:num w:numId="10">
    <w:abstractNumId w:val="21"/>
  </w:num>
  <w:num w:numId="11">
    <w:abstractNumId w:val="12"/>
  </w:num>
  <w:num w:numId="12">
    <w:abstractNumId w:val="24"/>
  </w:num>
  <w:num w:numId="13">
    <w:abstractNumId w:val="28"/>
  </w:num>
  <w:num w:numId="14">
    <w:abstractNumId w:val="31"/>
  </w:num>
  <w:num w:numId="15">
    <w:abstractNumId w:val="16"/>
  </w:num>
  <w:num w:numId="16">
    <w:abstractNumId w:val="30"/>
  </w:num>
  <w:num w:numId="17">
    <w:abstractNumId w:val="23"/>
  </w:num>
  <w:num w:numId="18">
    <w:abstractNumId w:val="6"/>
  </w:num>
  <w:num w:numId="19">
    <w:abstractNumId w:val="14"/>
  </w:num>
  <w:num w:numId="20">
    <w:abstractNumId w:val="29"/>
  </w:num>
  <w:num w:numId="21">
    <w:abstractNumId w:val="18"/>
  </w:num>
  <w:num w:numId="22">
    <w:abstractNumId w:val="22"/>
  </w:num>
  <w:num w:numId="23">
    <w:abstractNumId w:val="7"/>
  </w:num>
  <w:num w:numId="24">
    <w:abstractNumId w:val="1"/>
  </w:num>
  <w:num w:numId="25">
    <w:abstractNumId w:val="9"/>
  </w:num>
  <w:num w:numId="26">
    <w:abstractNumId w:val="4"/>
  </w:num>
  <w:num w:numId="27">
    <w:abstractNumId w:val="19"/>
  </w:num>
  <w:num w:numId="28">
    <w:abstractNumId w:val="8"/>
  </w:num>
  <w:num w:numId="29">
    <w:abstractNumId w:val="13"/>
  </w:num>
  <w:num w:numId="30">
    <w:abstractNumId w:val="20"/>
  </w:num>
  <w:num w:numId="31">
    <w:abstractNumId w:val="2"/>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3F"/>
    <w:rsid w:val="00010AC4"/>
    <w:rsid w:val="00013C5E"/>
    <w:rsid w:val="000300FA"/>
    <w:rsid w:val="00030420"/>
    <w:rsid w:val="00031F77"/>
    <w:rsid w:val="00033074"/>
    <w:rsid w:val="000451D1"/>
    <w:rsid w:val="00045454"/>
    <w:rsid w:val="000553AC"/>
    <w:rsid w:val="000644EF"/>
    <w:rsid w:val="000776B8"/>
    <w:rsid w:val="00092AA2"/>
    <w:rsid w:val="000B13E5"/>
    <w:rsid w:val="000B4741"/>
    <w:rsid w:val="000C4336"/>
    <w:rsid w:val="000C4FA3"/>
    <w:rsid w:val="000C5595"/>
    <w:rsid w:val="000C7E00"/>
    <w:rsid w:val="000D3671"/>
    <w:rsid w:val="000D64C9"/>
    <w:rsid w:val="000F29AE"/>
    <w:rsid w:val="000F2F82"/>
    <w:rsid w:val="000F56C2"/>
    <w:rsid w:val="000F56C7"/>
    <w:rsid w:val="001003EB"/>
    <w:rsid w:val="001014E6"/>
    <w:rsid w:val="001048C2"/>
    <w:rsid w:val="00105F4C"/>
    <w:rsid w:val="001076CE"/>
    <w:rsid w:val="00126FD7"/>
    <w:rsid w:val="00130898"/>
    <w:rsid w:val="00131C74"/>
    <w:rsid w:val="0013416B"/>
    <w:rsid w:val="001361B6"/>
    <w:rsid w:val="0014085A"/>
    <w:rsid w:val="00140961"/>
    <w:rsid w:val="00162E37"/>
    <w:rsid w:val="00164297"/>
    <w:rsid w:val="00164BFD"/>
    <w:rsid w:val="001915C0"/>
    <w:rsid w:val="001918B1"/>
    <w:rsid w:val="001A42CA"/>
    <w:rsid w:val="001B38F9"/>
    <w:rsid w:val="001B4EE1"/>
    <w:rsid w:val="001C6B9B"/>
    <w:rsid w:val="001D151A"/>
    <w:rsid w:val="001E6633"/>
    <w:rsid w:val="001F4758"/>
    <w:rsid w:val="00203F3D"/>
    <w:rsid w:val="002250AA"/>
    <w:rsid w:val="00230B6C"/>
    <w:rsid w:val="00240FB5"/>
    <w:rsid w:val="0027135C"/>
    <w:rsid w:val="00271C93"/>
    <w:rsid w:val="002811A5"/>
    <w:rsid w:val="002859EB"/>
    <w:rsid w:val="002A4220"/>
    <w:rsid w:val="002B0721"/>
    <w:rsid w:val="002B1A7B"/>
    <w:rsid w:val="002B4BF2"/>
    <w:rsid w:val="002B7931"/>
    <w:rsid w:val="002D17FF"/>
    <w:rsid w:val="002D2D4D"/>
    <w:rsid w:val="002D4A31"/>
    <w:rsid w:val="002D704A"/>
    <w:rsid w:val="002F0E76"/>
    <w:rsid w:val="002F389B"/>
    <w:rsid w:val="002F6FDB"/>
    <w:rsid w:val="002F7CDE"/>
    <w:rsid w:val="0030292F"/>
    <w:rsid w:val="0030541A"/>
    <w:rsid w:val="00314EC6"/>
    <w:rsid w:val="00316FB6"/>
    <w:rsid w:val="00325785"/>
    <w:rsid w:val="003324C0"/>
    <w:rsid w:val="003400E3"/>
    <w:rsid w:val="00344209"/>
    <w:rsid w:val="00344AAF"/>
    <w:rsid w:val="00347630"/>
    <w:rsid w:val="00350B2D"/>
    <w:rsid w:val="00353D9B"/>
    <w:rsid w:val="003602A2"/>
    <w:rsid w:val="00382A39"/>
    <w:rsid w:val="00393BEF"/>
    <w:rsid w:val="003A3E2E"/>
    <w:rsid w:val="003C0155"/>
    <w:rsid w:val="003C0B23"/>
    <w:rsid w:val="003C4F07"/>
    <w:rsid w:val="003D0884"/>
    <w:rsid w:val="003E1236"/>
    <w:rsid w:val="003E26AC"/>
    <w:rsid w:val="003E4CCF"/>
    <w:rsid w:val="003F11B8"/>
    <w:rsid w:val="003F1A1E"/>
    <w:rsid w:val="0040368F"/>
    <w:rsid w:val="0040434B"/>
    <w:rsid w:val="004118D5"/>
    <w:rsid w:val="004120D5"/>
    <w:rsid w:val="004153EC"/>
    <w:rsid w:val="00415B58"/>
    <w:rsid w:val="00415EA7"/>
    <w:rsid w:val="004160AD"/>
    <w:rsid w:val="00417C25"/>
    <w:rsid w:val="00420854"/>
    <w:rsid w:val="0042380E"/>
    <w:rsid w:val="0043147E"/>
    <w:rsid w:val="00434DED"/>
    <w:rsid w:val="0043620A"/>
    <w:rsid w:val="0044562B"/>
    <w:rsid w:val="0044780F"/>
    <w:rsid w:val="0045323C"/>
    <w:rsid w:val="0047100F"/>
    <w:rsid w:val="004769CC"/>
    <w:rsid w:val="00485460"/>
    <w:rsid w:val="004A1EEF"/>
    <w:rsid w:val="004B168C"/>
    <w:rsid w:val="004B3C74"/>
    <w:rsid w:val="004B4AB6"/>
    <w:rsid w:val="004C2694"/>
    <w:rsid w:val="004C5A39"/>
    <w:rsid w:val="004D015F"/>
    <w:rsid w:val="004D0FAD"/>
    <w:rsid w:val="004F41D6"/>
    <w:rsid w:val="005154A7"/>
    <w:rsid w:val="005218C8"/>
    <w:rsid w:val="005339FF"/>
    <w:rsid w:val="00544406"/>
    <w:rsid w:val="0055461B"/>
    <w:rsid w:val="00566228"/>
    <w:rsid w:val="00577A9D"/>
    <w:rsid w:val="00582626"/>
    <w:rsid w:val="005B0E3F"/>
    <w:rsid w:val="005B15A7"/>
    <w:rsid w:val="005C2DE0"/>
    <w:rsid w:val="005D5A2C"/>
    <w:rsid w:val="005D6D41"/>
    <w:rsid w:val="005E5270"/>
    <w:rsid w:val="005F6E15"/>
    <w:rsid w:val="00616D6F"/>
    <w:rsid w:val="00620D4F"/>
    <w:rsid w:val="00622F9E"/>
    <w:rsid w:val="00642366"/>
    <w:rsid w:val="0067006D"/>
    <w:rsid w:val="00670AB1"/>
    <w:rsid w:val="00672B5D"/>
    <w:rsid w:val="00674E3F"/>
    <w:rsid w:val="006778A6"/>
    <w:rsid w:val="0069040E"/>
    <w:rsid w:val="006910F4"/>
    <w:rsid w:val="00697C79"/>
    <w:rsid w:val="006A79A3"/>
    <w:rsid w:val="006D2421"/>
    <w:rsid w:val="006D3DC8"/>
    <w:rsid w:val="006E0047"/>
    <w:rsid w:val="006F22A8"/>
    <w:rsid w:val="006F5155"/>
    <w:rsid w:val="006F734D"/>
    <w:rsid w:val="0070085D"/>
    <w:rsid w:val="0070123A"/>
    <w:rsid w:val="00713751"/>
    <w:rsid w:val="00725996"/>
    <w:rsid w:val="007266D2"/>
    <w:rsid w:val="007453FB"/>
    <w:rsid w:val="007456C7"/>
    <w:rsid w:val="007532FA"/>
    <w:rsid w:val="007560BD"/>
    <w:rsid w:val="007603B2"/>
    <w:rsid w:val="007603FE"/>
    <w:rsid w:val="0076640E"/>
    <w:rsid w:val="00770310"/>
    <w:rsid w:val="00771536"/>
    <w:rsid w:val="00785D1D"/>
    <w:rsid w:val="0078614D"/>
    <w:rsid w:val="00791666"/>
    <w:rsid w:val="0079514F"/>
    <w:rsid w:val="007B0235"/>
    <w:rsid w:val="007D0586"/>
    <w:rsid w:val="007D5D67"/>
    <w:rsid w:val="007D6EE5"/>
    <w:rsid w:val="007E4040"/>
    <w:rsid w:val="007E5A41"/>
    <w:rsid w:val="007E6A6D"/>
    <w:rsid w:val="007F7CF5"/>
    <w:rsid w:val="008059FC"/>
    <w:rsid w:val="00812806"/>
    <w:rsid w:val="008230A9"/>
    <w:rsid w:val="00825EBA"/>
    <w:rsid w:val="00832770"/>
    <w:rsid w:val="00835232"/>
    <w:rsid w:val="008373C6"/>
    <w:rsid w:val="00840B3A"/>
    <w:rsid w:val="00841388"/>
    <w:rsid w:val="008416EE"/>
    <w:rsid w:val="00851A28"/>
    <w:rsid w:val="00854652"/>
    <w:rsid w:val="00862675"/>
    <w:rsid w:val="00872C9F"/>
    <w:rsid w:val="0087426B"/>
    <w:rsid w:val="00882EA4"/>
    <w:rsid w:val="00890E55"/>
    <w:rsid w:val="0089430D"/>
    <w:rsid w:val="00895692"/>
    <w:rsid w:val="008A6421"/>
    <w:rsid w:val="008B6B8C"/>
    <w:rsid w:val="008C3EC3"/>
    <w:rsid w:val="008D181F"/>
    <w:rsid w:val="008D48B5"/>
    <w:rsid w:val="008D5985"/>
    <w:rsid w:val="008E6AB3"/>
    <w:rsid w:val="009012C8"/>
    <w:rsid w:val="009054AD"/>
    <w:rsid w:val="009062A1"/>
    <w:rsid w:val="009163FD"/>
    <w:rsid w:val="00935A54"/>
    <w:rsid w:val="009561E3"/>
    <w:rsid w:val="0095752E"/>
    <w:rsid w:val="00960C0C"/>
    <w:rsid w:val="009642FB"/>
    <w:rsid w:val="00975B53"/>
    <w:rsid w:val="00984017"/>
    <w:rsid w:val="0098598C"/>
    <w:rsid w:val="00996B95"/>
    <w:rsid w:val="009A6233"/>
    <w:rsid w:val="009A7F8C"/>
    <w:rsid w:val="009B050F"/>
    <w:rsid w:val="009B4272"/>
    <w:rsid w:val="009C3E75"/>
    <w:rsid w:val="009C592D"/>
    <w:rsid w:val="009D096D"/>
    <w:rsid w:val="009E2F95"/>
    <w:rsid w:val="009F6FFB"/>
    <w:rsid w:val="00A008BC"/>
    <w:rsid w:val="00A03E89"/>
    <w:rsid w:val="00A05394"/>
    <w:rsid w:val="00A1553F"/>
    <w:rsid w:val="00A20E46"/>
    <w:rsid w:val="00A26776"/>
    <w:rsid w:val="00A3149D"/>
    <w:rsid w:val="00A53AD3"/>
    <w:rsid w:val="00A53E0A"/>
    <w:rsid w:val="00A64389"/>
    <w:rsid w:val="00AA3005"/>
    <w:rsid w:val="00AB68A6"/>
    <w:rsid w:val="00AB7861"/>
    <w:rsid w:val="00AD1462"/>
    <w:rsid w:val="00AE70D8"/>
    <w:rsid w:val="00AF2874"/>
    <w:rsid w:val="00AF5CD2"/>
    <w:rsid w:val="00AF7529"/>
    <w:rsid w:val="00B04768"/>
    <w:rsid w:val="00B060FE"/>
    <w:rsid w:val="00B1408E"/>
    <w:rsid w:val="00B35C05"/>
    <w:rsid w:val="00B4750A"/>
    <w:rsid w:val="00B62C07"/>
    <w:rsid w:val="00B7266F"/>
    <w:rsid w:val="00B864E9"/>
    <w:rsid w:val="00BA1320"/>
    <w:rsid w:val="00BB0965"/>
    <w:rsid w:val="00BD3900"/>
    <w:rsid w:val="00BD63F4"/>
    <w:rsid w:val="00BD7934"/>
    <w:rsid w:val="00BF4B8A"/>
    <w:rsid w:val="00BF5E0C"/>
    <w:rsid w:val="00C1530F"/>
    <w:rsid w:val="00C1621E"/>
    <w:rsid w:val="00C20587"/>
    <w:rsid w:val="00C20647"/>
    <w:rsid w:val="00C210D9"/>
    <w:rsid w:val="00C22230"/>
    <w:rsid w:val="00C27E13"/>
    <w:rsid w:val="00C43155"/>
    <w:rsid w:val="00C47170"/>
    <w:rsid w:val="00C55C27"/>
    <w:rsid w:val="00C660B5"/>
    <w:rsid w:val="00C778C9"/>
    <w:rsid w:val="00C818F3"/>
    <w:rsid w:val="00C87B4E"/>
    <w:rsid w:val="00CA0C66"/>
    <w:rsid w:val="00CA0E9C"/>
    <w:rsid w:val="00CA67A2"/>
    <w:rsid w:val="00CA6853"/>
    <w:rsid w:val="00CB0D48"/>
    <w:rsid w:val="00CB3D2A"/>
    <w:rsid w:val="00CB6D1C"/>
    <w:rsid w:val="00CC2304"/>
    <w:rsid w:val="00CD0CCF"/>
    <w:rsid w:val="00CD7971"/>
    <w:rsid w:val="00D10403"/>
    <w:rsid w:val="00D16B25"/>
    <w:rsid w:val="00D25B14"/>
    <w:rsid w:val="00D419A5"/>
    <w:rsid w:val="00D47CD4"/>
    <w:rsid w:val="00D55C23"/>
    <w:rsid w:val="00D876F4"/>
    <w:rsid w:val="00D91670"/>
    <w:rsid w:val="00D94317"/>
    <w:rsid w:val="00DA5AE9"/>
    <w:rsid w:val="00DA7556"/>
    <w:rsid w:val="00DB1E33"/>
    <w:rsid w:val="00DB6C27"/>
    <w:rsid w:val="00DC7CFD"/>
    <w:rsid w:val="00DD5E60"/>
    <w:rsid w:val="00DE4D4B"/>
    <w:rsid w:val="00E03D0F"/>
    <w:rsid w:val="00E05433"/>
    <w:rsid w:val="00E149EC"/>
    <w:rsid w:val="00E44B32"/>
    <w:rsid w:val="00E450A2"/>
    <w:rsid w:val="00E47446"/>
    <w:rsid w:val="00E5240A"/>
    <w:rsid w:val="00E53D42"/>
    <w:rsid w:val="00E53DAB"/>
    <w:rsid w:val="00E53FF5"/>
    <w:rsid w:val="00E678CE"/>
    <w:rsid w:val="00EB5DC0"/>
    <w:rsid w:val="00EC4756"/>
    <w:rsid w:val="00ED789D"/>
    <w:rsid w:val="00EE79CD"/>
    <w:rsid w:val="00F00E58"/>
    <w:rsid w:val="00F036C3"/>
    <w:rsid w:val="00F14511"/>
    <w:rsid w:val="00F14E4E"/>
    <w:rsid w:val="00F379C3"/>
    <w:rsid w:val="00F4403B"/>
    <w:rsid w:val="00F67005"/>
    <w:rsid w:val="00F67C1A"/>
    <w:rsid w:val="00F740CF"/>
    <w:rsid w:val="00F84DB2"/>
    <w:rsid w:val="00F86384"/>
    <w:rsid w:val="00FA7478"/>
    <w:rsid w:val="00FB155C"/>
    <w:rsid w:val="00FB4BC6"/>
    <w:rsid w:val="00FE035B"/>
    <w:rsid w:val="00FE55B1"/>
    <w:rsid w:val="00FF0A7E"/>
    <w:rsid w:val="00FF1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2841"/>
  <w15:docId w15:val="{DD159173-7428-4893-A099-EF3B0A8C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0E3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B0E3F"/>
    <w:pPr>
      <w:keepNext/>
      <w:ind w:left="426"/>
      <w:jc w:val="center"/>
      <w:outlineLvl w:val="0"/>
    </w:pPr>
    <w:rPr>
      <w:rFonts w:ascii="Arial" w:hAnsi="Arial"/>
      <w:sz w:val="28"/>
      <w:szCs w:val="20"/>
    </w:rPr>
  </w:style>
  <w:style w:type="paragraph" w:styleId="Nadpis2">
    <w:name w:val="heading 2"/>
    <w:basedOn w:val="Normln"/>
    <w:next w:val="Normln"/>
    <w:link w:val="Nadpis2Char"/>
    <w:semiHidden/>
    <w:unhideWhenUsed/>
    <w:qFormat/>
    <w:rsid w:val="005B0E3F"/>
    <w:pPr>
      <w:keepNext/>
      <w:ind w:left="284" w:hanging="284"/>
      <w:jc w:val="center"/>
      <w:outlineLvl w:val="1"/>
    </w:pPr>
    <w:rPr>
      <w:rFonts w:ascii="Arial" w:hAnsi="Arial"/>
      <w:sz w:val="28"/>
      <w:szCs w:val="20"/>
    </w:rPr>
  </w:style>
  <w:style w:type="paragraph" w:styleId="Nadpis3">
    <w:name w:val="heading 3"/>
    <w:basedOn w:val="Normln"/>
    <w:next w:val="Normln"/>
    <w:link w:val="Nadpis3Char"/>
    <w:uiPriority w:val="9"/>
    <w:semiHidden/>
    <w:unhideWhenUsed/>
    <w:qFormat/>
    <w:rsid w:val="0043147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3147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3147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314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0E3F"/>
    <w:rPr>
      <w:rFonts w:ascii="Arial" w:eastAsia="Times New Roman" w:hAnsi="Arial" w:cs="Times New Roman"/>
      <w:sz w:val="28"/>
      <w:szCs w:val="20"/>
      <w:lang w:eastAsia="cs-CZ"/>
    </w:rPr>
  </w:style>
  <w:style w:type="character" w:customStyle="1" w:styleId="Nadpis2Char">
    <w:name w:val="Nadpis 2 Char"/>
    <w:basedOn w:val="Standardnpsmoodstavce"/>
    <w:link w:val="Nadpis2"/>
    <w:semiHidden/>
    <w:rsid w:val="005B0E3F"/>
    <w:rPr>
      <w:rFonts w:ascii="Arial" w:eastAsia="Times New Roman" w:hAnsi="Arial" w:cs="Times New Roman"/>
      <w:sz w:val="28"/>
      <w:szCs w:val="20"/>
      <w:lang w:eastAsia="cs-CZ"/>
    </w:rPr>
  </w:style>
  <w:style w:type="paragraph" w:styleId="Zpat">
    <w:name w:val="footer"/>
    <w:basedOn w:val="Normln"/>
    <w:link w:val="ZpatChar"/>
    <w:uiPriority w:val="99"/>
    <w:unhideWhenUsed/>
    <w:rsid w:val="005B0E3F"/>
    <w:pPr>
      <w:tabs>
        <w:tab w:val="center" w:pos="4536"/>
        <w:tab w:val="right" w:pos="9072"/>
      </w:tabs>
    </w:pPr>
  </w:style>
  <w:style w:type="character" w:customStyle="1" w:styleId="ZpatChar">
    <w:name w:val="Zápatí Char"/>
    <w:basedOn w:val="Standardnpsmoodstavce"/>
    <w:link w:val="Zpat"/>
    <w:uiPriority w:val="99"/>
    <w:rsid w:val="005B0E3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5B0E3F"/>
    <w:pPr>
      <w:jc w:val="center"/>
    </w:pPr>
    <w:rPr>
      <w:rFonts w:ascii="Arial" w:hAnsi="Arial"/>
      <w:sz w:val="28"/>
      <w:szCs w:val="20"/>
    </w:rPr>
  </w:style>
  <w:style w:type="character" w:customStyle="1" w:styleId="ZkladntextChar">
    <w:name w:val="Základní text Char"/>
    <w:basedOn w:val="Standardnpsmoodstavce"/>
    <w:link w:val="Zkladntext"/>
    <w:rsid w:val="005B0E3F"/>
    <w:rPr>
      <w:rFonts w:ascii="Arial" w:eastAsia="Times New Roman" w:hAnsi="Arial" w:cs="Times New Roman"/>
      <w:sz w:val="28"/>
      <w:szCs w:val="20"/>
      <w:lang w:eastAsia="cs-CZ"/>
    </w:rPr>
  </w:style>
  <w:style w:type="paragraph" w:styleId="Zkladntextodsazen">
    <w:name w:val="Body Text Indent"/>
    <w:basedOn w:val="Normln"/>
    <w:link w:val="ZkladntextodsazenChar"/>
    <w:semiHidden/>
    <w:unhideWhenUsed/>
    <w:rsid w:val="005B0E3F"/>
    <w:pPr>
      <w:ind w:left="8496"/>
    </w:pPr>
    <w:rPr>
      <w:rFonts w:ascii="Arial" w:hAnsi="Arial"/>
      <w:sz w:val="28"/>
      <w:szCs w:val="20"/>
    </w:rPr>
  </w:style>
  <w:style w:type="character" w:customStyle="1" w:styleId="ZkladntextodsazenChar">
    <w:name w:val="Základní text odsazený Char"/>
    <w:basedOn w:val="Standardnpsmoodstavce"/>
    <w:link w:val="Zkladntextodsazen"/>
    <w:semiHidden/>
    <w:rsid w:val="005B0E3F"/>
    <w:rPr>
      <w:rFonts w:ascii="Arial" w:eastAsia="Times New Roman" w:hAnsi="Arial" w:cs="Times New Roman"/>
      <w:sz w:val="28"/>
      <w:szCs w:val="20"/>
      <w:lang w:eastAsia="cs-CZ"/>
    </w:rPr>
  </w:style>
  <w:style w:type="paragraph" w:styleId="Zkladntextodsazen2">
    <w:name w:val="Body Text Indent 2"/>
    <w:basedOn w:val="Normln"/>
    <w:link w:val="Zkladntextodsazen2Char"/>
    <w:semiHidden/>
    <w:unhideWhenUsed/>
    <w:rsid w:val="005B0E3F"/>
    <w:pPr>
      <w:ind w:left="426"/>
      <w:jc w:val="both"/>
    </w:pPr>
    <w:rPr>
      <w:rFonts w:ascii="Arial" w:hAnsi="Arial"/>
      <w:sz w:val="28"/>
      <w:szCs w:val="20"/>
    </w:rPr>
  </w:style>
  <w:style w:type="character" w:customStyle="1" w:styleId="Zkladntextodsazen2Char">
    <w:name w:val="Základní text odsazený 2 Char"/>
    <w:basedOn w:val="Standardnpsmoodstavce"/>
    <w:link w:val="Zkladntextodsazen2"/>
    <w:semiHidden/>
    <w:rsid w:val="005B0E3F"/>
    <w:rPr>
      <w:rFonts w:ascii="Arial" w:eastAsia="Times New Roman" w:hAnsi="Arial" w:cs="Times New Roman"/>
      <w:sz w:val="28"/>
      <w:szCs w:val="20"/>
      <w:lang w:eastAsia="cs-CZ"/>
    </w:rPr>
  </w:style>
  <w:style w:type="paragraph" w:styleId="Zkladntextodsazen3">
    <w:name w:val="Body Text Indent 3"/>
    <w:basedOn w:val="Normln"/>
    <w:link w:val="Zkladntextodsazen3Char"/>
    <w:semiHidden/>
    <w:unhideWhenUsed/>
    <w:rsid w:val="005B0E3F"/>
    <w:pPr>
      <w:ind w:left="426"/>
    </w:pPr>
    <w:rPr>
      <w:rFonts w:ascii="Arial" w:hAnsi="Arial"/>
      <w:sz w:val="28"/>
      <w:szCs w:val="20"/>
    </w:rPr>
  </w:style>
  <w:style w:type="character" w:customStyle="1" w:styleId="Zkladntextodsazen3Char">
    <w:name w:val="Základní text odsazený 3 Char"/>
    <w:basedOn w:val="Standardnpsmoodstavce"/>
    <w:link w:val="Zkladntextodsazen3"/>
    <w:semiHidden/>
    <w:rsid w:val="005B0E3F"/>
    <w:rPr>
      <w:rFonts w:ascii="Arial" w:eastAsia="Times New Roman" w:hAnsi="Arial" w:cs="Times New Roman"/>
      <w:sz w:val="28"/>
      <w:szCs w:val="20"/>
      <w:lang w:eastAsia="cs-CZ"/>
    </w:rPr>
  </w:style>
  <w:style w:type="character" w:customStyle="1" w:styleId="Nadpis3Char">
    <w:name w:val="Nadpis 3 Char"/>
    <w:basedOn w:val="Standardnpsmoodstavce"/>
    <w:link w:val="Nadpis3"/>
    <w:uiPriority w:val="9"/>
    <w:semiHidden/>
    <w:rsid w:val="0043147E"/>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43147E"/>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43147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43147E"/>
    <w:rPr>
      <w:rFonts w:asciiTheme="majorHAnsi" w:eastAsiaTheme="majorEastAsia" w:hAnsiTheme="majorHAnsi" w:cstheme="majorBidi"/>
      <w:i/>
      <w:iCs/>
      <w:color w:val="243F60" w:themeColor="accent1" w:themeShade="7F"/>
      <w:sz w:val="24"/>
      <w:szCs w:val="24"/>
      <w:lang w:eastAsia="cs-CZ"/>
    </w:rPr>
  </w:style>
  <w:style w:type="character" w:styleId="Hypertextovodkaz">
    <w:name w:val="Hyperlink"/>
    <w:unhideWhenUsed/>
    <w:rsid w:val="0043147E"/>
    <w:rPr>
      <w:color w:val="0000FF"/>
      <w:u w:val="single"/>
    </w:rPr>
  </w:style>
  <w:style w:type="paragraph" w:styleId="Zkladntext2">
    <w:name w:val="Body Text 2"/>
    <w:basedOn w:val="Normln"/>
    <w:link w:val="Zkladntext2Char"/>
    <w:uiPriority w:val="99"/>
    <w:unhideWhenUsed/>
    <w:rsid w:val="0043147E"/>
    <w:pPr>
      <w:spacing w:after="120" w:line="480" w:lineRule="auto"/>
    </w:pPr>
  </w:style>
  <w:style w:type="character" w:customStyle="1" w:styleId="Zkladntext2Char">
    <w:name w:val="Základní text 2 Char"/>
    <w:basedOn w:val="Standardnpsmoodstavce"/>
    <w:link w:val="Zkladntext2"/>
    <w:uiPriority w:val="99"/>
    <w:rsid w:val="0043147E"/>
    <w:rPr>
      <w:rFonts w:ascii="Times New Roman" w:eastAsia="Times New Roman" w:hAnsi="Times New Roman" w:cs="Times New Roman"/>
      <w:sz w:val="24"/>
      <w:szCs w:val="24"/>
      <w:lang w:eastAsia="cs-CZ"/>
    </w:rPr>
  </w:style>
  <w:style w:type="paragraph" w:customStyle="1" w:styleId="Zkladntextodsazen21">
    <w:name w:val="Základní text odsazený 21"/>
    <w:basedOn w:val="Normln"/>
    <w:rsid w:val="0043147E"/>
    <w:pPr>
      <w:overflowPunct w:val="0"/>
      <w:autoSpaceDE w:val="0"/>
      <w:autoSpaceDN w:val="0"/>
      <w:adjustRightInd w:val="0"/>
      <w:ind w:left="567" w:hanging="567"/>
      <w:jc w:val="both"/>
    </w:pPr>
    <w:rPr>
      <w:rFonts w:ascii="Arial" w:hAnsi="Arial"/>
      <w:szCs w:val="20"/>
    </w:rPr>
  </w:style>
  <w:style w:type="paragraph" w:styleId="Zhlav">
    <w:name w:val="header"/>
    <w:basedOn w:val="Normln"/>
    <w:link w:val="ZhlavChar"/>
    <w:uiPriority w:val="99"/>
    <w:unhideWhenUsed/>
    <w:rsid w:val="00CC2304"/>
    <w:pPr>
      <w:tabs>
        <w:tab w:val="center" w:pos="4536"/>
        <w:tab w:val="right" w:pos="9072"/>
      </w:tabs>
    </w:pPr>
  </w:style>
  <w:style w:type="character" w:customStyle="1" w:styleId="ZhlavChar">
    <w:name w:val="Záhlaví Char"/>
    <w:basedOn w:val="Standardnpsmoodstavce"/>
    <w:link w:val="Zhlav"/>
    <w:uiPriority w:val="99"/>
    <w:rsid w:val="00CC230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4CCF"/>
    <w:rPr>
      <w:rFonts w:ascii="Tahoma" w:hAnsi="Tahoma" w:cs="Tahoma"/>
      <w:sz w:val="16"/>
      <w:szCs w:val="16"/>
    </w:rPr>
  </w:style>
  <w:style w:type="character" w:customStyle="1" w:styleId="TextbublinyChar">
    <w:name w:val="Text bubliny Char"/>
    <w:basedOn w:val="Standardnpsmoodstavce"/>
    <w:link w:val="Textbubliny"/>
    <w:uiPriority w:val="99"/>
    <w:semiHidden/>
    <w:rsid w:val="003E4CCF"/>
    <w:rPr>
      <w:rFonts w:ascii="Tahoma" w:eastAsia="Times New Roman" w:hAnsi="Tahoma" w:cs="Tahoma"/>
      <w:sz w:val="16"/>
      <w:szCs w:val="16"/>
      <w:lang w:eastAsia="cs-CZ"/>
    </w:rPr>
  </w:style>
  <w:style w:type="paragraph" w:styleId="Odstavecseseznamem">
    <w:name w:val="List Paragraph"/>
    <w:aliases w:val="List Paragraph (Czech Tourism),Odstavec_muj"/>
    <w:basedOn w:val="Normln"/>
    <w:link w:val="OdstavecseseznamemChar"/>
    <w:uiPriority w:val="34"/>
    <w:qFormat/>
    <w:rsid w:val="00164BFD"/>
    <w:pPr>
      <w:ind w:left="720"/>
      <w:contextualSpacing/>
    </w:pPr>
  </w:style>
  <w:style w:type="paragraph" w:styleId="Bezmezer">
    <w:name w:val="No Spacing"/>
    <w:uiPriority w:val="1"/>
    <w:qFormat/>
    <w:rsid w:val="004769CC"/>
    <w:pPr>
      <w:spacing w:after="0" w:line="240" w:lineRule="auto"/>
    </w:pPr>
    <w:rPr>
      <w:rFonts w:ascii="Calibri" w:eastAsia="Calibri" w:hAnsi="Calibri" w:cs="Times New Roman"/>
    </w:rPr>
  </w:style>
  <w:style w:type="paragraph" w:styleId="Seznamsodrkami">
    <w:name w:val="List Bullet"/>
    <w:basedOn w:val="Normln"/>
    <w:uiPriority w:val="99"/>
    <w:unhideWhenUsed/>
    <w:rsid w:val="004769CC"/>
    <w:pPr>
      <w:numPr>
        <w:numId w:val="20"/>
      </w:numPr>
      <w:contextualSpacing/>
    </w:pPr>
  </w:style>
  <w:style w:type="paragraph" w:customStyle="1" w:styleId="Default">
    <w:name w:val="Default"/>
    <w:rsid w:val="004769C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List Paragraph (Czech Tourism) Char,Odstavec_muj Char"/>
    <w:link w:val="Odstavecseseznamem"/>
    <w:uiPriority w:val="34"/>
    <w:qFormat/>
    <w:rsid w:val="004769CC"/>
    <w:rPr>
      <w:rFonts w:ascii="Times New Roman" w:eastAsia="Times New Roman" w:hAnsi="Times New Roman" w:cs="Times New Roman"/>
      <w:sz w:val="24"/>
      <w:szCs w:val="24"/>
      <w:lang w:eastAsia="cs-CZ"/>
    </w:rPr>
  </w:style>
  <w:style w:type="paragraph" w:customStyle="1" w:styleId="nadpis0020z00e1kona">
    <w:name w:val="nadpis_0020z_00e1kona"/>
    <w:basedOn w:val="Normln"/>
    <w:rsid w:val="004769CC"/>
    <w:pPr>
      <w:spacing w:before="100" w:beforeAutospacing="1" w:after="100" w:afterAutospacing="1"/>
    </w:pPr>
  </w:style>
  <w:style w:type="table" w:styleId="Mkatabulky">
    <w:name w:val="Table Grid"/>
    <w:basedOn w:val="Normlntabulka"/>
    <w:uiPriority w:val="59"/>
    <w:rsid w:val="00FE55B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3756">
      <w:bodyDiv w:val="1"/>
      <w:marLeft w:val="0"/>
      <w:marRight w:val="0"/>
      <w:marTop w:val="0"/>
      <w:marBottom w:val="0"/>
      <w:divBdr>
        <w:top w:val="none" w:sz="0" w:space="0" w:color="auto"/>
        <w:left w:val="none" w:sz="0" w:space="0" w:color="auto"/>
        <w:bottom w:val="none" w:sz="0" w:space="0" w:color="auto"/>
        <w:right w:val="none" w:sz="0" w:space="0" w:color="auto"/>
      </w:divBdr>
    </w:div>
    <w:div w:id="539320598">
      <w:bodyDiv w:val="1"/>
      <w:marLeft w:val="0"/>
      <w:marRight w:val="0"/>
      <w:marTop w:val="0"/>
      <w:marBottom w:val="0"/>
      <w:divBdr>
        <w:top w:val="none" w:sz="0" w:space="0" w:color="auto"/>
        <w:left w:val="none" w:sz="0" w:space="0" w:color="auto"/>
        <w:bottom w:val="none" w:sz="0" w:space="0" w:color="auto"/>
        <w:right w:val="none" w:sz="0" w:space="0" w:color="auto"/>
      </w:divBdr>
    </w:div>
    <w:div w:id="750156152">
      <w:bodyDiv w:val="1"/>
      <w:marLeft w:val="0"/>
      <w:marRight w:val="0"/>
      <w:marTop w:val="0"/>
      <w:marBottom w:val="0"/>
      <w:divBdr>
        <w:top w:val="none" w:sz="0" w:space="0" w:color="auto"/>
        <w:left w:val="none" w:sz="0" w:space="0" w:color="auto"/>
        <w:bottom w:val="none" w:sz="0" w:space="0" w:color="auto"/>
        <w:right w:val="none" w:sz="0" w:space="0" w:color="auto"/>
      </w:divBdr>
    </w:div>
    <w:div w:id="936981155">
      <w:bodyDiv w:val="1"/>
      <w:marLeft w:val="0"/>
      <w:marRight w:val="0"/>
      <w:marTop w:val="0"/>
      <w:marBottom w:val="0"/>
      <w:divBdr>
        <w:top w:val="none" w:sz="0" w:space="0" w:color="auto"/>
        <w:left w:val="none" w:sz="0" w:space="0" w:color="auto"/>
        <w:bottom w:val="none" w:sz="0" w:space="0" w:color="auto"/>
        <w:right w:val="none" w:sz="0" w:space="0" w:color="auto"/>
      </w:divBdr>
    </w:div>
    <w:div w:id="1236404034">
      <w:bodyDiv w:val="1"/>
      <w:marLeft w:val="0"/>
      <w:marRight w:val="0"/>
      <w:marTop w:val="0"/>
      <w:marBottom w:val="0"/>
      <w:divBdr>
        <w:top w:val="none" w:sz="0" w:space="0" w:color="auto"/>
        <w:left w:val="none" w:sz="0" w:space="0" w:color="auto"/>
        <w:bottom w:val="none" w:sz="0" w:space="0" w:color="auto"/>
        <w:right w:val="none" w:sz="0" w:space="0" w:color="auto"/>
      </w:divBdr>
    </w:div>
    <w:div w:id="1279021361">
      <w:bodyDiv w:val="1"/>
      <w:marLeft w:val="0"/>
      <w:marRight w:val="0"/>
      <w:marTop w:val="0"/>
      <w:marBottom w:val="0"/>
      <w:divBdr>
        <w:top w:val="none" w:sz="0" w:space="0" w:color="auto"/>
        <w:left w:val="none" w:sz="0" w:space="0" w:color="auto"/>
        <w:bottom w:val="none" w:sz="0" w:space="0" w:color="auto"/>
        <w:right w:val="none" w:sz="0" w:space="0" w:color="auto"/>
      </w:divBdr>
    </w:div>
    <w:div w:id="1376274454">
      <w:bodyDiv w:val="1"/>
      <w:marLeft w:val="0"/>
      <w:marRight w:val="0"/>
      <w:marTop w:val="0"/>
      <w:marBottom w:val="0"/>
      <w:divBdr>
        <w:top w:val="none" w:sz="0" w:space="0" w:color="auto"/>
        <w:left w:val="none" w:sz="0" w:space="0" w:color="auto"/>
        <w:bottom w:val="none" w:sz="0" w:space="0" w:color="auto"/>
        <w:right w:val="none" w:sz="0" w:space="0" w:color="auto"/>
      </w:divBdr>
    </w:div>
    <w:div w:id="1825467691">
      <w:bodyDiv w:val="1"/>
      <w:marLeft w:val="0"/>
      <w:marRight w:val="0"/>
      <w:marTop w:val="0"/>
      <w:marBottom w:val="0"/>
      <w:divBdr>
        <w:top w:val="none" w:sz="0" w:space="0" w:color="auto"/>
        <w:left w:val="none" w:sz="0" w:space="0" w:color="auto"/>
        <w:bottom w:val="none" w:sz="0" w:space="0" w:color="auto"/>
        <w:right w:val="none" w:sz="0" w:space="0" w:color="auto"/>
      </w:divBdr>
    </w:div>
    <w:div w:id="1891728947">
      <w:bodyDiv w:val="1"/>
      <w:marLeft w:val="0"/>
      <w:marRight w:val="0"/>
      <w:marTop w:val="0"/>
      <w:marBottom w:val="0"/>
      <w:divBdr>
        <w:top w:val="none" w:sz="0" w:space="0" w:color="auto"/>
        <w:left w:val="none" w:sz="0" w:space="0" w:color="auto"/>
        <w:bottom w:val="none" w:sz="0" w:space="0" w:color="auto"/>
        <w:right w:val="none" w:sz="0" w:space="0" w:color="auto"/>
      </w:divBdr>
    </w:div>
    <w:div w:id="1967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3BDE-9976-4DCF-A10C-7A9AAD95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2283</Words>
  <Characters>13476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Hloušková Pavla JUDr (MPSV)</dc:creator>
  <cp:lastModifiedBy>Václav Krása</cp:lastModifiedBy>
  <cp:revision>2</cp:revision>
  <cp:lastPrinted>2019-08-02T12:07:00Z</cp:lastPrinted>
  <dcterms:created xsi:type="dcterms:W3CDTF">2021-11-26T09:34:00Z</dcterms:created>
  <dcterms:modified xsi:type="dcterms:W3CDTF">2021-11-26T09:34:00Z</dcterms:modified>
</cp:coreProperties>
</file>