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20709" w14:textId="19B5F885" w:rsidR="009C3659" w:rsidRDefault="009C3659" w:rsidP="009C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C365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 wp14:anchorId="6021B6DC" wp14:editId="09FAC44E">
            <wp:extent cx="3442915" cy="1285276"/>
            <wp:effectExtent l="0" t="0" r="5715" b="0"/>
            <wp:docPr id="1" name="Obrázek 1" descr="C:\Users\m.kubickova\Desktop\LOGA\Logo NR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\Desktop\LOGA\Logo NRZ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92" cy="128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3B1C7" w14:textId="47EFC59C" w:rsidR="00206971" w:rsidRDefault="00B935BC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2069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Zásadní připomínky </w:t>
      </w:r>
      <w:r w:rsidR="009C36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NRZP ČR </w:t>
      </w:r>
      <w:r w:rsidRPr="002069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ke strategii sociálního začleňování 2021 – 2030 </w:t>
      </w:r>
    </w:p>
    <w:p w14:paraId="71418EAB" w14:textId="77777777" w:rsidR="00206971" w:rsidRDefault="00206971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14:paraId="547CDF97" w14:textId="77777777" w:rsidR="009C3659" w:rsidRDefault="009C3659" w:rsidP="004B440E">
      <w:pPr>
        <w:pStyle w:val="Odstavecseseznamem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C3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Obecné připomínky:</w:t>
      </w:r>
    </w:p>
    <w:p w14:paraId="2583E86E" w14:textId="77777777" w:rsidR="009C3659" w:rsidRPr="009C3659" w:rsidRDefault="009C3659" w:rsidP="004B440E">
      <w:pPr>
        <w:pStyle w:val="Odstavecseseznamem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1E93FA4" w14:textId="559A8F9A" w:rsidR="00120881" w:rsidRPr="00EF6D8B" w:rsidRDefault="00B935BC" w:rsidP="004B440E">
      <w:pPr>
        <w:pStyle w:val="Odstavecseseznamem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>Z hlediska obsahového</w:t>
      </w:r>
      <w:r w:rsidR="00120881"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>je materiál rozdělen na dvě základní části</w:t>
      </w:r>
      <w:r w:rsidR="00206971"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BA2EA31" w14:textId="77777777" w:rsidR="00206971" w:rsidRDefault="00B935BC" w:rsidP="004B440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9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úvod a popis současného stavu </w:t>
      </w:r>
    </w:p>
    <w:p w14:paraId="7C4620C6" w14:textId="77777777" w:rsidR="00EF6D8B" w:rsidRDefault="00B935BC" w:rsidP="004B440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9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strategie. </w:t>
      </w:r>
    </w:p>
    <w:p w14:paraId="04406086" w14:textId="002433FC" w:rsidR="003C27FF" w:rsidRPr="00EF6D8B" w:rsidRDefault="00B935BC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jde o popis současného stavu, </w:t>
      </w:r>
      <w:r w:rsidR="00B31DF6"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vychází z porovnání vývoje od roku </w:t>
      </w:r>
      <w:r w:rsidR="00120881"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B31DF6"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>11 či později</w:t>
      </w:r>
      <w:r w:rsidR="00120881"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31DF6"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zpravidla do roku </w:t>
      </w:r>
      <w:r w:rsidR="00120881"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B31DF6"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>18 nebo 2019. Z</w:t>
      </w:r>
      <w:r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ákladním východiskem pro tvorbu strategie </w:t>
      </w:r>
      <w:r w:rsidR="00B31DF6"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 dokumentů, </w:t>
      </w:r>
      <w:r w:rsidR="00991463"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zpravidla označených jako </w:t>
      </w:r>
      <w:r w:rsidR="003C27FF"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>„K</w:t>
      </w:r>
      <w:r w:rsidR="00991463"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>oncepce</w:t>
      </w:r>
      <w:r w:rsidR="003C27FF" w:rsidRPr="00EF6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„Akční plán“, „Národní plán“, „Národní strategie“, apod.. </w:t>
      </w:r>
    </w:p>
    <w:p w14:paraId="57E65185" w14:textId="4C9B6891" w:rsidR="003049C4" w:rsidRDefault="00B935BC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C3659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postrádá</w: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hodnocení toho, zda a </w:t>
      </w:r>
      <w:r w:rsidR="003C27FF"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jaké míry </w:t>
      </w:r>
      <w:r w:rsidR="00304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dokumenty </w:t>
      </w:r>
      <w:r w:rsidR="003C27FF"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>ovlivnily</w:t>
      </w:r>
      <w:r w:rsidR="00E26250"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výchozí stav, </w: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>s jakým úspěchem byla jednotlivá opatření realizována, př</w:t>
      </w:r>
      <w:r w:rsidR="00216B39"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jaké problémy byly s realizací spojeny. </w:t>
      </w:r>
    </w:p>
    <w:p w14:paraId="2E2061E1" w14:textId="51A59231" w:rsidR="00216B39" w:rsidRPr="000C1C58" w:rsidRDefault="00B935BC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>V některých případech lze hodnocení vyvodit zejména ze srovnání statistických údajů, jak je tomu např. u vývoje míry ohrožení příjmovou chudobou, kde se dokumentuje pokles počtu ohrožených ve vztahu k hranicí</w:t>
      </w:r>
      <w:r w:rsidR="00216B39"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příjmové chudoby. </w:t>
      </w:r>
    </w:p>
    <w:p w14:paraId="4A972A30" w14:textId="39D22E7D" w:rsidR="00216B39" w:rsidRDefault="00B935BC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Obdobně je tomu v oblasti srovnání míry ohrožení chudobou před započítáním jakýchkoliv sociálních dávek, po započtení penzí a po započtení i ostatních sociálních dávek. Velkým </w: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problémem však je a v materiálu je to také konstatováno, že se neberou v úvahu např. exekuce, které velmi významně snižují reálné příjmy, čímž pochopitelně významně narůstá skutečný počet ohrožených chudobou nebo sociálním vyloučením. Ačkoliv grafy ilustrují pokles počtu obyvatel ohrožených chudobou, a to jak v absolutních, tak v relativních číslech, </w: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nezapočítávání exekucí a dalších skutečností velmi významně zpochybňuje skutečnou vypovídací hodnotu těchto ukazatelů. Rovněž není zohledňována zadluženost, která spolu s exekucemi téměř zásadně zvyšuje jak míru ohrožení chudoby, tak chudobu skutečnou. </w:t>
      </w:r>
    </w:p>
    <w:p w14:paraId="4F4E3CB6" w14:textId="77777777" w:rsidR="003049C4" w:rsidRPr="000C1C58" w:rsidRDefault="003049C4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AE0083" w14:textId="77777777" w:rsidR="009C3659" w:rsidRDefault="00B935BC" w:rsidP="009C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významně reálnější se jeví údaje získané agenturou </w:t>
      </w:r>
      <w:proofErr w:type="spellStart"/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>Median</w:t>
      </w:r>
      <w:proofErr w:type="spellEnd"/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zabývá mírou ohrožení u obyvatel ve věku 18 – 30 let. Podle ní byla v roce 2018 ohrožena chudobou více než pětina mladých lidí, z toho žen 27% a u mužů 18%. Za velmi výrazný faktor zvyšující ohrožení chudo</w:t>
      </w:r>
      <w:r w:rsidR="00240FAE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3049C4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vzdělání u osob bez maturity - je to 40%. Materiálu by velmi prospělo, </w: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kdyby věnoval těmto diferencím významně větší pozornost a vyvodil z</w:t>
      </w:r>
      <w:r w:rsidR="00E26250"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nich závěry pro budoucí období. </w:t>
      </w:r>
    </w:p>
    <w:p w14:paraId="3EF31FE0" w14:textId="77777777" w:rsidR="009C3659" w:rsidRDefault="009C3659" w:rsidP="009C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AE15EA" w14:textId="4F565B23" w:rsidR="00267167" w:rsidRDefault="00B935BC" w:rsidP="009C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167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 vzdělání na příjmovou chudobu velmi dobře ukazuje část zaměřen</w:t>
      </w:r>
      <w:r w:rsidR="003049C4" w:rsidRPr="00267167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2671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romskou populaci, </w:t>
      </w:r>
      <w:r w:rsidR="003049C4" w:rsidRPr="00267167">
        <w:rPr>
          <w:rFonts w:ascii="Times New Roman" w:eastAsia="Times New Roman" w:hAnsi="Times New Roman" w:cs="Times New Roman"/>
          <w:sz w:val="24"/>
          <w:szCs w:val="24"/>
          <w:lang w:eastAsia="cs-CZ"/>
        </w:rPr>
        <w:t>kdy</w:t>
      </w:r>
      <w:r w:rsidRPr="002671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problémy</w:t>
      </w:r>
      <w:r w:rsidR="003049C4" w:rsidRPr="002671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hospodaření s financemi ohrožuj</w:t>
      </w:r>
      <w:r w:rsidR="00267167" w:rsidRPr="00267167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3049C4" w:rsidRPr="002671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7167">
        <w:rPr>
          <w:rFonts w:ascii="Times New Roman" w:eastAsia="Times New Roman" w:hAnsi="Times New Roman" w:cs="Times New Roman"/>
          <w:sz w:val="24"/>
          <w:szCs w:val="24"/>
          <w:lang w:eastAsia="cs-CZ"/>
        </w:rPr>
        <w:t>až 87% Romů</w:t>
      </w:r>
      <w:r w:rsidR="003049C4" w:rsidRPr="0026716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671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Znepokojivým je i trend v oblasti vzdělávání romských žáků, kde sice narůstá počet romských žáků </w:t>
      </w:r>
      <w:r w:rsidR="0026716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2671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zdělávajících se podle upravených pravidel, avšak výrazně roste podíl žáků, kteří se vzdělávají ve speciálních programech. </w:t>
      </w:r>
    </w:p>
    <w:p w14:paraId="101AA18E" w14:textId="77777777" w:rsidR="009C3659" w:rsidRDefault="009C3659" w:rsidP="009C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6DFE61" w14:textId="68B47B82" w:rsidR="00206FC7" w:rsidRPr="00240FAE" w:rsidRDefault="00240FAE" w:rsidP="004B440E">
      <w:pPr>
        <w:pStyle w:val="Odstavecseseznamem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0FA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</w:t>
      </w:r>
      <w:r w:rsidR="00B935BC" w:rsidRPr="00240F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právně se konstatuje též, že rodiče se kvůli omezenému přístupu ke zdrojům dostávají do složité situace, kdy je pro ně velice náročné plnit povinnosti plynoucí z rodičovské odpovědnosti. </w:t>
      </w:r>
    </w:p>
    <w:p w14:paraId="187FB6D7" w14:textId="77777777" w:rsidR="00267167" w:rsidRPr="00267167" w:rsidRDefault="00267167" w:rsidP="004B440E">
      <w:pPr>
        <w:pStyle w:val="Odstavecseseznamem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C106CF" w14:textId="7CC1A867" w:rsidR="00206FC7" w:rsidRPr="000C1C58" w:rsidRDefault="00B935BC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Naprosto se však pomíjí skutečnost, že řadu těchto problémů způsobilo zrušení sociálního </w: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příplatku, který byl vyplácen rodinám s příjmy do dvojnásobku životního minima a který v roce 2010 pobíralo téměř 150 000 rodin s nezaopatřenými dětmi a jeho</w:t>
      </w:r>
      <w:r w:rsidR="00E26250"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průměrná výše činila měsíčně více než 1 700 Kč. </w:t>
      </w:r>
      <w:r w:rsidR="009C3659">
        <w:rPr>
          <w:rFonts w:ascii="Times New Roman" w:eastAsia="Times New Roman" w:hAnsi="Times New Roman" w:cs="Times New Roman"/>
          <w:sz w:val="24"/>
          <w:szCs w:val="24"/>
          <w:lang w:eastAsia="cs-CZ"/>
        </w:rPr>
        <w:t>Zrušení</w: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příjmů nutně způsobilo růst </w: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zadlužení, neschopnost hradit náklady na bydlení, náklady na školní stravování dětí apod. Před rokem 2010 se prakticky nevyskytovaly případy, kdy rodiny neměly na úhradu školního stravování. </w:t>
      </w:r>
    </w:p>
    <w:p w14:paraId="2C667D51" w14:textId="77777777" w:rsidR="009C3659" w:rsidRDefault="009C3659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ACD402" w14:textId="72E256AD" w:rsidR="00E26250" w:rsidRDefault="00B935BC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jde o vlastní část strategie, lze úroveň zpracování rozdělit na dvě základní části. Zadání obecných cílů a dále pak podrobnější popis jednotlivých částí. V této oblasti se zejména projevuje nedostatek vyhodnocení přijatých opatření v rámci období 2011 -</w:t>
      </w:r>
      <w:r w:rsidR="009C36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2020. Dalším velkým nedostatkem je neujasněno teritoriální struktury sociální práce z hlediska jednotlivých typů navrhovaných opatření. Pokud </w:t>
      </w:r>
      <w:r w:rsidR="00E26250"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>by byla</w: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oblasti věnována náležitá pozornost, musely by být součástí strategie i úvahy o současné struktuře úřadu práce, v nichž je kumulována odpovědnost jak za sociální oblast, tak za oblast pracovní, přičemž ani jedna z těchto oblastí není na adekvátní úrovni.</w:t>
      </w:r>
    </w:p>
    <w:p w14:paraId="70242B46" w14:textId="77777777" w:rsidR="009C3659" w:rsidRPr="000C1C58" w:rsidRDefault="009C3659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AFDF1D" w14:textId="77777777" w:rsidR="009C3659" w:rsidRDefault="00B935BC" w:rsidP="009C3659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t>Přes nepřehlédnutelná pozitiva materiá</w:t>
      </w:r>
      <w:r w:rsidR="009C3659">
        <w:rPr>
          <w:rFonts w:ascii="Times New Roman" w:eastAsia="Times New Roman" w:hAnsi="Times New Roman" w:cs="Times New Roman"/>
          <w:sz w:val="24"/>
          <w:szCs w:val="24"/>
          <w:lang w:eastAsia="cs-CZ"/>
        </w:rPr>
        <w:t>lu považuje NRZP ČR za nezbytné:</w:t>
      </w:r>
    </w:p>
    <w:p w14:paraId="5902F00B" w14:textId="77777777" w:rsidR="006E5DEB" w:rsidRDefault="00B935BC" w:rsidP="009C3659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a) doplnit materiál o vyhodnocení dříve přijatých opatření a vyvození </w:t>
      </w:r>
      <w:r w:rsid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t>lespoň</w:t>
      </w:r>
      <w:r w:rsidR="004B440E"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t>elementárních závěrů jako</w:t>
      </w:r>
      <w:r w:rsidR="00240FAE"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odůvodnění navrhované koncepce</w:t>
      </w:r>
      <w:r w:rsidR="006E5DE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59382F1" w14:textId="2BBA3593" w:rsidR="007A4F44" w:rsidRDefault="00B935BC" w:rsidP="009C3659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="006E5D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t>věnovat více pozornosti organizačním strukturám</w:t>
      </w:r>
      <w:r w:rsidR="006E5DE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pokusit se při kvantifikaci osob ohrožených chudobou zohlednit vliv zadluženosti a exekucí</w:t>
      </w:r>
      <w:r w:rsidR="006E5DE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zvážit vyčlenění sociální agendy z kompetencí úřadu práce a jej</w:t>
      </w:r>
      <w:r w:rsidR="00240FAE"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0FAE"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převod </w:t>
      </w:r>
      <w:r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6E5DEB">
        <w:rPr>
          <w:rFonts w:ascii="Times New Roman" w:eastAsia="Times New Roman" w:hAnsi="Times New Roman" w:cs="Times New Roman"/>
          <w:sz w:val="24"/>
          <w:szCs w:val="24"/>
          <w:lang w:eastAsia="cs-CZ"/>
        </w:rPr>
        <w:t>okresní správy sociálního zabezpečení, které by mohly převzít úlohu, dříve uvažovaných sociálních úřadů</w:t>
      </w:r>
      <w:r w:rsidRPr="004B4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29A106A5" w14:textId="17965766" w:rsidR="006E5DEB" w:rsidRDefault="00240FAE" w:rsidP="006E5DEB">
      <w:pPr>
        <w:pStyle w:val="Odstavecseseznamem"/>
        <w:spacing w:after="0" w:line="240" w:lineRule="auto"/>
        <w:ind w:left="-66"/>
      </w:pPr>
      <w:r>
        <w:rPr>
          <w:rFonts w:ascii="Times New Roman" w:hAnsi="Times New Roman" w:cs="Times New Roman"/>
          <w:sz w:val="24"/>
          <w:szCs w:val="24"/>
        </w:rPr>
        <w:t>e) NRZP ČR s plnou vážností a maximálním důrazem upozorňuje na to, že s ohledem na období platnosti strategie</w:t>
      </w:r>
      <w:r w:rsidR="004B440E">
        <w:rPr>
          <w:rFonts w:ascii="Times New Roman" w:hAnsi="Times New Roman" w:cs="Times New Roman"/>
          <w:sz w:val="24"/>
          <w:szCs w:val="24"/>
        </w:rPr>
        <w:t xml:space="preserve"> (rok 2030)</w:t>
      </w:r>
      <w:r>
        <w:rPr>
          <w:rFonts w:ascii="Times New Roman" w:hAnsi="Times New Roman" w:cs="Times New Roman"/>
          <w:sz w:val="24"/>
          <w:szCs w:val="24"/>
        </w:rPr>
        <w:t xml:space="preserve"> je naprosto nevyhnutelné zabývat se dopady energetické krize</w:t>
      </w:r>
      <w:r w:rsidR="006E5DEB">
        <w:rPr>
          <w:rFonts w:ascii="Times New Roman" w:hAnsi="Times New Roman" w:cs="Times New Roman"/>
          <w:sz w:val="24"/>
          <w:szCs w:val="24"/>
        </w:rPr>
        <w:t>, dopadu tzv. Zeleného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DEB">
        <w:rPr>
          <w:rFonts w:ascii="Times New Roman" w:hAnsi="Times New Roman" w:cs="Times New Roman"/>
          <w:sz w:val="24"/>
          <w:szCs w:val="24"/>
        </w:rPr>
        <w:t xml:space="preserve">údělu (Green </w:t>
      </w:r>
      <w:proofErr w:type="spellStart"/>
      <w:r w:rsidR="006E5DEB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="006E5DE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včetně </w:t>
      </w:r>
      <w:r w:rsidR="004B440E">
        <w:rPr>
          <w:rFonts w:ascii="Times New Roman" w:hAnsi="Times New Roman" w:cs="Times New Roman"/>
          <w:sz w:val="24"/>
          <w:szCs w:val="24"/>
        </w:rPr>
        <w:t xml:space="preserve">možností a </w:t>
      </w:r>
      <w:r>
        <w:rPr>
          <w:rFonts w:ascii="Times New Roman" w:hAnsi="Times New Roman" w:cs="Times New Roman"/>
          <w:sz w:val="24"/>
          <w:szCs w:val="24"/>
        </w:rPr>
        <w:t>způsobů její kompenzace</w:t>
      </w:r>
      <w:r w:rsidR="004B440E">
        <w:rPr>
          <w:rFonts w:ascii="Times New Roman" w:hAnsi="Times New Roman" w:cs="Times New Roman"/>
          <w:sz w:val="24"/>
          <w:szCs w:val="24"/>
        </w:rPr>
        <w:t xml:space="preserve">. Nezbytné je též vzít v úvahu dopady inflace a možnosti zmírnění jejich dopadů na nízkopříjmové skupiny. </w:t>
      </w:r>
    </w:p>
    <w:p w14:paraId="34A3CF05" w14:textId="2C68C35C" w:rsidR="00B935BC" w:rsidRPr="000C1C58" w:rsidRDefault="00B935BC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ord-view.officeapps.live.com/wv/WordViewer/Document.pdf?WOPIsrc=https%3A%2F%2Fwww%2Eemail%2Ecz%2Fwopi%2Ffiles%2FUa7eqR%5F0KfnZuMvjbqIeT%2DafK8soRCH8e2oSbst6AHS2LXsZfxGdsSoZbCM2pXivczGEF18%2FZ%25C3%25A1sadn%25C3%25AD%2520p%25C5%2599ipom%25C3%25ADnky%2520ke%2520strategii%2520soci%25C3%25A1ln%25C3%25ADho%2520za%25C4%258Dle%25C5%2588ov%25C3%25A1n%25C3%25AD%25202021%2Edocx&amp;access_token=a&amp;access_token_ttl=0&amp;z=1&amp;type=accesspdf&amp;DataUrlEnabled=false" \l "page=2" \o "Strana 2" </w:instrText>
      </w: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39823756" w14:textId="77777777" w:rsidR="006E5DEB" w:rsidRDefault="00B935BC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1C5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15C90C67" w14:textId="77777777" w:rsidR="006E5DEB" w:rsidRDefault="006E5DEB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ED84F6" w14:textId="77777777" w:rsidR="006E5DEB" w:rsidRDefault="006E5DEB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49D128" w14:textId="6C4B2F8B" w:rsidR="00B935BC" w:rsidRPr="00B935BC" w:rsidRDefault="006E5DEB" w:rsidP="006E5D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Praze dne 25. 11. 2021</w:t>
      </w:r>
      <w:r w:rsidR="00B935BC" w:rsidRPr="00B935B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B935BC" w:rsidRPr="00B935B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ord-view.officeapps.live.com/wv/WordViewer/Document.pdf?WOPIsrc=https%3A%2F%2Fwww%2Eemail%2Ecz%2Fwopi%2Ffiles%2FUa7eqR%5F0KfnZuMvjbqIeT%2DafK8soRCH8e2oSbst6AHS2LXsZfxGdsSoZbCM2pXivczGEF18%2FZ%25C3%25A1sadn%25C3%25AD%2520p%25C5%2599ipom%25C3%25ADnky%2520ke%2520strategii%2520soci%25C3%25A1ln%25C3%25ADho%2520za%25C4%258Dle%25C5%2588ov%25C3%25A1n%25C3%25AD%25202021%2Edocx&amp;access_token=a&amp;access_token_ttl=0&amp;z=1&amp;type=accesspdf&amp;DataUrlEnabled=false" \l "page=3" \o "Strana 3" </w:instrText>
      </w:r>
      <w:r w:rsidR="00B935BC" w:rsidRPr="00B935B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29E992F2" w14:textId="77777777" w:rsidR="00B935BC" w:rsidRPr="00B935BC" w:rsidRDefault="00B935BC" w:rsidP="006E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5B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2469FBBB" w14:textId="0B28C9C8" w:rsidR="000C1C58" w:rsidRDefault="007A4F44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7A4F44">
        <w:rPr>
          <w:rFonts w:ascii="Times New Roman" w:eastAsia="Times New Roman" w:hAnsi="Times New Roman" w:cs="Times New Roman"/>
          <w:sz w:val="24"/>
          <w:lang w:eastAsia="cs-CZ"/>
        </w:rPr>
        <w:t>Zpracoval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 JUDr. Jan Hutař,</w:t>
      </w:r>
    </w:p>
    <w:p w14:paraId="1EF6F4EA" w14:textId="7DA3A577" w:rsidR="000C1C58" w:rsidRDefault="007A4F44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ředitel Legislativního odboru</w:t>
      </w:r>
    </w:p>
    <w:p w14:paraId="0A0FB607" w14:textId="77777777" w:rsidR="006E5DEB" w:rsidRDefault="006E5DEB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17C6DE52" w14:textId="77777777" w:rsidR="006E5DEB" w:rsidRDefault="006E5DEB" w:rsidP="004B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4BB3AE92" w14:textId="09DC4535" w:rsidR="000C1C58" w:rsidRDefault="006E5DEB" w:rsidP="004B440E">
      <w:pPr>
        <w:spacing w:after="0" w:line="240" w:lineRule="auto"/>
        <w:jc w:val="both"/>
        <w:rPr>
          <w:rFonts w:ascii="Arial" w:eastAsia="Times New Roman" w:hAnsi="Arial" w:cs="Arial"/>
          <w:sz w:val="35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Za NRZP ČR: Mgr. Václav Krása, předseda NRZP ČR</w:t>
      </w:r>
      <w:bookmarkStart w:id="0" w:name="_GoBack"/>
      <w:bookmarkEnd w:id="0"/>
    </w:p>
    <w:p w14:paraId="093F2A69" w14:textId="77777777" w:rsidR="000C1C58" w:rsidRDefault="000C1C58" w:rsidP="004B440E">
      <w:pPr>
        <w:spacing w:after="0" w:line="240" w:lineRule="auto"/>
        <w:jc w:val="both"/>
        <w:rPr>
          <w:rFonts w:ascii="Arial" w:eastAsia="Times New Roman" w:hAnsi="Arial" w:cs="Arial"/>
          <w:sz w:val="35"/>
          <w:lang w:eastAsia="cs-CZ"/>
        </w:rPr>
      </w:pPr>
    </w:p>
    <w:p w14:paraId="6A950F83" w14:textId="77777777" w:rsidR="000C1C58" w:rsidRDefault="000C1C58" w:rsidP="004B440E">
      <w:pPr>
        <w:spacing w:after="0" w:line="240" w:lineRule="auto"/>
        <w:jc w:val="both"/>
        <w:rPr>
          <w:rFonts w:ascii="Arial" w:eastAsia="Times New Roman" w:hAnsi="Arial" w:cs="Arial"/>
          <w:sz w:val="35"/>
          <w:lang w:eastAsia="cs-CZ"/>
        </w:rPr>
      </w:pPr>
    </w:p>
    <w:p w14:paraId="39F08274" w14:textId="77777777" w:rsidR="000C1C58" w:rsidRDefault="000C1C58" w:rsidP="004B440E">
      <w:pPr>
        <w:spacing w:after="0" w:line="240" w:lineRule="auto"/>
        <w:jc w:val="both"/>
        <w:rPr>
          <w:rFonts w:ascii="Arial" w:eastAsia="Times New Roman" w:hAnsi="Arial" w:cs="Arial"/>
          <w:sz w:val="35"/>
          <w:lang w:eastAsia="cs-CZ"/>
        </w:rPr>
      </w:pPr>
    </w:p>
    <w:sectPr w:rsidR="000C1C58" w:rsidSect="000C1C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593"/>
    <w:multiLevelType w:val="hybridMultilevel"/>
    <w:tmpl w:val="EC589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11116"/>
    <w:multiLevelType w:val="hybridMultilevel"/>
    <w:tmpl w:val="56E05B5C"/>
    <w:lvl w:ilvl="0" w:tplc="141010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435A0B"/>
    <w:multiLevelType w:val="hybridMultilevel"/>
    <w:tmpl w:val="118C66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12E39"/>
    <w:multiLevelType w:val="hybridMultilevel"/>
    <w:tmpl w:val="1FBCCC6C"/>
    <w:lvl w:ilvl="0" w:tplc="5CE418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D452DC"/>
    <w:multiLevelType w:val="hybridMultilevel"/>
    <w:tmpl w:val="2EFAB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614C8"/>
    <w:multiLevelType w:val="hybridMultilevel"/>
    <w:tmpl w:val="DF0EC02E"/>
    <w:lvl w:ilvl="0" w:tplc="BCC6828E">
      <w:start w:val="1"/>
      <w:numFmt w:val="decimal"/>
      <w:lvlText w:val="%1)"/>
      <w:lvlJc w:val="left"/>
      <w:pPr>
        <w:ind w:left="-66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0D16B49"/>
    <w:multiLevelType w:val="hybridMultilevel"/>
    <w:tmpl w:val="4A04D974"/>
    <w:lvl w:ilvl="0" w:tplc="F3EEAD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176C6B"/>
    <w:multiLevelType w:val="hybridMultilevel"/>
    <w:tmpl w:val="8AF2CB46"/>
    <w:lvl w:ilvl="0" w:tplc="DD58017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9393E"/>
    <w:multiLevelType w:val="hybridMultilevel"/>
    <w:tmpl w:val="8FB8ECE2"/>
    <w:lvl w:ilvl="0" w:tplc="A490C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A64C3"/>
    <w:multiLevelType w:val="hybridMultilevel"/>
    <w:tmpl w:val="9BD82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BC"/>
    <w:rsid w:val="000825D8"/>
    <w:rsid w:val="000C1C58"/>
    <w:rsid w:val="00120881"/>
    <w:rsid w:val="00206971"/>
    <w:rsid w:val="00206FC7"/>
    <w:rsid w:val="00216B39"/>
    <w:rsid w:val="00240FAE"/>
    <w:rsid w:val="00267167"/>
    <w:rsid w:val="003049C4"/>
    <w:rsid w:val="003C27FF"/>
    <w:rsid w:val="00420484"/>
    <w:rsid w:val="004B440E"/>
    <w:rsid w:val="006E5DEB"/>
    <w:rsid w:val="007A4F44"/>
    <w:rsid w:val="00823FBD"/>
    <w:rsid w:val="00991463"/>
    <w:rsid w:val="009C3659"/>
    <w:rsid w:val="00A7595C"/>
    <w:rsid w:val="00B31DF6"/>
    <w:rsid w:val="00B935BC"/>
    <w:rsid w:val="00E26250"/>
    <w:rsid w:val="00E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2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35BC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B935BC"/>
  </w:style>
  <w:style w:type="paragraph" w:styleId="Odstavecseseznamem">
    <w:name w:val="List Paragraph"/>
    <w:basedOn w:val="Normln"/>
    <w:uiPriority w:val="34"/>
    <w:qFormat/>
    <w:rsid w:val="00216B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35BC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B935BC"/>
  </w:style>
  <w:style w:type="paragraph" w:styleId="Odstavecseseznamem">
    <w:name w:val="List Paragraph"/>
    <w:basedOn w:val="Normln"/>
    <w:uiPriority w:val="34"/>
    <w:qFormat/>
    <w:rsid w:val="00216B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Hutař</dc:creator>
  <cp:lastModifiedBy>Michaela Kubíčková</cp:lastModifiedBy>
  <cp:revision>4</cp:revision>
  <dcterms:created xsi:type="dcterms:W3CDTF">2021-11-24T08:43:00Z</dcterms:created>
  <dcterms:modified xsi:type="dcterms:W3CDTF">2021-11-25T09:02:00Z</dcterms:modified>
</cp:coreProperties>
</file>