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2600" w14:textId="77777777" w:rsidR="00FC552D" w:rsidRPr="00DB1CD5" w:rsidRDefault="00FC552D" w:rsidP="00FC552D">
      <w:pPr>
        <w:jc w:val="both"/>
        <w:rPr>
          <w:b/>
          <w:spacing w:val="20"/>
          <w:position w:val="6"/>
          <w14:shadow w14:blurRad="50800" w14:dist="38100" w14:dir="2700000" w14:sx="100000" w14:sy="100000" w14:kx="0" w14:ky="0" w14:algn="tl">
            <w14:srgbClr w14:val="000000">
              <w14:alpha w14:val="60000"/>
            </w14:srgbClr>
          </w14:shadow>
        </w:rPr>
      </w:pPr>
      <w:bookmarkStart w:id="0" w:name="_GoBack"/>
      <w:bookmarkEnd w:id="0"/>
    </w:p>
    <w:p w14:paraId="7844B672" w14:textId="77777777" w:rsidR="00FC552D" w:rsidRPr="00DB1CD5" w:rsidRDefault="00FC552D" w:rsidP="00FC552D">
      <w:pPr>
        <w:spacing w:after="0"/>
        <w:jc w:val="center"/>
        <w:rPr>
          <w:b/>
        </w:rPr>
      </w:pPr>
      <w:r w:rsidRPr="00DB1CD5">
        <w:rPr>
          <w:b/>
        </w:rPr>
        <w:t>DŮVODOVÁ ZPRÁVA</w:t>
      </w:r>
    </w:p>
    <w:p w14:paraId="5FB7782D" w14:textId="77777777" w:rsidR="00FC552D" w:rsidRPr="00DB1CD5" w:rsidRDefault="00FC552D" w:rsidP="00FC552D">
      <w:pPr>
        <w:spacing w:after="0"/>
        <w:jc w:val="center"/>
        <w:rPr>
          <w:b/>
        </w:rPr>
      </w:pPr>
    </w:p>
    <w:p w14:paraId="1C8A4611" w14:textId="77777777" w:rsidR="00FC552D" w:rsidRPr="00DB1CD5" w:rsidRDefault="00FC552D" w:rsidP="00FC552D">
      <w:pPr>
        <w:jc w:val="both"/>
      </w:pPr>
    </w:p>
    <w:p w14:paraId="7FAECD58" w14:textId="77777777" w:rsidR="00FC552D" w:rsidRPr="00DB1CD5" w:rsidRDefault="00FC552D" w:rsidP="00FC552D">
      <w:pPr>
        <w:numPr>
          <w:ilvl w:val="0"/>
          <w:numId w:val="1"/>
        </w:numPr>
        <w:spacing w:after="0" w:line="240" w:lineRule="auto"/>
        <w:jc w:val="both"/>
        <w:rPr>
          <w:b/>
        </w:rPr>
      </w:pPr>
      <w:r w:rsidRPr="00DB1CD5">
        <w:rPr>
          <w:b/>
        </w:rPr>
        <w:t xml:space="preserve">OBECNÁ ČÁST </w:t>
      </w:r>
    </w:p>
    <w:p w14:paraId="70089AA2" w14:textId="77777777" w:rsidR="00FC552D" w:rsidRPr="00DB1CD5" w:rsidRDefault="00FC552D" w:rsidP="00FC552D">
      <w:pPr>
        <w:spacing w:after="0" w:line="240" w:lineRule="auto"/>
        <w:ind w:left="1425"/>
        <w:jc w:val="both"/>
        <w:rPr>
          <w:b/>
        </w:rPr>
      </w:pPr>
    </w:p>
    <w:p w14:paraId="152127D3" w14:textId="77777777" w:rsidR="00FC552D" w:rsidRPr="00DB1CD5" w:rsidRDefault="00FC552D" w:rsidP="00FC552D">
      <w:pPr>
        <w:pStyle w:val="Odstavecseseznamem"/>
        <w:numPr>
          <w:ilvl w:val="0"/>
          <w:numId w:val="2"/>
        </w:numPr>
        <w:spacing w:after="0" w:line="240" w:lineRule="auto"/>
        <w:jc w:val="both"/>
        <w:rPr>
          <w:b/>
        </w:rPr>
      </w:pPr>
      <w:r w:rsidRPr="00DB1CD5">
        <w:rPr>
          <w:b/>
        </w:rPr>
        <w:t>Zhodnocení platného právního stavu, včetně zhodnocení současného stavu ve vztahu k zákazu diskriminace a ve vztahu k rovnosti mužů a žen</w:t>
      </w:r>
    </w:p>
    <w:p w14:paraId="34017D94" w14:textId="77777777" w:rsidR="00FC552D" w:rsidRPr="00DB1CD5" w:rsidRDefault="00FC552D" w:rsidP="00FC552D">
      <w:pPr>
        <w:pStyle w:val="Odstavecseseznamem"/>
        <w:ind w:left="1425"/>
        <w:jc w:val="both"/>
      </w:pPr>
    </w:p>
    <w:p w14:paraId="0EA055C8" w14:textId="62F583F4" w:rsidR="008C4E6C" w:rsidRPr="00A82714" w:rsidRDefault="00391341" w:rsidP="00A82714">
      <w:pPr>
        <w:jc w:val="both"/>
        <w:rPr>
          <w:rFonts w:cs="Times New Roman"/>
          <w:szCs w:val="24"/>
        </w:rPr>
      </w:pPr>
      <w:r w:rsidRPr="00DB1CD5">
        <w:t>Návrh zákona o elektronizaci</w:t>
      </w:r>
      <w:r w:rsidR="00700CBB">
        <w:t xml:space="preserve"> zdravotnictví</w:t>
      </w:r>
      <w:r w:rsidRPr="00DB1CD5">
        <w:t xml:space="preserve"> představuje komplexní právní úpravu elektronizace stávajících procesů, které probíhají v resortu zdravotnictví. Navrhovaná právní úprava procesů a institutů elektronizace zdravotnictví má dopad i do jiných právních předpisů. V návaznosti na tuto skutečnost je nutné provést změnu následujících </w:t>
      </w:r>
      <w:r w:rsidR="008C4E6C" w:rsidRPr="00DB1CD5">
        <w:t>zákonů:</w:t>
      </w:r>
      <w:r w:rsidR="008C4E6C" w:rsidRPr="00A82714">
        <w:rPr>
          <w:rFonts w:cs="Times New Roman"/>
          <w:szCs w:val="24"/>
        </w:rPr>
        <w:t xml:space="preserve"> </w:t>
      </w:r>
    </w:p>
    <w:p w14:paraId="2348C9DB" w14:textId="47FD283D" w:rsidR="00FC552D" w:rsidRPr="00DB1CD5" w:rsidRDefault="008C4E6C" w:rsidP="003F6DF4">
      <w:pPr>
        <w:pStyle w:val="Odstavecseseznamem"/>
        <w:numPr>
          <w:ilvl w:val="0"/>
          <w:numId w:val="3"/>
        </w:numPr>
        <w:jc w:val="both"/>
        <w:rPr>
          <w:rFonts w:cs="Times New Roman"/>
          <w:szCs w:val="24"/>
        </w:rPr>
      </w:pPr>
      <w:r w:rsidRPr="00DB1CD5">
        <w:rPr>
          <w:rFonts w:cs="Times New Roman"/>
          <w:szCs w:val="24"/>
        </w:rPr>
        <w:t>Změna</w:t>
      </w:r>
      <w:r w:rsidR="00FC552D" w:rsidRPr="00DB1CD5">
        <w:rPr>
          <w:rFonts w:cs="Times New Roman"/>
          <w:szCs w:val="24"/>
        </w:rPr>
        <w:t xml:space="preserve"> zákona č. 372/2011 Sb.</w:t>
      </w:r>
      <w:r w:rsidR="00700CBB">
        <w:rPr>
          <w:rFonts w:cs="Times New Roman"/>
          <w:szCs w:val="24"/>
        </w:rPr>
        <w:t>,</w:t>
      </w:r>
      <w:r w:rsidR="00FC552D" w:rsidRPr="00DB1CD5">
        <w:rPr>
          <w:rFonts w:cs="Times New Roman"/>
          <w:szCs w:val="24"/>
        </w:rPr>
        <w:t xml:space="preserve"> o zdravotních službách</w:t>
      </w:r>
      <w:r w:rsidR="00541EDA" w:rsidRPr="00DB1CD5">
        <w:rPr>
          <w:rFonts w:cs="Times New Roman"/>
          <w:szCs w:val="24"/>
        </w:rPr>
        <w:t xml:space="preserve"> a podmínkách jejic</w:t>
      </w:r>
      <w:r w:rsidR="00341BF3" w:rsidRPr="00DB1CD5">
        <w:rPr>
          <w:rFonts w:cs="Times New Roman"/>
          <w:szCs w:val="24"/>
        </w:rPr>
        <w:t>h</w:t>
      </w:r>
      <w:r w:rsidR="00541EDA" w:rsidRPr="00DB1CD5">
        <w:rPr>
          <w:rFonts w:cs="Times New Roman"/>
          <w:szCs w:val="24"/>
        </w:rPr>
        <w:t xml:space="preserve"> poskytování (zákon o zdravotních službách)</w:t>
      </w:r>
      <w:r w:rsidR="00FC552D" w:rsidRPr="00DB1CD5">
        <w:rPr>
          <w:rFonts w:cs="Times New Roman"/>
          <w:szCs w:val="24"/>
        </w:rPr>
        <w:t>,</w:t>
      </w:r>
      <w:r w:rsidR="004379B5" w:rsidRPr="00DB1CD5">
        <w:rPr>
          <w:rFonts w:cs="Times New Roman"/>
          <w:szCs w:val="24"/>
        </w:rPr>
        <w:t xml:space="preserve"> ve znění pozdě</w:t>
      </w:r>
      <w:r w:rsidR="005C2739" w:rsidRPr="00DB1CD5">
        <w:rPr>
          <w:rFonts w:cs="Times New Roman"/>
          <w:szCs w:val="24"/>
        </w:rPr>
        <w:t>jších předpisů</w:t>
      </w:r>
    </w:p>
    <w:p w14:paraId="3A7499FF" w14:textId="77777777" w:rsidR="00FC552D" w:rsidRPr="00DB1CD5" w:rsidRDefault="0063294F" w:rsidP="0059481B">
      <w:pPr>
        <w:pStyle w:val="Odstavecseseznamem"/>
        <w:numPr>
          <w:ilvl w:val="1"/>
          <w:numId w:val="3"/>
        </w:numPr>
        <w:jc w:val="both"/>
        <w:rPr>
          <w:rFonts w:cs="Times New Roman"/>
          <w:szCs w:val="24"/>
        </w:rPr>
      </w:pPr>
      <w:r w:rsidRPr="00DB1CD5">
        <w:rPr>
          <w:rFonts w:cs="Times New Roman"/>
          <w:szCs w:val="24"/>
        </w:rPr>
        <w:t>d</w:t>
      </w:r>
      <w:r w:rsidR="00FC552D" w:rsidRPr="00DB1CD5">
        <w:rPr>
          <w:rFonts w:cs="Times New Roman"/>
          <w:szCs w:val="24"/>
        </w:rPr>
        <w:t>oplnění údajů, které obsahuje zdravotnická dokumentace, a to o identifikátor pacienta,</w:t>
      </w:r>
    </w:p>
    <w:p w14:paraId="26449166" w14:textId="291C9126" w:rsidR="00616D0E" w:rsidRDefault="0063294F" w:rsidP="0059481B">
      <w:pPr>
        <w:pStyle w:val="Odstavecseseznamem"/>
        <w:numPr>
          <w:ilvl w:val="1"/>
          <w:numId w:val="3"/>
        </w:numPr>
        <w:jc w:val="both"/>
        <w:rPr>
          <w:rFonts w:cs="Times New Roman"/>
          <w:szCs w:val="24"/>
        </w:rPr>
      </w:pPr>
      <w:r w:rsidRPr="00DB1CD5">
        <w:rPr>
          <w:rFonts w:cs="Times New Roman"/>
          <w:szCs w:val="24"/>
        </w:rPr>
        <w:t xml:space="preserve">zavedení </w:t>
      </w:r>
      <w:r w:rsidR="00DE6A95" w:rsidRPr="00DB1CD5">
        <w:rPr>
          <w:rFonts w:cs="Times New Roman"/>
          <w:szCs w:val="24"/>
        </w:rPr>
        <w:t>parametrů</w:t>
      </w:r>
      <w:r w:rsidR="00183FDA">
        <w:rPr>
          <w:rFonts w:cs="Times New Roman"/>
          <w:szCs w:val="24"/>
        </w:rPr>
        <w:t xml:space="preserve"> zdravotnické dokumentace (jejich kopií, </w:t>
      </w:r>
      <w:r w:rsidR="00E03841">
        <w:rPr>
          <w:rFonts w:cs="Times New Roman"/>
          <w:szCs w:val="24"/>
        </w:rPr>
        <w:t>samostatných částí či výpisů z ní)</w:t>
      </w:r>
      <w:r w:rsidR="00DE6A95" w:rsidRPr="00DB1CD5">
        <w:rPr>
          <w:rFonts w:cs="Times New Roman"/>
          <w:szCs w:val="24"/>
        </w:rPr>
        <w:t>,</w:t>
      </w:r>
      <w:r w:rsidRPr="00DB1CD5">
        <w:rPr>
          <w:rFonts w:cs="Times New Roman"/>
          <w:szCs w:val="24"/>
        </w:rPr>
        <w:t xml:space="preserve"> kter</w:t>
      </w:r>
      <w:r w:rsidR="007E5102" w:rsidRPr="00DB1CD5">
        <w:rPr>
          <w:rFonts w:cs="Times New Roman"/>
          <w:szCs w:val="24"/>
        </w:rPr>
        <w:t>ou</w:t>
      </w:r>
      <w:r w:rsidR="0059481B" w:rsidRPr="00DB1CD5">
        <w:rPr>
          <w:rFonts w:cs="Times New Roman"/>
          <w:szCs w:val="24"/>
        </w:rPr>
        <w:t xml:space="preserve"> </w:t>
      </w:r>
      <w:r w:rsidR="007E5102" w:rsidRPr="00DB1CD5">
        <w:rPr>
          <w:rFonts w:cs="Times New Roman"/>
          <w:szCs w:val="24"/>
        </w:rPr>
        <w:t>předává poskytovatel zdravotních služeb v souladu s § 45 odst. 2 písm. f) nebo g) zákona o zdravotních službách</w:t>
      </w:r>
      <w:r w:rsidR="00AC567E" w:rsidRPr="00DB1CD5">
        <w:rPr>
          <w:rFonts w:cs="Times New Roman"/>
          <w:szCs w:val="24"/>
        </w:rPr>
        <w:t>,</w:t>
      </w:r>
    </w:p>
    <w:p w14:paraId="59625C59" w14:textId="24A740B9" w:rsidR="00CA097E" w:rsidRDefault="00CA097E" w:rsidP="00CA097E">
      <w:pPr>
        <w:pStyle w:val="Odstavecseseznamem"/>
        <w:numPr>
          <w:ilvl w:val="1"/>
          <w:numId w:val="3"/>
        </w:numPr>
        <w:jc w:val="both"/>
        <w:rPr>
          <w:rFonts w:cs="Times New Roman"/>
          <w:szCs w:val="24"/>
        </w:rPr>
      </w:pPr>
      <w:r>
        <w:rPr>
          <w:rFonts w:cs="Times New Roman"/>
          <w:szCs w:val="24"/>
        </w:rPr>
        <w:t>zavedení možnosti vyslovení nesouhlasu pacienta s předáním jeho pacientského souhrnu poskytovatelům zdravotních služeb v členských státech prostřednictvím záznamu v Systému správy souhlasů</w:t>
      </w:r>
      <w:r w:rsidR="00814347">
        <w:rPr>
          <w:rFonts w:cs="Times New Roman"/>
          <w:szCs w:val="24"/>
        </w:rPr>
        <w:t>,</w:t>
      </w:r>
    </w:p>
    <w:p w14:paraId="217BFE8F" w14:textId="7CB9ECDC" w:rsidR="00814347" w:rsidRDefault="00814347" w:rsidP="00814347">
      <w:pPr>
        <w:pStyle w:val="Odstavecseseznamem"/>
        <w:numPr>
          <w:ilvl w:val="1"/>
          <w:numId w:val="3"/>
        </w:numPr>
        <w:jc w:val="both"/>
        <w:rPr>
          <w:rFonts w:cs="Times New Roman"/>
          <w:szCs w:val="24"/>
        </w:rPr>
      </w:pPr>
      <w:r>
        <w:rPr>
          <w:rFonts w:cs="Times New Roman"/>
          <w:szCs w:val="24"/>
        </w:rPr>
        <w:t>upřesnění role informačního systému veřejné správy Národního kontaktní místo pro elektronické zdravotnictví jako centrální služby Integrovaného datového rozhraní,</w:t>
      </w:r>
    </w:p>
    <w:p w14:paraId="070BE3D1" w14:textId="4C55ED6D" w:rsidR="00AC567E" w:rsidRDefault="00AC567E" w:rsidP="0059481B">
      <w:pPr>
        <w:pStyle w:val="Odstavecseseznamem"/>
        <w:numPr>
          <w:ilvl w:val="1"/>
          <w:numId w:val="3"/>
        </w:numPr>
        <w:jc w:val="both"/>
        <w:rPr>
          <w:rFonts w:cs="Times New Roman"/>
          <w:szCs w:val="24"/>
        </w:rPr>
      </w:pPr>
      <w:r w:rsidRPr="00DB1CD5">
        <w:rPr>
          <w:rFonts w:cs="Times New Roman"/>
          <w:szCs w:val="24"/>
        </w:rPr>
        <w:t>zrušení identifikátoru pacienta vydávaného Ústavem zdravotnických informací a statistiky ČR podle § 71c zákona o zdravotních službách na základě žádos</w:t>
      </w:r>
      <w:r w:rsidR="0059481B" w:rsidRPr="00DB1CD5">
        <w:rPr>
          <w:rFonts w:cs="Times New Roman"/>
          <w:szCs w:val="24"/>
        </w:rPr>
        <w:t>t</w:t>
      </w:r>
      <w:r w:rsidRPr="00DB1CD5">
        <w:rPr>
          <w:rFonts w:cs="Times New Roman"/>
          <w:szCs w:val="24"/>
        </w:rPr>
        <w:t xml:space="preserve">i poskytovatele zdravotních služeb a </w:t>
      </w:r>
      <w:r w:rsidR="00F336AD" w:rsidRPr="00DB1CD5">
        <w:rPr>
          <w:rFonts w:cs="Times New Roman"/>
          <w:szCs w:val="24"/>
        </w:rPr>
        <w:t>odstranění ztotožňování pacientů před jeho přidělením ve vztahu k základním registrům</w:t>
      </w:r>
      <w:r w:rsidR="00C0060A">
        <w:rPr>
          <w:rFonts w:cs="Times New Roman"/>
          <w:szCs w:val="24"/>
        </w:rPr>
        <w:t>,</w:t>
      </w:r>
    </w:p>
    <w:p w14:paraId="17EB8061" w14:textId="348E9D86" w:rsidR="007845B9" w:rsidRDefault="00A6307D" w:rsidP="00E57D58">
      <w:pPr>
        <w:pStyle w:val="Odstavecseseznamem"/>
        <w:numPr>
          <w:ilvl w:val="1"/>
          <w:numId w:val="3"/>
        </w:numPr>
        <w:jc w:val="both"/>
        <w:rPr>
          <w:rFonts w:cs="Times New Roman"/>
          <w:szCs w:val="24"/>
        </w:rPr>
      </w:pPr>
      <w:r>
        <w:rPr>
          <w:rFonts w:cs="Times New Roman"/>
          <w:szCs w:val="24"/>
        </w:rPr>
        <w:t>doplnění údajů týkajících se vzdě</w:t>
      </w:r>
      <w:r w:rsidR="00D17420">
        <w:rPr>
          <w:rFonts w:cs="Times New Roman"/>
          <w:szCs w:val="24"/>
        </w:rPr>
        <w:t>l</w:t>
      </w:r>
      <w:r>
        <w:rPr>
          <w:rFonts w:cs="Times New Roman"/>
          <w:szCs w:val="24"/>
        </w:rPr>
        <w:t>ávání zdravotnických pracovníků</w:t>
      </w:r>
      <w:r w:rsidR="00E3448C">
        <w:rPr>
          <w:rFonts w:cs="Times New Roman"/>
          <w:szCs w:val="24"/>
        </w:rPr>
        <w:t xml:space="preserve"> do Národního registru zdravotnických pracovníků</w:t>
      </w:r>
      <w:r w:rsidR="00680C60">
        <w:rPr>
          <w:rFonts w:cs="Times New Roman"/>
          <w:szCs w:val="24"/>
        </w:rPr>
        <w:t>.</w:t>
      </w:r>
    </w:p>
    <w:p w14:paraId="13383C76" w14:textId="77777777" w:rsidR="00814347" w:rsidRDefault="00814347" w:rsidP="00814347">
      <w:pPr>
        <w:pStyle w:val="Odstavecseseznamem"/>
        <w:ind w:left="1440"/>
        <w:jc w:val="both"/>
        <w:rPr>
          <w:rFonts w:cs="Times New Roman"/>
          <w:szCs w:val="24"/>
        </w:rPr>
      </w:pPr>
    </w:p>
    <w:p w14:paraId="2F8AADA7" w14:textId="4945CD27" w:rsidR="00497BC5" w:rsidRPr="00DB1CD5" w:rsidRDefault="00497BC5" w:rsidP="00FC552D">
      <w:pPr>
        <w:pStyle w:val="Odstavecseseznamem"/>
        <w:numPr>
          <w:ilvl w:val="0"/>
          <w:numId w:val="3"/>
        </w:numPr>
        <w:jc w:val="both"/>
        <w:rPr>
          <w:rFonts w:cs="Times New Roman"/>
          <w:szCs w:val="24"/>
        </w:rPr>
      </w:pPr>
      <w:r w:rsidRPr="00DB1CD5">
        <w:rPr>
          <w:rFonts w:cs="Times New Roman"/>
          <w:szCs w:val="24"/>
        </w:rPr>
        <w:t>Změna zákona č. 499/2004 Sb., o archivnictví a spisové službě a o změně některých zákonů</w:t>
      </w:r>
      <w:r w:rsidR="00CD2F96" w:rsidRPr="00DB1CD5">
        <w:rPr>
          <w:rFonts w:cs="Times New Roman"/>
          <w:szCs w:val="24"/>
        </w:rPr>
        <w:t>, ve znění pozdějších předpisů</w:t>
      </w:r>
    </w:p>
    <w:p w14:paraId="7634B0F6" w14:textId="6F7431B6" w:rsidR="00497BC5" w:rsidRDefault="000D33CD" w:rsidP="000D33CD">
      <w:pPr>
        <w:pStyle w:val="Odstavecseseznamem"/>
        <w:numPr>
          <w:ilvl w:val="0"/>
          <w:numId w:val="5"/>
        </w:numPr>
        <w:ind w:left="1418"/>
        <w:jc w:val="both"/>
        <w:rPr>
          <w:rFonts w:cs="Times New Roman"/>
          <w:szCs w:val="24"/>
        </w:rPr>
      </w:pPr>
      <w:r w:rsidRPr="00DB1CD5">
        <w:rPr>
          <w:rFonts w:cs="Times New Roman"/>
          <w:szCs w:val="24"/>
        </w:rPr>
        <w:t xml:space="preserve">zavedení zvláštní právní úpravy </w:t>
      </w:r>
      <w:r w:rsidR="00952744" w:rsidRPr="00DB1CD5">
        <w:rPr>
          <w:rFonts w:cs="Times New Roman"/>
          <w:szCs w:val="24"/>
        </w:rPr>
        <w:t>pro vedení zdravotnické dokumentace a</w:t>
      </w:r>
      <w:r w:rsidR="00F61607">
        <w:rPr>
          <w:rFonts w:cs="Times New Roman"/>
          <w:szCs w:val="24"/>
        </w:rPr>
        <w:t> </w:t>
      </w:r>
      <w:r w:rsidR="00952744" w:rsidRPr="00DB1CD5">
        <w:rPr>
          <w:rFonts w:cs="Times New Roman"/>
          <w:szCs w:val="24"/>
        </w:rPr>
        <w:t>sjednocení pravidel pro veřejnoprávní a soukromoprávní původce.</w:t>
      </w:r>
    </w:p>
    <w:p w14:paraId="57A411D2" w14:textId="77777777" w:rsidR="00814347" w:rsidRPr="00DB1CD5" w:rsidRDefault="00814347" w:rsidP="00814347">
      <w:pPr>
        <w:pStyle w:val="Odstavecseseznamem"/>
        <w:ind w:left="1418"/>
        <w:jc w:val="both"/>
        <w:rPr>
          <w:rFonts w:cs="Times New Roman"/>
          <w:szCs w:val="24"/>
        </w:rPr>
      </w:pPr>
    </w:p>
    <w:p w14:paraId="5E75D0A4" w14:textId="19C70740" w:rsidR="00FC552D" w:rsidRPr="00DB1CD5" w:rsidRDefault="00FC552D" w:rsidP="00FC552D">
      <w:pPr>
        <w:pStyle w:val="Odstavecseseznamem"/>
        <w:numPr>
          <w:ilvl w:val="0"/>
          <w:numId w:val="3"/>
        </w:numPr>
        <w:jc w:val="both"/>
        <w:rPr>
          <w:rFonts w:cs="Times New Roman"/>
          <w:szCs w:val="24"/>
        </w:rPr>
      </w:pPr>
      <w:r w:rsidRPr="00DB1CD5">
        <w:rPr>
          <w:rFonts w:cs="Times New Roman"/>
          <w:szCs w:val="24"/>
        </w:rPr>
        <w:t xml:space="preserve">Změna zákona č. 2/1969 Sb., </w:t>
      </w:r>
      <w:r w:rsidR="00190B5F" w:rsidRPr="00DB1CD5">
        <w:rPr>
          <w:rFonts w:cs="Times New Roman"/>
          <w:szCs w:val="24"/>
        </w:rPr>
        <w:t>o zřízení ministerstev a jiných ústředních orgánů státní správy České republiky</w:t>
      </w:r>
      <w:r w:rsidR="005C2739" w:rsidRPr="00DB1CD5">
        <w:rPr>
          <w:rFonts w:cs="Times New Roman"/>
          <w:szCs w:val="24"/>
        </w:rPr>
        <w:t>, ve znění pozdějších předpisů</w:t>
      </w:r>
    </w:p>
    <w:p w14:paraId="68D20668" w14:textId="095BE2D3" w:rsidR="00FC552D" w:rsidRDefault="007E5102" w:rsidP="00FC552D">
      <w:pPr>
        <w:pStyle w:val="Odstavecseseznamem"/>
        <w:numPr>
          <w:ilvl w:val="1"/>
          <w:numId w:val="3"/>
        </w:numPr>
        <w:jc w:val="both"/>
        <w:rPr>
          <w:rFonts w:cs="Times New Roman"/>
          <w:szCs w:val="24"/>
        </w:rPr>
      </w:pPr>
      <w:r w:rsidRPr="00DB1CD5">
        <w:rPr>
          <w:rFonts w:cs="Times New Roman"/>
          <w:szCs w:val="24"/>
        </w:rPr>
        <w:t>r</w:t>
      </w:r>
      <w:r w:rsidR="00FC552D" w:rsidRPr="00DB1CD5">
        <w:rPr>
          <w:rFonts w:cs="Times New Roman"/>
          <w:szCs w:val="24"/>
        </w:rPr>
        <w:t xml:space="preserve">ozšíření kompetencí Ministerstva zdravotnictví jako ústředního orgánu </w:t>
      </w:r>
      <w:r w:rsidR="00651635">
        <w:rPr>
          <w:rFonts w:cs="Times New Roman"/>
          <w:szCs w:val="24"/>
        </w:rPr>
        <w:t>státní správy</w:t>
      </w:r>
      <w:r w:rsidR="00FC552D" w:rsidRPr="00DB1CD5">
        <w:rPr>
          <w:rFonts w:cs="Times New Roman"/>
          <w:szCs w:val="24"/>
        </w:rPr>
        <w:t xml:space="preserve"> pro elektronické zdravotnictví</w:t>
      </w:r>
      <w:r w:rsidR="00CE1B1B" w:rsidRPr="00DB1CD5">
        <w:rPr>
          <w:rFonts w:cs="Times New Roman"/>
          <w:szCs w:val="24"/>
        </w:rPr>
        <w:t>.</w:t>
      </w:r>
    </w:p>
    <w:p w14:paraId="25195EDE" w14:textId="77777777" w:rsidR="00651635" w:rsidRPr="00DB1CD5" w:rsidRDefault="00651635" w:rsidP="00651635">
      <w:pPr>
        <w:pStyle w:val="Odstavecseseznamem"/>
        <w:ind w:left="1440"/>
        <w:jc w:val="both"/>
        <w:rPr>
          <w:rFonts w:cs="Times New Roman"/>
          <w:szCs w:val="24"/>
        </w:rPr>
      </w:pPr>
    </w:p>
    <w:p w14:paraId="5C4CB406" w14:textId="4E8E9923" w:rsidR="00FC552D" w:rsidRPr="00DB1CD5" w:rsidRDefault="00FC552D" w:rsidP="00CE7836">
      <w:pPr>
        <w:pStyle w:val="Odstavecseseznamem"/>
        <w:numPr>
          <w:ilvl w:val="0"/>
          <w:numId w:val="3"/>
        </w:numPr>
        <w:jc w:val="both"/>
        <w:rPr>
          <w:rFonts w:cs="Times New Roman"/>
          <w:szCs w:val="24"/>
        </w:rPr>
      </w:pPr>
      <w:r w:rsidRPr="00DB1CD5">
        <w:rPr>
          <w:rFonts w:cs="Times New Roman"/>
          <w:szCs w:val="24"/>
        </w:rPr>
        <w:t xml:space="preserve">Změna zákona č. </w:t>
      </w:r>
      <w:r w:rsidR="00194D0D" w:rsidRPr="00DB1CD5">
        <w:rPr>
          <w:rFonts w:cs="Times New Roman"/>
          <w:szCs w:val="24"/>
        </w:rPr>
        <w:t xml:space="preserve">378/2007 Sb., </w:t>
      </w:r>
      <w:r w:rsidR="0013583E" w:rsidRPr="00DB1CD5">
        <w:rPr>
          <w:rFonts w:cs="Times New Roman"/>
          <w:szCs w:val="24"/>
        </w:rPr>
        <w:t>o léčivech a o změnách některých souvisejících zákonů (zákon o léčivech)</w:t>
      </w:r>
      <w:r w:rsidR="005C2739" w:rsidRPr="00DB1CD5">
        <w:rPr>
          <w:rFonts w:cs="Times New Roman"/>
          <w:szCs w:val="24"/>
        </w:rPr>
        <w:t>, ve znění pozdějších předpisů</w:t>
      </w:r>
    </w:p>
    <w:p w14:paraId="56B6DAAB" w14:textId="203F6AB4" w:rsidR="00527C88" w:rsidRDefault="006B351F" w:rsidP="00527C88">
      <w:pPr>
        <w:pStyle w:val="Odstavecseseznamem"/>
        <w:numPr>
          <w:ilvl w:val="0"/>
          <w:numId w:val="4"/>
        </w:numPr>
        <w:jc w:val="both"/>
        <w:rPr>
          <w:rFonts w:cs="Times New Roman"/>
          <w:szCs w:val="24"/>
        </w:rPr>
      </w:pPr>
      <w:r w:rsidRPr="00DB1CD5">
        <w:rPr>
          <w:rFonts w:cs="Times New Roman"/>
          <w:szCs w:val="24"/>
        </w:rPr>
        <w:lastRenderedPageBreak/>
        <w:t>zavedení přístupu do systému eRecept</w:t>
      </w:r>
      <w:r w:rsidR="00FC5607" w:rsidRPr="00DB1CD5">
        <w:rPr>
          <w:rFonts w:cs="Times New Roman"/>
          <w:szCs w:val="24"/>
        </w:rPr>
        <w:t xml:space="preserve"> </w:t>
      </w:r>
      <w:r w:rsidR="00452787" w:rsidRPr="00DB1CD5">
        <w:rPr>
          <w:rFonts w:cs="Times New Roman"/>
          <w:szCs w:val="24"/>
        </w:rPr>
        <w:t>prostřednictvím resortního systémového přístupového certifikátu poskytovatele zdravotních služeb</w:t>
      </w:r>
      <w:r w:rsidR="00756B64" w:rsidRPr="00DB1CD5">
        <w:rPr>
          <w:rFonts w:cs="Times New Roman"/>
          <w:szCs w:val="24"/>
        </w:rPr>
        <w:t>.</w:t>
      </w:r>
    </w:p>
    <w:p w14:paraId="3BED4AE4" w14:textId="77777777" w:rsidR="00C37AC5" w:rsidRPr="00DB1CD5" w:rsidRDefault="00C37AC5" w:rsidP="00C37AC5">
      <w:pPr>
        <w:pStyle w:val="Odstavecseseznamem"/>
        <w:ind w:left="1440"/>
        <w:jc w:val="both"/>
        <w:rPr>
          <w:rFonts w:cs="Times New Roman"/>
          <w:szCs w:val="24"/>
        </w:rPr>
      </w:pPr>
    </w:p>
    <w:p w14:paraId="0C8FA51B" w14:textId="5959368D" w:rsidR="009D53C3" w:rsidRDefault="009D53C3" w:rsidP="009D53C3">
      <w:pPr>
        <w:pStyle w:val="Odstavecseseznamem"/>
        <w:numPr>
          <w:ilvl w:val="0"/>
          <w:numId w:val="3"/>
        </w:numPr>
        <w:jc w:val="both"/>
      </w:pPr>
      <w:r>
        <w:t>Změna zákona č.</w:t>
      </w:r>
      <w:r w:rsidRPr="009D53C3">
        <w:t xml:space="preserve"> 187/2006 Sb</w:t>
      </w:r>
      <w:r>
        <w:t xml:space="preserve">., o nemocenském </w:t>
      </w:r>
      <w:r w:rsidR="00FE32C5">
        <w:t>pojištění</w:t>
      </w:r>
      <w:r w:rsidR="00651635">
        <w:t>,</w:t>
      </w:r>
      <w:r w:rsidR="00FE32C5">
        <w:t xml:space="preserve"> ve znění pozdějších předpisů</w:t>
      </w:r>
    </w:p>
    <w:p w14:paraId="038BE540" w14:textId="19FF63C5" w:rsidR="00FE32C5" w:rsidRDefault="00FE32C5" w:rsidP="009F624D">
      <w:pPr>
        <w:pStyle w:val="Odstavecseseznamem"/>
        <w:numPr>
          <w:ilvl w:val="0"/>
          <w:numId w:val="4"/>
        </w:numPr>
        <w:jc w:val="both"/>
      </w:pPr>
      <w:r>
        <w:t xml:space="preserve">zavedení ověření </w:t>
      </w:r>
      <w:r w:rsidR="00F57016">
        <w:t xml:space="preserve">identity ošetřujícího lékaře </w:t>
      </w:r>
      <w:r w:rsidR="00F57016" w:rsidRPr="00DB1CD5">
        <w:rPr>
          <w:rFonts w:cs="Times New Roman"/>
          <w:szCs w:val="24"/>
        </w:rPr>
        <w:t>prostřednictvím resortního systémového přístupového certifikátu poskytovatele zdravotních služeb.</w:t>
      </w:r>
    </w:p>
    <w:p w14:paraId="3FCDECCD" w14:textId="23C97B01" w:rsidR="00527C88" w:rsidRPr="00DB1CD5" w:rsidRDefault="00527C88" w:rsidP="00A82714">
      <w:pPr>
        <w:jc w:val="both"/>
      </w:pPr>
      <w:r w:rsidRPr="00DB1CD5">
        <w:t xml:space="preserve">Podrobněji je zhodnocení platného právního stavu uvedeno v kapitole 1.4 </w:t>
      </w:r>
      <w:r w:rsidR="000652F4">
        <w:t>Závěrečné zprávy</w:t>
      </w:r>
      <w:r w:rsidRPr="00DB1CD5">
        <w:t xml:space="preserve"> </w:t>
      </w:r>
      <w:proofErr w:type="gramStart"/>
      <w:r w:rsidR="000652F4">
        <w:t>z</w:t>
      </w:r>
      <w:proofErr w:type="gramEnd"/>
      <w:r w:rsidR="001F6A03">
        <w:t> </w:t>
      </w:r>
      <w:r w:rsidRPr="00DB1CD5">
        <w:t>zhodnocení dopadů regulace</w:t>
      </w:r>
      <w:r w:rsidR="00A82714">
        <w:t xml:space="preserve"> a v</w:t>
      </w:r>
      <w:r w:rsidR="00822C7A">
        <w:t> úvodních kapitolách O</w:t>
      </w:r>
      <w:r w:rsidR="000157F9">
        <w:t xml:space="preserve">becné části </w:t>
      </w:r>
      <w:r w:rsidR="00822C7A">
        <w:t>D</w:t>
      </w:r>
      <w:r w:rsidR="000157F9">
        <w:t>ůvodové zprávy k zákonu o</w:t>
      </w:r>
      <w:r w:rsidR="00F61607">
        <w:t> </w:t>
      </w:r>
      <w:r w:rsidR="000157F9">
        <w:t>elektronizaci zdravotnictví.</w:t>
      </w:r>
    </w:p>
    <w:p w14:paraId="5F395F05" w14:textId="77777777" w:rsidR="00FC552D" w:rsidRPr="00DB1CD5" w:rsidRDefault="00FC552D" w:rsidP="00FC552D">
      <w:pPr>
        <w:jc w:val="both"/>
        <w:rPr>
          <w:rFonts w:cs="Times New Roman"/>
          <w:szCs w:val="24"/>
        </w:rPr>
      </w:pPr>
      <w:r w:rsidRPr="00DB1CD5">
        <w:t>Navrhovaná právní úprava nemá dopad na zákaz diskriminace a podstata právní úpravy nezakládá narušení rovnosti práv mužů a žen.</w:t>
      </w:r>
    </w:p>
    <w:p w14:paraId="36FF3455" w14:textId="77777777" w:rsidR="00FC552D" w:rsidRPr="00DB1CD5" w:rsidRDefault="00FC552D" w:rsidP="00FC552D">
      <w:pPr>
        <w:pStyle w:val="Odstavecseseznamem"/>
        <w:ind w:left="1425"/>
        <w:jc w:val="both"/>
      </w:pPr>
    </w:p>
    <w:p w14:paraId="778781D5" w14:textId="703A72E3" w:rsidR="00FC552D" w:rsidRPr="00DB1CD5" w:rsidRDefault="00FC552D" w:rsidP="00FC552D">
      <w:pPr>
        <w:pStyle w:val="Odstavecseseznamem"/>
        <w:numPr>
          <w:ilvl w:val="0"/>
          <w:numId w:val="2"/>
        </w:numPr>
        <w:spacing w:after="0" w:line="240" w:lineRule="auto"/>
        <w:jc w:val="both"/>
        <w:rPr>
          <w:b/>
        </w:rPr>
      </w:pPr>
      <w:r w:rsidRPr="00DB1CD5">
        <w:rPr>
          <w:b/>
        </w:rPr>
        <w:t>Odůvodnění hlavních principů navrhované právní úpravy, včetně dopadů navrhovaného řešení ve vztahu k zákazu diskriminace a ve vztahu k</w:t>
      </w:r>
      <w:r w:rsidR="00F61607">
        <w:rPr>
          <w:b/>
        </w:rPr>
        <w:t> </w:t>
      </w:r>
      <w:r w:rsidRPr="00DB1CD5">
        <w:rPr>
          <w:b/>
        </w:rPr>
        <w:t>rovnosti mužů a žen</w:t>
      </w:r>
    </w:p>
    <w:p w14:paraId="248CCA3B" w14:textId="77777777" w:rsidR="002B0AC2" w:rsidRPr="00DB1CD5" w:rsidRDefault="002B0AC2" w:rsidP="002B0AC2">
      <w:pPr>
        <w:pStyle w:val="Odstavecseseznamem"/>
        <w:spacing w:after="0" w:line="240" w:lineRule="auto"/>
        <w:ind w:left="1425"/>
        <w:jc w:val="both"/>
        <w:rPr>
          <w:b/>
        </w:rPr>
      </w:pPr>
    </w:p>
    <w:p w14:paraId="48370B08" w14:textId="77777777" w:rsidR="00FC552D" w:rsidRPr="00DB1CD5" w:rsidRDefault="00FC552D" w:rsidP="00FC552D">
      <w:pPr>
        <w:jc w:val="both"/>
      </w:pPr>
      <w:r w:rsidRPr="00DB1CD5">
        <w:t xml:space="preserve">Elektronizace ve zdravotnictví probíhá v ČR navzdory nedostatečné právní úpravě. Děje se tak živelně a bez centrálně stanovených pravidel, postupů, standardů. S ohledem na veřejný charakter výdajů ve zdravotnictví (převážná část zdravotní péče je hrazena z veřejného zdravotního pojištění) je nezbytné nastavit na centrální úrovni jasná pravidla, která povedou ke splnění třech faktorů: hospodárnosti, účelnosti a efektivity a umožní tak řízený a bezpečný rozvoj elektronizace zdravotnictví v ČR. </w:t>
      </w:r>
    </w:p>
    <w:p w14:paraId="02AF0455" w14:textId="3BEF70BD" w:rsidR="00D01B83" w:rsidRPr="00DB1CD5" w:rsidRDefault="00A65AE9" w:rsidP="00FC552D">
      <w:pPr>
        <w:jc w:val="both"/>
      </w:pPr>
      <w:r w:rsidRPr="00DB1CD5">
        <w:t>Základním princip</w:t>
      </w:r>
      <w:r w:rsidR="00D01B83" w:rsidRPr="00DB1CD5">
        <w:t>em</w:t>
      </w:r>
      <w:r w:rsidRPr="00DB1CD5">
        <w:t xml:space="preserve">, </w:t>
      </w:r>
      <w:r w:rsidR="008F67FF" w:rsidRPr="00DB1CD5">
        <w:t>ze kterého</w:t>
      </w:r>
      <w:r w:rsidRPr="00DB1CD5">
        <w:t xml:space="preserve"> návrh </w:t>
      </w:r>
      <w:r w:rsidR="00782E15" w:rsidRPr="00DB1CD5">
        <w:t>úpravy jiných právních předpisů</w:t>
      </w:r>
      <w:r w:rsidRPr="00DB1CD5">
        <w:t xml:space="preserve"> </w:t>
      </w:r>
      <w:r w:rsidR="008F67FF" w:rsidRPr="00DB1CD5">
        <w:t>vychází</w:t>
      </w:r>
      <w:r w:rsidR="00190B5F" w:rsidRPr="00DB1CD5">
        <w:t>,</w:t>
      </w:r>
      <w:r w:rsidRPr="00DB1CD5">
        <w:t xml:space="preserve"> je </w:t>
      </w:r>
      <w:proofErr w:type="gramStart"/>
      <w:r w:rsidRPr="00DB1CD5">
        <w:t>respekt</w:t>
      </w:r>
      <w:proofErr w:type="gramEnd"/>
      <w:r w:rsidRPr="00DB1CD5">
        <w:t xml:space="preserve"> k již existujícím procesům ve zdravotnictv</w:t>
      </w:r>
      <w:r w:rsidR="00D01B83" w:rsidRPr="00DB1CD5">
        <w:t xml:space="preserve">í a jejich uvedení do souladu s předkládaným zákonem o elektronizaci </w:t>
      </w:r>
      <w:r w:rsidR="00F336AD" w:rsidRPr="00DB1CD5">
        <w:t>zdravotnictví</w:t>
      </w:r>
      <w:r w:rsidR="00D01B83" w:rsidRPr="00DB1CD5">
        <w:t xml:space="preserve">. </w:t>
      </w:r>
    </w:p>
    <w:p w14:paraId="0F45DCDD" w14:textId="36A62F0E" w:rsidR="00255B0E" w:rsidRPr="00DB1CD5" w:rsidRDefault="00255B0E" w:rsidP="00FC552D">
      <w:pPr>
        <w:jc w:val="both"/>
      </w:pPr>
      <w:r w:rsidRPr="00DB1CD5">
        <w:t xml:space="preserve">Předkládaný návrh zákona o elektronizaci zdravotnictví </w:t>
      </w:r>
      <w:proofErr w:type="gramStart"/>
      <w:r w:rsidRPr="00DB1CD5">
        <w:t>navazuje</w:t>
      </w:r>
      <w:proofErr w:type="gramEnd"/>
      <w:r w:rsidRPr="00DB1CD5">
        <w:t xml:space="preserve"> na již právní úpravou zaveden</w:t>
      </w:r>
      <w:r w:rsidR="000F3AD4" w:rsidRPr="00DB1CD5">
        <w:t>ý</w:t>
      </w:r>
      <w:r w:rsidRPr="00DB1CD5">
        <w:t xml:space="preserve"> systém, kdy poskytování zdravotních služeb</w:t>
      </w:r>
      <w:r w:rsidR="000F3AD4" w:rsidRPr="00DB1CD5">
        <w:t xml:space="preserve"> a vše, co s tím souvisí, tedy i vedení zdravotnické do</w:t>
      </w:r>
      <w:r w:rsidR="00276892" w:rsidRPr="00DB1CD5">
        <w:t>kumentace</w:t>
      </w:r>
      <w:r w:rsidR="008238DA" w:rsidRPr="00DB1CD5">
        <w:t>,</w:t>
      </w:r>
      <w:r w:rsidR="00276892" w:rsidRPr="00DB1CD5">
        <w:t xml:space="preserve"> je právně upraveno zákonem o zdravotních službách. N</w:t>
      </w:r>
      <w:r w:rsidR="000460A3" w:rsidRPr="00DB1CD5">
        <w:t>i</w:t>
      </w:r>
      <w:r w:rsidR="00276892" w:rsidRPr="00DB1CD5">
        <w:t xml:space="preserve">cméně je nutné </w:t>
      </w:r>
      <w:r w:rsidR="00782E15" w:rsidRPr="00DB1CD5">
        <w:t xml:space="preserve">změnit platnou právní </w:t>
      </w:r>
      <w:proofErr w:type="gramStart"/>
      <w:r w:rsidR="00782E15" w:rsidRPr="00DB1CD5">
        <w:t xml:space="preserve">úpravu </w:t>
      </w:r>
      <w:r w:rsidR="008C4E6C" w:rsidRPr="00DB1CD5">
        <w:t>- parametrizovat</w:t>
      </w:r>
      <w:proofErr w:type="gramEnd"/>
      <w:r w:rsidR="000460A3" w:rsidRPr="00DB1CD5">
        <w:t xml:space="preserve"> vedení zdravotnické dokumentace v elektronické podobě, což </w:t>
      </w:r>
      <w:r w:rsidR="00E2488A" w:rsidRPr="00DB1CD5">
        <w:t>je navrhováno změnou zákona o zdravotních službách.</w:t>
      </w:r>
      <w:r w:rsidR="0085032D" w:rsidRPr="00DB1CD5">
        <w:t xml:space="preserve"> Zár</w:t>
      </w:r>
      <w:r w:rsidR="00A276CF" w:rsidRPr="00DB1CD5">
        <w:t>ov</w:t>
      </w:r>
      <w:r w:rsidR="0085032D" w:rsidRPr="00DB1CD5">
        <w:t xml:space="preserve">eň je nutno sjednotit pravidla pro její </w:t>
      </w:r>
      <w:r w:rsidR="008C4E6C" w:rsidRPr="00DB1CD5">
        <w:t>uchovávání,</w:t>
      </w:r>
      <w:r w:rsidR="0085032D" w:rsidRPr="00DB1CD5">
        <w:t xml:space="preserve"> a proto je navrhována </w:t>
      </w:r>
      <w:r w:rsidR="00A036D6" w:rsidRPr="00DB1CD5">
        <w:t xml:space="preserve">i změna zákona </w:t>
      </w:r>
      <w:r w:rsidR="00B8499F" w:rsidRPr="00DB1CD5">
        <w:rPr>
          <w:rFonts w:cs="Times New Roman"/>
          <w:szCs w:val="24"/>
        </w:rPr>
        <w:t>č.</w:t>
      </w:r>
      <w:r w:rsidR="00B8499F">
        <w:rPr>
          <w:rFonts w:cs="Times New Roman"/>
          <w:szCs w:val="24"/>
        </w:rPr>
        <w:t> </w:t>
      </w:r>
      <w:r w:rsidR="00B8499F" w:rsidRPr="00DB1CD5">
        <w:rPr>
          <w:rFonts w:cs="Times New Roman"/>
          <w:szCs w:val="24"/>
        </w:rPr>
        <w:t>499/2004</w:t>
      </w:r>
      <w:r w:rsidR="00B8499F">
        <w:rPr>
          <w:rFonts w:cs="Times New Roman"/>
          <w:szCs w:val="24"/>
        </w:rPr>
        <w:t> </w:t>
      </w:r>
      <w:r w:rsidR="00B8499F" w:rsidRPr="00DB1CD5">
        <w:rPr>
          <w:rFonts w:cs="Times New Roman"/>
          <w:szCs w:val="24"/>
        </w:rPr>
        <w:t>Sb.</w:t>
      </w:r>
      <w:r w:rsidR="00B8499F">
        <w:rPr>
          <w:rFonts w:cs="Times New Roman"/>
          <w:szCs w:val="24"/>
        </w:rPr>
        <w:t xml:space="preserve"> </w:t>
      </w:r>
      <w:r w:rsidR="00A036D6" w:rsidRPr="00DB1CD5">
        <w:t>tak, aby byl</w:t>
      </w:r>
      <w:r w:rsidR="006274AE" w:rsidRPr="00DB1CD5">
        <w:t>o zajiště</w:t>
      </w:r>
      <w:r w:rsidR="00584E85" w:rsidRPr="00DB1CD5">
        <w:t>n</w:t>
      </w:r>
      <w:r w:rsidR="006274AE" w:rsidRPr="00DB1CD5">
        <w:t xml:space="preserve">o </w:t>
      </w:r>
      <w:r w:rsidR="00584E85" w:rsidRPr="00DB1CD5">
        <w:t xml:space="preserve">jednotné </w:t>
      </w:r>
      <w:r w:rsidR="006274AE" w:rsidRPr="00DB1CD5">
        <w:t>vedení zdravotnické dokumentace</w:t>
      </w:r>
      <w:r w:rsidR="00584E85" w:rsidRPr="00DB1CD5">
        <w:t xml:space="preserve"> </w:t>
      </w:r>
      <w:r w:rsidR="00056CDF" w:rsidRPr="00DB1CD5">
        <w:t>jak pro veřejnoprávní, tak i pro soukromoprávní původce.</w:t>
      </w:r>
      <w:r w:rsidR="006274AE" w:rsidRPr="00DB1CD5">
        <w:t xml:space="preserve"> </w:t>
      </w:r>
    </w:p>
    <w:p w14:paraId="0636D5AB" w14:textId="4F85D442" w:rsidR="00E2488A" w:rsidRPr="00DB1CD5" w:rsidRDefault="007F2AEB" w:rsidP="00FC552D">
      <w:pPr>
        <w:jc w:val="both"/>
      </w:pPr>
      <w:r w:rsidRPr="00DB1CD5">
        <w:t>J</w:t>
      </w:r>
      <w:r w:rsidR="00E2488A" w:rsidRPr="00DB1CD5">
        <w:t xml:space="preserve">e nutné rozšířit kompetence </w:t>
      </w:r>
      <w:r w:rsidR="005D49BA" w:rsidRPr="00DB1CD5">
        <w:t>M</w:t>
      </w:r>
      <w:r w:rsidR="00E2488A" w:rsidRPr="00DB1CD5">
        <w:t>inisterstva zdravotnictví</w:t>
      </w:r>
      <w:r w:rsidRPr="00DB1CD5">
        <w:t>, a to o oblast elektronického zdravotnictví</w:t>
      </w:r>
      <w:r w:rsidR="00AD1070" w:rsidRPr="00DB1CD5">
        <w:t>, vzhledem k tomu, že zákon o elektronizaci zdravotnictví kompetence Ministerstva zdravotnictví v oblasti elektronického zdravotnictví rozšiřuje.</w:t>
      </w:r>
    </w:p>
    <w:p w14:paraId="00AFC144" w14:textId="2B2C1B78" w:rsidR="007F2AEB" w:rsidRPr="00DB1CD5" w:rsidRDefault="007F2AEB" w:rsidP="00FC552D">
      <w:pPr>
        <w:jc w:val="both"/>
      </w:pPr>
      <w:r w:rsidRPr="00DB1CD5">
        <w:t xml:space="preserve">Jedna ze zásadních věcí, kterou je nutné </w:t>
      </w:r>
      <w:r w:rsidR="00B41BB7" w:rsidRPr="00DB1CD5">
        <w:t>upravit</w:t>
      </w:r>
      <w:r w:rsidR="008238DA" w:rsidRPr="00DB1CD5">
        <w:t>,</w:t>
      </w:r>
      <w:r w:rsidR="00B41BB7" w:rsidRPr="00DB1CD5">
        <w:t xml:space="preserve"> je </w:t>
      </w:r>
      <w:proofErr w:type="spellStart"/>
      <w:r w:rsidR="008C4E6C" w:rsidRPr="00DB1CD5">
        <w:t>provazba</w:t>
      </w:r>
      <w:proofErr w:type="spellEnd"/>
      <w:r w:rsidR="00B41BB7" w:rsidRPr="00DB1CD5">
        <w:t xml:space="preserve"> již existujících služeb elektronického </w:t>
      </w:r>
      <w:r w:rsidR="008C4E6C" w:rsidRPr="00DB1CD5">
        <w:t>zdravotnictví. Jednou</w:t>
      </w:r>
      <w:r w:rsidR="00527C88" w:rsidRPr="00DB1CD5">
        <w:t xml:space="preserve"> z těchto služeb</w:t>
      </w:r>
      <w:r w:rsidR="00B41BB7" w:rsidRPr="00DB1CD5">
        <w:t xml:space="preserve"> </w:t>
      </w:r>
      <w:r w:rsidR="0054296A" w:rsidRPr="00DB1CD5">
        <w:t xml:space="preserve">je v tomto případě systém eRecept, proto je nutné jej uvést do souladu </w:t>
      </w:r>
      <w:r w:rsidR="00417A0A" w:rsidRPr="00DB1CD5">
        <w:t xml:space="preserve">s </w:t>
      </w:r>
      <w:r w:rsidR="00A10491" w:rsidRPr="00DB1CD5">
        <w:t xml:space="preserve">přístupy k těmto systémům </w:t>
      </w:r>
      <w:r w:rsidR="008C4E6C" w:rsidRPr="00DB1CD5">
        <w:t>cestou resortního</w:t>
      </w:r>
      <w:r w:rsidR="0085032D" w:rsidRPr="00DB1CD5">
        <w:t xml:space="preserve"> systémového přístupového certifikátu poskytovatele zdravotních služeb.</w:t>
      </w:r>
    </w:p>
    <w:p w14:paraId="1DD230BB" w14:textId="207D9624" w:rsidR="00417A0A" w:rsidRPr="00DB1CD5" w:rsidRDefault="00417A0A" w:rsidP="00FC552D">
      <w:pPr>
        <w:jc w:val="both"/>
        <w:rPr>
          <w:szCs w:val="24"/>
        </w:rPr>
      </w:pPr>
      <w:r w:rsidRPr="00DB1CD5">
        <w:rPr>
          <w:szCs w:val="24"/>
        </w:rPr>
        <w:t xml:space="preserve">Podrobněji je </w:t>
      </w:r>
      <w:r w:rsidR="00501C55" w:rsidRPr="00DB1CD5">
        <w:rPr>
          <w:szCs w:val="24"/>
        </w:rPr>
        <w:t>o</w:t>
      </w:r>
      <w:r w:rsidRPr="00DB1CD5">
        <w:rPr>
          <w:szCs w:val="24"/>
        </w:rPr>
        <w:t xml:space="preserve">důvodnění hlavních principů navrhované právní úpravy uvedeno v kapitole </w:t>
      </w:r>
      <w:r w:rsidR="00F57ECF" w:rsidRPr="00DB1CD5">
        <w:rPr>
          <w:szCs w:val="24"/>
        </w:rPr>
        <w:t>1.5</w:t>
      </w:r>
      <w:r w:rsidRPr="00DB1CD5">
        <w:rPr>
          <w:szCs w:val="24"/>
        </w:rPr>
        <w:t xml:space="preserve"> Z</w:t>
      </w:r>
      <w:r w:rsidR="00DE1374">
        <w:rPr>
          <w:szCs w:val="24"/>
        </w:rPr>
        <w:t>ávěrečné z</w:t>
      </w:r>
      <w:r w:rsidRPr="00DB1CD5">
        <w:rPr>
          <w:szCs w:val="24"/>
        </w:rPr>
        <w:t xml:space="preserve">právy </w:t>
      </w:r>
      <w:r w:rsidR="00DE1374">
        <w:rPr>
          <w:szCs w:val="24"/>
        </w:rPr>
        <w:t>z</w:t>
      </w:r>
      <w:r w:rsidRPr="00DB1CD5">
        <w:rPr>
          <w:szCs w:val="24"/>
        </w:rPr>
        <w:t xml:space="preserve"> hodnocení dopadů regulace</w:t>
      </w:r>
      <w:r w:rsidR="0009756A" w:rsidRPr="00DB1CD5">
        <w:rPr>
          <w:szCs w:val="24"/>
        </w:rPr>
        <w:t xml:space="preserve"> a v kapitole 2 Obecné části Důvodové zprávy k návrhu zákona o elektronizaci zdravotnictví</w:t>
      </w:r>
      <w:r w:rsidRPr="00DB1CD5">
        <w:rPr>
          <w:szCs w:val="24"/>
        </w:rPr>
        <w:t>.</w:t>
      </w:r>
    </w:p>
    <w:p w14:paraId="7195ED65" w14:textId="77777777" w:rsidR="00FC552D" w:rsidRPr="00DB1CD5" w:rsidRDefault="00FC552D" w:rsidP="00FC552D">
      <w:pPr>
        <w:jc w:val="both"/>
      </w:pPr>
      <w:r w:rsidRPr="00DB1CD5">
        <w:lastRenderedPageBreak/>
        <w:t>Navrhovaná právní úprava nemá dopad na zákaz diskriminace a podstata právní úpravy nezakládá narušení rovnosti práv mužů a žen.</w:t>
      </w:r>
    </w:p>
    <w:p w14:paraId="1FC13587" w14:textId="77777777" w:rsidR="00FC552D" w:rsidRPr="00DB1CD5" w:rsidRDefault="00FC552D" w:rsidP="00FC552D">
      <w:pPr>
        <w:spacing w:after="0" w:line="240" w:lineRule="auto"/>
        <w:jc w:val="both"/>
      </w:pPr>
    </w:p>
    <w:p w14:paraId="522F4865" w14:textId="77777777" w:rsidR="00FC552D" w:rsidRPr="00DB1CD5" w:rsidRDefault="00FC552D" w:rsidP="00FC552D">
      <w:pPr>
        <w:pStyle w:val="Odstavecseseznamem"/>
        <w:numPr>
          <w:ilvl w:val="0"/>
          <w:numId w:val="2"/>
        </w:numPr>
        <w:spacing w:after="0" w:line="240" w:lineRule="auto"/>
        <w:jc w:val="both"/>
        <w:rPr>
          <w:b/>
        </w:rPr>
      </w:pPr>
      <w:r w:rsidRPr="00DB1CD5">
        <w:rPr>
          <w:b/>
        </w:rPr>
        <w:t>Vysvětlení nezbytnosti navrhované právní úpravy</w:t>
      </w:r>
    </w:p>
    <w:p w14:paraId="7AF9280C" w14:textId="77777777" w:rsidR="00FC552D" w:rsidRPr="00DB1CD5" w:rsidRDefault="00FC552D" w:rsidP="00FC552D">
      <w:pPr>
        <w:pStyle w:val="Odstavecseseznamem"/>
        <w:spacing w:after="0" w:line="240" w:lineRule="auto"/>
        <w:ind w:left="1425"/>
        <w:jc w:val="both"/>
        <w:rPr>
          <w:b/>
        </w:rPr>
      </w:pPr>
    </w:p>
    <w:p w14:paraId="43826100" w14:textId="5BAD3D2B" w:rsidR="00FC552D" w:rsidRPr="00DB1CD5" w:rsidRDefault="00A0418E" w:rsidP="00FC552D">
      <w:pPr>
        <w:jc w:val="both"/>
      </w:pPr>
      <w:r w:rsidRPr="00DB1CD5">
        <w:t>Jak již bylo zmíněno výše</w:t>
      </w:r>
      <w:r w:rsidR="005D49BA" w:rsidRPr="00DB1CD5">
        <w:t>,</w:t>
      </w:r>
      <w:r w:rsidR="0097213B" w:rsidRPr="00DB1CD5">
        <w:t xml:space="preserve"> základním principem změnového zákona je uvedení již existujících procesů ve zdravotnictví</w:t>
      </w:r>
      <w:r w:rsidR="00FA0CB9" w:rsidRPr="00DB1CD5">
        <w:t xml:space="preserve"> do souladu se zákonem o elektronizaci zdravotnictví. Tyto úpravy právních předpisů jsou zcela nezbytné pro zajištění funkčnosti</w:t>
      </w:r>
      <w:r w:rsidR="00EE20B1" w:rsidRPr="00DB1CD5">
        <w:t xml:space="preserve"> elektronizace zdravotnictví nastavené zákonem o elektronizaci zdravotnictví.</w:t>
      </w:r>
    </w:p>
    <w:p w14:paraId="26EC81FA" w14:textId="657DAE0B" w:rsidR="00417A0A" w:rsidRPr="00DB1CD5" w:rsidRDefault="00417A0A" w:rsidP="00FC552D">
      <w:pPr>
        <w:jc w:val="both"/>
        <w:rPr>
          <w:szCs w:val="24"/>
        </w:rPr>
      </w:pPr>
      <w:r w:rsidRPr="00DB1CD5">
        <w:rPr>
          <w:szCs w:val="24"/>
        </w:rPr>
        <w:t xml:space="preserve">Podrobněji je </w:t>
      </w:r>
      <w:r w:rsidR="00501C55" w:rsidRPr="00DB1CD5">
        <w:rPr>
          <w:szCs w:val="24"/>
        </w:rPr>
        <w:t>v</w:t>
      </w:r>
      <w:r w:rsidRPr="00DB1CD5">
        <w:rPr>
          <w:szCs w:val="24"/>
        </w:rPr>
        <w:t xml:space="preserve">ysvětlení nezbytnosti navrhované právní úpravy uvedeno v kapitole </w:t>
      </w:r>
      <w:r w:rsidR="00A93DB8" w:rsidRPr="00DB1CD5">
        <w:rPr>
          <w:szCs w:val="24"/>
        </w:rPr>
        <w:t>1.2</w:t>
      </w:r>
      <w:r w:rsidRPr="00DB1CD5">
        <w:rPr>
          <w:szCs w:val="24"/>
        </w:rPr>
        <w:t xml:space="preserve"> Z</w:t>
      </w:r>
      <w:r w:rsidR="000B5A3E">
        <w:rPr>
          <w:szCs w:val="24"/>
        </w:rPr>
        <w:t>ávěrečné z</w:t>
      </w:r>
      <w:r w:rsidRPr="00DB1CD5">
        <w:rPr>
          <w:szCs w:val="24"/>
        </w:rPr>
        <w:t xml:space="preserve">právy </w:t>
      </w:r>
      <w:proofErr w:type="gramStart"/>
      <w:r w:rsidR="000B5A3E">
        <w:rPr>
          <w:szCs w:val="24"/>
        </w:rPr>
        <w:t>z</w:t>
      </w:r>
      <w:proofErr w:type="gramEnd"/>
      <w:r w:rsidRPr="00DB1CD5">
        <w:rPr>
          <w:szCs w:val="24"/>
        </w:rPr>
        <w:t xml:space="preserve"> zhodnocení dopadů regulace</w:t>
      </w:r>
      <w:r w:rsidR="00A93DB8" w:rsidRPr="00DB1CD5">
        <w:rPr>
          <w:szCs w:val="24"/>
        </w:rPr>
        <w:t xml:space="preserve"> a </w:t>
      </w:r>
      <w:r w:rsidR="001435C6" w:rsidRPr="00DB1CD5">
        <w:rPr>
          <w:szCs w:val="24"/>
        </w:rPr>
        <w:t xml:space="preserve">kapitole 3 Obecné části </w:t>
      </w:r>
      <w:r w:rsidR="000B5A3E">
        <w:rPr>
          <w:szCs w:val="24"/>
        </w:rPr>
        <w:t>D</w:t>
      </w:r>
      <w:r w:rsidR="001435C6" w:rsidRPr="00DB1CD5">
        <w:rPr>
          <w:szCs w:val="24"/>
        </w:rPr>
        <w:t>ůvodové zprávy k návrhu zákona o elektronizaci zdravotnictví</w:t>
      </w:r>
      <w:r w:rsidRPr="00DB1CD5">
        <w:rPr>
          <w:szCs w:val="24"/>
        </w:rPr>
        <w:t>.</w:t>
      </w:r>
    </w:p>
    <w:p w14:paraId="7BD01496" w14:textId="77777777" w:rsidR="00FC552D" w:rsidRPr="00DB1CD5" w:rsidRDefault="00FC552D" w:rsidP="00FC552D">
      <w:pPr>
        <w:pStyle w:val="Odstavecseseznamem"/>
        <w:ind w:left="1425"/>
        <w:jc w:val="both"/>
      </w:pPr>
    </w:p>
    <w:p w14:paraId="78B2CBA7" w14:textId="77777777" w:rsidR="00FC552D" w:rsidRPr="00DB1CD5" w:rsidRDefault="00FC552D" w:rsidP="00FC552D">
      <w:pPr>
        <w:pStyle w:val="Odstavecseseznamem"/>
        <w:numPr>
          <w:ilvl w:val="0"/>
          <w:numId w:val="2"/>
        </w:numPr>
        <w:spacing w:after="0" w:line="240" w:lineRule="auto"/>
        <w:jc w:val="both"/>
        <w:rPr>
          <w:b/>
        </w:rPr>
      </w:pPr>
      <w:r w:rsidRPr="00DB1CD5">
        <w:rPr>
          <w:b/>
        </w:rPr>
        <w:t xml:space="preserve">Zhodnocení souladu navrhované právní úpravy s ústavním pořádkem České </w:t>
      </w:r>
      <w:proofErr w:type="gramStart"/>
      <w:r w:rsidRPr="00DB1CD5">
        <w:rPr>
          <w:b/>
        </w:rPr>
        <w:t>Republiky</w:t>
      </w:r>
      <w:proofErr w:type="gramEnd"/>
    </w:p>
    <w:p w14:paraId="7E3BCDF6" w14:textId="77777777" w:rsidR="00FC552D" w:rsidRPr="00DB1CD5" w:rsidRDefault="00FC552D" w:rsidP="00FC552D">
      <w:pPr>
        <w:pStyle w:val="Odstavecseseznamem"/>
        <w:spacing w:after="0" w:line="240" w:lineRule="auto"/>
        <w:ind w:left="1425"/>
        <w:jc w:val="both"/>
        <w:rPr>
          <w:b/>
        </w:rPr>
      </w:pPr>
    </w:p>
    <w:p w14:paraId="57593FCA" w14:textId="77777777" w:rsidR="00FC552D" w:rsidRPr="00DB1CD5" w:rsidRDefault="00FC552D" w:rsidP="00FC552D">
      <w:pPr>
        <w:jc w:val="both"/>
      </w:pPr>
      <w:r w:rsidRPr="00DB1CD5">
        <w:t>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w:t>
      </w:r>
    </w:p>
    <w:p w14:paraId="15F1181B" w14:textId="77777777" w:rsidR="00FC552D" w:rsidRPr="00DB1CD5" w:rsidRDefault="00FC552D" w:rsidP="00FC552D">
      <w:pPr>
        <w:jc w:val="both"/>
      </w:pPr>
      <w:r w:rsidRPr="00DB1CD5">
        <w:t>Navrhovaná právní úprava je rovněž v souladu s Listinou základních práv a svobod, vyhlášenou usnesením předsednictva České národní rady č. 2/1993 Sb., jako součást ústavního pořádku České republiky</w:t>
      </w:r>
    </w:p>
    <w:p w14:paraId="5D36709D" w14:textId="77777777" w:rsidR="00FC552D" w:rsidRPr="00DB1CD5" w:rsidRDefault="00FC552D" w:rsidP="00F61607">
      <w:pPr>
        <w:pStyle w:val="Odstavecseseznamem"/>
        <w:ind w:left="1425"/>
        <w:jc w:val="both"/>
      </w:pPr>
    </w:p>
    <w:p w14:paraId="0C8B28B4" w14:textId="77777777" w:rsidR="00FC552D" w:rsidRPr="00DB1CD5" w:rsidRDefault="00FC552D" w:rsidP="00FC552D">
      <w:pPr>
        <w:pStyle w:val="Odstavecseseznamem"/>
        <w:numPr>
          <w:ilvl w:val="0"/>
          <w:numId w:val="2"/>
        </w:numPr>
        <w:spacing w:after="0" w:line="240" w:lineRule="auto"/>
        <w:jc w:val="both"/>
        <w:rPr>
          <w:b/>
        </w:rPr>
      </w:pPr>
      <w:r w:rsidRPr="00DB1CD5">
        <w:rPr>
          <w:b/>
        </w:rPr>
        <w:t>Zhodnocení slučitelnosti navrhované právní úpravy s předpisy Evropské unie, judikaturou soudních orgánů Evropské unie nebo obecnými právními zásadami práva Evropské unie</w:t>
      </w:r>
    </w:p>
    <w:p w14:paraId="51A549EC" w14:textId="77777777" w:rsidR="00FC552D" w:rsidRPr="00F61607" w:rsidRDefault="00FC552D" w:rsidP="00F61607">
      <w:pPr>
        <w:pStyle w:val="Odstavecseseznamem"/>
        <w:spacing w:after="0" w:line="240" w:lineRule="auto"/>
        <w:ind w:left="1425"/>
        <w:jc w:val="both"/>
        <w:rPr>
          <w:b/>
        </w:rPr>
      </w:pPr>
    </w:p>
    <w:p w14:paraId="4D11B5FB" w14:textId="54C795EF" w:rsidR="00FC552D" w:rsidRPr="00DB1CD5" w:rsidRDefault="00FC552D" w:rsidP="00FC552D">
      <w:pPr>
        <w:spacing w:after="0" w:line="240" w:lineRule="auto"/>
        <w:jc w:val="both"/>
      </w:pPr>
      <w:r w:rsidRPr="00DB1CD5">
        <w:t>Navrhovaný zákon je v souladu s předpisy Evropské unie, judikaturou soudních orgánů Evropské unie a obecnými právními zásadami práva Evropské unie. Navrhovaná právní úprava respektuje jejich transponování do jiných právních předpisů České republiky, které mají vazbu na navrhovanou právní úpravu.</w:t>
      </w:r>
      <w:r w:rsidR="005D49BA" w:rsidRPr="00DB1CD5">
        <w:t xml:space="preserve"> Návrh není s právem EU v rozporu.</w:t>
      </w:r>
    </w:p>
    <w:p w14:paraId="3B7F3075" w14:textId="77777777" w:rsidR="00FC552D" w:rsidRPr="00DB1CD5" w:rsidRDefault="00FC552D" w:rsidP="00FC552D">
      <w:pPr>
        <w:pStyle w:val="Odstavecseseznamem"/>
        <w:ind w:left="1425"/>
        <w:jc w:val="both"/>
      </w:pPr>
    </w:p>
    <w:p w14:paraId="1972BCEB" w14:textId="707EDA25" w:rsidR="00FC552D" w:rsidRDefault="00FC552D" w:rsidP="00FC552D">
      <w:pPr>
        <w:pStyle w:val="Odstavecseseznamem"/>
        <w:numPr>
          <w:ilvl w:val="0"/>
          <w:numId w:val="2"/>
        </w:numPr>
        <w:spacing w:after="0" w:line="240" w:lineRule="auto"/>
        <w:jc w:val="both"/>
        <w:rPr>
          <w:b/>
        </w:rPr>
      </w:pPr>
      <w:r w:rsidRPr="00DB1CD5">
        <w:rPr>
          <w:b/>
        </w:rPr>
        <w:t>Zhodnocení souladu s mezinárodními smlouvami, jimiž je Česká republika vázána</w:t>
      </w:r>
    </w:p>
    <w:p w14:paraId="4D83AD16" w14:textId="77777777" w:rsidR="002C3073" w:rsidRPr="00DB1CD5" w:rsidRDefault="002C3073" w:rsidP="002C3073">
      <w:pPr>
        <w:pStyle w:val="Odstavecseseznamem"/>
        <w:spacing w:after="0" w:line="240" w:lineRule="auto"/>
        <w:ind w:left="1425"/>
        <w:jc w:val="both"/>
        <w:rPr>
          <w:b/>
        </w:rPr>
      </w:pPr>
    </w:p>
    <w:p w14:paraId="59067D54" w14:textId="5689FA7A" w:rsidR="00FC552D" w:rsidRDefault="00E77C91" w:rsidP="00822C7A">
      <w:pPr>
        <w:pStyle w:val="Odstavecseseznamem"/>
        <w:spacing w:after="0" w:line="240" w:lineRule="auto"/>
        <w:ind w:left="0"/>
        <w:jc w:val="both"/>
      </w:pPr>
      <w:r w:rsidRPr="00DB1CD5">
        <w:t>Tato oblast není předmětem mezinárodních smluv, jimiž je ČR vázána.</w:t>
      </w:r>
    </w:p>
    <w:p w14:paraId="065AF12B" w14:textId="77777777" w:rsidR="00822C7A" w:rsidRPr="00DB1CD5" w:rsidRDefault="00822C7A" w:rsidP="00FC552D">
      <w:pPr>
        <w:pStyle w:val="Odstavecseseznamem"/>
        <w:spacing w:after="0" w:line="240" w:lineRule="auto"/>
        <w:ind w:left="1425"/>
        <w:jc w:val="both"/>
      </w:pPr>
    </w:p>
    <w:p w14:paraId="6902D502" w14:textId="77777777" w:rsidR="00FC552D" w:rsidRPr="00DB1CD5" w:rsidRDefault="00FC552D" w:rsidP="00FC552D">
      <w:pPr>
        <w:pStyle w:val="Odstavecseseznamem"/>
        <w:numPr>
          <w:ilvl w:val="0"/>
          <w:numId w:val="2"/>
        </w:numPr>
        <w:spacing w:after="0" w:line="240" w:lineRule="auto"/>
        <w:jc w:val="both"/>
        <w:rPr>
          <w:b/>
        </w:rPr>
      </w:pPr>
      <w:r w:rsidRPr="00DB1CD5">
        <w:rPr>
          <w:b/>
        </w:rPr>
        <w:t>Předpokládaný hospodářský a finanční dosah navrhované právní úpravy na státní rozpočet, ostatní veřejné rozpočty, na podnikatelské prostředí České republiky, sociální dopady, včetně dopadů na specifické skupiny obyvatel, ze jména osoby sociálně slabé, osoby se zdravotním postižením a národnostní menšiny, dopady na životní prostředí</w:t>
      </w:r>
    </w:p>
    <w:p w14:paraId="2CB2913C" w14:textId="77777777" w:rsidR="00FC552D" w:rsidRPr="00DB1CD5" w:rsidRDefault="00FC552D" w:rsidP="00FC552D">
      <w:pPr>
        <w:pStyle w:val="Odstavecseseznamem"/>
        <w:spacing w:after="0" w:line="240" w:lineRule="auto"/>
        <w:ind w:left="1425"/>
        <w:jc w:val="both"/>
        <w:rPr>
          <w:b/>
        </w:rPr>
      </w:pPr>
    </w:p>
    <w:p w14:paraId="597A66AA" w14:textId="4DA1D5D8" w:rsidR="00FC552D" w:rsidRPr="00DB1CD5" w:rsidRDefault="00452F81" w:rsidP="00FC552D">
      <w:pPr>
        <w:spacing w:after="0" w:line="240" w:lineRule="auto"/>
        <w:jc w:val="both"/>
      </w:pPr>
      <w:r w:rsidRPr="00DB1CD5">
        <w:t>V případě úprav zdravotnické dokumentace</w:t>
      </w:r>
      <w:r w:rsidR="00FD6493" w:rsidRPr="00DB1CD5">
        <w:t xml:space="preserve"> (doplnění údaje – identifikátor pacienta) a úpravám v oblasti vedení zdravotnické dokumentace jsou nasnadě </w:t>
      </w:r>
      <w:r w:rsidR="00857F45" w:rsidRPr="00DB1CD5">
        <w:t xml:space="preserve">výdaje na straně poskytovatelů </w:t>
      </w:r>
      <w:r w:rsidR="00857F45" w:rsidRPr="00DB1CD5">
        <w:lastRenderedPageBreak/>
        <w:t>zdravotních služeb zejména s ohledem na úpravu jejich informačních systémů</w:t>
      </w:r>
      <w:r w:rsidR="00187450" w:rsidRPr="00DB1CD5">
        <w:t>. Jedná se o velmi obtížně vyčíslitelné náklady. Důvodem</w:t>
      </w:r>
      <w:r w:rsidR="00700CBB">
        <w:t>,</w:t>
      </w:r>
      <w:r w:rsidR="00187450" w:rsidRPr="00DB1CD5">
        <w:t xml:space="preserve"> proč nelze exaktně vyčíslit náklady</w:t>
      </w:r>
      <w:r w:rsidR="00700CBB">
        <w:t>,</w:t>
      </w:r>
      <w:r w:rsidR="00187450" w:rsidRPr="00DB1CD5">
        <w:t xml:space="preserve"> je ta skutečnost, že existuje celá řada neznámých parametrů pro tento kvalifikovaný odhad (např. stav informačních systémů, počet dokumentů, jichž se standardizace dotkla, počet pacientů apod.)</w:t>
      </w:r>
    </w:p>
    <w:p w14:paraId="47C1669E" w14:textId="77777777" w:rsidR="000C49E0" w:rsidRPr="00DB1CD5" w:rsidRDefault="000C49E0" w:rsidP="00FC552D">
      <w:pPr>
        <w:spacing w:after="0" w:line="240" w:lineRule="auto"/>
        <w:jc w:val="both"/>
      </w:pPr>
    </w:p>
    <w:p w14:paraId="618A9396" w14:textId="77777777" w:rsidR="000C49E0" w:rsidRPr="00DB1CD5" w:rsidRDefault="000C49E0" w:rsidP="00FC552D">
      <w:pPr>
        <w:spacing w:after="0" w:line="240" w:lineRule="auto"/>
        <w:jc w:val="both"/>
      </w:pPr>
      <w:r w:rsidRPr="00DB1CD5">
        <w:t>Využívání resortních</w:t>
      </w:r>
      <w:r w:rsidR="00FA7362" w:rsidRPr="00DB1CD5">
        <w:t xml:space="preserve"> systémových certifikátů pro přístup k systému eRecept </w:t>
      </w:r>
      <w:r w:rsidR="00391D25" w:rsidRPr="00DB1CD5">
        <w:t xml:space="preserve">přinese naopak úsporu na straně poskytovatelů zdravotních služeb, a to z důvodu </w:t>
      </w:r>
      <w:r w:rsidR="000A68A5" w:rsidRPr="00DB1CD5">
        <w:t xml:space="preserve">jejich bezplatného zajištění ze strany </w:t>
      </w:r>
      <w:r w:rsidR="002E31FF" w:rsidRPr="00DB1CD5">
        <w:t>Integrovaného datového rozhraní resortu zdravotnictví.</w:t>
      </w:r>
    </w:p>
    <w:p w14:paraId="1C4CD9AE" w14:textId="77777777" w:rsidR="00CD7847" w:rsidRPr="00DB1CD5" w:rsidRDefault="00CD7847" w:rsidP="00FC552D">
      <w:pPr>
        <w:spacing w:after="0" w:line="240" w:lineRule="auto"/>
        <w:jc w:val="both"/>
      </w:pPr>
    </w:p>
    <w:p w14:paraId="4B47A92C" w14:textId="08A8AAEE" w:rsidR="00CD7847" w:rsidRPr="00DB1CD5" w:rsidRDefault="004A3D6D" w:rsidP="00FC552D">
      <w:pPr>
        <w:spacing w:after="0" w:line="240" w:lineRule="auto"/>
        <w:jc w:val="both"/>
      </w:pPr>
      <w:r w:rsidRPr="00DB1CD5">
        <w:t>Podrobněji jsou hospodářské a finanční dopady navrhované právní úpravy</w:t>
      </w:r>
      <w:r w:rsidR="00795843" w:rsidRPr="00DB1CD5">
        <w:t xml:space="preserve"> jsou rozvedeny v</w:t>
      </w:r>
      <w:r w:rsidR="00B46F08" w:rsidRPr="00DB1CD5">
        <w:t> </w:t>
      </w:r>
      <w:r w:rsidR="002C3073">
        <w:t>Z</w:t>
      </w:r>
      <w:r w:rsidR="00B46F08" w:rsidRPr="00DB1CD5">
        <w:t>ávěrečné zprávě z hodnocení dopadů regulace navrhovaného zákona o elektronizaci zdravotnictví.</w:t>
      </w:r>
    </w:p>
    <w:p w14:paraId="1731E955" w14:textId="77777777" w:rsidR="00FC552D" w:rsidRPr="00DB1CD5" w:rsidRDefault="00FC552D" w:rsidP="00FC552D">
      <w:pPr>
        <w:pStyle w:val="Odstavecseseznamem"/>
        <w:ind w:left="1425"/>
        <w:jc w:val="both"/>
      </w:pPr>
    </w:p>
    <w:p w14:paraId="70D12E61" w14:textId="77777777" w:rsidR="00FC552D" w:rsidRPr="00DB1CD5" w:rsidRDefault="00FC552D" w:rsidP="00FC552D">
      <w:pPr>
        <w:pStyle w:val="Odstavecseseznamem"/>
        <w:numPr>
          <w:ilvl w:val="0"/>
          <w:numId w:val="2"/>
        </w:numPr>
        <w:spacing w:after="0" w:line="240" w:lineRule="auto"/>
        <w:jc w:val="both"/>
        <w:rPr>
          <w:b/>
        </w:rPr>
      </w:pPr>
      <w:r w:rsidRPr="00DB1CD5">
        <w:rPr>
          <w:b/>
        </w:rPr>
        <w:t>Zhodnocení dopadů ve vztahu k ochraně soukromí a osobních údajů</w:t>
      </w:r>
    </w:p>
    <w:p w14:paraId="23ED2A8A" w14:textId="77777777" w:rsidR="00FC552D" w:rsidRPr="00DB1CD5" w:rsidRDefault="00FC552D" w:rsidP="00F61607">
      <w:pPr>
        <w:pStyle w:val="Odstavecseseznamem"/>
        <w:spacing w:after="0" w:line="240" w:lineRule="auto"/>
        <w:ind w:left="1425"/>
        <w:jc w:val="both"/>
        <w:rPr>
          <w:b/>
        </w:rPr>
      </w:pPr>
    </w:p>
    <w:p w14:paraId="5C85A7CE" w14:textId="626D72A8" w:rsidR="00FC552D" w:rsidRPr="00DB1CD5" w:rsidRDefault="00C52644" w:rsidP="00F61607">
      <w:pPr>
        <w:jc w:val="both"/>
      </w:pPr>
      <w:r w:rsidRPr="00DB1CD5">
        <w:t>Navrhovaná změna právních předpisů nepředstavuje žádný nový dopad k ochraně soukromí a</w:t>
      </w:r>
      <w:r w:rsidR="00F61607">
        <w:t> </w:t>
      </w:r>
      <w:r w:rsidRPr="00DB1CD5">
        <w:t>osobních údajů</w:t>
      </w:r>
      <w:r w:rsidR="00796D84" w:rsidRPr="00DB1CD5">
        <w:t>, resp. dopadem je zvýšená ochrana subjektu údajů zavedením identifikátoru zdravotnického pracovníka a pacienta.</w:t>
      </w:r>
    </w:p>
    <w:p w14:paraId="0E83621B" w14:textId="5D0B5306" w:rsidR="00C52644" w:rsidRPr="00DB1CD5" w:rsidRDefault="00C52644" w:rsidP="00F61607">
      <w:pPr>
        <w:jc w:val="both"/>
      </w:pPr>
      <w:r w:rsidRPr="00DB1CD5">
        <w:t>Dopady ve vztahu k ochraně soukromí a osobních údajů v</w:t>
      </w:r>
      <w:r w:rsidR="00200425" w:rsidRPr="00DB1CD5">
        <w:t> případě samotného zákona o</w:t>
      </w:r>
      <w:r w:rsidR="00F61607">
        <w:t> </w:t>
      </w:r>
      <w:r w:rsidR="00200425" w:rsidRPr="00DB1CD5">
        <w:t>elektronizaci</w:t>
      </w:r>
      <w:r w:rsidR="00700CBB">
        <w:t xml:space="preserve"> zdravotnictví</w:t>
      </w:r>
      <w:r w:rsidR="00200425" w:rsidRPr="00DB1CD5">
        <w:t xml:space="preserve"> jsou uvedeny v obecné části důvodové zprávy k zákonu o</w:t>
      </w:r>
      <w:r w:rsidR="00700CBB">
        <w:t> </w:t>
      </w:r>
      <w:r w:rsidR="00200425" w:rsidRPr="00DB1CD5">
        <w:t>elektronizaci zdravotnictví.</w:t>
      </w:r>
    </w:p>
    <w:p w14:paraId="6EE0D900" w14:textId="77777777" w:rsidR="00FC552D" w:rsidRPr="00DB1CD5" w:rsidRDefault="00FC552D" w:rsidP="00FC552D">
      <w:pPr>
        <w:pStyle w:val="Odstavecseseznamem"/>
        <w:numPr>
          <w:ilvl w:val="0"/>
          <w:numId w:val="2"/>
        </w:numPr>
        <w:spacing w:after="0" w:line="240" w:lineRule="auto"/>
        <w:jc w:val="both"/>
        <w:rPr>
          <w:b/>
        </w:rPr>
      </w:pPr>
      <w:r w:rsidRPr="00DB1CD5">
        <w:rPr>
          <w:b/>
        </w:rPr>
        <w:t>Zhodnocení korupčních rizik</w:t>
      </w:r>
    </w:p>
    <w:p w14:paraId="42F1C1B9" w14:textId="77777777" w:rsidR="00FC552D" w:rsidRPr="00DB1CD5" w:rsidRDefault="00FC552D" w:rsidP="00FC552D">
      <w:pPr>
        <w:pStyle w:val="Odstavecseseznamem"/>
        <w:spacing w:after="0" w:line="240" w:lineRule="auto"/>
        <w:ind w:left="1425"/>
        <w:jc w:val="both"/>
        <w:rPr>
          <w:b/>
        </w:rPr>
      </w:pPr>
    </w:p>
    <w:p w14:paraId="4FA19F43" w14:textId="77777777" w:rsidR="00FC552D" w:rsidRPr="00DB1CD5" w:rsidRDefault="00FC552D" w:rsidP="00FC552D">
      <w:pPr>
        <w:autoSpaceDE w:val="0"/>
        <w:autoSpaceDN w:val="0"/>
        <w:adjustRightInd w:val="0"/>
        <w:jc w:val="both"/>
        <w:rPr>
          <w:rFonts w:eastAsia="MS Mincho"/>
        </w:rPr>
      </w:pPr>
      <w:r w:rsidRPr="00DB1CD5">
        <w:rPr>
          <w:rFonts w:eastAsia="MS Mincho"/>
        </w:rPr>
        <w:t xml:space="preserve">Návrh </w:t>
      </w:r>
      <w:r w:rsidR="00C446C5" w:rsidRPr="00DB1CD5">
        <w:rPr>
          <w:rFonts w:eastAsia="MS Mincho"/>
        </w:rPr>
        <w:t xml:space="preserve">úprav </w:t>
      </w:r>
      <w:r w:rsidRPr="00DB1CD5">
        <w:rPr>
          <w:rFonts w:eastAsia="MS Mincho"/>
        </w:rPr>
        <w:t>zákon</w:t>
      </w:r>
      <w:r w:rsidR="00C446C5" w:rsidRPr="00DB1CD5">
        <w:rPr>
          <w:rFonts w:eastAsia="MS Mincho"/>
        </w:rPr>
        <w:t>ů</w:t>
      </w:r>
      <w:r w:rsidRPr="00DB1CD5">
        <w:rPr>
          <w:rFonts w:eastAsia="MS Mincho"/>
        </w:rPr>
        <w:t xml:space="preserve"> splňuje kritéria přiměřenosti, efektivity a jednoznačné odpovědnosti. Návrh úprav se shoduje se známou dobrou praxí a navrhované procesy v ní obsažené se jeví přiměřené při srovnání s obdobnou legislativou. Návrh zákona nepředstavuje zvýšení korupčních rizik oproti stávajícímu stavu právní úpravy.</w:t>
      </w:r>
    </w:p>
    <w:p w14:paraId="5217FAC9" w14:textId="77777777" w:rsidR="00FC552D" w:rsidRPr="00DB1CD5" w:rsidRDefault="00FC552D" w:rsidP="00FC552D">
      <w:pPr>
        <w:pStyle w:val="Odstavecseseznamem"/>
        <w:numPr>
          <w:ilvl w:val="0"/>
          <w:numId w:val="2"/>
        </w:numPr>
        <w:spacing w:after="0" w:line="240" w:lineRule="auto"/>
        <w:jc w:val="both"/>
        <w:rPr>
          <w:b/>
        </w:rPr>
      </w:pPr>
      <w:r w:rsidRPr="00DB1CD5">
        <w:rPr>
          <w:b/>
        </w:rPr>
        <w:t>Zhodnocení dopadů na bezpečnost nebo obranu státu</w:t>
      </w:r>
    </w:p>
    <w:p w14:paraId="7CFCDE69" w14:textId="77777777" w:rsidR="00FC552D" w:rsidRPr="00DB1CD5" w:rsidRDefault="00FC552D" w:rsidP="00FC552D">
      <w:pPr>
        <w:pStyle w:val="Odstavecseseznamem"/>
        <w:spacing w:after="0" w:line="240" w:lineRule="auto"/>
        <w:ind w:left="1425"/>
        <w:jc w:val="both"/>
        <w:rPr>
          <w:b/>
        </w:rPr>
      </w:pPr>
    </w:p>
    <w:p w14:paraId="2E023526" w14:textId="0D431A09" w:rsidR="00FC552D" w:rsidRPr="00DB1CD5" w:rsidRDefault="00FC552D" w:rsidP="00F61607">
      <w:pPr>
        <w:spacing w:after="0" w:line="240" w:lineRule="auto"/>
        <w:jc w:val="both"/>
      </w:pPr>
      <w:r w:rsidRPr="00DB1CD5">
        <w:t>Údaje o zdravotním stavu občanů jsou údaji citlivým a jsou v centrálních systémech zabezpečen</w:t>
      </w:r>
      <w:r w:rsidR="00422D1F">
        <w:t>y</w:t>
      </w:r>
      <w:r w:rsidRPr="00DB1CD5">
        <w:t xml:space="preserve"> na nejvyšší úrovni odpovídající úrovni zabezpečení odpovídající systémům kritické informační infrastruktury.</w:t>
      </w:r>
      <w:r w:rsidR="00902F1B">
        <w:t xml:space="preserve"> </w:t>
      </w:r>
      <w:r w:rsidRPr="00DB1CD5">
        <w:t>Koncept centrálních služeb počítá s tím, že zdravotnická dokumentace zůstane u poskytovatelů zdravotních služeb.</w:t>
      </w:r>
    </w:p>
    <w:p w14:paraId="25BDB6B1" w14:textId="77777777" w:rsidR="00A64B3D" w:rsidRPr="00DB1CD5" w:rsidRDefault="00A64B3D" w:rsidP="00F61607">
      <w:pPr>
        <w:spacing w:after="0" w:line="240" w:lineRule="auto"/>
        <w:jc w:val="both"/>
      </w:pPr>
    </w:p>
    <w:p w14:paraId="7A166D81" w14:textId="3AB60847" w:rsidR="00A64B3D" w:rsidRPr="00DB1CD5" w:rsidRDefault="00A64B3D" w:rsidP="00F61607">
      <w:pPr>
        <w:spacing w:after="0" w:line="240" w:lineRule="auto"/>
        <w:jc w:val="both"/>
      </w:pPr>
      <w:r w:rsidRPr="00DB1CD5">
        <w:t>Bližší zhodnocení dopadů na bezpečnost nebo obranu státu je uveden</w:t>
      </w:r>
      <w:r w:rsidR="00345562">
        <w:t>o</w:t>
      </w:r>
      <w:r w:rsidRPr="00DB1CD5">
        <w:t xml:space="preserve"> v </w:t>
      </w:r>
      <w:r w:rsidR="00345562">
        <w:t>O</w:t>
      </w:r>
      <w:r w:rsidRPr="00DB1CD5">
        <w:t xml:space="preserve">becné části </w:t>
      </w:r>
      <w:r w:rsidR="00345562">
        <w:t>D</w:t>
      </w:r>
      <w:r w:rsidRPr="00DB1CD5">
        <w:t>ůvodové zprávy k návrhu zákona o elektronizaci zdravotnictví.</w:t>
      </w:r>
    </w:p>
    <w:p w14:paraId="4973D976" w14:textId="77777777" w:rsidR="00FC552D" w:rsidRPr="00DB1CD5" w:rsidRDefault="00FC552D" w:rsidP="00FC552D">
      <w:pPr>
        <w:spacing w:line="259" w:lineRule="auto"/>
      </w:pPr>
      <w:r w:rsidRPr="00DB1CD5">
        <w:br w:type="page"/>
      </w:r>
    </w:p>
    <w:p w14:paraId="16A8454B" w14:textId="77777777" w:rsidR="00FC552D" w:rsidRPr="00DB1CD5" w:rsidRDefault="00FC552D" w:rsidP="00FC552D">
      <w:pPr>
        <w:numPr>
          <w:ilvl w:val="0"/>
          <w:numId w:val="1"/>
        </w:numPr>
        <w:spacing w:after="0" w:line="240" w:lineRule="auto"/>
        <w:jc w:val="both"/>
        <w:rPr>
          <w:b/>
        </w:rPr>
      </w:pPr>
      <w:r w:rsidRPr="00DB1CD5">
        <w:rPr>
          <w:b/>
        </w:rPr>
        <w:lastRenderedPageBreak/>
        <w:t>ZVLÁŠTNÍ ČÁST</w:t>
      </w:r>
    </w:p>
    <w:p w14:paraId="50770252" w14:textId="77777777" w:rsidR="00FC552D" w:rsidRPr="00DB1CD5" w:rsidRDefault="00FC552D" w:rsidP="00FC552D">
      <w:pPr>
        <w:spacing w:after="0" w:line="240" w:lineRule="auto"/>
        <w:ind w:left="705"/>
        <w:jc w:val="both"/>
        <w:rPr>
          <w:b/>
        </w:rPr>
      </w:pPr>
    </w:p>
    <w:p w14:paraId="37C4CB41" w14:textId="77777777" w:rsidR="00FC552D" w:rsidRPr="00590CDA" w:rsidRDefault="00FC552D" w:rsidP="00590CDA">
      <w:pPr>
        <w:spacing w:after="0"/>
        <w:jc w:val="both"/>
        <w:rPr>
          <w:u w:val="single"/>
        </w:rPr>
      </w:pPr>
      <w:r w:rsidRPr="00590CDA">
        <w:rPr>
          <w:u w:val="single"/>
        </w:rPr>
        <w:t>K</w:t>
      </w:r>
      <w:r w:rsidR="00E822D5" w:rsidRPr="00590CDA">
        <w:rPr>
          <w:u w:val="single"/>
        </w:rPr>
        <w:t> části první</w:t>
      </w:r>
      <w:r w:rsidRPr="00590CDA">
        <w:rPr>
          <w:u w:val="single"/>
        </w:rPr>
        <w:t>:</w:t>
      </w:r>
    </w:p>
    <w:p w14:paraId="13B64DD7" w14:textId="77777777" w:rsidR="00E822D5" w:rsidRPr="00DB1CD5" w:rsidRDefault="00E822D5" w:rsidP="00FC552D">
      <w:pPr>
        <w:pStyle w:val="Odstavecseseznamem"/>
        <w:jc w:val="both"/>
      </w:pPr>
    </w:p>
    <w:p w14:paraId="3B7B0123" w14:textId="2B18E587" w:rsidR="00590CDA" w:rsidRPr="00590CDA" w:rsidRDefault="00590CDA" w:rsidP="00590CDA">
      <w:pPr>
        <w:jc w:val="both"/>
        <w:rPr>
          <w:b/>
        </w:rPr>
      </w:pPr>
      <w:r w:rsidRPr="00590CDA">
        <w:rPr>
          <w:b/>
        </w:rPr>
        <w:t>K bodu 1</w:t>
      </w:r>
      <w:r>
        <w:rPr>
          <w:b/>
        </w:rPr>
        <w:t xml:space="preserve"> (§ 53 odst. 2)</w:t>
      </w:r>
    </w:p>
    <w:p w14:paraId="53D4EC26" w14:textId="167CE7FF" w:rsidR="00FC552D" w:rsidRDefault="00FC552D" w:rsidP="00590CDA">
      <w:pPr>
        <w:jc w:val="both"/>
      </w:pPr>
      <w:r w:rsidRPr="00DB1CD5">
        <w:t>Z důvodu postupného útlumu užívání rodného čísla je</w:t>
      </w:r>
      <w:r w:rsidR="00E822D5" w:rsidRPr="00DB1CD5">
        <w:t xml:space="preserve"> zaveden </w:t>
      </w:r>
      <w:r w:rsidR="002155D8" w:rsidRPr="00DB1CD5">
        <w:t>zákonem o</w:t>
      </w:r>
      <w:r w:rsidR="00F61607">
        <w:t> </w:t>
      </w:r>
      <w:r w:rsidR="002155D8" w:rsidRPr="00DB1CD5">
        <w:t>elektronizaci zdravotnictví</w:t>
      </w:r>
      <w:r w:rsidRPr="00DB1CD5">
        <w:t xml:space="preserve"> identifikátor </w:t>
      </w:r>
      <w:r w:rsidR="008C4E6C" w:rsidRPr="00DB1CD5">
        <w:t>pacienta, jehož</w:t>
      </w:r>
      <w:r w:rsidRPr="00DB1CD5">
        <w:t xml:space="preserve"> cílem bude pacienta v informačních systémech jednoznačně identifikovat. </w:t>
      </w:r>
      <w:r w:rsidR="006D2B2B" w:rsidRPr="00DB1CD5">
        <w:t>Tento identifikátor je z</w:t>
      </w:r>
      <w:r w:rsidR="00F61607">
        <w:t> </w:t>
      </w:r>
      <w:r w:rsidR="006D2B2B" w:rsidRPr="00DB1CD5">
        <w:t>principu veřejný a může být tedy uváděn na nejrůznějších veřejných dokumentech a dalších listinách</w:t>
      </w:r>
      <w:r w:rsidR="0056323D" w:rsidRPr="00DB1CD5">
        <w:t>,</w:t>
      </w:r>
      <w:r w:rsidR="006D2B2B" w:rsidRPr="00DB1CD5">
        <w:t xml:space="preserve"> např. výpisech z evidencí, různých průkazech i ve zdravotních záznamech, finančních a účetních </w:t>
      </w:r>
      <w:r w:rsidR="006D2B2B" w:rsidRPr="00C86B8F">
        <w:t>dokladech.</w:t>
      </w:r>
      <w:r w:rsidR="006D2B2B" w:rsidRPr="00DB1CD5">
        <w:t xml:space="preserve"> Z uvedeného důvodu je nezbytné, aby byl uváděn i ve zdravotnické dokumentaci a do budoucna nahradil</w:t>
      </w:r>
      <w:r w:rsidR="00193822" w:rsidRPr="00DB1CD5">
        <w:t xml:space="preserve"> využívané </w:t>
      </w:r>
      <w:r w:rsidR="00B8499F">
        <w:t>rodné číslo</w:t>
      </w:r>
      <w:r w:rsidR="00193822" w:rsidRPr="00DB1CD5">
        <w:t>.</w:t>
      </w:r>
    </w:p>
    <w:p w14:paraId="1202C13F" w14:textId="458B6C6E" w:rsidR="007833AF" w:rsidRPr="00590CDA" w:rsidRDefault="007833AF" w:rsidP="007833AF">
      <w:pPr>
        <w:jc w:val="both"/>
        <w:rPr>
          <w:b/>
        </w:rPr>
      </w:pPr>
      <w:r w:rsidRPr="00590CDA">
        <w:rPr>
          <w:b/>
        </w:rPr>
        <w:t xml:space="preserve">K bodu </w:t>
      </w:r>
      <w:r>
        <w:rPr>
          <w:b/>
        </w:rPr>
        <w:t>2 (§ 54a)</w:t>
      </w:r>
    </w:p>
    <w:p w14:paraId="2A744CBE" w14:textId="50DCDACE" w:rsidR="00193822" w:rsidRDefault="00872919" w:rsidP="00E713BC">
      <w:pPr>
        <w:jc w:val="both"/>
      </w:pPr>
      <w:r w:rsidRPr="00DB1CD5">
        <w:t>Výměnný systém pro výměnu zdravotnické dokumentace nastavený zákonem o</w:t>
      </w:r>
      <w:r w:rsidR="00F61607">
        <w:t> </w:t>
      </w:r>
      <w:r w:rsidR="00E908A7" w:rsidRPr="00DB1CD5">
        <w:t>e</w:t>
      </w:r>
      <w:r w:rsidRPr="00DB1CD5">
        <w:t>lektronizaci zdravotnictví musí mít zajištěny parametry</w:t>
      </w:r>
      <w:r w:rsidR="00E908A7" w:rsidRPr="00DB1CD5">
        <w:t xml:space="preserve"> zdravotnické dokumentace k takovému předání určené</w:t>
      </w:r>
      <w:r w:rsidR="004043AA" w:rsidRPr="00DB1CD5">
        <w:t>, a to zejména z</w:t>
      </w:r>
      <w:r w:rsidR="00874543" w:rsidRPr="00DB1CD5">
        <w:t> </w:t>
      </w:r>
      <w:r w:rsidR="004043AA" w:rsidRPr="00DB1CD5">
        <w:t>důvodu</w:t>
      </w:r>
      <w:r w:rsidR="00874543" w:rsidRPr="00DB1CD5">
        <w:t xml:space="preserve"> </w:t>
      </w:r>
      <w:r w:rsidR="004043AA" w:rsidRPr="00DB1CD5">
        <w:t>zajištění průkaznosti, integrity i bezpečnosti</w:t>
      </w:r>
      <w:r w:rsidR="00FE1892" w:rsidRPr="00DB1CD5">
        <w:t xml:space="preserve"> zdravotnické dokumentace předávané vně poskytovatele zdravotních služeb</w:t>
      </w:r>
      <w:r w:rsidR="004043AA" w:rsidRPr="00DB1CD5">
        <w:t>.</w:t>
      </w:r>
      <w:r w:rsidR="00063BF0">
        <w:t xml:space="preserve"> Vzhledem k tomu, že nebude zákonem zakázáno poskytovatelům zdravotních služeb využití stávajících výměnných sítí</w:t>
      </w:r>
      <w:r w:rsidR="00E2730F">
        <w:t xml:space="preserve"> i</w:t>
      </w:r>
      <w:r w:rsidR="00B8499F">
        <w:t> </w:t>
      </w:r>
      <w:r w:rsidR="00E2730F">
        <w:t>z pohledu vyšší bezpečnosti při předávání kopií či v</w:t>
      </w:r>
      <w:r w:rsidR="00E713BC">
        <w:t>ý</w:t>
      </w:r>
      <w:r w:rsidR="00E2730F">
        <w:t>pisů ze zdravotnické dokumentace, budou parametry</w:t>
      </w:r>
      <w:r w:rsidR="00E1147D">
        <w:t xml:space="preserve"> </w:t>
      </w:r>
      <w:r w:rsidR="00E2730F">
        <w:t>nastaveny obecně</w:t>
      </w:r>
      <w:r w:rsidR="00E1147D">
        <w:t xml:space="preserve"> pro všechny typy předávání podle </w:t>
      </w:r>
      <w:r w:rsidR="00885139" w:rsidRPr="00885139">
        <w:t>v souladu s § 45 odst. 2 písm. f) nebo g)</w:t>
      </w:r>
      <w:r w:rsidR="00885139">
        <w:t>.</w:t>
      </w:r>
    </w:p>
    <w:p w14:paraId="5FE550C4" w14:textId="4B192BA4" w:rsidR="00972D1B" w:rsidRDefault="00972D1B" w:rsidP="00E713BC">
      <w:pPr>
        <w:jc w:val="both"/>
        <w:rPr>
          <w:b/>
          <w:bCs/>
        </w:rPr>
      </w:pPr>
      <w:r w:rsidRPr="00700CBB">
        <w:rPr>
          <w:b/>
          <w:bCs/>
        </w:rPr>
        <w:t>K bodu 3 (§ 56a odst. 1)</w:t>
      </w:r>
    </w:p>
    <w:p w14:paraId="1FAC0992" w14:textId="5CC853B0" w:rsidR="00972D1B" w:rsidRPr="00700CBB" w:rsidRDefault="00972D1B" w:rsidP="00E713BC">
      <w:pPr>
        <w:jc w:val="both"/>
      </w:pPr>
      <w:r w:rsidRPr="00700CBB">
        <w:t>Doplňuje se ustanovení v souvislosti s rozšířením možnosti předání pacientského souhrnu i</w:t>
      </w:r>
      <w:r w:rsidR="00700CBB">
        <w:t> </w:t>
      </w:r>
      <w:r w:rsidRPr="00700CBB">
        <w:t xml:space="preserve">vnitrostátně. </w:t>
      </w:r>
    </w:p>
    <w:p w14:paraId="3E7D016C" w14:textId="75B2CC7F" w:rsidR="00664A35" w:rsidRPr="00590CDA" w:rsidRDefault="00664A35" w:rsidP="00664A35">
      <w:pPr>
        <w:jc w:val="both"/>
        <w:rPr>
          <w:b/>
        </w:rPr>
      </w:pPr>
      <w:r w:rsidRPr="00590CDA">
        <w:rPr>
          <w:b/>
        </w:rPr>
        <w:t xml:space="preserve">K bodu </w:t>
      </w:r>
      <w:r w:rsidR="00972D1B">
        <w:rPr>
          <w:b/>
        </w:rPr>
        <w:t>4</w:t>
      </w:r>
      <w:r>
        <w:rPr>
          <w:b/>
        </w:rPr>
        <w:t xml:space="preserve"> a </w:t>
      </w:r>
      <w:r w:rsidR="00972D1B">
        <w:rPr>
          <w:b/>
        </w:rPr>
        <w:t>6</w:t>
      </w:r>
      <w:r>
        <w:rPr>
          <w:b/>
        </w:rPr>
        <w:t xml:space="preserve"> </w:t>
      </w:r>
      <w:r w:rsidR="00126467">
        <w:rPr>
          <w:rFonts w:cs="Times New Roman"/>
          <w:b/>
        </w:rPr>
        <w:t>[</w:t>
      </w:r>
      <w:r>
        <w:rPr>
          <w:b/>
        </w:rPr>
        <w:t xml:space="preserve">§ 56a odst. 2 písm. c) a </w:t>
      </w:r>
      <w:r w:rsidR="005336DA">
        <w:rPr>
          <w:b/>
        </w:rPr>
        <w:t>odst. 4</w:t>
      </w:r>
      <w:r w:rsidR="00126467">
        <w:rPr>
          <w:rFonts w:cs="Times New Roman"/>
          <w:b/>
        </w:rPr>
        <w:t>]</w:t>
      </w:r>
    </w:p>
    <w:p w14:paraId="70EBF1A7" w14:textId="2C1C21DD" w:rsidR="00662571" w:rsidRDefault="00415C52" w:rsidP="00662571">
      <w:pPr>
        <w:jc w:val="both"/>
      </w:pPr>
      <w:r>
        <w:t>U</w:t>
      </w:r>
      <w:r w:rsidR="00662571">
        <w:t>mož</w:t>
      </w:r>
      <w:r>
        <w:t>ňuje se</w:t>
      </w:r>
      <w:r w:rsidR="00662571" w:rsidRPr="00227045">
        <w:t xml:space="preserve"> pacientům vysl</w:t>
      </w:r>
      <w:r w:rsidR="00662571">
        <w:t>ovit nesouhlas s přeshraničním předáváním jejich</w:t>
      </w:r>
      <w:r w:rsidR="00662571" w:rsidRPr="00227045">
        <w:t xml:space="preserve"> zdravotnických údajů prostřednictvím </w:t>
      </w:r>
      <w:r w:rsidR="00662571">
        <w:t>informačního systému Národní kontaktní místo</w:t>
      </w:r>
      <w:r w:rsidR="00662571" w:rsidRPr="00227045">
        <w:t xml:space="preserve"> poskytovatelům</w:t>
      </w:r>
      <w:r w:rsidR="00662571">
        <w:t xml:space="preserve"> zdravotních služeb v jiném členském státě</w:t>
      </w:r>
      <w:r w:rsidR="00662571" w:rsidRPr="00227045">
        <w:t>. Jde o základní právo pacienta, pro který v současné době neexistuje vhodný nástroj. Návrh zákona o el</w:t>
      </w:r>
      <w:r w:rsidR="00662571">
        <w:t>ektronickém zdravotnictví</w:t>
      </w:r>
      <w:r w:rsidR="00662571" w:rsidRPr="00227045">
        <w:t xml:space="preserve"> obsahuje Systém správy souhlasů, který je pro tento účel vhodný.</w:t>
      </w:r>
    </w:p>
    <w:p w14:paraId="3B813106" w14:textId="36E700DB" w:rsidR="00126467" w:rsidRPr="00700CBB" w:rsidRDefault="00126467" w:rsidP="00126467">
      <w:pPr>
        <w:jc w:val="both"/>
        <w:rPr>
          <w:b/>
        </w:rPr>
      </w:pPr>
      <w:r w:rsidRPr="00700CBB">
        <w:rPr>
          <w:b/>
        </w:rPr>
        <w:t xml:space="preserve">K bodu </w:t>
      </w:r>
      <w:r w:rsidR="00972D1B" w:rsidRPr="00700CBB">
        <w:rPr>
          <w:b/>
        </w:rPr>
        <w:t>5</w:t>
      </w:r>
      <w:r w:rsidRPr="00700CBB">
        <w:rPr>
          <w:b/>
        </w:rPr>
        <w:t xml:space="preserve"> (§ 56a odst. 3) </w:t>
      </w:r>
    </w:p>
    <w:p w14:paraId="49947731" w14:textId="7456DBF8" w:rsidR="00883480" w:rsidRPr="00700CBB" w:rsidRDefault="00883480" w:rsidP="00126467">
      <w:pPr>
        <w:jc w:val="both"/>
      </w:pPr>
      <w:r w:rsidRPr="00700CBB">
        <w:t>Umožňuje se předávání pacientského souhrnu vnitrostátně a to poskytovatelům, v jejichž péči se pacient, o němž je souhrn veden, nachází.</w:t>
      </w:r>
    </w:p>
    <w:p w14:paraId="5F3D37D3" w14:textId="553CAC2D" w:rsidR="00F14407" w:rsidRPr="00700CBB" w:rsidRDefault="00F14407" w:rsidP="00F14407">
      <w:pPr>
        <w:jc w:val="both"/>
        <w:rPr>
          <w:b/>
        </w:rPr>
      </w:pPr>
      <w:r w:rsidRPr="00700CBB">
        <w:rPr>
          <w:b/>
        </w:rPr>
        <w:t xml:space="preserve">K bodu </w:t>
      </w:r>
      <w:r w:rsidR="00972D1B" w:rsidRPr="00700CBB">
        <w:rPr>
          <w:b/>
        </w:rPr>
        <w:t>7</w:t>
      </w:r>
      <w:r w:rsidRPr="00700CBB">
        <w:rPr>
          <w:b/>
        </w:rPr>
        <w:t xml:space="preserve"> (§ 56b odst. 1) </w:t>
      </w:r>
    </w:p>
    <w:p w14:paraId="3E1BB8BE" w14:textId="792D6250" w:rsidR="00E3381F" w:rsidRPr="00700CBB" w:rsidRDefault="00E3381F" w:rsidP="00F14407">
      <w:pPr>
        <w:jc w:val="both"/>
      </w:pPr>
      <w:r w:rsidRPr="00700CBB">
        <w:t>Doplňuje se ustanovení v souvislosti s rozšířením možnosti předání pacientského souhrnu i</w:t>
      </w:r>
      <w:r w:rsidR="001F6A03">
        <w:t> </w:t>
      </w:r>
      <w:r w:rsidRPr="00700CBB">
        <w:t xml:space="preserve">vnitrostátně. </w:t>
      </w:r>
    </w:p>
    <w:p w14:paraId="448C306A" w14:textId="13A63083" w:rsidR="00F14407" w:rsidRPr="00590CDA" w:rsidRDefault="00F14407" w:rsidP="00F14407">
      <w:pPr>
        <w:jc w:val="both"/>
        <w:rPr>
          <w:b/>
        </w:rPr>
      </w:pPr>
      <w:r w:rsidRPr="00590CDA">
        <w:rPr>
          <w:b/>
        </w:rPr>
        <w:t xml:space="preserve">K bodu </w:t>
      </w:r>
      <w:r w:rsidR="00972D1B">
        <w:rPr>
          <w:b/>
        </w:rPr>
        <w:t>8</w:t>
      </w:r>
      <w:r>
        <w:rPr>
          <w:b/>
        </w:rPr>
        <w:t xml:space="preserve"> (§ 69a)</w:t>
      </w:r>
    </w:p>
    <w:p w14:paraId="637270C5" w14:textId="77777777" w:rsidR="004D16CD" w:rsidRPr="00DB1CD5" w:rsidRDefault="004D16CD" w:rsidP="004D16CD">
      <w:pPr>
        <w:jc w:val="both"/>
      </w:pPr>
      <w:r>
        <w:t xml:space="preserve">Informační systém veřejné správy Národní kontaktní místo pro elektronické zdravotnictví je začleněn do Integrovaného datového rozhraní rezortu jako jedna z centrálních služeb spravovaných Ministerstvem zdravotnictví, která slouží pro sdílení vyjmenovaných částí </w:t>
      </w:r>
      <w:r>
        <w:lastRenderedPageBreak/>
        <w:t xml:space="preserve">zdravotnické dokumentace mezi poskytovateli zdravotních služeb a subjekty, která mají obdobné postavení poskytovatelů zdravotních služeb v jiném členském státě Evropské unie. </w:t>
      </w:r>
    </w:p>
    <w:p w14:paraId="13059B11" w14:textId="699FD639" w:rsidR="006A00DB" w:rsidRPr="00590CDA" w:rsidRDefault="006A00DB" w:rsidP="006A00DB">
      <w:pPr>
        <w:jc w:val="both"/>
        <w:rPr>
          <w:b/>
        </w:rPr>
      </w:pPr>
      <w:r w:rsidRPr="00590CDA">
        <w:rPr>
          <w:b/>
        </w:rPr>
        <w:t xml:space="preserve">K bodu </w:t>
      </w:r>
      <w:r w:rsidR="00972D1B">
        <w:rPr>
          <w:b/>
        </w:rPr>
        <w:t>9</w:t>
      </w:r>
      <w:r>
        <w:rPr>
          <w:b/>
        </w:rPr>
        <w:t xml:space="preserve"> (§ </w:t>
      </w:r>
      <w:r w:rsidR="0010545A">
        <w:rPr>
          <w:b/>
        </w:rPr>
        <w:t>71c</w:t>
      </w:r>
      <w:r>
        <w:rPr>
          <w:b/>
        </w:rPr>
        <w:t>)</w:t>
      </w:r>
    </w:p>
    <w:p w14:paraId="252AB853" w14:textId="77777777" w:rsidR="0010545A" w:rsidRDefault="0010545A" w:rsidP="0010545A">
      <w:pPr>
        <w:jc w:val="both"/>
      </w:pPr>
      <w:r w:rsidRPr="00DB1CD5">
        <w:t>Zákonem o elektronizaci zdravotnictví bude zaveden identifikátor pacienta vydávaný při zápisu do kmenového registru pacientů, z uvedeného důvodu se jeví tato úprava nadbytečnou a je nezbytné ji jako duplicitu z právního řádu odstranit.</w:t>
      </w:r>
    </w:p>
    <w:p w14:paraId="20CB8A31" w14:textId="77777777" w:rsidR="00126467" w:rsidRDefault="00126467" w:rsidP="00E713BC">
      <w:pPr>
        <w:pStyle w:val="Odstavecseseznamem"/>
        <w:ind w:left="1440"/>
        <w:jc w:val="both"/>
      </w:pPr>
    </w:p>
    <w:p w14:paraId="1647AF33" w14:textId="0E5219B7" w:rsidR="00074343" w:rsidRPr="00590CDA" w:rsidRDefault="00074343" w:rsidP="00074343">
      <w:pPr>
        <w:jc w:val="both"/>
        <w:rPr>
          <w:b/>
        </w:rPr>
      </w:pPr>
      <w:r w:rsidRPr="00590CDA">
        <w:rPr>
          <w:b/>
        </w:rPr>
        <w:t>K bod</w:t>
      </w:r>
      <w:r w:rsidR="00E56AF9">
        <w:rPr>
          <w:b/>
        </w:rPr>
        <w:t>ům</w:t>
      </w:r>
      <w:r w:rsidRPr="00590CDA">
        <w:rPr>
          <w:b/>
        </w:rPr>
        <w:t xml:space="preserve"> </w:t>
      </w:r>
      <w:proofErr w:type="gramStart"/>
      <w:r w:rsidR="00972D1B">
        <w:rPr>
          <w:b/>
        </w:rPr>
        <w:t>10</w:t>
      </w:r>
      <w:r w:rsidR="00E56AF9">
        <w:rPr>
          <w:b/>
        </w:rPr>
        <w:t xml:space="preserve"> - 15</w:t>
      </w:r>
      <w:proofErr w:type="gramEnd"/>
      <w:r>
        <w:rPr>
          <w:b/>
        </w:rPr>
        <w:t xml:space="preserve"> </w:t>
      </w:r>
      <w:r>
        <w:rPr>
          <w:rFonts w:cs="Times New Roman"/>
          <w:b/>
        </w:rPr>
        <w:t>[</w:t>
      </w:r>
      <w:r>
        <w:rPr>
          <w:b/>
        </w:rPr>
        <w:t>§ 76 odst. 1 písm. f) a g)</w:t>
      </w:r>
      <w:r w:rsidR="00E56AF9">
        <w:rPr>
          <w:b/>
        </w:rPr>
        <w:t xml:space="preserve"> a odst. 2 písm. a), b), d), f) a g)</w:t>
      </w:r>
      <w:r>
        <w:rPr>
          <w:rFonts w:cs="Times New Roman"/>
          <w:b/>
        </w:rPr>
        <w:t>]</w:t>
      </w:r>
    </w:p>
    <w:p w14:paraId="39CD1981" w14:textId="751607F1" w:rsidR="00074343" w:rsidRDefault="00074343" w:rsidP="00074343">
      <w:pPr>
        <w:jc w:val="both"/>
      </w:pPr>
      <w:r>
        <w:t>Zákonem o elektronizaci zdravotnictví jsou nastaveny parametry týkající se vzdělávání zdravotnických pracovníků, které je nutno promítnout i do úpravy v Národním zdravotnickém informačním systému a z důvodu jejich zápisu prostřednictvím Národního registru zdravotnických pracovníků je nutné uvést je i v právní úpravě Národního registru zdravotnických pracovníků</w:t>
      </w:r>
      <w:r w:rsidR="00E56AF9">
        <w:t>, včetně toho, komu jsou tyto údaje přístupné</w:t>
      </w:r>
      <w:r>
        <w:t>.</w:t>
      </w:r>
    </w:p>
    <w:p w14:paraId="3D3697DF" w14:textId="6520DA2D" w:rsidR="00972D1B" w:rsidRPr="00E56AF9" w:rsidRDefault="00972D1B" w:rsidP="00074343">
      <w:pPr>
        <w:jc w:val="both"/>
      </w:pPr>
    </w:p>
    <w:p w14:paraId="787D9C3A" w14:textId="2E08C92D" w:rsidR="00887C85" w:rsidRPr="00E56AF9" w:rsidRDefault="00887C85" w:rsidP="00887C85">
      <w:pPr>
        <w:jc w:val="both"/>
        <w:rPr>
          <w:b/>
        </w:rPr>
      </w:pPr>
      <w:r w:rsidRPr="00E56AF9">
        <w:rPr>
          <w:b/>
        </w:rPr>
        <w:t>K bodu 1</w:t>
      </w:r>
      <w:r w:rsidR="00972D1B" w:rsidRPr="00E56AF9">
        <w:rPr>
          <w:b/>
        </w:rPr>
        <w:t>6</w:t>
      </w:r>
      <w:r w:rsidRPr="00E56AF9">
        <w:rPr>
          <w:b/>
        </w:rPr>
        <w:t xml:space="preserve"> </w:t>
      </w:r>
      <w:r w:rsidRPr="00E56AF9">
        <w:rPr>
          <w:rFonts w:cs="Times New Roman"/>
          <w:b/>
        </w:rPr>
        <w:t>[</w:t>
      </w:r>
      <w:r w:rsidRPr="00E56AF9">
        <w:rPr>
          <w:b/>
        </w:rPr>
        <w:t>§ 77 odst. 1 písm. f)</w:t>
      </w:r>
      <w:r w:rsidRPr="00E56AF9">
        <w:rPr>
          <w:rFonts w:cs="Times New Roman"/>
          <w:b/>
        </w:rPr>
        <w:t>]</w:t>
      </w:r>
      <w:r w:rsidRPr="00E56AF9">
        <w:rPr>
          <w:b/>
        </w:rPr>
        <w:t xml:space="preserve"> </w:t>
      </w:r>
    </w:p>
    <w:p w14:paraId="6DF2B01F" w14:textId="648DE591" w:rsidR="00887C85" w:rsidRPr="00E56AF9" w:rsidRDefault="0029121A" w:rsidP="00887C85">
      <w:pPr>
        <w:jc w:val="both"/>
      </w:pPr>
      <w:r w:rsidRPr="00E56AF9">
        <w:t>Upřesňují se subjekty předávající do Národního registru zdravotnických pracovníků údaj o záznamu o pravomocných rozhodnutích o zákazu výkonu zdravotnického povolání. Údaj bude nadále do Národního registru zdravotnických pracovníků předávat již jen soud, jelikož má údaj k dispozici jako první.</w:t>
      </w:r>
      <w:r w:rsidR="00E56AF9">
        <w:t xml:space="preserve"> Další změny jsou čistě legislativně technického charakteru (přečíslování odkazů).</w:t>
      </w:r>
    </w:p>
    <w:p w14:paraId="2031851C" w14:textId="03DB1E7B" w:rsidR="00227045" w:rsidRDefault="00227045" w:rsidP="00662571">
      <w:pPr>
        <w:pStyle w:val="Odstavecseseznamem"/>
        <w:ind w:left="1440"/>
        <w:jc w:val="both"/>
      </w:pPr>
    </w:p>
    <w:p w14:paraId="7BD4BEFD" w14:textId="77777777" w:rsidR="00FC552D" w:rsidRPr="0097471A" w:rsidRDefault="00FC552D" w:rsidP="0097471A">
      <w:pPr>
        <w:spacing w:after="0"/>
        <w:jc w:val="both"/>
        <w:rPr>
          <w:u w:val="single"/>
        </w:rPr>
      </w:pPr>
      <w:r w:rsidRPr="0097471A">
        <w:rPr>
          <w:u w:val="single"/>
        </w:rPr>
        <w:t>K</w:t>
      </w:r>
      <w:r w:rsidR="00CC099A" w:rsidRPr="0097471A">
        <w:rPr>
          <w:u w:val="single"/>
        </w:rPr>
        <w:t> </w:t>
      </w:r>
      <w:r w:rsidR="00874543" w:rsidRPr="0097471A">
        <w:rPr>
          <w:u w:val="single"/>
        </w:rPr>
        <w:t>části</w:t>
      </w:r>
      <w:r w:rsidR="00CC099A" w:rsidRPr="0097471A">
        <w:rPr>
          <w:u w:val="single"/>
        </w:rPr>
        <w:t xml:space="preserve"> druhé</w:t>
      </w:r>
      <w:r w:rsidRPr="0097471A">
        <w:rPr>
          <w:u w:val="single"/>
        </w:rPr>
        <w:t>:</w:t>
      </w:r>
    </w:p>
    <w:p w14:paraId="2BAFD79D" w14:textId="4AAF369A" w:rsidR="00CC099A" w:rsidRDefault="00CC099A" w:rsidP="00FC552D">
      <w:pPr>
        <w:pStyle w:val="Odstavecseseznamem"/>
        <w:jc w:val="both"/>
      </w:pPr>
    </w:p>
    <w:p w14:paraId="2A788026" w14:textId="780E36D8" w:rsidR="00471C55" w:rsidRPr="00590CDA" w:rsidRDefault="00471C55" w:rsidP="00471C55">
      <w:pPr>
        <w:jc w:val="both"/>
        <w:rPr>
          <w:b/>
        </w:rPr>
      </w:pPr>
      <w:r w:rsidRPr="00590CDA">
        <w:rPr>
          <w:b/>
        </w:rPr>
        <w:t>K bodu 1</w:t>
      </w:r>
      <w:r w:rsidR="005A1057">
        <w:rPr>
          <w:b/>
        </w:rPr>
        <w:t xml:space="preserve"> </w:t>
      </w:r>
      <w:r>
        <w:rPr>
          <w:b/>
        </w:rPr>
        <w:t>(§ 3 odst. 7)</w:t>
      </w:r>
    </w:p>
    <w:p w14:paraId="13EF6480" w14:textId="32ACCCDC" w:rsidR="00C978D5" w:rsidRDefault="00CC099A" w:rsidP="00471C55">
      <w:pPr>
        <w:jc w:val="both"/>
      </w:pPr>
      <w:r w:rsidRPr="00DB1CD5">
        <w:t xml:space="preserve">Změna zákona o </w:t>
      </w:r>
      <w:r w:rsidR="008F63E1" w:rsidRPr="00DB1CD5">
        <w:t>archivnictví</w:t>
      </w:r>
      <w:r w:rsidRPr="00DB1CD5">
        <w:t xml:space="preserve"> </w:t>
      </w:r>
      <w:r w:rsidR="008F63E1" w:rsidRPr="00DB1CD5">
        <w:t xml:space="preserve">a spisové službě </w:t>
      </w:r>
      <w:r w:rsidR="00BB126B" w:rsidRPr="00DB1CD5">
        <w:t xml:space="preserve">je navrhována z důvodu sjednocení pravidel pro veřejnoprávní a soukromoprávní původce v oblasti vedení zdravotnické dokumentace a dále také </w:t>
      </w:r>
      <w:r w:rsidR="0071002E" w:rsidRPr="00DB1CD5">
        <w:t xml:space="preserve">z důvodu zavedení právní úpravy </w:t>
      </w:r>
      <w:r w:rsidR="0056323D" w:rsidRPr="00DB1CD5">
        <w:t>„</w:t>
      </w:r>
      <w:r w:rsidR="0071002E" w:rsidRPr="00DB1CD5">
        <w:t>životního cyklu</w:t>
      </w:r>
      <w:r w:rsidR="0056323D" w:rsidRPr="00DB1CD5">
        <w:t>“</w:t>
      </w:r>
      <w:r w:rsidR="003D7192" w:rsidRPr="00DB1CD5">
        <w:t xml:space="preserve"> zdravotnické dokumentace vedené v elektronické podobě</w:t>
      </w:r>
      <w:r w:rsidR="0057742B" w:rsidRPr="00DB1CD5">
        <w:t xml:space="preserve">, </w:t>
      </w:r>
      <w:proofErr w:type="gramStart"/>
      <w:r w:rsidR="0057742B" w:rsidRPr="00DB1CD5">
        <w:t>nebo-</w:t>
      </w:r>
      <w:proofErr w:type="spellStart"/>
      <w:r w:rsidR="0057742B" w:rsidRPr="00DB1CD5">
        <w:t>li</w:t>
      </w:r>
      <w:proofErr w:type="spellEnd"/>
      <w:proofErr w:type="gramEnd"/>
      <w:r w:rsidR="0057742B" w:rsidRPr="00DB1CD5">
        <w:t xml:space="preserve"> vynětím z působnosti zákona o archivnictví a spisové službě a</w:t>
      </w:r>
      <w:r w:rsidR="00B8499F">
        <w:t> </w:t>
      </w:r>
      <w:r w:rsidR="0057742B" w:rsidRPr="00DB1CD5">
        <w:t>jeho převedení do působnosti zvláštního právního předpisu, kterým v</w:t>
      </w:r>
      <w:r w:rsidR="00C978D5" w:rsidRPr="00DB1CD5">
        <w:t> tomto případě je zákon o zdravotních službách.</w:t>
      </w:r>
    </w:p>
    <w:p w14:paraId="266CE869" w14:textId="39566558" w:rsidR="0056376A" w:rsidRDefault="0056376A" w:rsidP="0056376A">
      <w:pPr>
        <w:jc w:val="both"/>
        <w:rPr>
          <w:b/>
        </w:rPr>
      </w:pPr>
      <w:r w:rsidRPr="00590CDA">
        <w:rPr>
          <w:b/>
        </w:rPr>
        <w:t xml:space="preserve">K bodu </w:t>
      </w:r>
      <w:r>
        <w:rPr>
          <w:b/>
        </w:rPr>
        <w:t>2 (§ 63 odst. 1)</w:t>
      </w:r>
    </w:p>
    <w:p w14:paraId="0E95DDDC" w14:textId="4BCD0DE3" w:rsidR="0056376A" w:rsidRPr="00DB1CD5" w:rsidRDefault="0056376A" w:rsidP="00471C55">
      <w:pPr>
        <w:jc w:val="both"/>
      </w:pPr>
      <w:r w:rsidRPr="00DB1CD5">
        <w:t>Realizace právní úpravy „životního cyklu“ zdravotnické dokumentace vedené v</w:t>
      </w:r>
      <w:r>
        <w:t> </w:t>
      </w:r>
      <w:r w:rsidRPr="00DB1CD5">
        <w:t xml:space="preserve">elektronické </w:t>
      </w:r>
      <w:r w:rsidRPr="00C86B8F">
        <w:t xml:space="preserve">podobě </w:t>
      </w:r>
      <w:r w:rsidRPr="00DB1CD5">
        <w:t>bude upraveno v rámci novely vyhlášky č. 98/2012 Sb., o zdravotnické dokumentaci, ve znění pozdějších předpisů.</w:t>
      </w:r>
    </w:p>
    <w:p w14:paraId="31A021DD" w14:textId="77777777" w:rsidR="00FC552D" w:rsidRPr="00DB1CD5" w:rsidRDefault="00FC552D" w:rsidP="00FC552D">
      <w:pPr>
        <w:pStyle w:val="Odstavecseseznamem"/>
        <w:spacing w:after="0"/>
        <w:jc w:val="both"/>
      </w:pPr>
    </w:p>
    <w:p w14:paraId="673FE7B6" w14:textId="6354DE01" w:rsidR="00FC552D" w:rsidRPr="00DB1CD5" w:rsidRDefault="00FC552D" w:rsidP="00FC552D">
      <w:pPr>
        <w:spacing w:after="0"/>
        <w:jc w:val="both"/>
        <w:rPr>
          <w:u w:val="single"/>
        </w:rPr>
      </w:pPr>
      <w:r w:rsidRPr="00DB1CD5">
        <w:rPr>
          <w:u w:val="single"/>
        </w:rPr>
        <w:t>K</w:t>
      </w:r>
      <w:r w:rsidR="00A41E11" w:rsidRPr="00DB1CD5">
        <w:rPr>
          <w:u w:val="single"/>
        </w:rPr>
        <w:t> části třetí</w:t>
      </w:r>
      <w:r w:rsidRPr="00DB1CD5">
        <w:rPr>
          <w:u w:val="single"/>
        </w:rPr>
        <w:t>:</w:t>
      </w:r>
    </w:p>
    <w:p w14:paraId="19A91573" w14:textId="77777777" w:rsidR="00FC552D" w:rsidRPr="00DB1CD5" w:rsidRDefault="00FC552D" w:rsidP="00FC552D">
      <w:pPr>
        <w:spacing w:after="0"/>
        <w:ind w:left="708"/>
        <w:jc w:val="both"/>
      </w:pPr>
    </w:p>
    <w:p w14:paraId="06A89893" w14:textId="4092F857" w:rsidR="00FC552D" w:rsidRPr="00DB1CD5" w:rsidRDefault="00DA1F1D" w:rsidP="00F836E5">
      <w:pPr>
        <w:jc w:val="both"/>
      </w:pPr>
      <w:r>
        <w:t>O</w:t>
      </w:r>
      <w:r w:rsidR="00FC552D" w:rsidRPr="00DB1CD5">
        <w:t xml:space="preserve">blast působnosti </w:t>
      </w:r>
      <w:r w:rsidR="005D49BA" w:rsidRPr="00DB1CD5">
        <w:t>M</w:t>
      </w:r>
      <w:r w:rsidR="00FC552D" w:rsidRPr="00DB1CD5">
        <w:t>inisterstva zdravotnictví</w:t>
      </w:r>
      <w:r w:rsidR="008F4781">
        <w:t xml:space="preserve"> v § 10 odst. 1 kompetenčního zákona</w:t>
      </w:r>
      <w:r w:rsidR="00FC552D" w:rsidRPr="00DB1CD5">
        <w:t xml:space="preserve"> bude nově rozšířena </w:t>
      </w:r>
      <w:r>
        <w:t>o</w:t>
      </w:r>
      <w:r w:rsidR="00FC552D" w:rsidRPr="00DB1CD5">
        <w:t xml:space="preserve"> elektronické zdravotnictví. Působnost na úseku elektronického zdravotnictví bude </w:t>
      </w:r>
      <w:r w:rsidR="00FC552D" w:rsidRPr="00DB1CD5">
        <w:lastRenderedPageBreak/>
        <w:t>ministerstvo vykonávat prostřednictvím své organizační součásti – Národního centra pro elektronické zdravotnictví.</w:t>
      </w:r>
    </w:p>
    <w:p w14:paraId="0CF1F0EF" w14:textId="77777777" w:rsidR="00FC552D" w:rsidRPr="00DB1CD5" w:rsidRDefault="00FC552D" w:rsidP="00F61607">
      <w:pPr>
        <w:spacing w:after="0"/>
        <w:ind w:left="709"/>
        <w:jc w:val="both"/>
      </w:pPr>
    </w:p>
    <w:p w14:paraId="38B4B6C6" w14:textId="0F95C67B" w:rsidR="00FC552D" w:rsidRPr="00DB1CD5" w:rsidRDefault="00FC552D" w:rsidP="0045296B">
      <w:pPr>
        <w:spacing w:after="0"/>
        <w:jc w:val="both"/>
        <w:rPr>
          <w:u w:val="single"/>
        </w:rPr>
      </w:pPr>
      <w:r w:rsidRPr="00DB1CD5">
        <w:rPr>
          <w:u w:val="single"/>
        </w:rPr>
        <w:t>K</w:t>
      </w:r>
      <w:r w:rsidR="00191EAA" w:rsidRPr="00DB1CD5">
        <w:rPr>
          <w:u w:val="single"/>
        </w:rPr>
        <w:t> části čtvrté</w:t>
      </w:r>
      <w:r w:rsidRPr="00DB1CD5">
        <w:rPr>
          <w:u w:val="single"/>
        </w:rPr>
        <w:t>:</w:t>
      </w:r>
    </w:p>
    <w:p w14:paraId="07D49B61" w14:textId="2C0D42DC" w:rsidR="002B6EB1" w:rsidRPr="00DB1CD5" w:rsidRDefault="002B6EB1" w:rsidP="00DB3022">
      <w:pPr>
        <w:spacing w:after="0"/>
        <w:ind w:left="709"/>
        <w:jc w:val="both"/>
        <w:rPr>
          <w:u w:val="single"/>
        </w:rPr>
      </w:pPr>
    </w:p>
    <w:p w14:paraId="02599CBA" w14:textId="7EB6149D" w:rsidR="00C55CD0" w:rsidRDefault="00C55CD0" w:rsidP="008F4781">
      <w:pPr>
        <w:spacing w:after="0"/>
        <w:jc w:val="both"/>
      </w:pPr>
      <w:r w:rsidRPr="00DB1CD5">
        <w:t>Zákon o elektronizaci zdravotnictví počítá s</w:t>
      </w:r>
      <w:r w:rsidR="002C358B">
        <w:t xml:space="preserve"> vydáváním </w:t>
      </w:r>
      <w:r w:rsidR="00FA1814">
        <w:t xml:space="preserve">resortních systémových </w:t>
      </w:r>
      <w:r w:rsidR="00313D98" w:rsidRPr="00DB1CD5">
        <w:t>přístupových certifikátů poskytovatelů zdravotních služeb</w:t>
      </w:r>
      <w:r w:rsidR="00D53E14" w:rsidRPr="00DB1CD5">
        <w:t xml:space="preserve"> vydávaných </w:t>
      </w:r>
      <w:r w:rsidR="0056323D" w:rsidRPr="00DB1CD5">
        <w:t>M</w:t>
      </w:r>
      <w:r w:rsidR="00D53E14" w:rsidRPr="00DB1CD5">
        <w:t>inisterstvem zdravotnictví jako správcem Integrovaného datového rozhraní resortu zdravotnictví</w:t>
      </w:r>
      <w:r w:rsidR="00F96A90">
        <w:t xml:space="preserve">, které budou mít universální využití i pro již existující služby. </w:t>
      </w:r>
      <w:r w:rsidR="00D53E14" w:rsidRPr="00DB1CD5">
        <w:t xml:space="preserve">Z uvedeného důvodu je </w:t>
      </w:r>
      <w:r w:rsidR="0036779C" w:rsidRPr="00DB1CD5">
        <w:t>provedena změna</w:t>
      </w:r>
      <w:r w:rsidR="001A3C01">
        <w:t xml:space="preserve"> § 81a odst. 1</w:t>
      </w:r>
      <w:r w:rsidR="0036779C" w:rsidRPr="00DB1CD5">
        <w:t xml:space="preserve"> zákona o léčivech týkající se </w:t>
      </w:r>
      <w:r w:rsidR="00667E8A">
        <w:t>využití těchto systémových certifikátů i pro</w:t>
      </w:r>
      <w:r w:rsidR="00060EA8">
        <w:t xml:space="preserve"> systém </w:t>
      </w:r>
      <w:r w:rsidR="00743A42">
        <w:t>eRecept</w:t>
      </w:r>
      <w:r w:rsidR="002D1AE8">
        <w:t>, kdy resortní systémové certifikáty</w:t>
      </w:r>
      <w:r w:rsidR="00314692">
        <w:t xml:space="preserve"> budou vydávány poskytovatelům zdravotních služeb, nikoliv jednotlivým zdravotnickým pracovníkům.</w:t>
      </w:r>
      <w:r w:rsidR="00743A42">
        <w:t xml:space="preserve"> Přístup</w:t>
      </w:r>
      <w:r w:rsidR="0009154B">
        <w:t>ové údaje k systému eRecept vydávané SÚKL touto úpravou nebudou dotčena.</w:t>
      </w:r>
    </w:p>
    <w:p w14:paraId="13C9C164" w14:textId="3E0CD44C" w:rsidR="00F57016" w:rsidRDefault="00F57016" w:rsidP="00DB3022">
      <w:pPr>
        <w:spacing w:after="0"/>
        <w:ind w:left="708" w:firstLine="3"/>
        <w:jc w:val="both"/>
      </w:pPr>
    </w:p>
    <w:p w14:paraId="0D393F94" w14:textId="0AF353AB" w:rsidR="00F57016" w:rsidRPr="009F624D" w:rsidRDefault="00F57016" w:rsidP="004E5358">
      <w:pPr>
        <w:spacing w:after="0"/>
        <w:jc w:val="both"/>
        <w:rPr>
          <w:u w:val="single"/>
        </w:rPr>
      </w:pPr>
      <w:r w:rsidRPr="009F624D">
        <w:rPr>
          <w:u w:val="single"/>
        </w:rPr>
        <w:t xml:space="preserve">K části </w:t>
      </w:r>
      <w:r w:rsidR="001106BB" w:rsidRPr="009F624D">
        <w:rPr>
          <w:u w:val="single"/>
        </w:rPr>
        <w:t>páté</w:t>
      </w:r>
    </w:p>
    <w:p w14:paraId="65D40BF1" w14:textId="12DB0B00" w:rsidR="0056323D" w:rsidRPr="00DB1CD5" w:rsidRDefault="0056323D" w:rsidP="00C55CD0">
      <w:pPr>
        <w:spacing w:after="0"/>
        <w:ind w:left="708" w:firstLine="3"/>
        <w:jc w:val="both"/>
      </w:pPr>
    </w:p>
    <w:p w14:paraId="7841A86F" w14:textId="4A2865DE" w:rsidR="0056323D" w:rsidRDefault="001106BB" w:rsidP="0021796F">
      <w:pPr>
        <w:spacing w:after="0"/>
        <w:jc w:val="both"/>
      </w:pPr>
      <w:r w:rsidRPr="00DB1CD5">
        <w:t>Zákon o elektronizaci zdravotnictví počítá s</w:t>
      </w:r>
      <w:r>
        <w:t xml:space="preserve"> vydáváním resortních systémových </w:t>
      </w:r>
      <w:r w:rsidRPr="00DB1CD5">
        <w:t>přístupových certifikátů poskytovatelů zdravotních služeb vydávaných Ministerstvem zdravotnictví jako správcem Integrovaného datového rozhraní resortu zdravotnictví</w:t>
      </w:r>
      <w:r>
        <w:t xml:space="preserve">, které budou mít universální využití i pro již existující služby. </w:t>
      </w:r>
      <w:r w:rsidRPr="00DB1CD5">
        <w:t>Z uvedeného důvodu j</w:t>
      </w:r>
      <w:r w:rsidR="00587419">
        <w:t>e z</w:t>
      </w:r>
      <w:r w:rsidR="00587419" w:rsidRPr="00587419">
        <w:t>a účelem ověřování identity ošetřujícího lékaře Česká správa sociálního zabezpečení oprávněna využívat resortní systémové přístupové certifikáty poskytovatelů zdravotních služeb vydávané ministerstvem podle zákona o elektronizaci zdravotnictví</w:t>
      </w:r>
      <w:r w:rsidR="00587419">
        <w:t xml:space="preserve">. </w:t>
      </w:r>
      <w:r w:rsidR="00587419" w:rsidRPr="00587419">
        <w:t>Ministerstvo za tímto účelem poskytuje České správě sociálního zabezpečení potřebné údaje.</w:t>
      </w:r>
    </w:p>
    <w:p w14:paraId="0AD8C78C" w14:textId="396C0DCB" w:rsidR="00185621" w:rsidRDefault="00185621" w:rsidP="0021796F">
      <w:pPr>
        <w:spacing w:after="0"/>
        <w:jc w:val="both"/>
      </w:pPr>
    </w:p>
    <w:p w14:paraId="0159E69D" w14:textId="70F0BB8C" w:rsidR="00185621" w:rsidRDefault="00185621" w:rsidP="0021796F">
      <w:pPr>
        <w:spacing w:after="0"/>
        <w:jc w:val="both"/>
      </w:pPr>
    </w:p>
    <w:p w14:paraId="6A122F42" w14:textId="6AAEB21E" w:rsidR="00185621" w:rsidRDefault="00185621" w:rsidP="00185621">
      <w:pPr>
        <w:spacing w:after="0"/>
        <w:jc w:val="both"/>
        <w:rPr>
          <w:u w:val="single"/>
        </w:rPr>
      </w:pPr>
      <w:r w:rsidRPr="009F624D">
        <w:rPr>
          <w:u w:val="single"/>
        </w:rPr>
        <w:t xml:space="preserve">K části </w:t>
      </w:r>
      <w:r w:rsidR="00902D8B">
        <w:rPr>
          <w:u w:val="single"/>
        </w:rPr>
        <w:t>šesté</w:t>
      </w:r>
    </w:p>
    <w:p w14:paraId="1CEA91E5" w14:textId="77777777" w:rsidR="00185621" w:rsidRPr="009F624D" w:rsidRDefault="00185621" w:rsidP="00185621">
      <w:pPr>
        <w:spacing w:after="0"/>
        <w:jc w:val="both"/>
        <w:rPr>
          <w:u w:val="single"/>
        </w:rPr>
      </w:pPr>
    </w:p>
    <w:p w14:paraId="357E0751" w14:textId="6A33DA36" w:rsidR="00243753" w:rsidRPr="00C55CD0" w:rsidRDefault="00243753" w:rsidP="0021796F">
      <w:pPr>
        <w:spacing w:after="0"/>
        <w:jc w:val="both"/>
      </w:pPr>
      <w:r w:rsidRPr="00243753">
        <w:t>Účinnost se navrhuje tak, aby úpravy prováděné doprovodný</w:t>
      </w:r>
      <w:r w:rsidR="00E56AF9">
        <w:t>mi novelami</w:t>
      </w:r>
      <w:r w:rsidRPr="00243753">
        <w:t xml:space="preserve"> </w:t>
      </w:r>
      <w:r w:rsidR="00E56AF9">
        <w:t xml:space="preserve">dalších zákonů </w:t>
      </w:r>
      <w:r w:rsidRPr="00243753">
        <w:t>k</w:t>
      </w:r>
      <w:r w:rsidR="001F6A03">
        <w:t> </w:t>
      </w:r>
      <w:r w:rsidRPr="00243753">
        <w:t>zákonu o</w:t>
      </w:r>
      <w:r>
        <w:t> </w:t>
      </w:r>
      <w:r w:rsidRPr="00243753">
        <w:t xml:space="preserve">elektronizaci zdravotnictví </w:t>
      </w:r>
      <w:r w:rsidR="00E56AF9">
        <w:t xml:space="preserve">časově </w:t>
      </w:r>
      <w:r w:rsidRPr="00243753">
        <w:t>odpovídaly postupnému nabývání účinnosti ustanovení zákona o</w:t>
      </w:r>
      <w:r>
        <w:t> </w:t>
      </w:r>
      <w:r w:rsidRPr="00243753">
        <w:t>elektronizaci zdravotnictví.</w:t>
      </w:r>
    </w:p>
    <w:sectPr w:rsidR="00243753" w:rsidRPr="00C55CD0" w:rsidSect="00422EF4">
      <w:headerReference w:type="default" r:id="rId8"/>
      <w:footerReference w:type="default" r:id="rId9"/>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BD6F" w14:textId="77777777" w:rsidR="007C5498" w:rsidRDefault="007C5498" w:rsidP="007C5498">
      <w:pPr>
        <w:spacing w:after="0" w:line="240" w:lineRule="auto"/>
      </w:pPr>
      <w:r>
        <w:separator/>
      </w:r>
    </w:p>
  </w:endnote>
  <w:endnote w:type="continuationSeparator" w:id="0">
    <w:p w14:paraId="514EBFC3" w14:textId="77777777" w:rsidR="007C5498" w:rsidRDefault="007C5498" w:rsidP="007C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802941"/>
      <w:docPartObj>
        <w:docPartGallery w:val="Page Numbers (Bottom of Page)"/>
        <w:docPartUnique/>
      </w:docPartObj>
    </w:sdtPr>
    <w:sdtEndPr/>
    <w:sdtContent>
      <w:p w14:paraId="1DF3A197" w14:textId="36B2D9DF" w:rsidR="00EC6962" w:rsidRDefault="00EC6962">
        <w:pPr>
          <w:pStyle w:val="Zpat"/>
          <w:jc w:val="center"/>
        </w:pPr>
        <w:r>
          <w:fldChar w:fldCharType="begin"/>
        </w:r>
        <w:r>
          <w:instrText>PAGE   \* MERGEFORMAT</w:instrText>
        </w:r>
        <w:r>
          <w:fldChar w:fldCharType="separate"/>
        </w:r>
        <w:r>
          <w:t>2</w:t>
        </w:r>
        <w:r>
          <w:fldChar w:fldCharType="end"/>
        </w:r>
      </w:p>
    </w:sdtContent>
  </w:sdt>
  <w:p w14:paraId="367E9301" w14:textId="77777777" w:rsidR="00EC6962" w:rsidRDefault="00EC6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DD45" w14:textId="77777777" w:rsidR="007C5498" w:rsidRDefault="007C5498" w:rsidP="007C5498">
      <w:pPr>
        <w:spacing w:after="0" w:line="240" w:lineRule="auto"/>
      </w:pPr>
      <w:r>
        <w:separator/>
      </w:r>
    </w:p>
  </w:footnote>
  <w:footnote w:type="continuationSeparator" w:id="0">
    <w:p w14:paraId="0F0C3569" w14:textId="77777777" w:rsidR="007C5498" w:rsidRDefault="007C5498" w:rsidP="007C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0A1E" w14:textId="47CA7A1C" w:rsidR="007C5498" w:rsidRPr="007C5498" w:rsidRDefault="007C5498" w:rsidP="007C5498">
    <w:pPr>
      <w:jc w:val="right"/>
      <w:rPr>
        <w:b/>
      </w:rPr>
    </w:pPr>
    <w:r>
      <w:rPr>
        <w:b/>
      </w:rPr>
      <w:t>IV</w:t>
    </w:r>
    <w:r w:rsidRPr="00DB1CD5">
      <w:rPr>
        <w:b/>
      </w:rPr>
      <w:t>.</w:t>
    </w:r>
  </w:p>
  <w:p w14:paraId="6AFCF321" w14:textId="77777777" w:rsidR="007C5498" w:rsidRDefault="007C5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80D"/>
    <w:multiLevelType w:val="hybridMultilevel"/>
    <w:tmpl w:val="0624DF5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61165D2C"/>
    <w:multiLevelType w:val="hybridMultilevel"/>
    <w:tmpl w:val="8D2A07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618F7449"/>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6479464D"/>
    <w:multiLevelType w:val="hybridMultilevel"/>
    <w:tmpl w:val="9C46B89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1264A3"/>
    <w:multiLevelType w:val="hybridMultilevel"/>
    <w:tmpl w:val="3F1EAC1A"/>
    <w:lvl w:ilvl="0" w:tplc="04050017">
      <w:start w:val="1"/>
      <w:numFmt w:val="lowerLetter"/>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6FDD44A7"/>
    <w:multiLevelType w:val="hybridMultilevel"/>
    <w:tmpl w:val="56D0F988"/>
    <w:lvl w:ilvl="0" w:tplc="8B944CBE">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DBC7200"/>
    <w:multiLevelType w:val="hybridMultilevel"/>
    <w:tmpl w:val="4FA86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2D"/>
    <w:rsid w:val="00007F0F"/>
    <w:rsid w:val="000157F9"/>
    <w:rsid w:val="00024FD6"/>
    <w:rsid w:val="00042FD0"/>
    <w:rsid w:val="000460A3"/>
    <w:rsid w:val="00056CDF"/>
    <w:rsid w:val="00060EA8"/>
    <w:rsid w:val="00063BF0"/>
    <w:rsid w:val="000652F4"/>
    <w:rsid w:val="00074343"/>
    <w:rsid w:val="000867C5"/>
    <w:rsid w:val="0009154B"/>
    <w:rsid w:val="00091D45"/>
    <w:rsid w:val="0009756A"/>
    <w:rsid w:val="00097A96"/>
    <w:rsid w:val="000A68A5"/>
    <w:rsid w:val="000B5A3E"/>
    <w:rsid w:val="000C49E0"/>
    <w:rsid w:val="000D33CD"/>
    <w:rsid w:val="000E2B46"/>
    <w:rsid w:val="000F3AD4"/>
    <w:rsid w:val="0010545A"/>
    <w:rsid w:val="001106BB"/>
    <w:rsid w:val="00126467"/>
    <w:rsid w:val="0013583E"/>
    <w:rsid w:val="00141E65"/>
    <w:rsid w:val="001435C6"/>
    <w:rsid w:val="001543E0"/>
    <w:rsid w:val="00157F29"/>
    <w:rsid w:val="00183FDA"/>
    <w:rsid w:val="00185621"/>
    <w:rsid w:val="00187450"/>
    <w:rsid w:val="00190B5F"/>
    <w:rsid w:val="00191EAA"/>
    <w:rsid w:val="00193822"/>
    <w:rsid w:val="00194D0D"/>
    <w:rsid w:val="001A3C01"/>
    <w:rsid w:val="001D1B78"/>
    <w:rsid w:val="001E063C"/>
    <w:rsid w:val="001F6A03"/>
    <w:rsid w:val="00200425"/>
    <w:rsid w:val="002155D8"/>
    <w:rsid w:val="0021796F"/>
    <w:rsid w:val="00227045"/>
    <w:rsid w:val="00243753"/>
    <w:rsid w:val="00255B0E"/>
    <w:rsid w:val="002721FD"/>
    <w:rsid w:val="00276892"/>
    <w:rsid w:val="002827B0"/>
    <w:rsid w:val="0029121A"/>
    <w:rsid w:val="002B0AC2"/>
    <w:rsid w:val="002B6EB1"/>
    <w:rsid w:val="002C145E"/>
    <w:rsid w:val="002C3073"/>
    <w:rsid w:val="002C358B"/>
    <w:rsid w:val="002D1AE8"/>
    <w:rsid w:val="002D3FFA"/>
    <w:rsid w:val="002E31FF"/>
    <w:rsid w:val="00313D98"/>
    <w:rsid w:val="00314692"/>
    <w:rsid w:val="00333264"/>
    <w:rsid w:val="00341BF3"/>
    <w:rsid w:val="00344B12"/>
    <w:rsid w:val="00345562"/>
    <w:rsid w:val="00360922"/>
    <w:rsid w:val="0036779C"/>
    <w:rsid w:val="00391341"/>
    <w:rsid w:val="00391D25"/>
    <w:rsid w:val="003D159B"/>
    <w:rsid w:val="003D7192"/>
    <w:rsid w:val="003F6DF4"/>
    <w:rsid w:val="004043AA"/>
    <w:rsid w:val="00415C52"/>
    <w:rsid w:val="00417A0A"/>
    <w:rsid w:val="00422D1F"/>
    <w:rsid w:val="00422EF4"/>
    <w:rsid w:val="004379B5"/>
    <w:rsid w:val="00452787"/>
    <w:rsid w:val="0045296B"/>
    <w:rsid w:val="00452F81"/>
    <w:rsid w:val="00454E03"/>
    <w:rsid w:val="00471C55"/>
    <w:rsid w:val="00497BC5"/>
    <w:rsid w:val="004A3D6D"/>
    <w:rsid w:val="004C23E3"/>
    <w:rsid w:val="004D050F"/>
    <w:rsid w:val="004D16CD"/>
    <w:rsid w:val="004E5358"/>
    <w:rsid w:val="00501C55"/>
    <w:rsid w:val="0052253E"/>
    <w:rsid w:val="00524647"/>
    <w:rsid w:val="00527C88"/>
    <w:rsid w:val="005336DA"/>
    <w:rsid w:val="00535252"/>
    <w:rsid w:val="00541EDA"/>
    <w:rsid w:val="0054296A"/>
    <w:rsid w:val="0056323D"/>
    <w:rsid w:val="0056376A"/>
    <w:rsid w:val="0057742B"/>
    <w:rsid w:val="00584E85"/>
    <w:rsid w:val="00587419"/>
    <w:rsid w:val="00590CDA"/>
    <w:rsid w:val="0059481B"/>
    <w:rsid w:val="00596197"/>
    <w:rsid w:val="00597BAA"/>
    <w:rsid w:val="005A1057"/>
    <w:rsid w:val="005C2739"/>
    <w:rsid w:val="005D49BA"/>
    <w:rsid w:val="005E77E0"/>
    <w:rsid w:val="005F7308"/>
    <w:rsid w:val="005F7FBC"/>
    <w:rsid w:val="00616D0E"/>
    <w:rsid w:val="006274AE"/>
    <w:rsid w:val="0063294F"/>
    <w:rsid w:val="00651635"/>
    <w:rsid w:val="006613CE"/>
    <w:rsid w:val="00662571"/>
    <w:rsid w:val="00664A35"/>
    <w:rsid w:val="00667E8A"/>
    <w:rsid w:val="00680C60"/>
    <w:rsid w:val="006A00DB"/>
    <w:rsid w:val="006A41C9"/>
    <w:rsid w:val="006B351F"/>
    <w:rsid w:val="006B3A8C"/>
    <w:rsid w:val="006D2B2B"/>
    <w:rsid w:val="006D37AF"/>
    <w:rsid w:val="00700CBB"/>
    <w:rsid w:val="00706D28"/>
    <w:rsid w:val="0071002E"/>
    <w:rsid w:val="00743A42"/>
    <w:rsid w:val="00756B64"/>
    <w:rsid w:val="00782E15"/>
    <w:rsid w:val="007833AF"/>
    <w:rsid w:val="00783606"/>
    <w:rsid w:val="007845B9"/>
    <w:rsid w:val="007855B9"/>
    <w:rsid w:val="007956FF"/>
    <w:rsid w:val="00795843"/>
    <w:rsid w:val="00796D84"/>
    <w:rsid w:val="007C5498"/>
    <w:rsid w:val="007E5102"/>
    <w:rsid w:val="007F2AEB"/>
    <w:rsid w:val="007F6B9D"/>
    <w:rsid w:val="00814347"/>
    <w:rsid w:val="00822C7A"/>
    <w:rsid w:val="008238DA"/>
    <w:rsid w:val="00836F30"/>
    <w:rsid w:val="0085032D"/>
    <w:rsid w:val="00857F45"/>
    <w:rsid w:val="00872919"/>
    <w:rsid w:val="00874543"/>
    <w:rsid w:val="00883480"/>
    <w:rsid w:val="00885139"/>
    <w:rsid w:val="00887C85"/>
    <w:rsid w:val="00892817"/>
    <w:rsid w:val="0089749E"/>
    <w:rsid w:val="008C4E6C"/>
    <w:rsid w:val="008E37E5"/>
    <w:rsid w:val="008F4781"/>
    <w:rsid w:val="008F63E1"/>
    <w:rsid w:val="008F67FF"/>
    <w:rsid w:val="00902D8B"/>
    <w:rsid w:val="00902F1B"/>
    <w:rsid w:val="00952744"/>
    <w:rsid w:val="00955BBB"/>
    <w:rsid w:val="00962496"/>
    <w:rsid w:val="0097213B"/>
    <w:rsid w:val="00972D1B"/>
    <w:rsid w:val="0097471A"/>
    <w:rsid w:val="00974E14"/>
    <w:rsid w:val="00997305"/>
    <w:rsid w:val="009C12E8"/>
    <w:rsid w:val="009D53C3"/>
    <w:rsid w:val="009D5D58"/>
    <w:rsid w:val="009F624D"/>
    <w:rsid w:val="00A036D6"/>
    <w:rsid w:val="00A0418E"/>
    <w:rsid w:val="00A0796D"/>
    <w:rsid w:val="00A10491"/>
    <w:rsid w:val="00A2367F"/>
    <w:rsid w:val="00A276C0"/>
    <w:rsid w:val="00A276CF"/>
    <w:rsid w:val="00A41E11"/>
    <w:rsid w:val="00A508F2"/>
    <w:rsid w:val="00A556BF"/>
    <w:rsid w:val="00A61EC2"/>
    <w:rsid w:val="00A6307D"/>
    <w:rsid w:val="00A64B3D"/>
    <w:rsid w:val="00A65AE9"/>
    <w:rsid w:val="00A82714"/>
    <w:rsid w:val="00A93DB8"/>
    <w:rsid w:val="00AB5344"/>
    <w:rsid w:val="00AC567E"/>
    <w:rsid w:val="00AD1070"/>
    <w:rsid w:val="00AF335F"/>
    <w:rsid w:val="00AF4066"/>
    <w:rsid w:val="00B25D1A"/>
    <w:rsid w:val="00B41BB7"/>
    <w:rsid w:val="00B448ED"/>
    <w:rsid w:val="00B46F08"/>
    <w:rsid w:val="00B63812"/>
    <w:rsid w:val="00B8499F"/>
    <w:rsid w:val="00B9257A"/>
    <w:rsid w:val="00B969B1"/>
    <w:rsid w:val="00BB126B"/>
    <w:rsid w:val="00BB1C26"/>
    <w:rsid w:val="00C0060A"/>
    <w:rsid w:val="00C01C57"/>
    <w:rsid w:val="00C37AC5"/>
    <w:rsid w:val="00C446C5"/>
    <w:rsid w:val="00C52644"/>
    <w:rsid w:val="00C55CD0"/>
    <w:rsid w:val="00C86B8F"/>
    <w:rsid w:val="00C95F0F"/>
    <w:rsid w:val="00C978D5"/>
    <w:rsid w:val="00CA097E"/>
    <w:rsid w:val="00CC099A"/>
    <w:rsid w:val="00CD2F96"/>
    <w:rsid w:val="00CD43D1"/>
    <w:rsid w:val="00CD6DA4"/>
    <w:rsid w:val="00CD7847"/>
    <w:rsid w:val="00CE1069"/>
    <w:rsid w:val="00CE1B1B"/>
    <w:rsid w:val="00CE7836"/>
    <w:rsid w:val="00D01B83"/>
    <w:rsid w:val="00D17420"/>
    <w:rsid w:val="00D27FB4"/>
    <w:rsid w:val="00D53E14"/>
    <w:rsid w:val="00D654DC"/>
    <w:rsid w:val="00D736F8"/>
    <w:rsid w:val="00D878E4"/>
    <w:rsid w:val="00D90F2A"/>
    <w:rsid w:val="00DA0600"/>
    <w:rsid w:val="00DA1F1D"/>
    <w:rsid w:val="00DB1CD5"/>
    <w:rsid w:val="00DB3022"/>
    <w:rsid w:val="00DC094E"/>
    <w:rsid w:val="00DD7BDE"/>
    <w:rsid w:val="00DE1374"/>
    <w:rsid w:val="00DE6A95"/>
    <w:rsid w:val="00E03841"/>
    <w:rsid w:val="00E1147D"/>
    <w:rsid w:val="00E15A00"/>
    <w:rsid w:val="00E2488A"/>
    <w:rsid w:val="00E2730F"/>
    <w:rsid w:val="00E300B3"/>
    <w:rsid w:val="00E3381F"/>
    <w:rsid w:val="00E3448C"/>
    <w:rsid w:val="00E53C62"/>
    <w:rsid w:val="00E56AF9"/>
    <w:rsid w:val="00E56B89"/>
    <w:rsid w:val="00E57D58"/>
    <w:rsid w:val="00E6084B"/>
    <w:rsid w:val="00E713BC"/>
    <w:rsid w:val="00E77C91"/>
    <w:rsid w:val="00E822D5"/>
    <w:rsid w:val="00E908A7"/>
    <w:rsid w:val="00E9389B"/>
    <w:rsid w:val="00EB1EA5"/>
    <w:rsid w:val="00EB3D97"/>
    <w:rsid w:val="00EC6962"/>
    <w:rsid w:val="00ED7AA1"/>
    <w:rsid w:val="00EE20B1"/>
    <w:rsid w:val="00EF1711"/>
    <w:rsid w:val="00F14407"/>
    <w:rsid w:val="00F25EA3"/>
    <w:rsid w:val="00F336AD"/>
    <w:rsid w:val="00F402C7"/>
    <w:rsid w:val="00F57016"/>
    <w:rsid w:val="00F57ECF"/>
    <w:rsid w:val="00F61607"/>
    <w:rsid w:val="00F836E5"/>
    <w:rsid w:val="00F96A90"/>
    <w:rsid w:val="00FA0CB9"/>
    <w:rsid w:val="00FA1814"/>
    <w:rsid w:val="00FA7362"/>
    <w:rsid w:val="00FC552D"/>
    <w:rsid w:val="00FC5607"/>
    <w:rsid w:val="00FD6493"/>
    <w:rsid w:val="00FE1892"/>
    <w:rsid w:val="00FE3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37D"/>
  <w15:chartTrackingRefBased/>
  <w15:docId w15:val="{AD6F61D0-81E6-45F5-9C63-DB7A214B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552D"/>
    <w:pPr>
      <w:spacing w:line="256"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_Odstavec se seznamem,Seznam - odrážky,Tučné,Fiche List Paragraph"/>
    <w:basedOn w:val="Normln"/>
    <w:link w:val="OdstavecseseznamemChar"/>
    <w:uiPriority w:val="34"/>
    <w:qFormat/>
    <w:rsid w:val="00FC552D"/>
    <w:pPr>
      <w:ind w:left="720"/>
      <w:contextualSpacing/>
    </w:p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FC552D"/>
    <w:rPr>
      <w:rFonts w:ascii="Times New Roman" w:hAnsi="Times New Roman"/>
      <w:sz w:val="24"/>
    </w:rPr>
  </w:style>
  <w:style w:type="character" w:styleId="Odkaznakoment">
    <w:name w:val="annotation reference"/>
    <w:basedOn w:val="Standardnpsmoodstavce"/>
    <w:uiPriority w:val="99"/>
    <w:semiHidden/>
    <w:unhideWhenUsed/>
    <w:rsid w:val="00974E14"/>
    <w:rPr>
      <w:sz w:val="16"/>
      <w:szCs w:val="16"/>
    </w:rPr>
  </w:style>
  <w:style w:type="paragraph" w:styleId="Textkomente">
    <w:name w:val="annotation text"/>
    <w:basedOn w:val="Normln"/>
    <w:link w:val="TextkomenteChar"/>
    <w:uiPriority w:val="99"/>
    <w:unhideWhenUsed/>
    <w:rsid w:val="00974E14"/>
    <w:pPr>
      <w:spacing w:line="240" w:lineRule="auto"/>
    </w:pPr>
    <w:rPr>
      <w:sz w:val="20"/>
      <w:szCs w:val="20"/>
    </w:rPr>
  </w:style>
  <w:style w:type="character" w:customStyle="1" w:styleId="TextkomenteChar">
    <w:name w:val="Text komentáře Char"/>
    <w:basedOn w:val="Standardnpsmoodstavce"/>
    <w:link w:val="Textkomente"/>
    <w:uiPriority w:val="99"/>
    <w:rsid w:val="00974E1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74E14"/>
    <w:rPr>
      <w:b/>
      <w:bCs/>
    </w:rPr>
  </w:style>
  <w:style w:type="character" w:customStyle="1" w:styleId="PedmtkomenteChar">
    <w:name w:val="Předmět komentáře Char"/>
    <w:basedOn w:val="TextkomenteChar"/>
    <w:link w:val="Pedmtkomente"/>
    <w:uiPriority w:val="99"/>
    <w:semiHidden/>
    <w:rsid w:val="00974E14"/>
    <w:rPr>
      <w:rFonts w:ascii="Times New Roman" w:hAnsi="Times New Roman"/>
      <w:b/>
      <w:bCs/>
      <w:sz w:val="20"/>
      <w:szCs w:val="20"/>
    </w:rPr>
  </w:style>
  <w:style w:type="paragraph" w:styleId="Textbubliny">
    <w:name w:val="Balloon Text"/>
    <w:basedOn w:val="Normln"/>
    <w:link w:val="TextbublinyChar"/>
    <w:uiPriority w:val="99"/>
    <w:semiHidden/>
    <w:unhideWhenUsed/>
    <w:rsid w:val="00974E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4E14"/>
    <w:rPr>
      <w:rFonts w:ascii="Segoe UI" w:hAnsi="Segoe UI" w:cs="Segoe UI"/>
      <w:sz w:val="18"/>
      <w:szCs w:val="18"/>
    </w:rPr>
  </w:style>
  <w:style w:type="paragraph" w:styleId="Revize">
    <w:name w:val="Revision"/>
    <w:hidden/>
    <w:uiPriority w:val="99"/>
    <w:semiHidden/>
    <w:rsid w:val="00C01C57"/>
    <w:pPr>
      <w:spacing w:after="0" w:line="240" w:lineRule="auto"/>
    </w:pPr>
    <w:rPr>
      <w:rFonts w:ascii="Times New Roman" w:hAnsi="Times New Roman"/>
      <w:sz w:val="24"/>
    </w:rPr>
  </w:style>
  <w:style w:type="paragraph" w:styleId="Zhlav">
    <w:name w:val="header"/>
    <w:basedOn w:val="Normln"/>
    <w:link w:val="ZhlavChar"/>
    <w:uiPriority w:val="99"/>
    <w:unhideWhenUsed/>
    <w:rsid w:val="007C54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498"/>
    <w:rPr>
      <w:rFonts w:ascii="Times New Roman" w:hAnsi="Times New Roman"/>
      <w:sz w:val="24"/>
    </w:rPr>
  </w:style>
  <w:style w:type="paragraph" w:styleId="Zpat">
    <w:name w:val="footer"/>
    <w:basedOn w:val="Normln"/>
    <w:link w:val="ZpatChar"/>
    <w:uiPriority w:val="99"/>
    <w:unhideWhenUsed/>
    <w:rsid w:val="007C5498"/>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4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C866-1FF1-438A-831E-10186D1F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14014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Těšitelová Vladimíra JUDr. Mgr.</dc:creator>
  <cp:keywords/>
  <dc:description/>
  <cp:lastModifiedBy>Falusová Tereza Mgr.</cp:lastModifiedBy>
  <cp:revision>4</cp:revision>
  <cp:lastPrinted>2020-08-13T10:38:00Z</cp:lastPrinted>
  <dcterms:created xsi:type="dcterms:W3CDTF">2020-08-17T15:28:00Z</dcterms:created>
  <dcterms:modified xsi:type="dcterms:W3CDTF">2020-08-17T15:52:00Z</dcterms:modified>
</cp:coreProperties>
</file>