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8E8" w:rsidRPr="00AE38E8" w:rsidRDefault="00E65480" w:rsidP="00AE38E8">
      <w:pPr>
        <w:jc w:val="right"/>
        <w:rPr>
          <w:b/>
          <w:sz w:val="24"/>
        </w:rPr>
      </w:pPr>
      <w:r>
        <w:rPr>
          <w:b/>
          <w:sz w:val="24"/>
        </w:rPr>
        <w:t>I</w:t>
      </w:r>
      <w:r w:rsidR="00AE38E8" w:rsidRPr="00AE38E8">
        <w:rPr>
          <w:b/>
          <w:sz w:val="24"/>
        </w:rPr>
        <w:t>II.</w:t>
      </w:r>
    </w:p>
    <w:p w:rsidR="00AE38E8" w:rsidRPr="00AE38E8" w:rsidRDefault="00AE38E8" w:rsidP="00AE38E8"/>
    <w:p w:rsidR="00890544" w:rsidRPr="00524DAA" w:rsidRDefault="00241D85" w:rsidP="00890544">
      <w:pPr>
        <w:pStyle w:val="HChG"/>
        <w:jc w:val="center"/>
        <w:rPr>
          <w:sz w:val="32"/>
        </w:rPr>
      </w:pPr>
      <w:r w:rsidRPr="00524DAA">
        <w:rPr>
          <w:sz w:val="32"/>
        </w:rPr>
        <w:t>Spojená druhá a třetí periodická zpráva České republiky</w:t>
      </w:r>
    </w:p>
    <w:p w:rsidR="00890544" w:rsidRPr="00524DAA" w:rsidRDefault="00241D85" w:rsidP="00890544">
      <w:pPr>
        <w:pStyle w:val="HChG"/>
        <w:jc w:val="center"/>
        <w:rPr>
          <w:sz w:val="32"/>
        </w:rPr>
      </w:pPr>
      <w:r w:rsidRPr="00524DAA">
        <w:rPr>
          <w:sz w:val="32"/>
        </w:rPr>
        <w:t>o opatřeních přijatých k plnění závazků podle</w:t>
      </w:r>
    </w:p>
    <w:p w:rsidR="00241D85" w:rsidRPr="00524DAA" w:rsidRDefault="00241D85" w:rsidP="00890544">
      <w:pPr>
        <w:pStyle w:val="HChG"/>
        <w:jc w:val="center"/>
        <w:rPr>
          <w:sz w:val="32"/>
        </w:rPr>
      </w:pPr>
      <w:r w:rsidRPr="00524DAA">
        <w:rPr>
          <w:sz w:val="32"/>
        </w:rPr>
        <w:t>Úmluvy o právech osob se zdravotním postižením</w:t>
      </w:r>
    </w:p>
    <w:p w:rsidR="00DC48DF" w:rsidRPr="00524DAA" w:rsidRDefault="00DC48DF" w:rsidP="00DC48DF"/>
    <w:p w:rsidR="00383A24" w:rsidRPr="00524DAA" w:rsidRDefault="00383A24" w:rsidP="00DC48DF"/>
    <w:p w:rsidR="00383A24" w:rsidRPr="00524DAA" w:rsidRDefault="00383A24" w:rsidP="004510BD">
      <w:pPr>
        <w:jc w:val="center"/>
        <w:rPr>
          <w:sz w:val="32"/>
        </w:rPr>
      </w:pPr>
      <w:r w:rsidRPr="00524DAA">
        <w:rPr>
          <w:sz w:val="32"/>
        </w:rPr>
        <w:t xml:space="preserve">schválena vládou České republiky dne </w:t>
      </w:r>
      <w:r w:rsidR="0017432D">
        <w:rPr>
          <w:sz w:val="32"/>
        </w:rPr>
        <w:t xml:space="preserve">července </w:t>
      </w:r>
      <w:r w:rsidRPr="00524DAA">
        <w:rPr>
          <w:sz w:val="32"/>
        </w:rPr>
        <w:t>2020</w:t>
      </w:r>
    </w:p>
    <w:p w:rsidR="00383A24" w:rsidRPr="00524DAA" w:rsidRDefault="00383A24" w:rsidP="00DC48DF"/>
    <w:p w:rsidR="00383A24" w:rsidRPr="00524DAA" w:rsidRDefault="00383A24" w:rsidP="00DC48DF"/>
    <w:p w:rsidR="00383A24" w:rsidRPr="00524DAA" w:rsidRDefault="00383A24" w:rsidP="00DC48DF"/>
    <w:p w:rsidR="00E130AB" w:rsidRPr="00524DAA" w:rsidRDefault="003A1733" w:rsidP="001D4EF8">
      <w:pPr>
        <w:pStyle w:val="HChG"/>
      </w:pPr>
      <w:r w:rsidRPr="00524DAA">
        <w:br w:type="page"/>
      </w:r>
      <w:r w:rsidR="001D4EF8" w:rsidRPr="00524DAA">
        <w:lastRenderedPageBreak/>
        <w:tab/>
      </w:r>
      <w:r w:rsidR="00DD1D3E" w:rsidRPr="00524DAA">
        <w:t>I.</w:t>
      </w:r>
      <w:r w:rsidR="001D4EF8" w:rsidRPr="00524DAA">
        <w:tab/>
      </w:r>
      <w:r w:rsidRPr="00524DAA">
        <w:t>Úvod</w:t>
      </w:r>
    </w:p>
    <w:p w:rsidR="001D4EF8" w:rsidRPr="00524DAA" w:rsidRDefault="001D4EF8" w:rsidP="003403F8">
      <w:pPr>
        <w:pStyle w:val="SingleTxtG"/>
      </w:pPr>
      <w:r w:rsidRPr="00524DAA">
        <w:t>1.</w:t>
      </w:r>
      <w:r w:rsidRPr="00524DAA">
        <w:tab/>
      </w:r>
      <w:r w:rsidR="003A1733" w:rsidRPr="00524DAA">
        <w:t xml:space="preserve">Česká republika </w:t>
      </w:r>
      <w:r w:rsidR="00F76E3F" w:rsidRPr="00524DAA">
        <w:t xml:space="preserve">(dále jen „ČR“) </w:t>
      </w:r>
      <w:r w:rsidR="00B950B8" w:rsidRPr="00524DAA">
        <w:t>ratifikovala Ú</w:t>
      </w:r>
      <w:r w:rsidR="003A1733" w:rsidRPr="00524DAA">
        <w:t>mluvu o právech osob se zdra</w:t>
      </w:r>
      <w:r w:rsidR="00B950B8" w:rsidRPr="00524DAA">
        <w:t>v</w:t>
      </w:r>
      <w:r w:rsidR="003A1733" w:rsidRPr="00524DAA">
        <w:t>o</w:t>
      </w:r>
      <w:r w:rsidR="00B950B8" w:rsidRPr="00524DAA">
        <w:t>t</w:t>
      </w:r>
      <w:r w:rsidR="003A1733" w:rsidRPr="00524DAA">
        <w:t xml:space="preserve">ním postižením </w:t>
      </w:r>
      <w:r w:rsidR="002D5C22" w:rsidRPr="00524DAA">
        <w:t xml:space="preserve">(dále jen „Úmluva”) </w:t>
      </w:r>
      <w:r w:rsidR="00910D5B" w:rsidRPr="00524DAA">
        <w:t xml:space="preserve">ke dni </w:t>
      </w:r>
      <w:r w:rsidR="00B950B8" w:rsidRPr="00524DAA">
        <w:t>28.</w:t>
      </w:r>
      <w:r w:rsidR="001C66EA" w:rsidRPr="00524DAA">
        <w:t> </w:t>
      </w:r>
      <w:r w:rsidR="00B950B8" w:rsidRPr="00524DAA">
        <w:t xml:space="preserve">září 2009. Ve Sbírce mezinárodních smluv </w:t>
      </w:r>
      <w:r w:rsidR="00237762" w:rsidRPr="00524DAA">
        <w:t xml:space="preserve">byla </w:t>
      </w:r>
      <w:r w:rsidR="002D5C22" w:rsidRPr="00524DAA">
        <w:t xml:space="preserve">Úmluva </w:t>
      </w:r>
      <w:r w:rsidR="00237762" w:rsidRPr="00524DAA">
        <w:t xml:space="preserve">publikována </w:t>
      </w:r>
      <w:r w:rsidR="00B950B8" w:rsidRPr="00524DAA">
        <w:t>pod č. 1</w:t>
      </w:r>
      <w:r w:rsidR="001C66EA" w:rsidRPr="00524DAA">
        <w:t>0</w:t>
      </w:r>
      <w:r w:rsidR="00B950B8" w:rsidRPr="00524DAA">
        <w:t xml:space="preserve">/2010 </w:t>
      </w:r>
      <w:proofErr w:type="spellStart"/>
      <w:r w:rsidR="00B950B8" w:rsidRPr="00524DAA">
        <w:t>Sb.m.s</w:t>
      </w:r>
      <w:proofErr w:type="spellEnd"/>
      <w:r w:rsidR="00B950B8" w:rsidRPr="00524DAA">
        <w:t>.</w:t>
      </w:r>
    </w:p>
    <w:p w:rsidR="00AC27F8" w:rsidRPr="00524DAA" w:rsidRDefault="001D4EF8" w:rsidP="00E1664D">
      <w:pPr>
        <w:pStyle w:val="SingleTxtG"/>
      </w:pPr>
      <w:r w:rsidRPr="00524DAA">
        <w:t>2.</w:t>
      </w:r>
      <w:r w:rsidRPr="00524DAA">
        <w:tab/>
      </w:r>
      <w:r w:rsidR="00A37723" w:rsidRPr="00524DAA">
        <w:t xml:space="preserve">Úvodní zprávu o opatřeních přijatých k plnění závazků vyplývajících z </w:t>
      </w:r>
      <w:r w:rsidR="002D5C22" w:rsidRPr="00524DAA">
        <w:t>Ú</w:t>
      </w:r>
      <w:r w:rsidR="00A37723" w:rsidRPr="00524DAA">
        <w:t>mluvy předala Č</w:t>
      </w:r>
      <w:r w:rsidR="00F76E3F" w:rsidRPr="00524DAA">
        <w:t xml:space="preserve">R </w:t>
      </w:r>
      <w:r w:rsidR="00A37723" w:rsidRPr="00524DAA">
        <w:t xml:space="preserve">Výboru </w:t>
      </w:r>
      <w:r w:rsidR="004257E8">
        <w:t xml:space="preserve">OSN </w:t>
      </w:r>
      <w:r w:rsidR="00114E57" w:rsidRPr="00524DAA">
        <w:t xml:space="preserve">pro </w:t>
      </w:r>
      <w:r w:rsidR="00A37723" w:rsidRPr="00524DAA">
        <w:t>práv</w:t>
      </w:r>
      <w:r w:rsidR="00114E57" w:rsidRPr="00524DAA">
        <w:t>a</w:t>
      </w:r>
      <w:r w:rsidR="00A37723" w:rsidRPr="00524DAA">
        <w:t xml:space="preserve"> osob se zdra</w:t>
      </w:r>
      <w:r w:rsidR="001C66EA" w:rsidRPr="00524DAA">
        <w:t>v</w:t>
      </w:r>
      <w:r w:rsidR="00A37723" w:rsidRPr="00524DAA">
        <w:t>o</w:t>
      </w:r>
      <w:r w:rsidR="001C66EA" w:rsidRPr="00524DAA">
        <w:t>t</w:t>
      </w:r>
      <w:r w:rsidR="00A37723" w:rsidRPr="00524DAA">
        <w:t>ním</w:t>
      </w:r>
      <w:r w:rsidR="001C66EA" w:rsidRPr="00524DAA">
        <w:t xml:space="preserve"> </w:t>
      </w:r>
      <w:r w:rsidR="00A37723" w:rsidRPr="00524DAA">
        <w:t>postiž</w:t>
      </w:r>
      <w:r w:rsidR="001C66EA" w:rsidRPr="00524DAA">
        <w:t>e</w:t>
      </w:r>
      <w:r w:rsidR="00A37723" w:rsidRPr="00524DAA">
        <w:t>ním dne 2</w:t>
      </w:r>
      <w:r w:rsidR="001C66EA" w:rsidRPr="00524DAA">
        <w:t>8</w:t>
      </w:r>
      <w:r w:rsidR="00A37723" w:rsidRPr="00524DAA">
        <w:t>.</w:t>
      </w:r>
      <w:r w:rsidR="002D5C22" w:rsidRPr="00524DAA">
        <w:t> </w:t>
      </w:r>
      <w:r w:rsidR="00AF4F9A" w:rsidRPr="00524DAA">
        <w:t>října</w:t>
      </w:r>
      <w:r w:rsidR="002D5C22" w:rsidRPr="00524DAA">
        <w:t> </w:t>
      </w:r>
      <w:r w:rsidR="00A37723" w:rsidRPr="00524DAA">
        <w:t>2011.</w:t>
      </w:r>
      <w:r w:rsidR="00E1664D">
        <w:t xml:space="preserve"> </w:t>
      </w:r>
      <w:r w:rsidR="00AC27F8" w:rsidRPr="00524DAA">
        <w:t>Úvodní zprávu Č</w:t>
      </w:r>
      <w:r w:rsidR="00F76E3F" w:rsidRPr="00524DAA">
        <w:t xml:space="preserve">R </w:t>
      </w:r>
      <w:r w:rsidR="00AC27F8" w:rsidRPr="00524DAA">
        <w:t xml:space="preserve">projednal Výbor </w:t>
      </w:r>
      <w:r w:rsidR="004257E8">
        <w:t xml:space="preserve">OSN </w:t>
      </w:r>
      <w:r w:rsidR="00043722" w:rsidRPr="00524DAA">
        <w:t xml:space="preserve">pro práva osob se zdravotním postižením </w:t>
      </w:r>
      <w:r w:rsidR="00AC27F8" w:rsidRPr="00524DAA">
        <w:t>ve dnech 31. března a 1.</w:t>
      </w:r>
      <w:r w:rsidR="002D5C22" w:rsidRPr="00524DAA">
        <w:t> </w:t>
      </w:r>
      <w:r w:rsidR="00AC27F8" w:rsidRPr="00524DAA">
        <w:t>dubna 2015, a to v</w:t>
      </w:r>
      <w:r w:rsidR="00035F95" w:rsidRPr="00524DAA">
        <w:t> </w:t>
      </w:r>
      <w:r w:rsidR="00AC27F8" w:rsidRPr="00524DAA">
        <w:t>rámci svého 13. zasedání. Dne 10.</w:t>
      </w:r>
      <w:r w:rsidR="00043722" w:rsidRPr="00524DAA">
        <w:t> </w:t>
      </w:r>
      <w:r w:rsidR="00AC27F8" w:rsidRPr="00524DAA">
        <w:t xml:space="preserve">dubna 2015 pak Výbor k Úvodní zprávě přijal svá doporučení, která byla zveřejněna na </w:t>
      </w:r>
      <w:r w:rsidR="005443CF" w:rsidRPr="00524DAA">
        <w:t xml:space="preserve">jeho </w:t>
      </w:r>
      <w:r w:rsidR="00AC27F8" w:rsidRPr="00524DAA">
        <w:t>webových stránkách dne 17.</w:t>
      </w:r>
      <w:r w:rsidR="002D5C22" w:rsidRPr="00524DAA">
        <w:t> </w:t>
      </w:r>
      <w:r w:rsidR="00AC27F8" w:rsidRPr="00524DAA">
        <w:t>dubna 2015.</w:t>
      </w:r>
    </w:p>
    <w:p w:rsidR="00D7112B" w:rsidRPr="00524DAA" w:rsidRDefault="00E1664D" w:rsidP="00D7112B">
      <w:pPr>
        <w:pStyle w:val="SingleTxtG"/>
      </w:pPr>
      <w:r>
        <w:t>3</w:t>
      </w:r>
      <w:r w:rsidR="00D7112B" w:rsidRPr="00524DAA">
        <w:t>.</w:t>
      </w:r>
      <w:r w:rsidR="00D7112B" w:rsidRPr="00524DAA">
        <w:tab/>
        <w:t>V souladu se závěrečným doporučením č. 6</w:t>
      </w:r>
      <w:r w:rsidR="00E47739" w:rsidRPr="00524DAA">
        <w:t>7</w:t>
      </w:r>
      <w:r w:rsidR="00D7112B" w:rsidRPr="00524DAA">
        <w:t xml:space="preserve"> k Úvodní zprávě předkládá </w:t>
      </w:r>
      <w:r w:rsidR="00A41CFB" w:rsidRPr="00524DAA">
        <w:t>Č</w:t>
      </w:r>
      <w:r w:rsidR="00F76E3F" w:rsidRPr="00524DAA">
        <w:t xml:space="preserve">R </w:t>
      </w:r>
      <w:r w:rsidR="00D7112B" w:rsidRPr="00524DAA">
        <w:t xml:space="preserve">spojenou druhou a třetí periodickou zprávu o plnění závazků plynoucích z Úmluvy za období od 28. října 2011 do </w:t>
      </w:r>
      <w:r w:rsidR="002F7F90">
        <w:t>31</w:t>
      </w:r>
      <w:r w:rsidR="00D7112B" w:rsidRPr="00524DAA">
        <w:t xml:space="preserve">. </w:t>
      </w:r>
      <w:r w:rsidR="002F7F90">
        <w:t>prosince</w:t>
      </w:r>
      <w:r w:rsidR="00D7112B" w:rsidRPr="00524DAA">
        <w:t xml:space="preserve"> 2019</w:t>
      </w:r>
      <w:r w:rsidR="00BE3C49" w:rsidRPr="00524DAA">
        <w:t>, a to v rámci zjednodušeného postupu předávání zpráv</w:t>
      </w:r>
      <w:r w:rsidR="00E95EC6" w:rsidRPr="00524DAA">
        <w:t>.</w:t>
      </w:r>
    </w:p>
    <w:p w:rsidR="00D7112B" w:rsidRPr="00524DAA" w:rsidRDefault="00E1664D" w:rsidP="00F445FB">
      <w:pPr>
        <w:pStyle w:val="SingleTxtG"/>
      </w:pPr>
      <w:r>
        <w:t>4</w:t>
      </w:r>
      <w:r w:rsidR="00D7112B" w:rsidRPr="00524DAA">
        <w:t>.</w:t>
      </w:r>
      <w:r w:rsidR="00D7112B" w:rsidRPr="00524DAA">
        <w:tab/>
        <w:t>Při vypracová</w:t>
      </w:r>
      <w:r w:rsidR="000718DF" w:rsidRPr="00524DAA">
        <w:t>vá</w:t>
      </w:r>
      <w:r w:rsidR="00D7112B" w:rsidRPr="00524DAA">
        <w:t xml:space="preserve">ní </w:t>
      </w:r>
      <w:r w:rsidR="00BE5A01" w:rsidRPr="00524DAA">
        <w:t xml:space="preserve">této </w:t>
      </w:r>
      <w:r w:rsidR="00D7112B" w:rsidRPr="00524DAA">
        <w:t xml:space="preserve">zprávy byly zohledněny: </w:t>
      </w:r>
    </w:p>
    <w:p w:rsidR="00D7112B" w:rsidRPr="00524DAA" w:rsidRDefault="005443CF" w:rsidP="000C0FE8">
      <w:pPr>
        <w:pStyle w:val="Bullet1G"/>
      </w:pPr>
      <w:r w:rsidRPr="00524DAA">
        <w:t>p</w:t>
      </w:r>
      <w:r w:rsidR="00D7112B" w:rsidRPr="00524DAA">
        <w:t>okyny k formě a obsahu periodických zpráv př</w:t>
      </w:r>
      <w:r w:rsidRPr="00524DAA">
        <w:t>edkládaných smluvními stranami p</w:t>
      </w:r>
      <w:r w:rsidR="00D7112B" w:rsidRPr="00524DAA">
        <w:t xml:space="preserve">odle čl. </w:t>
      </w:r>
      <w:r w:rsidR="000C0FE8" w:rsidRPr="00524DAA">
        <w:t>35</w:t>
      </w:r>
      <w:r w:rsidR="00D7112B" w:rsidRPr="00524DAA">
        <w:t xml:space="preserve"> odst. </w:t>
      </w:r>
      <w:r w:rsidR="00890544" w:rsidRPr="00524DAA">
        <w:t xml:space="preserve">2 a 3 </w:t>
      </w:r>
      <w:r w:rsidR="00D7112B" w:rsidRPr="00524DAA">
        <w:t>Úmluvy</w:t>
      </w:r>
      <w:r w:rsidR="00401C96">
        <w:t>,</w:t>
      </w:r>
    </w:p>
    <w:p w:rsidR="00D7112B" w:rsidRPr="00524DAA" w:rsidRDefault="005443CF" w:rsidP="00716CFF">
      <w:pPr>
        <w:pStyle w:val="Bullet1G"/>
      </w:pPr>
      <w:r w:rsidRPr="00524DAA">
        <w:t>z</w:t>
      </w:r>
      <w:r w:rsidR="00D7112B" w:rsidRPr="00524DAA">
        <w:t xml:space="preserve">ávěry a doporučení Výboru </w:t>
      </w:r>
      <w:r w:rsidR="004257E8">
        <w:t xml:space="preserve">OSN </w:t>
      </w:r>
      <w:r w:rsidR="00BF0ADA" w:rsidRPr="00524DAA">
        <w:t xml:space="preserve">pro práva osob se zdravotním postižením </w:t>
      </w:r>
      <w:r w:rsidR="00774110">
        <w:br/>
      </w:r>
      <w:r w:rsidR="00D7112B" w:rsidRPr="00524DAA">
        <w:t xml:space="preserve">k </w:t>
      </w:r>
      <w:r w:rsidR="00BF0ADA" w:rsidRPr="00524DAA">
        <w:t xml:space="preserve">úvodní zprávě </w:t>
      </w:r>
      <w:r w:rsidR="00D7112B" w:rsidRPr="00524DAA">
        <w:t>Č</w:t>
      </w:r>
      <w:r w:rsidR="00716CFF" w:rsidRPr="00524DAA">
        <w:t xml:space="preserve">R </w:t>
      </w:r>
      <w:r w:rsidR="00043722" w:rsidRPr="00524DAA">
        <w:t>(</w:t>
      </w:r>
      <w:r w:rsidR="00716CFF" w:rsidRPr="00524DAA">
        <w:t>CRPD/C/CZE/CO/1</w:t>
      </w:r>
      <w:r w:rsidR="00401C96">
        <w:t>),</w:t>
      </w:r>
    </w:p>
    <w:p w:rsidR="00D7112B" w:rsidRPr="00524DAA" w:rsidRDefault="005443CF" w:rsidP="000C0FE8">
      <w:pPr>
        <w:pStyle w:val="Bullet1G"/>
      </w:pPr>
      <w:r w:rsidRPr="00524DAA">
        <w:t>r</w:t>
      </w:r>
      <w:r w:rsidR="00D7112B" w:rsidRPr="00524DAA">
        <w:t>elevantní skutečnosti a opatření přijat</w:t>
      </w:r>
      <w:r w:rsidR="006A0F04" w:rsidRPr="00524DAA">
        <w:t>é</w:t>
      </w:r>
      <w:r w:rsidR="00D7112B" w:rsidRPr="00524DAA">
        <w:t xml:space="preserve"> Č</w:t>
      </w:r>
      <w:r w:rsidR="006A0F04" w:rsidRPr="00524DAA">
        <w:t xml:space="preserve">R </w:t>
      </w:r>
      <w:r w:rsidR="00D7112B" w:rsidRPr="00524DAA">
        <w:t xml:space="preserve">k plnění závazků vyplývajících </w:t>
      </w:r>
      <w:r w:rsidR="00774110">
        <w:br/>
      </w:r>
      <w:r w:rsidR="00D7112B" w:rsidRPr="00524DAA">
        <w:t>z Úmluvy ve sledovaném období.</w:t>
      </w:r>
    </w:p>
    <w:p w:rsidR="00D7112B" w:rsidRPr="00524DAA" w:rsidRDefault="00E1664D" w:rsidP="00D7112B">
      <w:pPr>
        <w:pStyle w:val="SingleTxtG"/>
      </w:pPr>
      <w:r>
        <w:t>5</w:t>
      </w:r>
      <w:r w:rsidR="00D7112B" w:rsidRPr="00524DAA">
        <w:t>.</w:t>
      </w:r>
      <w:r w:rsidR="0092785C" w:rsidRPr="00524DAA">
        <w:tab/>
        <w:t>Po</w:t>
      </w:r>
      <w:r w:rsidR="00D7112B" w:rsidRPr="00524DAA">
        <w:t xml:space="preserve"> schválení vládou </w:t>
      </w:r>
      <w:r w:rsidR="0092785C" w:rsidRPr="00524DAA">
        <w:t xml:space="preserve">bude zpráva </w:t>
      </w:r>
      <w:r w:rsidR="00D7112B" w:rsidRPr="00524DAA">
        <w:t xml:space="preserve">zveřejněna na internetových stránkách </w:t>
      </w:r>
      <w:r w:rsidR="0092785C" w:rsidRPr="00524DAA">
        <w:t>Ministerstva práce a sociálních věcí</w:t>
      </w:r>
      <w:r w:rsidR="0052102D">
        <w:t xml:space="preserve"> (dále jen „MPSV“)</w:t>
      </w:r>
      <w:r w:rsidR="00D7112B" w:rsidRPr="00524DAA">
        <w:t xml:space="preserve">. Na vypracování zprávy se vedle orgánů státní správy podíleli i zástupci </w:t>
      </w:r>
      <w:r w:rsidR="009932E2" w:rsidRPr="00524DAA">
        <w:t>organizací hájících práva a zájmy osob se zdravotním postižením</w:t>
      </w:r>
      <w:r w:rsidR="006A0F04" w:rsidRPr="00524DAA">
        <w:t xml:space="preserve"> (dále jen </w:t>
      </w:r>
      <w:r w:rsidR="00EC784D" w:rsidRPr="00524DAA">
        <w:t>„osoby se ZP“</w:t>
      </w:r>
      <w:r w:rsidR="006A0F04" w:rsidRPr="00524DAA">
        <w:t>)</w:t>
      </w:r>
      <w:r w:rsidR="009932E2" w:rsidRPr="00524DAA">
        <w:t xml:space="preserve">, vč. zástupců </w:t>
      </w:r>
      <w:r w:rsidR="00D7112B" w:rsidRPr="00524DAA">
        <w:t xml:space="preserve">občanské společnosti a akademické </w:t>
      </w:r>
      <w:r w:rsidR="005443CF" w:rsidRPr="00524DAA">
        <w:t>sféry</w:t>
      </w:r>
      <w:r w:rsidR="00D7112B" w:rsidRPr="00524DAA">
        <w:t>.</w:t>
      </w:r>
    </w:p>
    <w:p w:rsidR="00D7112B" w:rsidRPr="00524DAA" w:rsidRDefault="00D7112B" w:rsidP="00D7112B">
      <w:pPr>
        <w:pStyle w:val="SingleTxtG"/>
      </w:pPr>
    </w:p>
    <w:p w:rsidR="009849BD" w:rsidRPr="00524DAA" w:rsidRDefault="00F75096" w:rsidP="009E18B9">
      <w:pPr>
        <w:pStyle w:val="HChG"/>
      </w:pPr>
      <w:r w:rsidRPr="00524DAA">
        <w:br w:type="page"/>
      </w:r>
      <w:r w:rsidR="00337477" w:rsidRPr="00524DAA">
        <w:lastRenderedPageBreak/>
        <w:tab/>
      </w:r>
      <w:r w:rsidR="00DD1D3E" w:rsidRPr="00524DAA">
        <w:t>II.</w:t>
      </w:r>
      <w:r w:rsidR="00337477" w:rsidRPr="00524DAA">
        <w:tab/>
      </w:r>
      <w:r w:rsidR="00DC48DF" w:rsidRPr="00524DAA">
        <w:t>Odpovědi na seznam otázek před předložením spojené druhé a třetí periodické zprávy Česk</w:t>
      </w:r>
      <w:r w:rsidR="00743DFA" w:rsidRPr="00524DAA">
        <w:t>é republiky</w:t>
      </w:r>
    </w:p>
    <w:p w:rsidR="00743DFA" w:rsidRPr="00524DAA" w:rsidRDefault="00743DFA" w:rsidP="00743DFA">
      <w:pPr>
        <w:pStyle w:val="SingleTxtG"/>
      </w:pPr>
    </w:p>
    <w:p w:rsidR="00743DFA" w:rsidRPr="00524DAA" w:rsidRDefault="00743DFA" w:rsidP="00743DFA">
      <w:pPr>
        <w:pStyle w:val="H1G"/>
      </w:pPr>
      <w:r w:rsidRPr="00524DAA">
        <w:tab/>
        <w:t>A.</w:t>
      </w:r>
      <w:r w:rsidRPr="00524DAA">
        <w:tab/>
        <w:t>Účel a obecné závazky (články 1</w:t>
      </w:r>
      <w:r w:rsidR="00FD5AFE" w:rsidRPr="00524DAA">
        <w:t>-</w:t>
      </w:r>
      <w:r w:rsidRPr="00524DAA">
        <w:t>4)</w:t>
      </w:r>
    </w:p>
    <w:p w:rsidR="00743DFA" w:rsidRPr="00524DAA" w:rsidRDefault="00743DFA" w:rsidP="00743DFA">
      <w:pPr>
        <w:pStyle w:val="SingleTxtG"/>
      </w:pPr>
    </w:p>
    <w:p w:rsidR="00337477" w:rsidRPr="00524DAA" w:rsidRDefault="009849BD" w:rsidP="009849BD">
      <w:pPr>
        <w:pStyle w:val="H1G"/>
      </w:pPr>
      <w:r w:rsidRPr="00524DAA">
        <w:tab/>
      </w:r>
      <w:r w:rsidRPr="00524DAA">
        <w:tab/>
      </w:r>
      <w:r w:rsidR="00A37723" w:rsidRPr="00524DAA">
        <w:t xml:space="preserve">Odpověď na </w:t>
      </w:r>
      <w:r w:rsidR="00B30C3E" w:rsidRPr="00524DAA">
        <w:t xml:space="preserve">otázku č. </w:t>
      </w:r>
      <w:r w:rsidR="00A37723" w:rsidRPr="00524DAA">
        <w:t>1</w:t>
      </w:r>
    </w:p>
    <w:p w:rsidR="006942F1" w:rsidRDefault="0007087C" w:rsidP="00772343">
      <w:pPr>
        <w:pStyle w:val="SingleTxtG"/>
      </w:pPr>
      <w:r>
        <w:t>6</w:t>
      </w:r>
      <w:r w:rsidR="00772343">
        <w:t>.</w:t>
      </w:r>
      <w:r w:rsidR="00772343">
        <w:tab/>
        <w:t xml:space="preserve">Základním strategickým dokumentem formulujícím státní politiku vůči osobám se ZP je </w:t>
      </w:r>
      <w:bookmarkStart w:id="0" w:name="OLE_LINK9"/>
      <w:r w:rsidR="00772343">
        <w:t>Národní plán podpory rovných příležitostí pro osoby se zdravotním postižením na období 2015–2020, přijatý usnesením vlády ČR ze dne 25. května 2015 č. 385 (dále jen „Národní plán“)</w:t>
      </w:r>
      <w:bookmarkEnd w:id="0"/>
      <w:r w:rsidR="00772343">
        <w:t>. Základním cílem a účelem Národního plánu je navázat na dosavadní státní politiku vůči osobám se ZP, pokračovat v prosazování a podpoře integrace osob se ZP</w:t>
      </w:r>
      <w:r w:rsidR="00772343">
        <w:br/>
        <w:t>a prostřednictvím konkrétních opatření naplňovat jednotlivé články Úmluvy.</w:t>
      </w:r>
    </w:p>
    <w:p w:rsidR="00772343" w:rsidRDefault="0007087C" w:rsidP="00E1664D">
      <w:pPr>
        <w:pStyle w:val="SingleTxtG"/>
      </w:pPr>
      <w:r>
        <w:t>7</w:t>
      </w:r>
      <w:r w:rsidR="006942F1">
        <w:t>.</w:t>
      </w:r>
      <w:r w:rsidR="006942F1">
        <w:tab/>
      </w:r>
      <w:r w:rsidR="00772343">
        <w:t xml:space="preserve">Národní plán zahrnuje </w:t>
      </w:r>
      <w:r w:rsidR="00685621">
        <w:t xml:space="preserve">následující </w:t>
      </w:r>
      <w:r w:rsidR="00772343">
        <w:t>strategick</w:t>
      </w:r>
      <w:r w:rsidR="00685621">
        <w:t>é</w:t>
      </w:r>
      <w:r w:rsidR="00772343">
        <w:t xml:space="preserve"> oblastí podpory osob se ZP: rovné zacházení a ochrana před diskriminací, osvětová činnost, přístupnost staveb, dopravy a komunikací, rizikové situace, rovnost před zákonem a přístup ke spravedlnosti, nezávislý život, osobní mobilita, přístupnost informací a veřejných služeb, život v rodině, vzdělávání a školství, zdraví a</w:t>
      </w:r>
      <w:r w:rsidR="00685621">
        <w:t> </w:t>
      </w:r>
      <w:r w:rsidR="00772343">
        <w:t>zdravotní péče, rehabilitace, zaměstnávání, sociální zabezpečení a sociální ochrana, participace osob se ZP a jejich organizací na správě věcí veřejných, přístup ke kulturnímu dědictví a účast na kulturním životě</w:t>
      </w:r>
      <w:r w:rsidR="006942F1">
        <w:t xml:space="preserve"> </w:t>
      </w:r>
      <w:r w:rsidR="00772343">
        <w:t xml:space="preserve">a statistické údaje. </w:t>
      </w:r>
      <w:r w:rsidR="009469ED">
        <w:t xml:space="preserve">Tyto </w:t>
      </w:r>
      <w:r w:rsidR="00772343">
        <w:t>oblasti svým obsahem navazují na jednotlivé články Úmluvy, stanoví cíle, kterých má být v následujícím období dosaženo, a soubor termínovaných a průběžných opatření, vč. určení resortů, které jsou za jejich plnění odpovědné.</w:t>
      </w:r>
    </w:p>
    <w:p w:rsidR="00054F99" w:rsidRDefault="0007087C" w:rsidP="00E05A0D">
      <w:pPr>
        <w:pStyle w:val="SingleTxtG"/>
      </w:pPr>
      <w:r>
        <w:t>8</w:t>
      </w:r>
      <w:r w:rsidR="00054F99">
        <w:t>.</w:t>
      </w:r>
      <w:r w:rsidR="00054F99">
        <w:tab/>
      </w:r>
      <w:r w:rsidR="00040C91">
        <w:t xml:space="preserve">Jedním ze základních východisek přístupu </w:t>
      </w:r>
      <w:r w:rsidR="00054F99">
        <w:t>Národní</w:t>
      </w:r>
      <w:r w:rsidR="00040C91">
        <w:t>ho</w:t>
      </w:r>
      <w:r w:rsidR="00054F99">
        <w:t xml:space="preserve"> plán</w:t>
      </w:r>
      <w:r w:rsidR="00040C91">
        <w:t>u</w:t>
      </w:r>
      <w:r w:rsidR="00054F99">
        <w:t xml:space="preserve"> </w:t>
      </w:r>
      <w:r w:rsidR="00040C91">
        <w:t>k řešení problémů osob se ZP</w:t>
      </w:r>
      <w:r w:rsidR="0099742A">
        <w:t xml:space="preserve">, a to v oblasti legislativních i nelegislativních opatření, </w:t>
      </w:r>
      <w:r w:rsidR="00040C91">
        <w:t xml:space="preserve">je prosazování postupného přechodu od </w:t>
      </w:r>
      <w:r w:rsidR="00054F99" w:rsidRPr="00054F99">
        <w:t xml:space="preserve">lékařského </w:t>
      </w:r>
      <w:r w:rsidR="00040C91">
        <w:t>či</w:t>
      </w:r>
      <w:r w:rsidR="00054F99" w:rsidRPr="00054F99">
        <w:t xml:space="preserve"> dobročinného modelu zdravotního postižení </w:t>
      </w:r>
      <w:r w:rsidR="0099742A">
        <w:t xml:space="preserve">k modelu </w:t>
      </w:r>
      <w:r w:rsidR="00054F99" w:rsidRPr="00054F99">
        <w:t>sociálním</w:t>
      </w:r>
      <w:r w:rsidR="0099742A">
        <w:t>u</w:t>
      </w:r>
      <w:r w:rsidR="00054F99" w:rsidRPr="00054F99">
        <w:t xml:space="preserve"> nebo model</w:t>
      </w:r>
      <w:r w:rsidR="0099742A">
        <w:t>u</w:t>
      </w:r>
      <w:r w:rsidR="00054F99" w:rsidRPr="00054F99">
        <w:t xml:space="preserve"> založen</w:t>
      </w:r>
      <w:r w:rsidR="0099742A">
        <w:t xml:space="preserve">ému </w:t>
      </w:r>
      <w:r w:rsidR="00054F99" w:rsidRPr="00054F99">
        <w:t>na lidských právech.</w:t>
      </w:r>
      <w:r w:rsidR="00BD1E80">
        <w:t xml:space="preserve"> Uvedenému postupnému přechodu odpovídají i opatření stanovená pro jednotlivé oblasti.</w:t>
      </w:r>
    </w:p>
    <w:p w:rsidR="00E05A0D" w:rsidRDefault="0007087C" w:rsidP="00E05A0D">
      <w:pPr>
        <w:pStyle w:val="SingleTxtG"/>
      </w:pPr>
      <w:r>
        <w:t>9</w:t>
      </w:r>
      <w:r w:rsidR="00C56420">
        <w:t>.</w:t>
      </w:r>
      <w:r w:rsidR="006038F2">
        <w:tab/>
      </w:r>
      <w:r w:rsidR="00A744E3">
        <w:t>Koncept s</w:t>
      </w:r>
      <w:r w:rsidR="00E05A0D">
        <w:t>ociální</w:t>
      </w:r>
      <w:r w:rsidR="00A744E3">
        <w:t>ho</w:t>
      </w:r>
      <w:r w:rsidR="00E05A0D">
        <w:t xml:space="preserve"> </w:t>
      </w:r>
      <w:r w:rsidR="00175454">
        <w:t>model</w:t>
      </w:r>
      <w:r w:rsidR="00A744E3">
        <w:t>u</w:t>
      </w:r>
      <w:r w:rsidR="00175454">
        <w:t xml:space="preserve"> </w:t>
      </w:r>
      <w:r w:rsidR="00A744E3">
        <w:t>v</w:t>
      </w:r>
      <w:r w:rsidR="000D2F43">
        <w:t xml:space="preserve"> oblasti </w:t>
      </w:r>
      <w:r w:rsidR="00E05A0D">
        <w:t xml:space="preserve">hodnocení zdravotního </w:t>
      </w:r>
      <w:r w:rsidR="002B10DB">
        <w:t>stavu</w:t>
      </w:r>
      <w:r w:rsidR="00E05A0D">
        <w:t xml:space="preserve">, resp. </w:t>
      </w:r>
      <w:r w:rsidR="000D2F43">
        <w:t xml:space="preserve">posuzování </w:t>
      </w:r>
      <w:r w:rsidR="00E05A0D">
        <w:t xml:space="preserve">nepříznivých </w:t>
      </w:r>
      <w:r w:rsidR="002B10DB">
        <w:t xml:space="preserve">sociálních </w:t>
      </w:r>
      <w:r w:rsidR="00E05A0D">
        <w:t xml:space="preserve">důsledků </w:t>
      </w:r>
      <w:r w:rsidR="002B10DB">
        <w:t>zdravotního postižení</w:t>
      </w:r>
      <w:r w:rsidR="00127E88">
        <w:t xml:space="preserve"> </w:t>
      </w:r>
      <w:r w:rsidR="00175454">
        <w:t>s</w:t>
      </w:r>
      <w:r w:rsidR="00E05A0D">
        <w:t>e v ČR uplatň</w:t>
      </w:r>
      <w:r w:rsidR="00175454">
        <w:t xml:space="preserve">uje </w:t>
      </w:r>
      <w:r w:rsidR="00E05A0D">
        <w:t>od roku 2007</w:t>
      </w:r>
      <w:r w:rsidR="00175454">
        <w:t>, a</w:t>
      </w:r>
      <w:r w:rsidR="002B10DB">
        <w:t> </w:t>
      </w:r>
      <w:r w:rsidR="00175454">
        <w:t>to</w:t>
      </w:r>
      <w:r w:rsidR="00E05A0D">
        <w:t xml:space="preserve"> </w:t>
      </w:r>
      <w:r w:rsidR="00510B43">
        <w:t xml:space="preserve">v rámci systému sociálních služeb </w:t>
      </w:r>
      <w:r w:rsidR="00E05A0D">
        <w:t xml:space="preserve">při posuzování stupně závislosti (potřeby každodenní pomoci, dohledu nebo péče při zvládání základních životních potřeb) </w:t>
      </w:r>
      <w:r w:rsidR="00175454">
        <w:t xml:space="preserve">pro účely přiznání </w:t>
      </w:r>
      <w:r w:rsidR="00E05A0D">
        <w:t>příspěvku na péči</w:t>
      </w:r>
      <w:r w:rsidR="00175454">
        <w:t>.</w:t>
      </w:r>
    </w:p>
    <w:p w:rsidR="00E05A0D" w:rsidRDefault="00891B40" w:rsidP="00E05A0D">
      <w:pPr>
        <w:pStyle w:val="SingleTxtG"/>
      </w:pPr>
      <w:r>
        <w:t>1</w:t>
      </w:r>
      <w:r w:rsidR="0007087C">
        <w:t>0</w:t>
      </w:r>
      <w:r w:rsidR="00BE5A58">
        <w:t>.</w:t>
      </w:r>
      <w:r w:rsidR="00BE5A58">
        <w:tab/>
      </w:r>
      <w:r w:rsidR="00E05A0D">
        <w:t xml:space="preserve">V letech </w:t>
      </w:r>
      <w:proofErr w:type="gramStart"/>
      <w:r w:rsidR="00E05A0D">
        <w:t>2012</w:t>
      </w:r>
      <w:r w:rsidR="00BE5A58">
        <w:t xml:space="preserve"> </w:t>
      </w:r>
      <w:r w:rsidR="00E05A0D">
        <w:t>-</w:t>
      </w:r>
      <w:r w:rsidR="00BE5A58">
        <w:t xml:space="preserve"> 2</w:t>
      </w:r>
      <w:r w:rsidR="00E05A0D">
        <w:t>013</w:t>
      </w:r>
      <w:proofErr w:type="gramEnd"/>
      <w:r w:rsidR="00E05A0D">
        <w:t xml:space="preserve"> byl </w:t>
      </w:r>
      <w:r w:rsidR="003B3F76">
        <w:t xml:space="preserve">s přihlédnutím k </w:t>
      </w:r>
      <w:r w:rsidR="003B3F76">
        <w:rPr>
          <w:szCs w:val="24"/>
        </w:rPr>
        <w:t xml:space="preserve">pokrokům dosaženým lékařskou vědou a ve snaze zavést funkční hodnocení nepříznivých důsledků zdravotního stavu osob se ZP (hodnocení funkčních schopností osob se ZP) </w:t>
      </w:r>
      <w:r w:rsidR="00E05A0D">
        <w:t xml:space="preserve">sociální model aplikován </w:t>
      </w:r>
      <w:r w:rsidR="00BE5A58">
        <w:t xml:space="preserve">i </w:t>
      </w:r>
      <w:r w:rsidR="00E05A0D">
        <w:t>v</w:t>
      </w:r>
      <w:r w:rsidR="00BE5A58">
        <w:t xml:space="preserve"> rámci přiznávání </w:t>
      </w:r>
      <w:r w:rsidR="00E05A0D">
        <w:t xml:space="preserve">průkazů osob se </w:t>
      </w:r>
      <w:r w:rsidR="00BE5A58">
        <w:t>ZP,</w:t>
      </w:r>
      <w:r w:rsidR="00E05A0D">
        <w:t xml:space="preserve"> </w:t>
      </w:r>
      <w:r w:rsidR="00A97FAB">
        <w:t xml:space="preserve">avšak organizace </w:t>
      </w:r>
      <w:r w:rsidR="00E05A0D">
        <w:t xml:space="preserve">zastupující osoby se </w:t>
      </w:r>
      <w:r w:rsidR="00A97FAB">
        <w:t xml:space="preserve">ZP </w:t>
      </w:r>
      <w:r w:rsidR="00E05A0D">
        <w:t>uvedený model neakceptoval</w:t>
      </w:r>
      <w:r w:rsidR="003B3F76">
        <w:t>y</w:t>
      </w:r>
      <w:r w:rsidR="00E05A0D">
        <w:t xml:space="preserve"> a</w:t>
      </w:r>
      <w:r w:rsidR="00A97FAB">
        <w:t> </w:t>
      </w:r>
      <w:r w:rsidR="00E05A0D">
        <w:t>vynutil</w:t>
      </w:r>
      <w:r w:rsidR="003B3F76">
        <w:t>y</w:t>
      </w:r>
      <w:r w:rsidR="00E05A0D">
        <w:t xml:space="preserve"> si návrat k modelu zdravotnímu.</w:t>
      </w:r>
    </w:p>
    <w:p w:rsidR="00487B1C" w:rsidRDefault="001C0716" w:rsidP="00920B90">
      <w:pPr>
        <w:pStyle w:val="SingleTxtG"/>
        <w:rPr>
          <w:szCs w:val="24"/>
        </w:rPr>
      </w:pPr>
      <w:r>
        <w:t>1</w:t>
      </w:r>
      <w:r w:rsidR="0007087C">
        <w:t>1</w:t>
      </w:r>
      <w:r w:rsidR="00920B90">
        <w:t>.</w:t>
      </w:r>
      <w:r w:rsidR="00920B90">
        <w:tab/>
      </w:r>
      <w:r w:rsidR="006038F2">
        <w:t xml:space="preserve">Národní plán obsahuje ve své části </w:t>
      </w:r>
      <w:r w:rsidR="00487B1C" w:rsidRPr="00487B1C">
        <w:rPr>
          <w:szCs w:val="24"/>
        </w:rPr>
        <w:t>4.14 Sociální zabezpečení a sociální ochrana</w:t>
      </w:r>
      <w:r w:rsidR="006038F2">
        <w:rPr>
          <w:szCs w:val="24"/>
        </w:rPr>
        <w:t xml:space="preserve"> opatření, která </w:t>
      </w:r>
      <w:r w:rsidR="00487B1C" w:rsidRPr="00487B1C">
        <w:rPr>
          <w:szCs w:val="24"/>
        </w:rPr>
        <w:t xml:space="preserve">jsou zaměřena na hledání možností, jak zpřesnit a zkvalitnit systém </w:t>
      </w:r>
      <w:r w:rsidR="00C71F0A">
        <w:rPr>
          <w:szCs w:val="24"/>
        </w:rPr>
        <w:t>kritérií a </w:t>
      </w:r>
      <w:r w:rsidR="00487B1C" w:rsidRPr="00487B1C">
        <w:rPr>
          <w:szCs w:val="24"/>
        </w:rPr>
        <w:t xml:space="preserve">posuzování </w:t>
      </w:r>
      <w:r w:rsidR="00D12C0E">
        <w:rPr>
          <w:szCs w:val="24"/>
        </w:rPr>
        <w:t xml:space="preserve">nepříznivého </w:t>
      </w:r>
      <w:r w:rsidR="00487B1C" w:rsidRPr="00487B1C">
        <w:rPr>
          <w:szCs w:val="24"/>
        </w:rPr>
        <w:t xml:space="preserve">zdravotního stavu </w:t>
      </w:r>
      <w:r w:rsidR="00D12C0E">
        <w:rPr>
          <w:szCs w:val="24"/>
        </w:rPr>
        <w:t xml:space="preserve">a jeho důsledků </w:t>
      </w:r>
      <w:r w:rsidR="006038F2">
        <w:rPr>
          <w:szCs w:val="24"/>
        </w:rPr>
        <w:t xml:space="preserve">pro účely </w:t>
      </w:r>
      <w:r w:rsidR="00487B1C" w:rsidRPr="00487B1C">
        <w:rPr>
          <w:szCs w:val="24"/>
        </w:rPr>
        <w:t>jednotlivých subsystém</w:t>
      </w:r>
      <w:r w:rsidR="006038F2">
        <w:rPr>
          <w:szCs w:val="24"/>
        </w:rPr>
        <w:t>ů</w:t>
      </w:r>
      <w:r w:rsidR="00487B1C" w:rsidRPr="00487B1C">
        <w:rPr>
          <w:szCs w:val="24"/>
        </w:rPr>
        <w:t xml:space="preserve"> sociálního zabezpečení. </w:t>
      </w:r>
      <w:r w:rsidR="00920B90">
        <w:t>Rozšíření uplatňování sociálního modelu i do ostatních systémů sociálního zabezpečení, v nichž dochází k hodnocení a kompenzaci důsledků zdravotního postižení, však dlouhodobě limitují postoje organizací osob se ZP, které v aplikaci zdravotního modelu spatřují své sociální jistoty.</w:t>
      </w:r>
      <w:r w:rsidR="00F47554">
        <w:t xml:space="preserve"> Z tohoto důvodu se ČR </w:t>
      </w:r>
      <w:r w:rsidR="00920B90">
        <w:t>nedaří v</w:t>
      </w:r>
      <w:r w:rsidR="00D12C0E">
        <w:t> </w:t>
      </w:r>
      <w:r w:rsidR="00920B90">
        <w:t xml:space="preserve">uvedené </w:t>
      </w:r>
      <w:r w:rsidR="00F47554">
        <w:t xml:space="preserve">oblasti </w:t>
      </w:r>
      <w:r w:rsidR="00920B90">
        <w:t xml:space="preserve">naplnit </w:t>
      </w:r>
      <w:r w:rsidR="00F47554">
        <w:t xml:space="preserve">principy a příslušné články </w:t>
      </w:r>
      <w:r w:rsidR="00920B90">
        <w:t>Úmluv</w:t>
      </w:r>
      <w:r w:rsidR="00F47554">
        <w:t>y</w:t>
      </w:r>
      <w:r w:rsidR="00920B90">
        <w:t>.</w:t>
      </w:r>
    </w:p>
    <w:p w:rsidR="00816B93" w:rsidRPr="00816B93" w:rsidRDefault="00816B93" w:rsidP="00816B93">
      <w:pPr>
        <w:pStyle w:val="SingleTxtG"/>
        <w:rPr>
          <w:szCs w:val="24"/>
        </w:rPr>
      </w:pPr>
    </w:p>
    <w:p w:rsidR="002C14D7" w:rsidRPr="00524DAA" w:rsidRDefault="002C14D7" w:rsidP="001D4EF8">
      <w:pPr>
        <w:pStyle w:val="SingleTxtG"/>
        <w:rPr>
          <w:szCs w:val="24"/>
        </w:rPr>
      </w:pPr>
    </w:p>
    <w:p w:rsidR="007A68A7" w:rsidRPr="00524DAA" w:rsidRDefault="007A68A7" w:rsidP="00F445FB">
      <w:pPr>
        <w:pStyle w:val="H1G"/>
      </w:pPr>
      <w:r w:rsidRPr="00524DAA">
        <w:rPr>
          <w:szCs w:val="24"/>
        </w:rPr>
        <w:lastRenderedPageBreak/>
        <w:tab/>
      </w:r>
      <w:r w:rsidRPr="00524DAA">
        <w:rPr>
          <w:szCs w:val="24"/>
        </w:rPr>
        <w:tab/>
      </w:r>
      <w:r w:rsidR="00B30C3E" w:rsidRPr="00524DAA">
        <w:t>Odpověď na otázku č. 2</w:t>
      </w:r>
    </w:p>
    <w:p w:rsidR="005631EA" w:rsidRPr="00524DAA" w:rsidRDefault="00EC29B0" w:rsidP="00F445FB">
      <w:pPr>
        <w:pStyle w:val="SingleTxtG"/>
      </w:pPr>
      <w:r>
        <w:t>1</w:t>
      </w:r>
      <w:r w:rsidR="0007087C">
        <w:t>2</w:t>
      </w:r>
      <w:r>
        <w:t>.</w:t>
      </w:r>
      <w:r w:rsidR="00532182" w:rsidRPr="00524DAA">
        <w:tab/>
        <w:t>Na vypracovávání Národního plánu i na formulaci jednotlivých opatření se podílel</w:t>
      </w:r>
      <w:r w:rsidR="00A74070" w:rsidRPr="00524DAA">
        <w:t>y</w:t>
      </w:r>
      <w:r w:rsidR="00532182" w:rsidRPr="00524DAA">
        <w:t xml:space="preserve"> nejen příslušné resorty, ale i zástupci organizací zastupujících osoby se ZP. </w:t>
      </w:r>
      <w:r w:rsidR="009A4C9D" w:rsidRPr="00524DAA">
        <w:t>Zástupci organizací sdružující</w:t>
      </w:r>
      <w:r w:rsidR="0008295D" w:rsidRPr="00524DAA">
        <w:t>c</w:t>
      </w:r>
      <w:r w:rsidR="009A4C9D" w:rsidRPr="00524DAA">
        <w:t xml:space="preserve">h osoby se ZP se </w:t>
      </w:r>
      <w:r w:rsidR="00A74070" w:rsidRPr="00524DAA">
        <w:t xml:space="preserve">zúčastňují </w:t>
      </w:r>
      <w:r w:rsidR="009A4C9D" w:rsidRPr="00524DAA">
        <w:t>i každoroční</w:t>
      </w:r>
      <w:r w:rsidR="00F44B4D" w:rsidRPr="00524DAA">
        <w:t>ho</w:t>
      </w:r>
      <w:r w:rsidR="009A4C9D" w:rsidRPr="00524DAA">
        <w:t xml:space="preserve"> vyhodnocování plnění jednotlivých opatření Národního plánu, které projednává vláda ČR</w:t>
      </w:r>
      <w:r w:rsidR="00A74070" w:rsidRPr="00524DAA">
        <w:t>.</w:t>
      </w:r>
    </w:p>
    <w:p w:rsidR="00951B96" w:rsidRPr="00524DAA" w:rsidRDefault="00EC29B0" w:rsidP="00951B96">
      <w:pPr>
        <w:pStyle w:val="SingleTxtG"/>
      </w:pPr>
      <w:r w:rsidRPr="00E1664D">
        <w:t>1</w:t>
      </w:r>
      <w:r w:rsidR="0007087C">
        <w:t>3</w:t>
      </w:r>
      <w:r w:rsidRPr="00E1664D">
        <w:t>.</w:t>
      </w:r>
      <w:r w:rsidR="002107EA" w:rsidRPr="00E1664D">
        <w:tab/>
        <w:t xml:space="preserve">Pokud jde o zapojení osob se </w:t>
      </w:r>
      <w:r w:rsidR="008202F5" w:rsidRPr="00E1664D">
        <w:t xml:space="preserve">ZP </w:t>
      </w:r>
      <w:r w:rsidR="002107EA" w:rsidRPr="00E1664D">
        <w:t xml:space="preserve">a jejich zastupitelských organizací do tvorby, provádění a monitorování legislativy, </w:t>
      </w:r>
      <w:r w:rsidR="008202F5" w:rsidRPr="00E1664D">
        <w:t>je p</w:t>
      </w:r>
      <w:r w:rsidR="00951B96" w:rsidRPr="00E1664D">
        <w:t xml:space="preserve">lnění uvedeného </w:t>
      </w:r>
      <w:r w:rsidR="008202F5" w:rsidRPr="00E1664D">
        <w:t xml:space="preserve">závazku </w:t>
      </w:r>
      <w:r w:rsidR="004154AB" w:rsidRPr="00E1664D">
        <w:t xml:space="preserve">nedílnou </w:t>
      </w:r>
      <w:r w:rsidR="00951B96" w:rsidRPr="00E1664D">
        <w:t>součástí legislativního procesu</w:t>
      </w:r>
      <w:r w:rsidR="0075278C" w:rsidRPr="00E1664D">
        <w:t>.</w:t>
      </w:r>
      <w:r w:rsidR="003D5B6E" w:rsidRPr="00E1664D">
        <w:t xml:space="preserve"> </w:t>
      </w:r>
      <w:r w:rsidR="0075278C" w:rsidRPr="00E1664D">
        <w:t>P</w:t>
      </w:r>
      <w:r w:rsidR="00951B96" w:rsidRPr="00E1664D">
        <w:t xml:space="preserve">odle Legislativních pravidel vlády jsou povinnou součástí důvodové zprávy k návrhu zákona [čl. 9 odst. 2 písm. g)] a </w:t>
      </w:r>
      <w:r w:rsidR="0075278C" w:rsidRPr="00E1664D">
        <w:t xml:space="preserve">odůvodnění </w:t>
      </w:r>
      <w:r w:rsidR="00951B96" w:rsidRPr="00E1664D">
        <w:t>k návrhu nařízení vlády</w:t>
      </w:r>
      <w:r w:rsidR="0075278C" w:rsidRPr="00E1664D">
        <w:t xml:space="preserve"> a vyhlášky</w:t>
      </w:r>
      <w:r w:rsidR="00951B96" w:rsidRPr="00E1664D">
        <w:t xml:space="preserve"> [čl. 14 odst. 1 písm. e)] „sociální dopady vč. dopadů na rodiny a dopadů na specifické skupiny obyvatel, zejména</w:t>
      </w:r>
      <w:r w:rsidR="008202F5" w:rsidRPr="00E1664D">
        <w:t xml:space="preserve"> </w:t>
      </w:r>
      <w:r w:rsidR="00951B96" w:rsidRPr="00E1664D">
        <w:t>…osoby se ZP…“)</w:t>
      </w:r>
      <w:r w:rsidR="00B11D0B" w:rsidRPr="00E1664D">
        <w:t>.</w:t>
      </w:r>
      <w:r w:rsidR="003D5B6E" w:rsidRPr="00E1664D">
        <w:t xml:space="preserve"> </w:t>
      </w:r>
      <w:r w:rsidR="0075278C" w:rsidRPr="00E1664D">
        <w:t>Pokud se k návrhu právního předpisu zpracovává zpráva z hodnocení dopadů regulace (</w:t>
      </w:r>
      <w:r w:rsidR="009F0E45" w:rsidRPr="00E1664D">
        <w:t>dále jen „</w:t>
      </w:r>
      <w:r w:rsidR="0075278C" w:rsidRPr="00E1664D">
        <w:t>RIA</w:t>
      </w:r>
      <w:r w:rsidR="009F0E45" w:rsidRPr="00E1664D">
        <w:t>“</w:t>
      </w:r>
      <w:r w:rsidR="00D77E83" w:rsidRPr="00E1664D">
        <w:t xml:space="preserve">) podle Obecných zásad pro RIA, jsou dopady na osoby se ZP a jejich práva součástí vyhodnocení </w:t>
      </w:r>
      <w:r w:rsidR="0075278C" w:rsidRPr="00E1664D">
        <w:t xml:space="preserve">sociálních dopadů. </w:t>
      </w:r>
      <w:r w:rsidR="003D5B6E" w:rsidRPr="003D5B6E">
        <w:t xml:space="preserve">Podle čl. 4 odst. 1 písm. e) Legislativních pravidel vlády je zhodnocení sociálních dopadů, vč. dopadů na osoby se ZP, </w:t>
      </w:r>
      <w:r w:rsidR="003D5B6E">
        <w:t xml:space="preserve">též </w:t>
      </w:r>
      <w:r w:rsidR="003D5B6E" w:rsidRPr="003D5B6E">
        <w:t>povinnou součástí věcného záměru zákona.</w:t>
      </w:r>
      <w:r w:rsidR="0075278C" w:rsidRPr="00E1664D">
        <w:t xml:space="preserve"> </w:t>
      </w:r>
      <w:r w:rsidR="00B11D0B" w:rsidRPr="00E1664D">
        <w:t xml:space="preserve">Toto zapojení je </w:t>
      </w:r>
      <w:r w:rsidR="00951B96" w:rsidRPr="00E1664D">
        <w:t>zajištěno nejen okruhem připomínkových míst, která se vyjadřují ke všem návrhům právních předpisů, ale též ustálenými postupy při tvorbě věcných podkladů směřujících k</w:t>
      </w:r>
      <w:r w:rsidR="004154AB" w:rsidRPr="00E1664D">
        <w:t> </w:t>
      </w:r>
      <w:r w:rsidR="00951B96" w:rsidRPr="00E1664D">
        <w:t xml:space="preserve">vydání nových nebo změnám stávajících právních předpisů v působnosti </w:t>
      </w:r>
      <w:r w:rsidR="008202F5" w:rsidRPr="00E1664D">
        <w:t>jednotlivých resortů</w:t>
      </w:r>
      <w:r w:rsidR="00B11D0B" w:rsidRPr="00E1664D">
        <w:t>.</w:t>
      </w:r>
    </w:p>
    <w:p w:rsidR="00CF22A4" w:rsidRDefault="00EC29B0" w:rsidP="000409A1">
      <w:pPr>
        <w:pStyle w:val="SingleTxtG"/>
      </w:pPr>
      <w:r>
        <w:t>1</w:t>
      </w:r>
      <w:r w:rsidR="0007087C">
        <w:t>4</w:t>
      </w:r>
      <w:r>
        <w:t>.</w:t>
      </w:r>
      <w:r w:rsidR="0095757C">
        <w:tab/>
      </w:r>
      <w:r w:rsidR="0021604B">
        <w:t>Důležitou p</w:t>
      </w:r>
      <w:r w:rsidR="0095757C">
        <w:t>latformou pro zastup</w:t>
      </w:r>
      <w:r w:rsidR="00D806C5">
        <w:t>ování</w:t>
      </w:r>
      <w:r w:rsidR="0095757C">
        <w:t xml:space="preserve"> </w:t>
      </w:r>
      <w:r w:rsidR="00B6454A">
        <w:t xml:space="preserve">a účast </w:t>
      </w:r>
      <w:r w:rsidR="00CD5B1E">
        <w:t xml:space="preserve">osob se ZP při formulování legislativních i nelegislativních opatření je </w:t>
      </w:r>
      <w:r w:rsidR="0095757C">
        <w:t>Vládní výbor pro osoby se ZP (dále jen „VV</w:t>
      </w:r>
      <w:r w:rsidR="00CD5B1E">
        <w:t>O</w:t>
      </w:r>
      <w:r w:rsidR="0095757C">
        <w:t>ZP“)</w:t>
      </w:r>
      <w:r w:rsidR="00CD5B1E">
        <w:t>,</w:t>
      </w:r>
      <w:r w:rsidR="0095757C">
        <w:t xml:space="preserve"> </w:t>
      </w:r>
      <w:r w:rsidR="00CD5B1E">
        <w:t xml:space="preserve">který </w:t>
      </w:r>
      <w:r w:rsidR="0095757C">
        <w:t xml:space="preserve">je </w:t>
      </w:r>
      <w:r w:rsidR="003C2867">
        <w:t xml:space="preserve">stálým koordinačním </w:t>
      </w:r>
      <w:r w:rsidR="0095757C">
        <w:t xml:space="preserve">iniciativním </w:t>
      </w:r>
      <w:r w:rsidR="003C2867">
        <w:t xml:space="preserve">a poradním </w:t>
      </w:r>
      <w:r w:rsidR="0095757C">
        <w:t xml:space="preserve">orgánem vlády </w:t>
      </w:r>
      <w:r w:rsidR="00CD5B1E">
        <w:t xml:space="preserve">ČR </w:t>
      </w:r>
      <w:r w:rsidR="0095757C">
        <w:t xml:space="preserve">pro </w:t>
      </w:r>
      <w:r w:rsidR="00724453">
        <w:t xml:space="preserve">problematiku </w:t>
      </w:r>
      <w:r w:rsidR="003C2867">
        <w:t>podpor</w:t>
      </w:r>
      <w:r w:rsidR="00724453">
        <w:t>y</w:t>
      </w:r>
      <w:r w:rsidR="003C2867">
        <w:t xml:space="preserve"> osob se </w:t>
      </w:r>
      <w:r w:rsidR="0095757C">
        <w:t>ZP</w:t>
      </w:r>
      <w:r w:rsidR="00B6454A">
        <w:t>.</w:t>
      </w:r>
      <w:r w:rsidR="0095757C">
        <w:t xml:space="preserve"> </w:t>
      </w:r>
      <w:r w:rsidR="00B6454A">
        <w:t xml:space="preserve">VVOZP </w:t>
      </w:r>
      <w:r w:rsidR="0095757C">
        <w:t>koordin</w:t>
      </w:r>
      <w:r w:rsidR="0024233D">
        <w:t xml:space="preserve">uje i </w:t>
      </w:r>
      <w:r w:rsidR="0095757C">
        <w:t xml:space="preserve">vypracovávání národních plánů </w:t>
      </w:r>
      <w:r w:rsidR="0024233D">
        <w:t xml:space="preserve">ve prospěch </w:t>
      </w:r>
      <w:r w:rsidR="00B6454A">
        <w:t xml:space="preserve">osob se </w:t>
      </w:r>
      <w:r w:rsidR="0095757C">
        <w:t>ZP a každoroční monitorování a vyhodnocení jejich naplňování.</w:t>
      </w:r>
      <w:r w:rsidR="000409A1">
        <w:t xml:space="preserve"> </w:t>
      </w:r>
    </w:p>
    <w:p w:rsidR="0095757C" w:rsidRDefault="004154AB" w:rsidP="000409A1">
      <w:pPr>
        <w:pStyle w:val="SingleTxtG"/>
      </w:pPr>
      <w:r>
        <w:t>1</w:t>
      </w:r>
      <w:r w:rsidR="0007087C">
        <w:t>5</w:t>
      </w:r>
      <w:r w:rsidR="00EC29B0">
        <w:t>.</w:t>
      </w:r>
      <w:r w:rsidR="00CF22A4">
        <w:tab/>
        <w:t xml:space="preserve">VVOZP byl zřízen usnesením vlády ČR ze dne 8. května 1991 č. 151. </w:t>
      </w:r>
      <w:r w:rsidR="003F1F7D">
        <w:t>Dle statutu j</w:t>
      </w:r>
      <w:r w:rsidR="00C8233F">
        <w:t>e</w:t>
      </w:r>
      <w:r w:rsidR="003F1F7D">
        <w:t xml:space="preserve"> VVOZP </w:t>
      </w:r>
      <w:r w:rsidR="00C8233F">
        <w:t>složen z předsedy vlády, některých ministrů</w:t>
      </w:r>
      <w:r w:rsidR="00CF22A4">
        <w:t>,</w:t>
      </w:r>
      <w:r w:rsidR="00C8233F">
        <w:t xml:space="preserve"> zástupců resortů, </w:t>
      </w:r>
      <w:r w:rsidR="00CF22A4" w:rsidRPr="00CF22A4">
        <w:t>předsed</w:t>
      </w:r>
      <w:r w:rsidR="00CF22A4">
        <w:t>y</w:t>
      </w:r>
      <w:r w:rsidR="00CF22A4" w:rsidRPr="00CF22A4">
        <w:t xml:space="preserve"> a čtyři místopředsed</w:t>
      </w:r>
      <w:r w:rsidR="00CF22A4">
        <w:t>ů</w:t>
      </w:r>
      <w:r w:rsidR="00CF22A4" w:rsidRPr="00CF22A4">
        <w:t xml:space="preserve"> N</w:t>
      </w:r>
      <w:r w:rsidR="00CF22A4">
        <w:t xml:space="preserve">árodní rady osob se ZP </w:t>
      </w:r>
      <w:r w:rsidR="00CF22A4" w:rsidRPr="00CF22A4">
        <w:t>ČR</w:t>
      </w:r>
      <w:r w:rsidR="00CF22A4">
        <w:t xml:space="preserve">, zástupce zaměstnavatelů zaměstnávajících převážně osoby se ZP (delegovaný společně Svazem českých a moravských výrobních družstev a Asociací zaměstnavatelů zdravotně postižených ČR) a </w:t>
      </w:r>
      <w:r w:rsidR="00957DD7">
        <w:t>pěti</w:t>
      </w:r>
      <w:r w:rsidR="000409A1">
        <w:t xml:space="preserve"> </w:t>
      </w:r>
      <w:r w:rsidR="00646BD6">
        <w:t>dalších členů zastupujících občanskou společnost, odbornou veřejnost a akademickou obec</w:t>
      </w:r>
      <w:r w:rsidR="00957DD7">
        <w:t>,</w:t>
      </w:r>
      <w:r w:rsidR="00646BD6">
        <w:t xml:space="preserve"> zabývajících se problematikou osob se ZP, jejichž působení přispí</w:t>
      </w:r>
      <w:r w:rsidR="00FC29B6">
        <w:t>vá ke zvýšení obecného povědomí</w:t>
      </w:r>
      <w:r w:rsidR="00FC29B6">
        <w:br/>
      </w:r>
      <w:r w:rsidR="00646BD6">
        <w:t>o tématu zdravotního postižení</w:t>
      </w:r>
      <w:r w:rsidR="000409A1">
        <w:t>.</w:t>
      </w:r>
      <w:r w:rsidR="00646BD6">
        <w:t xml:space="preserve"> </w:t>
      </w:r>
      <w:r w:rsidR="00957DD7">
        <w:t>S</w:t>
      </w:r>
      <w:r w:rsidR="00646BD6">
        <w:t>tálým hostem VVOZP s hlasem poradním</w:t>
      </w:r>
      <w:r w:rsidR="000D3FC0">
        <w:t xml:space="preserve"> </w:t>
      </w:r>
      <w:r w:rsidR="00646BD6">
        <w:t xml:space="preserve">je </w:t>
      </w:r>
      <w:r w:rsidR="008B0FD4">
        <w:t>V</w:t>
      </w:r>
      <w:r w:rsidR="000409A1">
        <w:t>eřejný ochránce práv</w:t>
      </w:r>
      <w:r w:rsidR="00C53F92">
        <w:t xml:space="preserve"> (dále jen „ochránce“)</w:t>
      </w:r>
      <w:r w:rsidR="00646BD6">
        <w:t xml:space="preserve">, a to </w:t>
      </w:r>
      <w:r w:rsidR="000409A1">
        <w:t>jako nezávisl</w:t>
      </w:r>
      <w:r w:rsidR="00C53F92">
        <w:t>á</w:t>
      </w:r>
      <w:r w:rsidR="000409A1">
        <w:t xml:space="preserve"> </w:t>
      </w:r>
      <w:r w:rsidR="00C53F92">
        <w:t xml:space="preserve">instituce </w:t>
      </w:r>
      <w:r w:rsidR="000409A1">
        <w:t>zabývající se systematicky problematikou práv osob se ZP a jejich naplňováním.</w:t>
      </w:r>
    </w:p>
    <w:p w:rsidR="00D57DF3" w:rsidRPr="00524DAA" w:rsidRDefault="00EC29B0" w:rsidP="00D57DF3">
      <w:pPr>
        <w:pStyle w:val="SingleTxtG"/>
      </w:pPr>
      <w:r>
        <w:t>1</w:t>
      </w:r>
      <w:r w:rsidR="0007087C">
        <w:t>6</w:t>
      </w:r>
      <w:r>
        <w:t>.</w:t>
      </w:r>
      <w:r w:rsidR="00D57DF3" w:rsidRPr="00524DAA">
        <w:tab/>
        <w:t xml:space="preserve">Všechny </w:t>
      </w:r>
      <w:r w:rsidR="00B11D0B" w:rsidRPr="00524DAA">
        <w:t xml:space="preserve">návrhy </w:t>
      </w:r>
      <w:r w:rsidR="00604322" w:rsidRPr="00524DAA">
        <w:t xml:space="preserve">nových nebo </w:t>
      </w:r>
      <w:r w:rsidR="00D57DF3" w:rsidRPr="00524DAA">
        <w:t>novelizovan</w:t>
      </w:r>
      <w:r w:rsidR="00B11D0B" w:rsidRPr="00524DAA">
        <w:t>ých</w:t>
      </w:r>
      <w:r w:rsidR="00D57DF3" w:rsidRPr="00524DAA">
        <w:t xml:space="preserve"> právní</w:t>
      </w:r>
      <w:r w:rsidR="00B11D0B" w:rsidRPr="00524DAA">
        <w:t>ch</w:t>
      </w:r>
      <w:r w:rsidR="00D57DF3" w:rsidRPr="00524DAA">
        <w:t xml:space="preserve"> předpis</w:t>
      </w:r>
      <w:r w:rsidR="00604322" w:rsidRPr="00524DAA">
        <w:t>ů</w:t>
      </w:r>
      <w:r w:rsidR="00D57DF3" w:rsidRPr="00524DAA">
        <w:t>, jakož i dokument</w:t>
      </w:r>
      <w:r w:rsidR="006319D6" w:rsidRPr="00524DAA">
        <w:t>ů</w:t>
      </w:r>
      <w:r w:rsidR="00D57DF3" w:rsidRPr="00524DAA">
        <w:t xml:space="preserve"> nelegislativní povahy týkající</w:t>
      </w:r>
      <w:r w:rsidR="006319D6" w:rsidRPr="00524DAA">
        <w:t>ch</w:t>
      </w:r>
      <w:r w:rsidR="00D57DF3" w:rsidRPr="00524DAA">
        <w:t xml:space="preserve"> se práv a postavení osob se </w:t>
      </w:r>
      <w:r w:rsidR="003E3912" w:rsidRPr="00524DAA">
        <w:t xml:space="preserve">ZP </w:t>
      </w:r>
      <w:r w:rsidR="00D57DF3" w:rsidRPr="00524DAA">
        <w:t xml:space="preserve">zasílá sekretariát </w:t>
      </w:r>
      <w:r w:rsidR="00FC29B6">
        <w:t>VVOZP</w:t>
      </w:r>
      <w:r w:rsidR="00FC29B6">
        <w:br/>
      </w:r>
      <w:r w:rsidR="00D57DF3" w:rsidRPr="00524DAA">
        <w:t>v elektronické podobě N</w:t>
      </w:r>
      <w:r w:rsidR="00B62C9E" w:rsidRPr="00524DAA">
        <w:t xml:space="preserve">árodní radě osob se ZP </w:t>
      </w:r>
      <w:r w:rsidR="009D6391" w:rsidRPr="00524DAA">
        <w:t>Č</w:t>
      </w:r>
      <w:r w:rsidR="00B62C9E" w:rsidRPr="00524DAA">
        <w:t xml:space="preserve">R </w:t>
      </w:r>
      <w:r w:rsidR="00D57DF3" w:rsidRPr="00524DAA">
        <w:t>(ta materiály dále distribuuje svým členským organizacím), Asociaci organizací neslyšících, nedoslýchavých a jejich přátel, Sjednocené organizaci nevidomých a slabozrakých ČR, Pražské organizaci vozíčkářů, spolku Za sklem</w:t>
      </w:r>
      <w:r w:rsidR="003E3912" w:rsidRPr="00524DAA">
        <w:t>,</w:t>
      </w:r>
      <w:r w:rsidR="00D57DF3" w:rsidRPr="00524DAA">
        <w:t xml:space="preserve"> p</w:t>
      </w:r>
      <w:r w:rsidR="003E3912" w:rsidRPr="00524DAA">
        <w:t>op</w:t>
      </w:r>
      <w:r w:rsidR="00D57DF3" w:rsidRPr="00524DAA">
        <w:t>ř</w:t>
      </w:r>
      <w:r w:rsidR="003E3912" w:rsidRPr="00524DAA">
        <w:t>.</w:t>
      </w:r>
      <w:r w:rsidR="00D57DF3" w:rsidRPr="00524DAA">
        <w:t xml:space="preserve"> dalším dle potřeby. Organizace osob se </w:t>
      </w:r>
      <w:r w:rsidR="003E3912" w:rsidRPr="00524DAA">
        <w:t xml:space="preserve">ZP </w:t>
      </w:r>
      <w:r w:rsidR="00FC29B6">
        <w:t>mohou své připomínky</w:t>
      </w:r>
      <w:r w:rsidR="00FC29B6">
        <w:br/>
      </w:r>
      <w:r w:rsidR="00D57DF3" w:rsidRPr="00524DAA">
        <w:t xml:space="preserve">k právním předpisům zasílat jednotlivým předkladatelům samy nebo je mohou zaslat sekretariátu VVOZP k dalšímu využití. Sekretariát VVOZP připomínky předkládané organizacemi soustřeďuje, vyhodnocuje a předává zmocněnkyni </w:t>
      </w:r>
      <w:r w:rsidR="00A11B57" w:rsidRPr="00524DAA">
        <w:t xml:space="preserve">vlády </w:t>
      </w:r>
      <w:r w:rsidR="00B85AFD">
        <w:t xml:space="preserve">ČR </w:t>
      </w:r>
      <w:r w:rsidR="006319D6" w:rsidRPr="00524DAA">
        <w:t>pro lidská práva k uplatnění.</w:t>
      </w:r>
    </w:p>
    <w:p w:rsidR="002C14D7" w:rsidRPr="00524DAA" w:rsidRDefault="007E1F3A" w:rsidP="00D57DF3">
      <w:pPr>
        <w:pStyle w:val="SingleTxtG"/>
      </w:pPr>
      <w:r>
        <w:t>1</w:t>
      </w:r>
      <w:r w:rsidR="0007087C">
        <w:t>7</w:t>
      </w:r>
      <w:r w:rsidR="00EC29B0">
        <w:t>.</w:t>
      </w:r>
      <w:r w:rsidR="003E3912" w:rsidRPr="00524DAA">
        <w:tab/>
      </w:r>
      <w:r w:rsidR="00D57DF3" w:rsidRPr="00524DAA">
        <w:t xml:space="preserve">Všechny organizace osob se </w:t>
      </w:r>
      <w:r w:rsidR="003E3912" w:rsidRPr="00524DAA">
        <w:t xml:space="preserve">ZP </w:t>
      </w:r>
      <w:r w:rsidR="00D57DF3" w:rsidRPr="00524DAA">
        <w:t xml:space="preserve">mají </w:t>
      </w:r>
      <w:r w:rsidR="006319D6" w:rsidRPr="00524DAA">
        <w:t>dále</w:t>
      </w:r>
      <w:r w:rsidR="00D57DF3" w:rsidRPr="00524DAA">
        <w:t xml:space="preserve"> možnost seznámit se s připravovanými předpisy </w:t>
      </w:r>
      <w:r w:rsidR="003E3912" w:rsidRPr="00524DAA">
        <w:t xml:space="preserve">a dokumenty </w:t>
      </w:r>
      <w:r w:rsidR="008E095F" w:rsidRPr="00524DAA">
        <w:t xml:space="preserve">prostřednictvím </w:t>
      </w:r>
      <w:r w:rsidR="00BF6B12" w:rsidRPr="00524DAA">
        <w:t>E</w:t>
      </w:r>
      <w:r w:rsidR="00A11B57" w:rsidRPr="00524DAA">
        <w:t xml:space="preserve">lektronické </w:t>
      </w:r>
      <w:r w:rsidR="00BF6B12" w:rsidRPr="00524DAA">
        <w:t>k</w:t>
      </w:r>
      <w:r w:rsidR="00D57DF3" w:rsidRPr="00524DAA">
        <w:t>nihovn</w:t>
      </w:r>
      <w:r w:rsidR="008E095F" w:rsidRPr="00524DAA">
        <w:t>y</w:t>
      </w:r>
      <w:r w:rsidR="00D57DF3" w:rsidRPr="00524DAA">
        <w:t xml:space="preserve"> připravované legislativy </w:t>
      </w:r>
      <w:hyperlink r:id="rId11" w:history="1">
        <w:r w:rsidR="008E095F" w:rsidRPr="00524DAA">
          <w:rPr>
            <w:rStyle w:val="Hypertextovodkaz"/>
          </w:rPr>
          <w:t>https://apps.odok.cz/kpl</w:t>
        </w:r>
      </w:hyperlink>
      <w:r w:rsidR="00D57DF3" w:rsidRPr="00524DAA">
        <w:t>. Tento veřejný portál zpřístupňuje dokumenty legislativní povahy, které jsou určeny pro jednání vlády.</w:t>
      </w:r>
    </w:p>
    <w:p w:rsidR="001D4EF8" w:rsidRPr="00524DAA" w:rsidRDefault="001D4EF8" w:rsidP="001D4EF8">
      <w:pPr>
        <w:pStyle w:val="SingleTxtG"/>
      </w:pPr>
    </w:p>
    <w:p w:rsidR="005E7DAC" w:rsidRPr="00F445FB" w:rsidRDefault="00DD1D3E" w:rsidP="009849BD">
      <w:pPr>
        <w:pStyle w:val="H1G"/>
      </w:pPr>
      <w:r w:rsidRPr="00524DAA">
        <w:tab/>
      </w:r>
      <w:r w:rsidR="005E7DAC" w:rsidRPr="00524DAA">
        <w:tab/>
      </w:r>
      <w:r w:rsidR="00B30C3E" w:rsidRPr="00524DAA">
        <w:t>Odpověď na otázku č. 3</w:t>
      </w:r>
    </w:p>
    <w:p w:rsidR="009625C5" w:rsidRPr="00524DAA" w:rsidRDefault="007E1F3A" w:rsidP="001D4EF8">
      <w:pPr>
        <w:pStyle w:val="SingleTxtG"/>
      </w:pPr>
      <w:r>
        <w:t>1</w:t>
      </w:r>
      <w:r w:rsidR="0007087C">
        <w:t>8</w:t>
      </w:r>
      <w:r w:rsidR="00EC29B0">
        <w:t>.</w:t>
      </w:r>
      <w:r w:rsidR="00B31864" w:rsidRPr="00524DAA">
        <w:tab/>
      </w:r>
      <w:r w:rsidR="00A912F4" w:rsidRPr="00524DAA">
        <w:t>S</w:t>
      </w:r>
      <w:r w:rsidR="00B31864" w:rsidRPr="00524DAA">
        <w:t xml:space="preserve">vým usnesením </w:t>
      </w:r>
      <w:r w:rsidR="00A912F4" w:rsidRPr="00524DAA">
        <w:t xml:space="preserve">ze dne 20. listopadu 2018 č. 772 </w:t>
      </w:r>
      <w:r w:rsidR="00FC29B6">
        <w:t>vláda ČR vydala souhlas</w:t>
      </w:r>
      <w:r w:rsidR="00FC29B6">
        <w:br/>
      </w:r>
      <w:r w:rsidR="00042134" w:rsidRPr="00524DAA">
        <w:t>s ratifikací Opčního protokolu k</w:t>
      </w:r>
      <w:r w:rsidR="00CB0080" w:rsidRPr="00524DAA">
        <w:t> Ú</w:t>
      </w:r>
      <w:r w:rsidR="00042134" w:rsidRPr="00524DAA">
        <w:t>mluvě</w:t>
      </w:r>
      <w:r w:rsidR="00CB0080" w:rsidRPr="00524DAA">
        <w:t xml:space="preserve">, doporučila prezidentu republiky, aby po vyslovení </w:t>
      </w:r>
      <w:r w:rsidR="00CB0080" w:rsidRPr="00524DAA">
        <w:lastRenderedPageBreak/>
        <w:t>souhlasu Parlamentem Č</w:t>
      </w:r>
      <w:r w:rsidR="00426869" w:rsidRPr="00524DAA">
        <w:t xml:space="preserve">R </w:t>
      </w:r>
      <w:r w:rsidR="00106960" w:rsidRPr="00524DAA">
        <w:t>Opční p</w:t>
      </w:r>
      <w:r w:rsidR="00CB0080" w:rsidRPr="00524DAA">
        <w:t xml:space="preserve">rotokol ratifikoval a pověřila předsedu vlády předložit </w:t>
      </w:r>
      <w:r w:rsidR="00106960" w:rsidRPr="00524DAA">
        <w:t>Opční p</w:t>
      </w:r>
      <w:r w:rsidR="00CB0080" w:rsidRPr="00524DAA">
        <w:t>rotokol předsedovi Poslanecké sněmovny Parlamentu Č</w:t>
      </w:r>
      <w:r w:rsidR="00426869" w:rsidRPr="00524DAA">
        <w:t xml:space="preserve">R </w:t>
      </w:r>
      <w:r w:rsidR="00CB0080" w:rsidRPr="00524DAA">
        <w:t>a předsedovi Senátu Parlamentu Č</w:t>
      </w:r>
      <w:r w:rsidR="00426869" w:rsidRPr="00524DAA">
        <w:t xml:space="preserve">R </w:t>
      </w:r>
      <w:r w:rsidR="00CB0080" w:rsidRPr="00524DAA">
        <w:t>k vyslovení souhlasu Parlamentu Č</w:t>
      </w:r>
      <w:r w:rsidR="00426869" w:rsidRPr="00524DAA">
        <w:t xml:space="preserve">R </w:t>
      </w:r>
      <w:r w:rsidR="00CB0080" w:rsidRPr="00524DAA">
        <w:t>s jeho ratifikací.</w:t>
      </w:r>
    </w:p>
    <w:p w:rsidR="002C692E" w:rsidRPr="00524DAA" w:rsidRDefault="0007087C" w:rsidP="002C692E">
      <w:pPr>
        <w:pStyle w:val="SingleTxtG"/>
      </w:pPr>
      <w:r>
        <w:t>19</w:t>
      </w:r>
      <w:r w:rsidR="00EC29B0">
        <w:t>.</w:t>
      </w:r>
      <w:r w:rsidR="002C692E" w:rsidRPr="00524DAA">
        <w:tab/>
        <w:t xml:space="preserve">Poslanecká sněmovna </w:t>
      </w:r>
      <w:r w:rsidR="009D7204" w:rsidRPr="00524DAA">
        <w:t xml:space="preserve">Parlamentu ČR </w:t>
      </w:r>
      <w:r w:rsidR="002C692E" w:rsidRPr="00524DAA">
        <w:t xml:space="preserve">projednává návrh na ratifikaci Opčního protokolu jako sněmovní tisk č. </w:t>
      </w:r>
      <w:r w:rsidR="00D5705E" w:rsidRPr="00524DAA">
        <w:t>356</w:t>
      </w:r>
      <w:r w:rsidR="00FC29B6">
        <w:t>, jehož 2. č</w:t>
      </w:r>
      <w:r w:rsidR="002C692E" w:rsidRPr="00524DAA">
        <w:t>tení bylo zahájeno 28. listopadu 2019 na 39. schůzi.</w:t>
      </w:r>
      <w:r w:rsidR="008D75A5" w:rsidRPr="00524DAA">
        <w:t xml:space="preserve"> V rámci 2. čtení sněmovna rozhodne, zda vyslovuje s ratifikací souhlas.</w:t>
      </w:r>
    </w:p>
    <w:p w:rsidR="009616BD" w:rsidRPr="00524DAA" w:rsidRDefault="00EC29B0" w:rsidP="009616BD">
      <w:pPr>
        <w:pStyle w:val="SingleTxtG"/>
      </w:pPr>
      <w:r>
        <w:t>2</w:t>
      </w:r>
      <w:r w:rsidR="0007087C">
        <w:t>0</w:t>
      </w:r>
      <w:r>
        <w:t>.</w:t>
      </w:r>
      <w:r w:rsidR="009616BD" w:rsidRPr="00524DAA">
        <w:tab/>
        <w:t>Senát Parlamentu ČR projednal návrh na ratifikaci Opčního protokolu v rámci své 6. schůze dne 27. února 2019 a dal souhlas s</w:t>
      </w:r>
      <w:r w:rsidR="007615BE" w:rsidRPr="00524DAA">
        <w:t> </w:t>
      </w:r>
      <w:r w:rsidR="009616BD" w:rsidRPr="00524DAA">
        <w:t>ratifikací (usnesení č. 110).</w:t>
      </w:r>
    </w:p>
    <w:p w:rsidR="009625C5" w:rsidRPr="00524DAA" w:rsidRDefault="00EC29B0" w:rsidP="001D4EF8">
      <w:pPr>
        <w:pStyle w:val="SingleTxtG"/>
      </w:pPr>
      <w:r>
        <w:t>2</w:t>
      </w:r>
      <w:r w:rsidR="0007087C">
        <w:t>1</w:t>
      </w:r>
      <w:r>
        <w:t>.</w:t>
      </w:r>
      <w:r w:rsidR="00B53007" w:rsidRPr="00524DAA">
        <w:tab/>
        <w:t xml:space="preserve">Jako subjekt zodpovědný za zajištění činností spojených s prováděním Opčního protokolu po jeho ratifikaci, tj. </w:t>
      </w:r>
      <w:r w:rsidR="006E0848" w:rsidRPr="00524DAA">
        <w:t>za</w:t>
      </w:r>
      <w:r w:rsidR="00B53007" w:rsidRPr="00524DAA">
        <w:t xml:space="preserve"> vedení řízení před Výborem </w:t>
      </w:r>
      <w:r w:rsidR="004257E8">
        <w:t xml:space="preserve">OSN </w:t>
      </w:r>
      <w:r w:rsidR="00B53007" w:rsidRPr="00524DAA">
        <w:t>pro práva osob se zdravotním postižením</w:t>
      </w:r>
      <w:r w:rsidR="00106960" w:rsidRPr="00524DAA">
        <w:t>,</w:t>
      </w:r>
      <w:r w:rsidR="00B53007" w:rsidRPr="00524DAA">
        <w:t xml:space="preserve"> byl určen vládní zmocněn</w:t>
      </w:r>
      <w:r w:rsidR="00106960" w:rsidRPr="00524DAA">
        <w:t>e</w:t>
      </w:r>
      <w:r w:rsidR="00B53007" w:rsidRPr="00524DAA">
        <w:t>c pro zastupování Č</w:t>
      </w:r>
      <w:r w:rsidR="00426869" w:rsidRPr="00524DAA">
        <w:t xml:space="preserve">R </w:t>
      </w:r>
      <w:r w:rsidR="00B53007" w:rsidRPr="00524DAA">
        <w:t>před Evropským soudem pro lidská práva.</w:t>
      </w:r>
    </w:p>
    <w:p w:rsidR="00144385" w:rsidRPr="00524DAA" w:rsidRDefault="00144385" w:rsidP="00144385">
      <w:pPr>
        <w:pStyle w:val="SingleTxtG"/>
      </w:pPr>
    </w:p>
    <w:p w:rsidR="00144385" w:rsidRPr="00524DAA" w:rsidRDefault="00144385" w:rsidP="00144385">
      <w:pPr>
        <w:pStyle w:val="H1G"/>
      </w:pPr>
      <w:r w:rsidRPr="00524DAA">
        <w:tab/>
        <w:t>B.</w:t>
      </w:r>
      <w:r w:rsidRPr="00524DAA">
        <w:tab/>
        <w:t>Specifická práva (články 5</w:t>
      </w:r>
      <w:r w:rsidR="00237762" w:rsidRPr="00524DAA">
        <w:t>-</w:t>
      </w:r>
      <w:r w:rsidRPr="00524DAA">
        <w:t>30)</w:t>
      </w:r>
    </w:p>
    <w:p w:rsidR="00144385" w:rsidRPr="00524DAA" w:rsidRDefault="00144385" w:rsidP="00144385">
      <w:pPr>
        <w:pStyle w:val="SingleTxtG"/>
      </w:pPr>
    </w:p>
    <w:p w:rsidR="005E7DAC" w:rsidRPr="00F445FB" w:rsidRDefault="005E7DAC" w:rsidP="009849BD">
      <w:pPr>
        <w:pStyle w:val="H1G"/>
      </w:pPr>
      <w:r w:rsidRPr="00524DAA">
        <w:tab/>
      </w:r>
      <w:r w:rsidRPr="00524DAA">
        <w:tab/>
      </w:r>
      <w:r w:rsidR="00B30C3E" w:rsidRPr="00524DAA">
        <w:t>Odpověď na otázku č. 4</w:t>
      </w:r>
    </w:p>
    <w:p w:rsidR="00E46561" w:rsidRDefault="0024315E" w:rsidP="000A3361">
      <w:pPr>
        <w:pStyle w:val="SingleTxtG"/>
      </w:pPr>
      <w:r>
        <w:t>2</w:t>
      </w:r>
      <w:r w:rsidR="0007087C">
        <w:t>2</w:t>
      </w:r>
      <w:r>
        <w:t>.</w:t>
      </w:r>
      <w:r>
        <w:tab/>
      </w:r>
      <w:r w:rsidR="00D845D4">
        <w:t xml:space="preserve">Obecnou právní úpravu rovného zacházení obsahuje </w:t>
      </w:r>
      <w:r w:rsidR="001823E6">
        <w:t xml:space="preserve">v ČR </w:t>
      </w:r>
      <w:r w:rsidR="00B86396" w:rsidRPr="00B86396">
        <w:t>zákon č. 198/2009 Sb., o</w:t>
      </w:r>
      <w:r w:rsidR="00B86396">
        <w:t> </w:t>
      </w:r>
      <w:r w:rsidR="00B86396" w:rsidRPr="00B86396">
        <w:t>rovném zacházení a o právních prostředcích ochrany před diskriminací a o změně některých zákonů (antidiskriminační zákon), ve znění pozdějších předpisů</w:t>
      </w:r>
      <w:r w:rsidR="00B86396">
        <w:t xml:space="preserve"> (dále jen „antidiskriminační zákon“)</w:t>
      </w:r>
      <w:r w:rsidR="00B86396" w:rsidRPr="00B86396">
        <w:t>,</w:t>
      </w:r>
      <w:r w:rsidR="00B86396">
        <w:t xml:space="preserve"> </w:t>
      </w:r>
      <w:r w:rsidR="00D845D4">
        <w:t>jehož p</w:t>
      </w:r>
      <w:r w:rsidR="00690E56">
        <w:t xml:space="preserve">ředmět úpravy </w:t>
      </w:r>
      <w:r w:rsidR="00C93A61">
        <w:t>definuje</w:t>
      </w:r>
      <w:r w:rsidR="00646D94">
        <w:t xml:space="preserve"> </w:t>
      </w:r>
      <w:r w:rsidR="00E46561">
        <w:t>§ 1 odst. 1</w:t>
      </w:r>
      <w:r w:rsidR="00646D94">
        <w:t xml:space="preserve"> tak, že </w:t>
      </w:r>
      <w:r w:rsidR="00C93A61">
        <w:t xml:space="preserve">zákon blíže vymezuje </w:t>
      </w:r>
      <w:r w:rsidR="00E46561">
        <w:t>právo na rovné zacházení a zákaz diskriminace ve věcech</w:t>
      </w:r>
      <w:r w:rsidR="000A3361">
        <w:t xml:space="preserve"> </w:t>
      </w:r>
      <w:r w:rsidR="00E46561">
        <w:t>práva na zam</w:t>
      </w:r>
      <w:r w:rsidR="00FC29B6">
        <w:t>ěstnání</w:t>
      </w:r>
      <w:r w:rsidR="00FC29B6">
        <w:br/>
      </w:r>
      <w:r w:rsidR="000A3361">
        <w:t xml:space="preserve">a přístupu k zaměstnání, </w:t>
      </w:r>
      <w:r w:rsidR="00E46561">
        <w:t>přístupu k povolání, podnikání a jiné samostatné výdělečné činnosti</w:t>
      </w:r>
      <w:r w:rsidR="000A3361">
        <w:t xml:space="preserve">, </w:t>
      </w:r>
      <w:r w:rsidR="00E46561">
        <w:t>pracovních, služebních poměrů a jiné závislé činnosti, vč. odměňování</w:t>
      </w:r>
      <w:r w:rsidR="000A3361">
        <w:t xml:space="preserve">, </w:t>
      </w:r>
      <w:r w:rsidR="00FC29B6">
        <w:t>členství</w:t>
      </w:r>
      <w:r w:rsidR="00FC29B6">
        <w:br/>
      </w:r>
      <w:r w:rsidR="00E46561">
        <w:t>a činnosti v odborových organizacích, radách zaměstnanců nebo organizacích zaměstnavatelů, vč. výhod, které tyto o</w:t>
      </w:r>
      <w:r w:rsidR="000A3361">
        <w:t xml:space="preserve">rganizace svým členům poskytují, </w:t>
      </w:r>
      <w:r w:rsidR="00E46561">
        <w:t xml:space="preserve">členství a činnosti v profesních komorách, vč. výhod, které tyto veřejnoprávní </w:t>
      </w:r>
      <w:r w:rsidR="000A3361">
        <w:t xml:space="preserve">korporace svým členům poskytují, </w:t>
      </w:r>
      <w:r w:rsidR="00FC29B6">
        <w:t>sociálního zabezpečení</w:t>
      </w:r>
      <w:r w:rsidR="000A3361">
        <w:t xml:space="preserve">, </w:t>
      </w:r>
      <w:r w:rsidR="00E46561">
        <w:t>přiznání a poskytování sociálních výhod</w:t>
      </w:r>
      <w:r w:rsidR="000A3361">
        <w:t xml:space="preserve">, </w:t>
      </w:r>
      <w:r w:rsidR="00E46561">
        <w:t>přístupu ke zdra</w:t>
      </w:r>
      <w:r w:rsidR="000A3361">
        <w:t xml:space="preserve">votní péči a jejího poskytování, </w:t>
      </w:r>
      <w:r w:rsidR="00E46561">
        <w:t>přístupu</w:t>
      </w:r>
      <w:r w:rsidR="000A3361">
        <w:t xml:space="preserve"> ke vzdělání a jeho poskytování, </w:t>
      </w:r>
      <w:r w:rsidR="00E46561">
        <w:t>přístupu ke zboží a službám, vč. bydlení, pokud jsou nabízeny veřejnosti nebo při jejich poskytování.</w:t>
      </w:r>
    </w:p>
    <w:p w:rsidR="00C31B1B" w:rsidRDefault="00A31BAF" w:rsidP="00E46561">
      <w:pPr>
        <w:pStyle w:val="SingleTxtG"/>
      </w:pPr>
      <w:r>
        <w:t>2</w:t>
      </w:r>
      <w:r w:rsidR="0007087C">
        <w:t>3</w:t>
      </w:r>
      <w:r>
        <w:t>.</w:t>
      </w:r>
      <w:r w:rsidR="00C93A61">
        <w:tab/>
      </w:r>
      <w:r w:rsidR="00E46561">
        <w:t xml:space="preserve">Za nepřímou diskriminaci z důvodů zdravotního postižení se v souladu s ust. § 3 odst. 2 antidiskriminačního zákona </w:t>
      </w:r>
      <w:r w:rsidR="00360D93">
        <w:t xml:space="preserve">považuje </w:t>
      </w:r>
      <w:r w:rsidR="00E46561">
        <w:t xml:space="preserve">také odmítnutí nebo opomenutí přijmout přiměřená opatření, aby měla </w:t>
      </w:r>
      <w:r w:rsidR="00C93A61">
        <w:t xml:space="preserve">osoba se </w:t>
      </w:r>
      <w:r w:rsidR="00E46561">
        <w:t xml:space="preserve">ZP přístup k určitému zaměstnání, k výkonu pracovní činnosti nebo funkčnímu nebo jinému postupu v zaměstnání, aby mohla využít pracovního poradenství, nebo se zúčastnit jiného odborného vzdělávání, nebo aby mohla využít služeb určených veřejnosti, ledaže by takové opatření představovalo nepřiměřené zatížení. </w:t>
      </w:r>
      <w:r w:rsidR="00F81FA9">
        <w:t xml:space="preserve">Toto ustanovení </w:t>
      </w:r>
      <w:r w:rsidR="00F81FA9" w:rsidRPr="00F81FA9">
        <w:t>zakotvuje obecně definovanou povinnost přijmout přiměřené opatření</w:t>
      </w:r>
      <w:r w:rsidR="0013140E">
        <w:t xml:space="preserve">, </w:t>
      </w:r>
      <w:r w:rsidR="004C2D3E">
        <w:t>jež</w:t>
      </w:r>
      <w:r w:rsidR="0013140E">
        <w:t xml:space="preserve"> má aktivní charakter</w:t>
      </w:r>
      <w:r w:rsidR="008C0688">
        <w:t>;</w:t>
      </w:r>
      <w:r w:rsidR="00F81FA9" w:rsidRPr="00F81FA9">
        <w:t xml:space="preserve"> základ </w:t>
      </w:r>
      <w:r w:rsidR="008C0688">
        <w:t xml:space="preserve">této povinnosti lze </w:t>
      </w:r>
      <w:r w:rsidR="00F81FA9">
        <w:t>spatřovat v</w:t>
      </w:r>
      <w:r w:rsidR="004C2D3E">
        <w:t xml:space="preserve"> uplatnění </w:t>
      </w:r>
      <w:r w:rsidR="00F81FA9" w:rsidRPr="00F81FA9">
        <w:t>sociální</w:t>
      </w:r>
      <w:r w:rsidR="004C2D3E">
        <w:t>ho</w:t>
      </w:r>
      <w:r w:rsidR="00F81FA9" w:rsidRPr="00F81FA9">
        <w:t xml:space="preserve"> modelu zdravotního postižení.</w:t>
      </w:r>
    </w:p>
    <w:p w:rsidR="00E46561" w:rsidRDefault="00A31BAF" w:rsidP="00E46561">
      <w:pPr>
        <w:pStyle w:val="SingleTxtG"/>
      </w:pPr>
      <w:r>
        <w:t>2</w:t>
      </w:r>
      <w:r w:rsidR="0007087C">
        <w:t>4</w:t>
      </w:r>
      <w:r>
        <w:t>.</w:t>
      </w:r>
      <w:r w:rsidR="00C31B1B">
        <w:tab/>
      </w:r>
      <w:r w:rsidR="00E46561">
        <w:t>Při rozhodování o tom, zda konkrétní opatření představuje nepřiměřené zatížení, je třeba vzít v úvahu:</w:t>
      </w:r>
    </w:p>
    <w:p w:rsidR="00E46561" w:rsidRDefault="00E46561" w:rsidP="0087275C">
      <w:pPr>
        <w:pStyle w:val="SingleTxtG"/>
        <w:numPr>
          <w:ilvl w:val="0"/>
          <w:numId w:val="12"/>
        </w:numPr>
      </w:pPr>
      <w:r>
        <w:t xml:space="preserve">míru užitku, kterou má </w:t>
      </w:r>
      <w:r w:rsidR="003543D0">
        <w:t xml:space="preserve">osoba se </w:t>
      </w:r>
      <w:r>
        <w:t>ZP z realizace opatření</w:t>
      </w:r>
      <w:r w:rsidR="003543D0">
        <w:t>,</w:t>
      </w:r>
    </w:p>
    <w:p w:rsidR="00E46561" w:rsidRDefault="00E46561" w:rsidP="0087275C">
      <w:pPr>
        <w:pStyle w:val="SingleTxtG"/>
        <w:numPr>
          <w:ilvl w:val="0"/>
          <w:numId w:val="12"/>
        </w:numPr>
      </w:pPr>
      <w:r>
        <w:t>finanční únosnost opatření pro fyzickou nebo právnickou osobu, která je má realizovat</w:t>
      </w:r>
      <w:r w:rsidR="0092572D">
        <w:t>,</w:t>
      </w:r>
    </w:p>
    <w:p w:rsidR="00E46561" w:rsidRDefault="00E46561" w:rsidP="0087275C">
      <w:pPr>
        <w:pStyle w:val="SingleTxtG"/>
        <w:numPr>
          <w:ilvl w:val="0"/>
          <w:numId w:val="12"/>
        </w:numPr>
      </w:pPr>
      <w:r>
        <w:t>dostupnost finanční a jiné pomoci k realizaci opatření a</w:t>
      </w:r>
    </w:p>
    <w:p w:rsidR="00E46561" w:rsidRDefault="00E46561" w:rsidP="0087275C">
      <w:pPr>
        <w:pStyle w:val="SingleTxtG"/>
        <w:numPr>
          <w:ilvl w:val="0"/>
          <w:numId w:val="12"/>
        </w:numPr>
      </w:pPr>
      <w:r>
        <w:t xml:space="preserve">způsobilost náhradních </w:t>
      </w:r>
      <w:r w:rsidR="00F27174">
        <w:t xml:space="preserve">(alternativních) </w:t>
      </w:r>
      <w:r>
        <w:t xml:space="preserve">opatření uspokojit potřeby </w:t>
      </w:r>
      <w:r w:rsidR="0092572D">
        <w:t xml:space="preserve">osoby se </w:t>
      </w:r>
      <w:r>
        <w:t>ZP.</w:t>
      </w:r>
    </w:p>
    <w:p w:rsidR="0023164A" w:rsidRPr="00524DAA" w:rsidRDefault="00E46561" w:rsidP="00E46561">
      <w:pPr>
        <w:pStyle w:val="SingleTxtG"/>
      </w:pPr>
      <w:r>
        <w:t>Za nepřiměřené zatížení se nepovažuje opatření, které je fyzická nebo právnická osoba povinna uskutečnit podle zvláštního právního předpisu.</w:t>
      </w:r>
    </w:p>
    <w:p w:rsidR="0023164A" w:rsidRPr="00524DAA" w:rsidRDefault="007E1F3A" w:rsidP="001D4EF8">
      <w:pPr>
        <w:pStyle w:val="SingleTxtG"/>
      </w:pPr>
      <w:r>
        <w:t>2</w:t>
      </w:r>
      <w:r w:rsidR="0007087C">
        <w:t>5</w:t>
      </w:r>
      <w:r w:rsidR="00A31BAF">
        <w:t>.</w:t>
      </w:r>
      <w:r w:rsidR="00D11703">
        <w:tab/>
        <w:t xml:space="preserve">Povinnost přijmout přiměřené opatření se </w:t>
      </w:r>
      <w:r w:rsidR="006D27D6">
        <w:t xml:space="preserve">tak v návaznosti na shora uvedenou </w:t>
      </w:r>
      <w:r w:rsidR="006D5C16">
        <w:t xml:space="preserve">stávající </w:t>
      </w:r>
      <w:r w:rsidR="006D27D6">
        <w:t xml:space="preserve">právní úpravu </w:t>
      </w:r>
      <w:r w:rsidR="00D11703">
        <w:t xml:space="preserve">uplatňuje </w:t>
      </w:r>
      <w:r w:rsidR="00A61742">
        <w:t xml:space="preserve">nejen </w:t>
      </w:r>
      <w:r w:rsidR="00D11703" w:rsidRPr="00D11703">
        <w:t>v pracovněprávních oblastech</w:t>
      </w:r>
      <w:r w:rsidR="00D11703">
        <w:t xml:space="preserve">, </w:t>
      </w:r>
      <w:r w:rsidR="00A61742">
        <w:t xml:space="preserve">ale i </w:t>
      </w:r>
      <w:r w:rsidR="00D11703" w:rsidRPr="00D11703">
        <w:t>v přístup</w:t>
      </w:r>
      <w:r w:rsidR="00D754E9">
        <w:t xml:space="preserve">u ke </w:t>
      </w:r>
      <w:r w:rsidR="00D754E9">
        <w:lastRenderedPageBreak/>
        <w:t>službám určeným veřejnosti, vč. bydlení a přepravy.</w:t>
      </w:r>
      <w:r w:rsidR="00A77B80">
        <w:t xml:space="preserve"> </w:t>
      </w:r>
      <w:r w:rsidR="00A77B80" w:rsidRPr="00A77B80">
        <w:t xml:space="preserve">Vzhledem k tomu, že konkrétní potřeby osoby se </w:t>
      </w:r>
      <w:r w:rsidR="00A77B80">
        <w:t xml:space="preserve">ZP </w:t>
      </w:r>
      <w:r w:rsidR="00A77B80" w:rsidRPr="00A77B80">
        <w:t xml:space="preserve">se odvíjí jak od charakteru </w:t>
      </w:r>
      <w:r w:rsidR="007D6D31">
        <w:t xml:space="preserve">jejího </w:t>
      </w:r>
      <w:r w:rsidR="00A77B80">
        <w:t xml:space="preserve">zdravotního </w:t>
      </w:r>
      <w:r w:rsidR="00A77B80" w:rsidRPr="00A77B80">
        <w:t>postižení, tak od míry a</w:t>
      </w:r>
      <w:r w:rsidR="006D5C16">
        <w:t> </w:t>
      </w:r>
      <w:r w:rsidR="00A77B80" w:rsidRPr="00A77B80">
        <w:t xml:space="preserve">projevů </w:t>
      </w:r>
      <w:r w:rsidR="00A77B80">
        <w:t xml:space="preserve">tohoto </w:t>
      </w:r>
      <w:r w:rsidR="00A77B80" w:rsidRPr="00A77B80">
        <w:t xml:space="preserve">postižení, má, povinnost přijmout přiměřené opatření vždy individuální charakter. Podoba přiměřeného </w:t>
      </w:r>
      <w:r w:rsidR="00A77B80">
        <w:t xml:space="preserve">opatření </w:t>
      </w:r>
      <w:r w:rsidR="00A77B80" w:rsidRPr="00A77B80">
        <w:t xml:space="preserve">je tedy závislá na individuálních potřebách osoby se </w:t>
      </w:r>
      <w:r w:rsidR="00A77B80">
        <w:t xml:space="preserve">ZP </w:t>
      </w:r>
      <w:r w:rsidR="00A77B80" w:rsidRPr="00A77B80">
        <w:t xml:space="preserve">a na charakteru a možnostech osoby, jež má povinnost </w:t>
      </w:r>
      <w:r w:rsidR="00802A31">
        <w:t xml:space="preserve">toto </w:t>
      </w:r>
      <w:r w:rsidR="00A77B80" w:rsidRPr="00A77B80">
        <w:t>opatření přijmout.</w:t>
      </w:r>
    </w:p>
    <w:p w:rsidR="000F4BDD" w:rsidRPr="002C2FDD" w:rsidRDefault="006D27D6" w:rsidP="00E1664D">
      <w:pPr>
        <w:pStyle w:val="SingleTxtG"/>
      </w:pPr>
      <w:r>
        <w:t>2</w:t>
      </w:r>
      <w:r w:rsidR="0007087C">
        <w:t>6</w:t>
      </w:r>
      <w:r>
        <w:t>.</w:t>
      </w:r>
      <w:r>
        <w:tab/>
      </w:r>
      <w:r w:rsidR="00C82AE2">
        <w:t xml:space="preserve">Dne 12. března 2019 </w:t>
      </w:r>
      <w:r w:rsidR="00C82AE2" w:rsidRPr="00C82AE2">
        <w:t xml:space="preserve">předložila skupina poslanců </w:t>
      </w:r>
      <w:r w:rsidR="00C82AE2">
        <w:t xml:space="preserve">Poslanecké </w:t>
      </w:r>
      <w:r w:rsidR="00C82AE2" w:rsidRPr="00C82AE2">
        <w:t>sněmovn</w:t>
      </w:r>
      <w:r w:rsidR="00C82AE2">
        <w:t>y</w:t>
      </w:r>
      <w:r w:rsidR="00C82AE2" w:rsidRPr="00C82AE2">
        <w:t xml:space="preserve"> </w:t>
      </w:r>
      <w:r w:rsidR="00C82AE2">
        <w:t xml:space="preserve">Parlamentu ČR </w:t>
      </w:r>
      <w:r w:rsidR="00C82AE2" w:rsidRPr="00C82AE2">
        <w:t xml:space="preserve">návrh </w:t>
      </w:r>
      <w:r w:rsidR="00C82AE2">
        <w:t xml:space="preserve">novely antidiskriminačního </w:t>
      </w:r>
      <w:r w:rsidR="00C82AE2" w:rsidRPr="00C82AE2">
        <w:t>zákona</w:t>
      </w:r>
      <w:r w:rsidR="00C82AE2">
        <w:t xml:space="preserve"> (sněmovní tisk č. 424</w:t>
      </w:r>
      <w:r w:rsidR="001434CA">
        <w:t>/0</w:t>
      </w:r>
      <w:r w:rsidR="00C82AE2">
        <w:t xml:space="preserve">). </w:t>
      </w:r>
      <w:r w:rsidR="00E90D13">
        <w:t xml:space="preserve">Cílem tohoto </w:t>
      </w:r>
      <w:r w:rsidR="00E90D13" w:rsidRPr="00E90D13">
        <w:t>návrh</w:t>
      </w:r>
      <w:r w:rsidR="00E90D13">
        <w:t xml:space="preserve">u je zavést </w:t>
      </w:r>
      <w:r w:rsidR="00E90D13" w:rsidRPr="00E90D13">
        <w:t xml:space="preserve">do právního řádu </w:t>
      </w:r>
      <w:r w:rsidR="00E90D13">
        <w:t xml:space="preserve">ČR </w:t>
      </w:r>
      <w:r w:rsidR="00E90D13" w:rsidRPr="00E90D13">
        <w:t>možnost nevládních neziskových organizací zabývajících se ochranou práv obětí diskriminace podat tzv. veřejnou žalobu (</w:t>
      </w:r>
      <w:proofErr w:type="spellStart"/>
      <w:r w:rsidR="00E90D13" w:rsidRPr="00E90D13">
        <w:t>actio</w:t>
      </w:r>
      <w:proofErr w:type="spellEnd"/>
      <w:r w:rsidR="00E90D13" w:rsidRPr="00E90D13">
        <w:t xml:space="preserve"> </w:t>
      </w:r>
      <w:proofErr w:type="spellStart"/>
      <w:r w:rsidR="00E90D13" w:rsidRPr="00E90D13">
        <w:t>popularis</w:t>
      </w:r>
      <w:proofErr w:type="spellEnd"/>
      <w:r w:rsidR="00E90D13" w:rsidRPr="00E90D13">
        <w:t>) v oblasti diskriminace.</w:t>
      </w:r>
      <w:r w:rsidR="002C2FDD">
        <w:t xml:space="preserve"> </w:t>
      </w:r>
      <w:r w:rsidR="000F4BDD">
        <w:t>Ná</w:t>
      </w:r>
      <w:r w:rsidR="000F4BDD" w:rsidRPr="000F4BDD">
        <w:t xml:space="preserve">vrh </w:t>
      </w:r>
      <w:r w:rsidR="000F4BDD">
        <w:t xml:space="preserve">dále obsahuje i </w:t>
      </w:r>
      <w:r w:rsidR="000F4BDD" w:rsidRPr="000F4BDD">
        <w:t>rozšíř</w:t>
      </w:r>
      <w:r w:rsidR="000F4BDD">
        <w:t xml:space="preserve">ení </w:t>
      </w:r>
      <w:r w:rsidR="000F4BDD" w:rsidRPr="000F4BDD">
        <w:t>přesun</w:t>
      </w:r>
      <w:r w:rsidR="000F4BDD">
        <w:t>u</w:t>
      </w:r>
      <w:r w:rsidR="000F4BDD" w:rsidRPr="000F4BDD">
        <w:t xml:space="preserve"> důkazního břemene v antidiskriminačních sporech na všechny spory podle antidiskriminačního zákona, tj. ve všech oblastech diskriminace a u všech diskriminačních důvodů upravených tímto zákonem. Důvodem je neodůvodněné rozlišování mezi jednotlivými oblastmi a důvody diskriminace</w:t>
      </w:r>
      <w:r w:rsidR="000F4BDD">
        <w:t>.</w:t>
      </w:r>
      <w:r w:rsidR="000F4BDD" w:rsidRPr="000F4BDD">
        <w:t xml:space="preserve"> Všechny oběti diskriminace tak budou mít rovné šance na ochranu svých práv.</w:t>
      </w:r>
      <w:r w:rsidR="008E0559">
        <w:t xml:space="preserve"> Dne </w:t>
      </w:r>
      <w:r w:rsidR="008E0559" w:rsidRPr="008E0559">
        <w:t>8.</w:t>
      </w:r>
      <w:r w:rsidR="008E0559">
        <w:t> </w:t>
      </w:r>
      <w:r w:rsidR="008E0559" w:rsidRPr="008E0559">
        <w:t xml:space="preserve">dubna 2019 </w:t>
      </w:r>
      <w:r w:rsidR="00F66763">
        <w:t xml:space="preserve">projednala </w:t>
      </w:r>
      <w:r w:rsidR="008E0559">
        <w:t xml:space="preserve">uvedený poslanecký návrh </w:t>
      </w:r>
      <w:r w:rsidR="00F66763">
        <w:t xml:space="preserve">vláda ČR </w:t>
      </w:r>
      <w:r w:rsidR="008E0559" w:rsidRPr="008E0559">
        <w:t xml:space="preserve">a </w:t>
      </w:r>
      <w:r w:rsidR="00F66763">
        <w:t xml:space="preserve">zaujala k němu </w:t>
      </w:r>
      <w:r w:rsidR="008E0559">
        <w:t>neutrální stanovisko.</w:t>
      </w:r>
    </w:p>
    <w:p w:rsidR="00E90D13" w:rsidRPr="00524DAA" w:rsidRDefault="00E90D13" w:rsidP="001D4EF8">
      <w:pPr>
        <w:pStyle w:val="SingleTxtG"/>
      </w:pPr>
    </w:p>
    <w:p w:rsidR="00B30C3E" w:rsidRPr="00F445FB" w:rsidRDefault="00B30C3E" w:rsidP="00B30C3E">
      <w:pPr>
        <w:pStyle w:val="H1G"/>
      </w:pPr>
      <w:r w:rsidRPr="00524DAA">
        <w:tab/>
      </w:r>
      <w:r w:rsidRPr="00524DAA">
        <w:tab/>
        <w:t>Odpověď na otázku č. 5</w:t>
      </w:r>
      <w:r w:rsidR="006C6270" w:rsidRPr="00524DAA">
        <w:t xml:space="preserve"> a)</w:t>
      </w:r>
    </w:p>
    <w:p w:rsidR="00E9031A" w:rsidRPr="00F445FB" w:rsidRDefault="00DE10B0" w:rsidP="00074A14">
      <w:pPr>
        <w:pStyle w:val="SingleTxtG"/>
      </w:pPr>
      <w:r>
        <w:t>2</w:t>
      </w:r>
      <w:r w:rsidR="00445A7E">
        <w:t>7</w:t>
      </w:r>
      <w:r w:rsidR="0024315E" w:rsidRPr="00FC29B6">
        <w:t>.</w:t>
      </w:r>
      <w:r w:rsidR="00074A14">
        <w:rPr>
          <w:rFonts w:ascii="Arial" w:hAnsi="Arial"/>
        </w:rPr>
        <w:tab/>
      </w:r>
      <w:r w:rsidR="00951694" w:rsidRPr="00F445FB">
        <w:t>Národní plán obsahuje ř</w:t>
      </w:r>
      <w:r w:rsidR="00074A14" w:rsidRPr="00F445FB">
        <w:t>a</w:t>
      </w:r>
      <w:r w:rsidR="00951694" w:rsidRPr="00F445FB">
        <w:t xml:space="preserve">du </w:t>
      </w:r>
      <w:r w:rsidR="00074A14" w:rsidRPr="00F445FB">
        <w:t>opatření, která specificky zdůrazňují nutnost zohledňování potřeb žen se ZP, jako např.</w:t>
      </w:r>
    </w:p>
    <w:p w:rsidR="00951694" w:rsidRPr="00F445FB" w:rsidRDefault="00951694" w:rsidP="006C034C">
      <w:pPr>
        <w:pStyle w:val="SingleTxtG"/>
        <w:numPr>
          <w:ilvl w:val="0"/>
          <w:numId w:val="16"/>
        </w:numPr>
      </w:pPr>
      <w:r w:rsidRPr="00F445FB">
        <w:t xml:space="preserve">1.4 Při přijímání všech legislativních, organizačních a technických opatření, která se týkají života osob se </w:t>
      </w:r>
      <w:r w:rsidR="00BE0129" w:rsidRPr="00F445FB">
        <w:t>ZP</w:t>
      </w:r>
      <w:r w:rsidRPr="00F445FB">
        <w:t xml:space="preserve">, zajišťovat rovnoprávné </w:t>
      </w:r>
      <w:r w:rsidRPr="00F445FB">
        <w:tab/>
        <w:t>podmínky osobám ohroženým vícenásobnou diskriminací (zejména děti, ženy, senioři, příslušníci národnostních menšin) a spolupracovat se zástupci organizací osob se </w:t>
      </w:r>
      <w:r w:rsidR="00BE0129" w:rsidRPr="00F445FB">
        <w:t>ZP při jejich formulování.</w:t>
      </w:r>
    </w:p>
    <w:p w:rsidR="00B30C3E" w:rsidRDefault="00FC1D38" w:rsidP="006C034C">
      <w:pPr>
        <w:pStyle w:val="SingleTxtG"/>
        <w:numPr>
          <w:ilvl w:val="0"/>
          <w:numId w:val="16"/>
        </w:numPr>
      </w:pPr>
      <w:r w:rsidRPr="00FC1D38">
        <w:t>2.3</w:t>
      </w:r>
      <w:r>
        <w:t xml:space="preserve"> </w:t>
      </w:r>
      <w:r w:rsidRPr="00FC1D38">
        <w:t>Zvyšovat společenské a právní povědomí v oblasti zákazu diskriminace z důvodu zdravotního postižení či nepříznivého zdravotního stavu, zohledňovat také téma vícenásobné diskriminace (např. na základě pohlaví, věku), a to např. tiskem informačních materiálů, informováním veřejnos</w:t>
      </w:r>
      <w:r w:rsidR="00FC29B6">
        <w:t>ti prostřednictvím rozhlasových</w:t>
      </w:r>
      <w:r w:rsidR="00FC29B6">
        <w:br/>
      </w:r>
      <w:r w:rsidRPr="00FC1D38">
        <w:t>a televizních médií, pořádáním odborných seminářů, besed.</w:t>
      </w:r>
    </w:p>
    <w:p w:rsidR="00290296" w:rsidRDefault="000E2111" w:rsidP="006C034C">
      <w:pPr>
        <w:pStyle w:val="SingleTxtG"/>
        <w:numPr>
          <w:ilvl w:val="0"/>
          <w:numId w:val="16"/>
        </w:numPr>
      </w:pPr>
      <w:r w:rsidRPr="000E2111">
        <w:t xml:space="preserve">13.9 V návaznosti na opatření 13.8 zvýšit počet zaměstnaných osob se </w:t>
      </w:r>
      <w:r>
        <w:t xml:space="preserve">ZP </w:t>
      </w:r>
      <w:r w:rsidRPr="000E2111">
        <w:t xml:space="preserve">a předkládat informaci o vývoji zaměstnanosti osob se </w:t>
      </w:r>
      <w:r>
        <w:t xml:space="preserve">ZP </w:t>
      </w:r>
      <w:r w:rsidRPr="000E2111">
        <w:t>v jednotlivých re</w:t>
      </w:r>
      <w:r>
        <w:t>s</w:t>
      </w:r>
      <w:r w:rsidRPr="000E2111">
        <w:t>ortech (vč</w:t>
      </w:r>
      <w:r w:rsidR="00924454">
        <w:t>.</w:t>
      </w:r>
      <w:r w:rsidRPr="000E2111">
        <w:t xml:space="preserve"> členění dle pohlaví).</w:t>
      </w:r>
    </w:p>
    <w:p w:rsidR="000E2111" w:rsidRDefault="00930601" w:rsidP="006C034C">
      <w:pPr>
        <w:pStyle w:val="SingleTxtG"/>
        <w:numPr>
          <w:ilvl w:val="0"/>
          <w:numId w:val="16"/>
        </w:numPr>
      </w:pPr>
      <w:r w:rsidRPr="00930601">
        <w:t xml:space="preserve">15.3 Podporovat projekty zaměřené na zvýšení míry participace žen se </w:t>
      </w:r>
      <w:r>
        <w:t xml:space="preserve">ZP </w:t>
      </w:r>
      <w:r w:rsidRPr="00930601">
        <w:t>ve veřejném životě.</w:t>
      </w:r>
    </w:p>
    <w:p w:rsidR="0023164A" w:rsidRPr="00524DAA" w:rsidRDefault="0023164A" w:rsidP="001D4EF8">
      <w:pPr>
        <w:pStyle w:val="SingleTxtG"/>
      </w:pPr>
    </w:p>
    <w:p w:rsidR="00060515" w:rsidRPr="00F445FB" w:rsidRDefault="00060515" w:rsidP="00060515">
      <w:pPr>
        <w:pStyle w:val="H1G"/>
      </w:pPr>
      <w:r w:rsidRPr="00524DAA">
        <w:tab/>
      </w:r>
      <w:r w:rsidRPr="00524DAA">
        <w:tab/>
        <w:t>Odpověď na otázku č. 5 b)</w:t>
      </w:r>
    </w:p>
    <w:p w:rsidR="00D53D51" w:rsidRDefault="0024315E" w:rsidP="00D53D51">
      <w:pPr>
        <w:pStyle w:val="SingleTxtG"/>
      </w:pPr>
      <w:r>
        <w:t>2</w:t>
      </w:r>
      <w:r w:rsidR="00445A7E">
        <w:t>8</w:t>
      </w:r>
      <w:r>
        <w:t>.</w:t>
      </w:r>
      <w:r w:rsidR="00D53D51">
        <w:tab/>
        <w:t xml:space="preserve">Ženy se ZP jsou podporovány v projektech realizovaných v rámci </w:t>
      </w:r>
      <w:r w:rsidR="0083491F">
        <w:t>Operačního programu Zaměstnanost</w:t>
      </w:r>
      <w:r w:rsidR="0036283D">
        <w:t>,</w:t>
      </w:r>
      <w:r w:rsidR="0083491F">
        <w:t xml:space="preserve"> </w:t>
      </w:r>
      <w:r w:rsidR="0036283D">
        <w:t xml:space="preserve">financovaného z prostředků Evropského sociálního fondu </w:t>
      </w:r>
      <w:r w:rsidR="0083491F">
        <w:t>(dále jen „</w:t>
      </w:r>
      <w:r w:rsidR="00D53D51">
        <w:t>O</w:t>
      </w:r>
      <w:r w:rsidR="009203B4">
        <w:t>PZ</w:t>
      </w:r>
      <w:r w:rsidR="0083491F">
        <w:t>“)</w:t>
      </w:r>
      <w:r w:rsidR="00D53D51">
        <w:t>. Tyto projekty jsou zaměřeny na zlepšení pracovní uplatnitelnosti na volném trhu práce s tím, že takové zapojení může představovat pro účastn</w:t>
      </w:r>
      <w:r w:rsidR="0083491F">
        <w:t xml:space="preserve">ice </w:t>
      </w:r>
      <w:r w:rsidR="00D53D51">
        <w:t xml:space="preserve">i větší míru participace na veřejném životě. </w:t>
      </w:r>
      <w:r w:rsidR="00527C19">
        <w:t>V dané souvislosti l</w:t>
      </w:r>
      <w:r w:rsidR="00D53D51">
        <w:t xml:space="preserve">ze </w:t>
      </w:r>
      <w:r w:rsidR="00F33CBD">
        <w:t xml:space="preserve">uvést </w:t>
      </w:r>
      <w:r w:rsidR="00D53D51">
        <w:t>tyto iniciativy a</w:t>
      </w:r>
      <w:r w:rsidR="0083491F">
        <w:t> </w:t>
      </w:r>
      <w:r w:rsidR="00D53D51">
        <w:t>projekty:</w:t>
      </w:r>
    </w:p>
    <w:p w:rsidR="00D53D51" w:rsidRDefault="00D53D51" w:rsidP="0087275C">
      <w:pPr>
        <w:pStyle w:val="SingleTxtG"/>
        <w:numPr>
          <w:ilvl w:val="0"/>
          <w:numId w:val="13"/>
        </w:numPr>
      </w:pPr>
      <w:r>
        <w:t>Na podporu žen se ZP byl zahájen projekt „Podpora zaměstnanosti žen s onkologickým onemocněním“ o objemu 5 537 630 Kč, který realizuje Asociace obča</w:t>
      </w:r>
      <w:r w:rsidR="004A09C0">
        <w:t>nských poraden.</w:t>
      </w:r>
    </w:p>
    <w:p w:rsidR="00D53D51" w:rsidRDefault="00D53D51" w:rsidP="0087275C">
      <w:pPr>
        <w:pStyle w:val="SingleTxtG"/>
        <w:numPr>
          <w:ilvl w:val="0"/>
          <w:numId w:val="13"/>
        </w:numPr>
      </w:pPr>
      <w:r>
        <w:t xml:space="preserve">Ve výzvě č. 61 a 62 „Soutěžní projekty na podporu rovnosti žen a mužů v ČR mimo hl. město Prahu a v hl. městě Praze“ OPZ </w:t>
      </w:r>
      <w:r w:rsidR="00F73E61">
        <w:t xml:space="preserve">byly </w:t>
      </w:r>
      <w:r>
        <w:t xml:space="preserve">cílovou skupinou ženy ohrožené na trhu práce. </w:t>
      </w:r>
      <w:r w:rsidR="0018777D" w:rsidRPr="0018777D">
        <w:t xml:space="preserve">Mezi podporované aktivity patřily např. komplexní podpora vedoucí ke zlepšení postavení na trhu práce žen ve věku 55 a více let, žen ohrožených na trhu práce a osob pečujících o malé děti či jiné závislé osoby a podpora opatření vedoucích k odstranění projevů diskriminace na trhu práce na základě pohlaví. 3 projekty z této výzvy byly </w:t>
      </w:r>
      <w:r w:rsidR="0018777D" w:rsidRPr="0018777D">
        <w:lastRenderedPageBreak/>
        <w:t>zaměřeny na specifickou skupinu žen se ZP.</w:t>
      </w:r>
      <w:r>
        <w:t xml:space="preserve"> </w:t>
      </w:r>
      <w:r w:rsidR="00747C6F" w:rsidRPr="00747C6F">
        <w:t>Realizace projektů ve výzvách č. 61 a 62 byla ukončena v 1. pololetí 2019.</w:t>
      </w:r>
    </w:p>
    <w:p w:rsidR="00D53D51" w:rsidRDefault="00D53D51" w:rsidP="0087275C">
      <w:pPr>
        <w:pStyle w:val="SingleTxtG"/>
        <w:numPr>
          <w:ilvl w:val="0"/>
          <w:numId w:val="13"/>
        </w:numPr>
      </w:pPr>
      <w:r>
        <w:t>Cílem projektu „Natažená ruka ženám se ZP“ bylo napomoci k pracovní integraci 25 žen se ZP (Moravskoslezský kraj), ohrožených sociálním vyloučením a k odstranění bariér, které znesnadňují jejich rovnocenný vstup a udržení se na trhu práce. Projekt se zaměřuje na dílčí problémy, kterými jsou: uplatnění žen se ZP na trhu práce, nízké sebevědomí a neznalost svých práv a špatná orientace v aktuálních nabízených místech na trhu práce vhodných pro tuto kategorii, správné určení, na kterou profesní dráhu se vydat, jak podpořit svou kvalifikaci pro lepší uplatnění.</w:t>
      </w:r>
    </w:p>
    <w:p w:rsidR="00D53D51" w:rsidRDefault="00D53D51" w:rsidP="0087275C">
      <w:pPr>
        <w:pStyle w:val="SingleTxtG"/>
        <w:numPr>
          <w:ilvl w:val="0"/>
          <w:numId w:val="13"/>
        </w:numPr>
      </w:pPr>
      <w:r>
        <w:t xml:space="preserve">Hlavním cílem projektu „Věkem 55+ a zdravotním postižením nekončí pracovní kariéra“ bylo zvýšení zaměstnanosti žen se ZP ve věku 55+ v Moravskoslezském kraji, které jsou v evidenci Úřadu práce </w:t>
      </w:r>
      <w:r w:rsidR="00F41445">
        <w:t>Č</w:t>
      </w:r>
      <w:r w:rsidR="00171C11">
        <w:t>eské republiky (dále jen „ÚP Č</w:t>
      </w:r>
      <w:r>
        <w:t>R</w:t>
      </w:r>
      <w:r w:rsidR="00171C11">
        <w:t>“)</w:t>
      </w:r>
      <w:r>
        <w:t xml:space="preserve"> a které spadají mezi ne</w:t>
      </w:r>
      <w:r w:rsidR="00171C11">
        <w:t>j</w:t>
      </w:r>
      <w:r>
        <w:t xml:space="preserve">ohroženější cílovou skupinu v integraci na trh práce, dále propagace částečných a jiných flexibilních úvazků ve vybraném kraji a podpora rovných příležitostí při integraci na trh práce pro tuto cílovou skupinu. Projekt byl realizován Národní radou osob se ZP </w:t>
      </w:r>
      <w:r w:rsidR="00D5199A">
        <w:t xml:space="preserve">ČR </w:t>
      </w:r>
      <w:r>
        <w:t>ve spolupráci s pobočkami Ú</w:t>
      </w:r>
      <w:r w:rsidR="00171C11">
        <w:t xml:space="preserve">P </w:t>
      </w:r>
      <w:r>
        <w:t>ČR v Moravskoslezském kraji.</w:t>
      </w:r>
    </w:p>
    <w:p w:rsidR="00D53D51" w:rsidRDefault="00D53D51" w:rsidP="0087275C">
      <w:pPr>
        <w:pStyle w:val="SingleTxtG"/>
        <w:numPr>
          <w:ilvl w:val="0"/>
          <w:numId w:val="13"/>
        </w:numPr>
      </w:pPr>
      <w:r>
        <w:t>Projekt „Práce pro zdravotně znevýhodněné v Jihočeském kraji“ se zaměřil na komplexní podporu (motivace, aktivizace, cílené vzdělávání a individuální přístup) žen se zdravotním znevýhodněním směrem k přímému uplatnění na trhu práce a snížení rozdílů oproti mužům v obdobném postavení.</w:t>
      </w:r>
    </w:p>
    <w:p w:rsidR="00060515" w:rsidRPr="00524DAA" w:rsidRDefault="00060515" w:rsidP="001D4EF8">
      <w:pPr>
        <w:pStyle w:val="SingleTxtG"/>
      </w:pPr>
    </w:p>
    <w:p w:rsidR="00A37DEA" w:rsidRPr="00F445FB" w:rsidRDefault="00A37DEA" w:rsidP="00A37DEA">
      <w:pPr>
        <w:pStyle w:val="H1G"/>
      </w:pPr>
      <w:r w:rsidRPr="00524DAA">
        <w:tab/>
      </w:r>
      <w:r w:rsidRPr="00524DAA">
        <w:tab/>
        <w:t>Odpověď na otázku č. 6 a)</w:t>
      </w:r>
    </w:p>
    <w:p w:rsidR="00636718" w:rsidRPr="00524DAA" w:rsidRDefault="00BA5411" w:rsidP="00636718">
      <w:pPr>
        <w:pStyle w:val="SingleTxtG"/>
      </w:pPr>
      <w:r>
        <w:t>2</w:t>
      </w:r>
      <w:r w:rsidR="00445A7E">
        <w:t>9</w:t>
      </w:r>
      <w:r w:rsidR="0024315E">
        <w:t>.</w:t>
      </w:r>
      <w:r w:rsidR="00636718" w:rsidRPr="00524DAA">
        <w:tab/>
        <w:t>Na deinstitucionalizaci péče a rozvoj sítě služeb o děti se soustředí aktuální vládní dokument Národní strategie rozvoje sociálních služeb na období 2016–2025 (Oblast 1 deinstitucionalizace a transformace v oblasti sociálních služeb), jejímž cílem je snížit kapacity institucionální péče a rozvíjet síť terénních, ambulantních a nízkokapacitních pobytových služeb založených na komunitním principu. Opatření k optimalizaci systému péče o ohrožené děti jsou také součástí Národní strategie sociálního začleňování 2014 – 2020, a to v oblasti Podpora rodiny. Tato opat</w:t>
      </w:r>
      <w:r w:rsidR="00A942B0">
        <w:t>ření vedou k omezení počtu dětí</w:t>
      </w:r>
      <w:r w:rsidR="00A942B0">
        <w:br/>
      </w:r>
      <w:r w:rsidR="00636718" w:rsidRPr="00524DAA">
        <w:t>v institucionální péči, vč. dětí se ZP, dále ke zvýšení kval</w:t>
      </w:r>
      <w:r w:rsidR="00A942B0">
        <w:t>ity veřejnoprávní ochrany dětí,</w:t>
      </w:r>
      <w:r w:rsidR="00A942B0">
        <w:br/>
      </w:r>
      <w:r w:rsidR="00636718" w:rsidRPr="00524DAA">
        <w:t>k rozvoji sítě preventivně zaměřených nízkoprahových služeb pro ohrožené děti a jejich rodiny a k rozvoji náhradní rodinné péče (dále jen „NRP“).</w:t>
      </w:r>
    </w:p>
    <w:p w:rsidR="00636718" w:rsidRPr="00524DAA" w:rsidRDefault="00445A7E" w:rsidP="00636718">
      <w:pPr>
        <w:pStyle w:val="SingleTxtG"/>
      </w:pPr>
      <w:r>
        <w:t>30</w:t>
      </w:r>
      <w:r w:rsidR="0024315E">
        <w:t>.</w:t>
      </w:r>
      <w:r w:rsidR="00636718" w:rsidRPr="00524DAA">
        <w:tab/>
        <w:t xml:space="preserve">Důležitou oblastí </w:t>
      </w:r>
      <w:r w:rsidR="00192E54" w:rsidRPr="00524DAA">
        <w:t xml:space="preserve">péče o děti </w:t>
      </w:r>
      <w:r w:rsidR="00636718" w:rsidRPr="00524DAA">
        <w:t xml:space="preserve">je z hlediska deinstitucionalizace podpora NRP, o jejíž rozvoj ČR usiluje, neboť je vhodnou alternativou péče o ty děti (vč. dětí se ZP), které nemohou dočasně nebo trvale vyrůstat ve vlastní rodině. K profesionalizaci pěstounské péče přispěly </w:t>
      </w:r>
      <w:r w:rsidR="00B85AFD">
        <w:t xml:space="preserve">změny </w:t>
      </w:r>
      <w:r w:rsidR="00636718" w:rsidRPr="00524DAA">
        <w:t xml:space="preserve">právní úpravy </w:t>
      </w:r>
      <w:r w:rsidR="00B85AFD">
        <w:t xml:space="preserve">účinné </w:t>
      </w:r>
      <w:r w:rsidR="00A942B0">
        <w:t>od roku 2013</w:t>
      </w:r>
      <w:r w:rsidR="00636718" w:rsidRPr="00524DAA">
        <w:t>, které se soustředily na úpravu obsahu a rozsahu příprav žadatelů o výkon pěstounské péče, hmotného zabezpečení pěstounů, ukotvení práv a povinností pěstounů, vytvoření podmínek pro vznik a rozvoj podpůrných služeb pro pěstounské rodiny, zavedení státního příspěvku pro doprovázející organizace pěstounů, kt</w:t>
      </w:r>
      <w:r w:rsidR="00CA67EE" w:rsidRPr="00524DAA">
        <w:t>eré podporu pěstounů zajišťují.</w:t>
      </w:r>
    </w:p>
    <w:p w:rsidR="00636718" w:rsidRPr="00524DAA" w:rsidRDefault="0024315E" w:rsidP="00636718">
      <w:pPr>
        <w:pStyle w:val="SingleTxtG"/>
      </w:pPr>
      <w:r>
        <w:t>3</w:t>
      </w:r>
      <w:r w:rsidR="00445A7E">
        <w:t>1</w:t>
      </w:r>
      <w:r>
        <w:t>.</w:t>
      </w:r>
      <w:r w:rsidR="00636718" w:rsidRPr="00524DAA">
        <w:tab/>
        <w:t xml:space="preserve">Na rozšíření a profesionalizaci NRP se zaměřovala </w:t>
      </w:r>
      <w:r w:rsidR="006F356E">
        <w:t>i</w:t>
      </w:r>
      <w:r w:rsidR="00636718" w:rsidRPr="00524DAA">
        <w:t xml:space="preserve"> jedna z</w:t>
      </w:r>
      <w:r w:rsidR="00271791">
        <w:t xml:space="preserve"> klíčových </w:t>
      </w:r>
      <w:r w:rsidR="00636718" w:rsidRPr="00524DAA">
        <w:t xml:space="preserve">aktivit </w:t>
      </w:r>
      <w:r w:rsidR="00271791">
        <w:t xml:space="preserve">(dále jen „KA“) </w:t>
      </w:r>
      <w:r w:rsidR="00A9097C" w:rsidRPr="00A9097C">
        <w:t>individuální</w:t>
      </w:r>
      <w:r w:rsidR="00A9097C">
        <w:t>ho</w:t>
      </w:r>
      <w:r w:rsidR="00A9097C" w:rsidRPr="00A9097C">
        <w:t xml:space="preserve"> projekt</w:t>
      </w:r>
      <w:r w:rsidR="00A9097C">
        <w:t>u</w:t>
      </w:r>
      <w:r w:rsidR="00A9097C" w:rsidRPr="00A9097C">
        <w:t xml:space="preserve"> </w:t>
      </w:r>
      <w:r w:rsidR="00A9097C">
        <w:t xml:space="preserve">MPSV </w:t>
      </w:r>
      <w:r w:rsidR="00A9097C" w:rsidRPr="00A9097C">
        <w:t>„Systémový rozvoj a podpora nástrojů sociálně</w:t>
      </w:r>
      <w:r w:rsidR="00A9097C">
        <w:noBreakHyphen/>
      </w:r>
      <w:r w:rsidR="00A9097C" w:rsidRPr="00A9097C">
        <w:t>právní ochrany“</w:t>
      </w:r>
      <w:r w:rsidR="00636718" w:rsidRPr="00524DAA">
        <w:t>, a to aktivita KA č. 4 Rozvoj náhradní rodinné péče, která byla realizovaná na území 8 ze 14 krajů ČR. V rámci ní byla zpracována řada analýz, na základě nichž byly navrženy systémové změny k optimalizaci procesu zprostředkování NRP, jehož součástí je i odborné posouzení zájemců a jejich předpokladů pro přijetí dítěte do NRP, a</w:t>
      </w:r>
      <w:r w:rsidR="000B693F">
        <w:t> </w:t>
      </w:r>
      <w:r w:rsidR="00636718" w:rsidRPr="00524DAA">
        <w:t>také příprava těchto zájemců na výkon NRP (aktivita se soustředila i na zkvalitnění příprav z hlediska přípravy náhradních rodičů na péči o dítě se ZP). Z hlediska zajištění NRP pro děti se ZP, které s ohledem na náročnost péče patří bohužel do skupiny dětí s</w:t>
      </w:r>
      <w:r w:rsidR="000B693F">
        <w:t> </w:t>
      </w:r>
      <w:r w:rsidR="00636718" w:rsidRPr="00524DAA">
        <w:t>nižšími šancemi na zprostředkování péče v náhradní rodině, byla velice důležitá aktivita ke zvýšení počtu pěstounských rodin pečujících o děti se specifickými potřebami a</w:t>
      </w:r>
      <w:r w:rsidR="000B693F">
        <w:t> </w:t>
      </w:r>
      <w:r w:rsidR="00636718" w:rsidRPr="00524DAA">
        <w:t>k</w:t>
      </w:r>
      <w:r w:rsidR="000B693F">
        <w:t> </w:t>
      </w:r>
      <w:r w:rsidR="00636718" w:rsidRPr="00524DAA">
        <w:t>zajištění jejich intenzivnější podpory. Její součástí byla i tvorba strategie kampaně zaměřené na oslovování zájemců o NRP, zejména těch, kteří by přijali do péče dítě se</w:t>
      </w:r>
      <w:r w:rsidR="000B693F">
        <w:t> </w:t>
      </w:r>
      <w:r w:rsidR="00636718" w:rsidRPr="00524DAA">
        <w:t xml:space="preserve">specifickými potřebami (tj. i </w:t>
      </w:r>
      <w:r w:rsidR="00636718" w:rsidRPr="00524DAA">
        <w:lastRenderedPageBreak/>
        <w:t>dítě se ZP). V roce 2019 byla tato kampaň zrealizována pod názvem „Buď IN pěstoun“. Kampaně zaměřené na nábor nových pěstounů realizují i</w:t>
      </w:r>
      <w:r w:rsidR="000B693F">
        <w:t> </w:t>
      </w:r>
      <w:r w:rsidR="00636718" w:rsidRPr="00524DAA">
        <w:t>krajské úřady v rámci svých projektů (kraje se v ČR podílejí na zprostředkování NRP, odpovídají za odborné posouzení zájemců o NRP a výběr vhodných náhradních rodičů pro konkrétní děti).</w:t>
      </w:r>
    </w:p>
    <w:p w:rsidR="00B33B6F" w:rsidRDefault="0024315E" w:rsidP="00B33B6F">
      <w:pPr>
        <w:pStyle w:val="SingleTxtG"/>
      </w:pPr>
      <w:r>
        <w:t>3</w:t>
      </w:r>
      <w:r w:rsidR="00445A7E">
        <w:t>2</w:t>
      </w:r>
      <w:r>
        <w:t>.</w:t>
      </w:r>
      <w:r w:rsidR="00636718" w:rsidRPr="00524DAA">
        <w:tab/>
        <w:t>Všechny doposud provedené změny v oblasti NRP postupně přispěly ke snižování počtu dětí v institucionální péči (od roku 2011 pokles o 22</w:t>
      </w:r>
      <w:r w:rsidR="00CA67EE" w:rsidRPr="00524DAA">
        <w:t> </w:t>
      </w:r>
      <w:r w:rsidR="00636718" w:rsidRPr="00524DAA">
        <w:t>%) a ke zvýšení počtu dětí svěřených do NRP (viz následující tabulka). V ČR došlo od roku 2011 k nárůstu počtu dětí umístěných do NRP (cca o 26</w:t>
      </w:r>
      <w:r w:rsidR="00CA67EE" w:rsidRPr="00524DAA">
        <w:t> </w:t>
      </w:r>
      <w:r w:rsidR="00636718" w:rsidRPr="00524DAA">
        <w:t>%).</w:t>
      </w:r>
    </w:p>
    <w:p w:rsidR="00B33B6F" w:rsidRDefault="00B33B6F" w:rsidP="00B33B6F">
      <w:pPr>
        <w:pStyle w:val="SingleTxtG"/>
      </w:pPr>
    </w:p>
    <w:p w:rsidR="00636718" w:rsidRPr="00524DAA" w:rsidRDefault="00636718" w:rsidP="00B33B6F">
      <w:pPr>
        <w:pStyle w:val="SingleTxtG"/>
        <w:ind w:left="0"/>
      </w:pPr>
      <w:r w:rsidRPr="00524DAA">
        <w:t xml:space="preserve">Počet dětí umístěných v NRP v letech </w:t>
      </w:r>
      <w:proofErr w:type="gramStart"/>
      <w:r w:rsidRPr="00524DAA">
        <w:t>2011 - 201</w:t>
      </w:r>
      <w:r w:rsidR="0007087C">
        <w:t>9</w:t>
      </w:r>
      <w:proofErr w:type="gramEnd"/>
    </w:p>
    <w:tbl>
      <w:tblPr>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8"/>
        <w:gridCol w:w="1418"/>
        <w:gridCol w:w="1702"/>
        <w:gridCol w:w="1843"/>
        <w:gridCol w:w="1702"/>
        <w:gridCol w:w="1702"/>
      </w:tblGrid>
      <w:tr w:rsidR="00636718" w:rsidRPr="00524DAA" w:rsidTr="00B33B6F">
        <w:trPr>
          <w:trHeight w:val="759"/>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36718" w:rsidRPr="00524DAA" w:rsidRDefault="00636718">
            <w:pPr>
              <w:suppressAutoHyphens w:val="0"/>
              <w:spacing w:line="240" w:lineRule="auto"/>
              <w:rPr>
                <w:lang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jc w:val="center"/>
              <w:rPr>
                <w:rFonts w:cstheme="minorHAnsi"/>
                <w:b/>
                <w:color w:val="000000"/>
                <w:szCs w:val="22"/>
              </w:rPr>
            </w:pPr>
            <w:r w:rsidRPr="00524DAA">
              <w:rPr>
                <w:rFonts w:cstheme="minorHAnsi"/>
                <w:b/>
                <w:color w:val="000000"/>
              </w:rPr>
              <w:t>Pěstounská péče</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jc w:val="center"/>
              <w:rPr>
                <w:rFonts w:cstheme="minorHAnsi"/>
                <w:b/>
                <w:color w:val="000000"/>
                <w:szCs w:val="22"/>
              </w:rPr>
            </w:pPr>
            <w:r w:rsidRPr="00524DAA">
              <w:rPr>
                <w:rFonts w:cstheme="minorHAnsi"/>
                <w:b/>
                <w:color w:val="000000"/>
              </w:rPr>
              <w:t>Pěstounská péče na přechodnou dobu</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jc w:val="center"/>
              <w:rPr>
                <w:rFonts w:cstheme="minorHAnsi"/>
                <w:b/>
                <w:color w:val="000000"/>
                <w:szCs w:val="22"/>
              </w:rPr>
            </w:pPr>
            <w:r w:rsidRPr="00524DAA">
              <w:rPr>
                <w:rFonts w:cstheme="minorHAnsi"/>
                <w:b/>
                <w:color w:val="000000"/>
              </w:rPr>
              <w:t>Poručenství s osobní péčí poručníka</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jc w:val="center"/>
              <w:rPr>
                <w:rFonts w:cstheme="minorHAnsi"/>
                <w:b/>
                <w:color w:val="000000"/>
                <w:szCs w:val="22"/>
              </w:rPr>
            </w:pPr>
            <w:r w:rsidRPr="00524DAA">
              <w:rPr>
                <w:rFonts w:cstheme="minorHAnsi"/>
                <w:b/>
                <w:color w:val="000000"/>
              </w:rPr>
              <w:t>Svěření dítěte do péče jiné osoby</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jc w:val="center"/>
              <w:rPr>
                <w:rFonts w:cstheme="minorHAnsi"/>
                <w:b/>
                <w:color w:val="000000"/>
                <w:szCs w:val="22"/>
              </w:rPr>
            </w:pPr>
            <w:r w:rsidRPr="00524DAA">
              <w:rPr>
                <w:rFonts w:cstheme="minorHAnsi"/>
                <w:b/>
                <w:color w:val="000000"/>
              </w:rPr>
              <w:t>Celkem dětí v NRP</w:t>
            </w:r>
          </w:p>
        </w:tc>
      </w:tr>
      <w:tr w:rsidR="00636718" w:rsidRPr="00524DAA" w:rsidTr="00B33B6F">
        <w:trPr>
          <w:trHeight w:val="300"/>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36718" w:rsidRPr="00524DAA" w:rsidRDefault="00636718">
            <w:pPr>
              <w:spacing w:line="240" w:lineRule="auto"/>
              <w:rPr>
                <w:rFonts w:cstheme="minorHAnsi"/>
                <w:b/>
                <w:color w:val="000000"/>
                <w:szCs w:val="22"/>
              </w:rPr>
            </w:pPr>
            <w:r w:rsidRPr="00524DAA">
              <w:rPr>
                <w:rFonts w:cstheme="minorHAnsi"/>
                <w:b/>
                <w:color w:val="000000"/>
              </w:rPr>
              <w:t>2011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7170</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1</w:t>
            </w:r>
          </w:p>
        </w:tc>
        <w:tc>
          <w:tcPr>
            <w:tcW w:w="184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2648</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4738</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b/>
                <w:color w:val="000000"/>
                <w:szCs w:val="22"/>
              </w:rPr>
            </w:pPr>
            <w:r w:rsidRPr="00524DAA">
              <w:rPr>
                <w:rFonts w:cstheme="minorHAnsi"/>
                <w:b/>
                <w:color w:val="000000"/>
              </w:rPr>
              <w:t>14557</w:t>
            </w:r>
          </w:p>
        </w:tc>
      </w:tr>
      <w:tr w:rsidR="00636718" w:rsidRPr="00524DAA" w:rsidTr="00B33B6F">
        <w:trPr>
          <w:trHeight w:val="150"/>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Cs w:val="22"/>
              </w:rPr>
            </w:pPr>
            <w:r w:rsidRPr="00524DAA">
              <w:rPr>
                <w:rFonts w:cstheme="minorHAnsi"/>
                <w:b/>
                <w:color w:val="000000"/>
              </w:rPr>
              <w:t>2012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7448</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15</w:t>
            </w:r>
          </w:p>
        </w:tc>
        <w:tc>
          <w:tcPr>
            <w:tcW w:w="184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2766</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4941</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b/>
                <w:color w:val="000000"/>
                <w:szCs w:val="22"/>
              </w:rPr>
            </w:pPr>
            <w:r w:rsidRPr="00524DAA">
              <w:rPr>
                <w:rFonts w:cstheme="minorHAnsi"/>
                <w:b/>
                <w:color w:val="000000"/>
              </w:rPr>
              <w:t>15170</w:t>
            </w:r>
          </w:p>
        </w:tc>
      </w:tr>
      <w:tr w:rsidR="00636718" w:rsidRPr="00524DAA" w:rsidTr="00B33B6F">
        <w:trPr>
          <w:trHeight w:val="272"/>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Cs w:val="22"/>
              </w:rPr>
            </w:pPr>
            <w:r w:rsidRPr="00524DAA">
              <w:rPr>
                <w:rFonts w:cstheme="minorHAnsi"/>
                <w:b/>
                <w:color w:val="000000"/>
              </w:rPr>
              <w:t>2013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7595</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33</w:t>
            </w:r>
          </w:p>
        </w:tc>
        <w:tc>
          <w:tcPr>
            <w:tcW w:w="184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2764</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4901</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b/>
                <w:color w:val="000000"/>
                <w:szCs w:val="22"/>
              </w:rPr>
            </w:pPr>
            <w:r w:rsidRPr="00524DAA">
              <w:rPr>
                <w:rFonts w:cstheme="minorHAnsi"/>
                <w:b/>
                <w:color w:val="000000"/>
              </w:rPr>
              <w:t>15293</w:t>
            </w:r>
          </w:p>
        </w:tc>
      </w:tr>
      <w:tr w:rsidR="00636718" w:rsidRPr="00524DAA" w:rsidTr="00B33B6F">
        <w:trPr>
          <w:trHeight w:val="276"/>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Cs w:val="22"/>
              </w:rPr>
            </w:pPr>
            <w:r w:rsidRPr="00524DAA">
              <w:rPr>
                <w:rFonts w:cstheme="minorHAnsi"/>
                <w:b/>
                <w:color w:val="000000"/>
              </w:rPr>
              <w:t>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9771</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302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3005</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4452</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b/>
                <w:color w:val="000000"/>
                <w:szCs w:val="22"/>
              </w:rPr>
            </w:pPr>
            <w:r w:rsidRPr="00524DAA">
              <w:rPr>
                <w:rFonts w:cstheme="minorHAnsi"/>
                <w:b/>
                <w:color w:val="000000"/>
              </w:rPr>
              <w:t>17530</w:t>
            </w:r>
          </w:p>
        </w:tc>
      </w:tr>
      <w:tr w:rsidR="00636718" w:rsidRPr="00524DAA" w:rsidTr="00B33B6F">
        <w:trPr>
          <w:trHeight w:val="266"/>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Cs w:val="22"/>
              </w:rPr>
            </w:pPr>
            <w:r w:rsidRPr="00524DAA">
              <w:rPr>
                <w:rFonts w:cstheme="minorHAnsi"/>
                <w:b/>
                <w:color w:val="000000"/>
              </w:rPr>
              <w:t>2015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10380</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543</w:t>
            </w:r>
          </w:p>
        </w:tc>
        <w:tc>
          <w:tcPr>
            <w:tcW w:w="184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3076</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4152</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b/>
                <w:color w:val="000000"/>
                <w:szCs w:val="22"/>
              </w:rPr>
            </w:pPr>
            <w:r w:rsidRPr="00524DAA">
              <w:rPr>
                <w:rFonts w:cstheme="minorHAnsi"/>
                <w:b/>
                <w:color w:val="000000"/>
              </w:rPr>
              <w:t>18151</w:t>
            </w:r>
          </w:p>
        </w:tc>
      </w:tr>
      <w:tr w:rsidR="00636718" w:rsidRPr="00524DAA" w:rsidTr="00B33B6F">
        <w:trPr>
          <w:trHeight w:val="271"/>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Cs w:val="22"/>
              </w:rPr>
            </w:pPr>
            <w:r w:rsidRPr="00524DAA">
              <w:rPr>
                <w:rFonts w:cstheme="minorHAnsi"/>
                <w:b/>
                <w:color w:val="000000"/>
              </w:rPr>
              <w:t>2016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10922</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540</w:t>
            </w:r>
          </w:p>
        </w:tc>
        <w:tc>
          <w:tcPr>
            <w:tcW w:w="184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3013</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4161</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b/>
                <w:color w:val="000000"/>
                <w:szCs w:val="22"/>
              </w:rPr>
            </w:pPr>
            <w:r w:rsidRPr="00524DAA">
              <w:rPr>
                <w:rFonts w:cstheme="minorHAnsi"/>
                <w:b/>
                <w:color w:val="000000"/>
              </w:rPr>
              <w:t>18363</w:t>
            </w:r>
          </w:p>
        </w:tc>
      </w:tr>
      <w:tr w:rsidR="00636718" w:rsidRPr="00524DAA" w:rsidTr="00B33B6F">
        <w:trPr>
          <w:trHeight w:val="271"/>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Cs w:val="22"/>
              </w:rPr>
            </w:pPr>
            <w:r w:rsidRPr="00524DAA">
              <w:rPr>
                <w:rFonts w:cstheme="minorHAnsi"/>
                <w:b/>
                <w:color w:val="000000"/>
              </w:rPr>
              <w:t>2017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11362</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605</w:t>
            </w:r>
          </w:p>
        </w:tc>
        <w:tc>
          <w:tcPr>
            <w:tcW w:w="184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3032</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4263</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b/>
                <w:color w:val="000000"/>
                <w:szCs w:val="22"/>
              </w:rPr>
            </w:pPr>
            <w:r w:rsidRPr="00524DAA">
              <w:rPr>
                <w:rFonts w:cstheme="minorHAnsi"/>
                <w:b/>
                <w:color w:val="000000"/>
              </w:rPr>
              <w:t>19262</w:t>
            </w:r>
          </w:p>
        </w:tc>
      </w:tr>
      <w:tr w:rsidR="00636718" w:rsidRPr="00524DAA" w:rsidTr="00B33B6F">
        <w:trPr>
          <w:trHeight w:val="271"/>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Cs w:val="22"/>
              </w:rPr>
            </w:pPr>
            <w:r w:rsidRPr="00524DAA">
              <w:rPr>
                <w:rFonts w:cstheme="minorHAnsi"/>
                <w:b/>
                <w:color w:val="000000"/>
              </w:rPr>
              <w:t>2018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11643</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528</w:t>
            </w:r>
          </w:p>
        </w:tc>
        <w:tc>
          <w:tcPr>
            <w:tcW w:w="184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3098</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Cs w:val="22"/>
              </w:rPr>
            </w:pPr>
            <w:r w:rsidRPr="00524DAA">
              <w:rPr>
                <w:rFonts w:cstheme="minorHAnsi"/>
                <w:color w:val="000000"/>
              </w:rPr>
              <w:t>4357</w:t>
            </w:r>
          </w:p>
        </w:tc>
        <w:tc>
          <w:tcPr>
            <w:tcW w:w="170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b/>
                <w:color w:val="000000"/>
                <w:szCs w:val="22"/>
              </w:rPr>
            </w:pPr>
            <w:r w:rsidRPr="00524DAA">
              <w:rPr>
                <w:rFonts w:cstheme="minorHAnsi"/>
                <w:b/>
                <w:color w:val="000000"/>
              </w:rPr>
              <w:t>19626</w:t>
            </w:r>
          </w:p>
        </w:tc>
      </w:tr>
      <w:tr w:rsidR="00B33B6F" w:rsidRPr="00524DAA" w:rsidTr="00B33B6F">
        <w:trPr>
          <w:trHeight w:val="271"/>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33B6F" w:rsidRPr="00524DAA" w:rsidRDefault="00B33B6F" w:rsidP="00B403B0">
            <w:pPr>
              <w:spacing w:line="240" w:lineRule="auto"/>
              <w:rPr>
                <w:rFonts w:cstheme="minorHAnsi"/>
                <w:b/>
                <w:color w:val="000000"/>
              </w:rPr>
            </w:pPr>
            <w:r>
              <w:rPr>
                <w:rFonts w:cstheme="minorHAnsi"/>
                <w:b/>
                <w:color w:val="000000"/>
              </w:rPr>
              <w:t>2019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B33B6F" w:rsidRPr="00524DAA" w:rsidRDefault="00B33B6F" w:rsidP="00B403B0">
            <w:pPr>
              <w:spacing w:line="240" w:lineRule="auto"/>
              <w:jc w:val="center"/>
              <w:rPr>
                <w:rFonts w:cstheme="minorHAnsi"/>
                <w:color w:val="000000"/>
              </w:rPr>
            </w:pPr>
            <w:r>
              <w:rPr>
                <w:rFonts w:cstheme="minorHAnsi"/>
                <w:color w:val="000000"/>
              </w:rPr>
              <w:t>11931</w:t>
            </w:r>
          </w:p>
        </w:tc>
        <w:tc>
          <w:tcPr>
            <w:tcW w:w="1702" w:type="dxa"/>
            <w:tcBorders>
              <w:top w:val="single" w:sz="4" w:space="0" w:color="auto"/>
              <w:left w:val="single" w:sz="4" w:space="0" w:color="auto"/>
              <w:bottom w:val="single" w:sz="4" w:space="0" w:color="auto"/>
              <w:right w:val="single" w:sz="4" w:space="0" w:color="auto"/>
            </w:tcBorders>
            <w:vAlign w:val="bottom"/>
            <w:hideMark/>
          </w:tcPr>
          <w:p w:rsidR="00B33B6F" w:rsidRPr="00524DAA" w:rsidRDefault="00B33B6F" w:rsidP="00B403B0">
            <w:pPr>
              <w:spacing w:line="240" w:lineRule="auto"/>
              <w:jc w:val="center"/>
              <w:rPr>
                <w:rFonts w:cstheme="minorHAnsi"/>
                <w:color w:val="000000"/>
              </w:rPr>
            </w:pPr>
            <w:r>
              <w:rPr>
                <w:rFonts w:cstheme="minorHAnsi"/>
                <w:color w:val="000000"/>
              </w:rPr>
              <w:t>591</w:t>
            </w:r>
          </w:p>
        </w:tc>
        <w:tc>
          <w:tcPr>
            <w:tcW w:w="1843" w:type="dxa"/>
            <w:tcBorders>
              <w:top w:val="single" w:sz="4" w:space="0" w:color="auto"/>
              <w:left w:val="single" w:sz="4" w:space="0" w:color="auto"/>
              <w:bottom w:val="single" w:sz="4" w:space="0" w:color="auto"/>
              <w:right w:val="single" w:sz="4" w:space="0" w:color="auto"/>
            </w:tcBorders>
            <w:vAlign w:val="bottom"/>
            <w:hideMark/>
          </w:tcPr>
          <w:p w:rsidR="00B33B6F" w:rsidRPr="00524DAA" w:rsidRDefault="00B33B6F" w:rsidP="00B403B0">
            <w:pPr>
              <w:spacing w:line="240" w:lineRule="auto"/>
              <w:jc w:val="center"/>
              <w:rPr>
                <w:rFonts w:cstheme="minorHAnsi"/>
                <w:color w:val="000000"/>
              </w:rPr>
            </w:pPr>
            <w:r>
              <w:rPr>
                <w:rFonts w:cstheme="minorHAnsi"/>
                <w:color w:val="000000"/>
              </w:rPr>
              <w:t>3136</w:t>
            </w:r>
          </w:p>
        </w:tc>
        <w:tc>
          <w:tcPr>
            <w:tcW w:w="1702" w:type="dxa"/>
            <w:tcBorders>
              <w:top w:val="single" w:sz="4" w:space="0" w:color="auto"/>
              <w:left w:val="single" w:sz="4" w:space="0" w:color="auto"/>
              <w:bottom w:val="single" w:sz="4" w:space="0" w:color="auto"/>
              <w:right w:val="single" w:sz="4" w:space="0" w:color="auto"/>
            </w:tcBorders>
            <w:vAlign w:val="bottom"/>
            <w:hideMark/>
          </w:tcPr>
          <w:p w:rsidR="00B33B6F" w:rsidRPr="00524DAA" w:rsidRDefault="00B33B6F" w:rsidP="00B403B0">
            <w:pPr>
              <w:spacing w:line="240" w:lineRule="auto"/>
              <w:jc w:val="center"/>
              <w:rPr>
                <w:rFonts w:cstheme="minorHAnsi"/>
                <w:color w:val="000000"/>
              </w:rPr>
            </w:pPr>
            <w:r>
              <w:rPr>
                <w:rFonts w:cstheme="minorHAnsi"/>
                <w:color w:val="000000"/>
              </w:rPr>
              <w:t>4637</w:t>
            </w:r>
          </w:p>
        </w:tc>
        <w:tc>
          <w:tcPr>
            <w:tcW w:w="1702" w:type="dxa"/>
            <w:tcBorders>
              <w:top w:val="single" w:sz="4" w:space="0" w:color="auto"/>
              <w:left w:val="single" w:sz="4" w:space="0" w:color="auto"/>
              <w:bottom w:val="single" w:sz="4" w:space="0" w:color="auto"/>
              <w:right w:val="single" w:sz="4" w:space="0" w:color="auto"/>
            </w:tcBorders>
            <w:vAlign w:val="bottom"/>
            <w:hideMark/>
          </w:tcPr>
          <w:p w:rsidR="00B33B6F" w:rsidRPr="00524DAA" w:rsidRDefault="00B33B6F" w:rsidP="00B403B0">
            <w:pPr>
              <w:spacing w:line="240" w:lineRule="auto"/>
              <w:jc w:val="center"/>
              <w:rPr>
                <w:rFonts w:cstheme="minorHAnsi"/>
                <w:b/>
                <w:color w:val="000000"/>
              </w:rPr>
            </w:pPr>
            <w:r>
              <w:rPr>
                <w:rFonts w:cstheme="minorHAnsi"/>
                <w:b/>
                <w:color w:val="000000"/>
              </w:rPr>
              <w:t>20295</w:t>
            </w:r>
          </w:p>
        </w:tc>
      </w:tr>
    </w:tbl>
    <w:p w:rsidR="00636718" w:rsidRDefault="0007087C" w:rsidP="00636718">
      <w:pPr>
        <w:pStyle w:val="SingleTxtG"/>
      </w:pPr>
      <w:r>
        <w:t>* Zdroj: MPSV</w:t>
      </w:r>
    </w:p>
    <w:p w:rsidR="0007087C" w:rsidRPr="00524DAA" w:rsidRDefault="0007087C" w:rsidP="00636718">
      <w:pPr>
        <w:pStyle w:val="SingleTxtG"/>
      </w:pPr>
    </w:p>
    <w:p w:rsidR="00636718" w:rsidRPr="00524DAA" w:rsidRDefault="00636718" w:rsidP="00636718">
      <w:pPr>
        <w:pStyle w:val="SingleTxtG"/>
        <w:ind w:left="0"/>
      </w:pPr>
      <w:r w:rsidRPr="00524DAA">
        <w:t>Po</w:t>
      </w:r>
      <w:r w:rsidR="0084470A" w:rsidRPr="00524DAA">
        <w:t>čet dětí se ZP svěřených do NRP</w:t>
      </w:r>
    </w:p>
    <w:tbl>
      <w:tblPr>
        <w:tblW w:w="89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8"/>
        <w:gridCol w:w="1417"/>
        <w:gridCol w:w="1841"/>
        <w:gridCol w:w="1842"/>
        <w:gridCol w:w="1633"/>
        <w:gridCol w:w="1559"/>
      </w:tblGrid>
      <w:tr w:rsidR="00636718" w:rsidRPr="00524DAA" w:rsidTr="00B33B6F">
        <w:trPr>
          <w:trHeight w:val="715"/>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36718" w:rsidRPr="00524DAA" w:rsidRDefault="00636718">
            <w:pPr>
              <w:suppressAutoHyphens w:val="0"/>
              <w:spacing w:line="240" w:lineRule="auto"/>
              <w:rPr>
                <w:lang w:eastAsia="fr-FR"/>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jc w:val="center"/>
              <w:rPr>
                <w:rFonts w:cstheme="minorHAnsi"/>
                <w:b/>
                <w:color w:val="000000"/>
                <w:sz w:val="22"/>
                <w:szCs w:val="22"/>
              </w:rPr>
            </w:pPr>
            <w:r w:rsidRPr="00524DAA">
              <w:rPr>
                <w:rFonts w:cstheme="minorHAnsi"/>
                <w:b/>
                <w:color w:val="000000"/>
              </w:rPr>
              <w:t>Pěstounská péče</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jc w:val="center"/>
              <w:rPr>
                <w:rFonts w:cstheme="minorHAnsi"/>
                <w:b/>
                <w:color w:val="000000"/>
                <w:sz w:val="22"/>
                <w:szCs w:val="22"/>
              </w:rPr>
            </w:pPr>
            <w:r w:rsidRPr="00524DAA">
              <w:rPr>
                <w:rFonts w:cstheme="minorHAnsi"/>
                <w:b/>
                <w:color w:val="000000"/>
              </w:rPr>
              <w:t>Pěstounská péče na přechodnou dobu</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jc w:val="center"/>
              <w:rPr>
                <w:rFonts w:cstheme="minorHAnsi"/>
                <w:b/>
                <w:color w:val="000000"/>
                <w:sz w:val="22"/>
                <w:szCs w:val="22"/>
              </w:rPr>
            </w:pPr>
            <w:r w:rsidRPr="00524DAA">
              <w:rPr>
                <w:rFonts w:cstheme="minorHAnsi"/>
                <w:b/>
                <w:color w:val="000000"/>
              </w:rPr>
              <w:t>Poručenství s osobní péčí poručníka</w:t>
            </w:r>
          </w:p>
        </w:tc>
        <w:tc>
          <w:tcPr>
            <w:tcW w:w="1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jc w:val="center"/>
              <w:rPr>
                <w:rFonts w:cstheme="minorHAnsi"/>
                <w:b/>
                <w:color w:val="000000"/>
                <w:sz w:val="22"/>
                <w:szCs w:val="22"/>
              </w:rPr>
            </w:pPr>
            <w:r w:rsidRPr="00524DAA">
              <w:rPr>
                <w:rFonts w:cstheme="minorHAnsi"/>
                <w:b/>
                <w:color w:val="000000"/>
              </w:rPr>
              <w:t>Svěření dítěte do péče jiné osoby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jc w:val="center"/>
              <w:rPr>
                <w:rFonts w:cstheme="minorHAnsi"/>
                <w:b/>
                <w:color w:val="000000"/>
                <w:sz w:val="22"/>
                <w:szCs w:val="22"/>
              </w:rPr>
            </w:pPr>
            <w:r w:rsidRPr="00524DAA">
              <w:rPr>
                <w:rFonts w:cstheme="minorHAnsi"/>
                <w:b/>
                <w:color w:val="000000"/>
              </w:rPr>
              <w:t>Celkem dětí v NRP</w:t>
            </w:r>
          </w:p>
        </w:tc>
      </w:tr>
      <w:tr w:rsidR="00636718" w:rsidRPr="00524DAA" w:rsidTr="00B33B6F">
        <w:trPr>
          <w:trHeight w:val="300"/>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36718" w:rsidRPr="00524DAA" w:rsidRDefault="00636718">
            <w:pPr>
              <w:spacing w:line="240" w:lineRule="auto"/>
              <w:rPr>
                <w:rFonts w:cstheme="minorHAnsi"/>
                <w:b/>
                <w:color w:val="000000"/>
                <w:sz w:val="22"/>
                <w:szCs w:val="22"/>
              </w:rPr>
            </w:pPr>
            <w:r w:rsidRPr="00524DAA">
              <w:rPr>
                <w:rFonts w:cstheme="minorHAnsi"/>
                <w:b/>
                <w:color w:val="000000"/>
              </w:rPr>
              <w:t>2011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290</w:t>
            </w:r>
          </w:p>
        </w:tc>
        <w:tc>
          <w:tcPr>
            <w:tcW w:w="1841"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0</w:t>
            </w:r>
          </w:p>
        </w:tc>
        <w:tc>
          <w:tcPr>
            <w:tcW w:w="184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153</w:t>
            </w:r>
          </w:p>
        </w:tc>
        <w:tc>
          <w:tcPr>
            <w:tcW w:w="163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67</w:t>
            </w:r>
          </w:p>
        </w:tc>
        <w:tc>
          <w:tcPr>
            <w:tcW w:w="1559"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510</w:t>
            </w:r>
          </w:p>
        </w:tc>
      </w:tr>
      <w:tr w:rsidR="00636718" w:rsidRPr="00524DAA" w:rsidTr="00B33B6F">
        <w:trPr>
          <w:trHeight w:val="150"/>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 w:val="22"/>
                <w:szCs w:val="22"/>
              </w:rPr>
            </w:pPr>
            <w:r w:rsidRPr="00524DAA">
              <w:rPr>
                <w:rFonts w:cstheme="minorHAnsi"/>
                <w:b/>
                <w:color w:val="000000"/>
              </w:rPr>
              <w:t>2012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266</w:t>
            </w:r>
          </w:p>
        </w:tc>
        <w:tc>
          <w:tcPr>
            <w:tcW w:w="1841"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0</w:t>
            </w:r>
          </w:p>
        </w:tc>
        <w:tc>
          <w:tcPr>
            <w:tcW w:w="184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156</w:t>
            </w:r>
          </w:p>
        </w:tc>
        <w:tc>
          <w:tcPr>
            <w:tcW w:w="163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472</w:t>
            </w:r>
          </w:p>
        </w:tc>
      </w:tr>
      <w:tr w:rsidR="00636718" w:rsidRPr="00524DAA" w:rsidTr="00B33B6F">
        <w:trPr>
          <w:trHeight w:val="272"/>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 w:val="22"/>
                <w:szCs w:val="22"/>
              </w:rPr>
            </w:pPr>
            <w:r w:rsidRPr="00524DAA">
              <w:rPr>
                <w:rFonts w:cstheme="minorHAnsi"/>
                <w:b/>
                <w:color w:val="000000"/>
              </w:rPr>
              <w:t>2013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243</w:t>
            </w:r>
          </w:p>
        </w:tc>
        <w:tc>
          <w:tcPr>
            <w:tcW w:w="1841"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2</w:t>
            </w:r>
          </w:p>
        </w:tc>
        <w:tc>
          <w:tcPr>
            <w:tcW w:w="184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144</w:t>
            </w:r>
          </w:p>
        </w:tc>
        <w:tc>
          <w:tcPr>
            <w:tcW w:w="163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40</w:t>
            </w:r>
          </w:p>
        </w:tc>
        <w:tc>
          <w:tcPr>
            <w:tcW w:w="1559"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429</w:t>
            </w:r>
          </w:p>
        </w:tc>
      </w:tr>
      <w:tr w:rsidR="00636718" w:rsidRPr="00524DAA" w:rsidTr="00B33B6F">
        <w:trPr>
          <w:trHeight w:val="276"/>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 w:val="22"/>
                <w:szCs w:val="22"/>
              </w:rPr>
            </w:pPr>
            <w:r w:rsidRPr="00524DAA">
              <w:rPr>
                <w:rFonts w:cstheme="minorHAnsi"/>
                <w:b/>
                <w:color w:val="000000"/>
              </w:rPr>
              <w:t>2014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398</w:t>
            </w:r>
          </w:p>
        </w:tc>
        <w:tc>
          <w:tcPr>
            <w:tcW w:w="1841"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21</w:t>
            </w:r>
          </w:p>
        </w:tc>
        <w:tc>
          <w:tcPr>
            <w:tcW w:w="184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212</w:t>
            </w:r>
          </w:p>
        </w:tc>
        <w:tc>
          <w:tcPr>
            <w:tcW w:w="163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90</w:t>
            </w:r>
          </w:p>
        </w:tc>
        <w:tc>
          <w:tcPr>
            <w:tcW w:w="1559"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721</w:t>
            </w:r>
          </w:p>
        </w:tc>
      </w:tr>
      <w:tr w:rsidR="00636718" w:rsidRPr="00524DAA" w:rsidTr="00B33B6F">
        <w:trPr>
          <w:trHeight w:val="266"/>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 w:val="22"/>
                <w:szCs w:val="22"/>
              </w:rPr>
            </w:pPr>
            <w:r w:rsidRPr="00524DAA">
              <w:rPr>
                <w:rFonts w:cstheme="minorHAnsi"/>
                <w:b/>
                <w:color w:val="000000"/>
              </w:rPr>
              <w:t>2015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355</w:t>
            </w:r>
          </w:p>
        </w:tc>
        <w:tc>
          <w:tcPr>
            <w:tcW w:w="1841"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21</w:t>
            </w:r>
          </w:p>
        </w:tc>
        <w:tc>
          <w:tcPr>
            <w:tcW w:w="184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207</w:t>
            </w:r>
          </w:p>
        </w:tc>
        <w:tc>
          <w:tcPr>
            <w:tcW w:w="163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69</w:t>
            </w:r>
          </w:p>
        </w:tc>
        <w:tc>
          <w:tcPr>
            <w:tcW w:w="1559"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652</w:t>
            </w:r>
          </w:p>
        </w:tc>
      </w:tr>
      <w:tr w:rsidR="00636718" w:rsidRPr="00524DAA" w:rsidTr="00B33B6F">
        <w:trPr>
          <w:trHeight w:val="271"/>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 w:val="22"/>
                <w:szCs w:val="22"/>
              </w:rPr>
            </w:pPr>
            <w:r w:rsidRPr="00524DAA">
              <w:rPr>
                <w:rFonts w:cstheme="minorHAnsi"/>
                <w:b/>
                <w:color w:val="000000"/>
              </w:rPr>
              <w:t>2016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318</w:t>
            </w:r>
          </w:p>
        </w:tc>
        <w:tc>
          <w:tcPr>
            <w:tcW w:w="1841"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15</w:t>
            </w:r>
          </w:p>
        </w:tc>
        <w:tc>
          <w:tcPr>
            <w:tcW w:w="184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210</w:t>
            </w:r>
          </w:p>
        </w:tc>
        <w:tc>
          <w:tcPr>
            <w:tcW w:w="163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67</w:t>
            </w:r>
          </w:p>
        </w:tc>
        <w:tc>
          <w:tcPr>
            <w:tcW w:w="1559"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610</w:t>
            </w:r>
          </w:p>
        </w:tc>
      </w:tr>
      <w:tr w:rsidR="00636718" w:rsidRPr="00524DAA" w:rsidTr="00B33B6F">
        <w:trPr>
          <w:trHeight w:val="271"/>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 w:val="22"/>
                <w:szCs w:val="22"/>
              </w:rPr>
            </w:pPr>
            <w:r w:rsidRPr="00524DAA">
              <w:rPr>
                <w:rFonts w:cstheme="minorHAnsi"/>
                <w:b/>
                <w:color w:val="000000"/>
              </w:rPr>
              <w:t>2017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324</w:t>
            </w:r>
          </w:p>
        </w:tc>
        <w:tc>
          <w:tcPr>
            <w:tcW w:w="1841"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12</w:t>
            </w:r>
          </w:p>
        </w:tc>
        <w:tc>
          <w:tcPr>
            <w:tcW w:w="184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215</w:t>
            </w:r>
          </w:p>
        </w:tc>
        <w:tc>
          <w:tcPr>
            <w:tcW w:w="163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61</w:t>
            </w:r>
          </w:p>
        </w:tc>
        <w:tc>
          <w:tcPr>
            <w:tcW w:w="1559"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612</w:t>
            </w:r>
          </w:p>
        </w:tc>
      </w:tr>
      <w:tr w:rsidR="00636718" w:rsidRPr="00524DAA" w:rsidTr="00B33B6F">
        <w:trPr>
          <w:trHeight w:val="271"/>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636718" w:rsidRPr="00524DAA" w:rsidRDefault="00636718">
            <w:pPr>
              <w:spacing w:line="240" w:lineRule="auto"/>
              <w:rPr>
                <w:rFonts w:cstheme="minorHAnsi"/>
                <w:b/>
                <w:color w:val="000000"/>
                <w:sz w:val="22"/>
                <w:szCs w:val="22"/>
              </w:rPr>
            </w:pPr>
            <w:r w:rsidRPr="00524DAA">
              <w:rPr>
                <w:rFonts w:cstheme="minorHAnsi"/>
                <w:b/>
                <w:color w:val="000000"/>
              </w:rPr>
              <w:t>2018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323</w:t>
            </w:r>
          </w:p>
        </w:tc>
        <w:tc>
          <w:tcPr>
            <w:tcW w:w="1841"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5</w:t>
            </w:r>
          </w:p>
        </w:tc>
        <w:tc>
          <w:tcPr>
            <w:tcW w:w="1842"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208</w:t>
            </w:r>
          </w:p>
        </w:tc>
        <w:tc>
          <w:tcPr>
            <w:tcW w:w="1633"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62</w:t>
            </w:r>
          </w:p>
        </w:tc>
        <w:tc>
          <w:tcPr>
            <w:tcW w:w="1559" w:type="dxa"/>
            <w:tcBorders>
              <w:top w:val="single" w:sz="4" w:space="0" w:color="auto"/>
              <w:left w:val="single" w:sz="4" w:space="0" w:color="auto"/>
              <w:bottom w:val="single" w:sz="4" w:space="0" w:color="auto"/>
              <w:right w:val="single" w:sz="4" w:space="0" w:color="auto"/>
            </w:tcBorders>
            <w:vAlign w:val="bottom"/>
            <w:hideMark/>
          </w:tcPr>
          <w:p w:rsidR="00636718" w:rsidRPr="00524DAA" w:rsidRDefault="00636718">
            <w:pPr>
              <w:spacing w:line="240" w:lineRule="auto"/>
              <w:jc w:val="center"/>
              <w:rPr>
                <w:rFonts w:cstheme="minorHAnsi"/>
                <w:color w:val="000000"/>
                <w:sz w:val="22"/>
                <w:szCs w:val="22"/>
              </w:rPr>
            </w:pPr>
            <w:r w:rsidRPr="00524DAA">
              <w:rPr>
                <w:rFonts w:cstheme="minorHAnsi"/>
                <w:color w:val="000000"/>
              </w:rPr>
              <w:t>598</w:t>
            </w:r>
          </w:p>
        </w:tc>
      </w:tr>
      <w:tr w:rsidR="00B33B6F" w:rsidRPr="00524DAA" w:rsidTr="00B33B6F">
        <w:trPr>
          <w:trHeight w:val="271"/>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33B6F" w:rsidRPr="00524DAA" w:rsidRDefault="00B33B6F" w:rsidP="00B403B0">
            <w:pPr>
              <w:spacing w:line="240" w:lineRule="auto"/>
              <w:rPr>
                <w:rFonts w:cstheme="minorHAnsi"/>
                <w:b/>
                <w:color w:val="000000"/>
              </w:rPr>
            </w:pPr>
            <w:r>
              <w:rPr>
                <w:rFonts w:cstheme="minorHAnsi"/>
                <w:b/>
                <w:color w:val="000000"/>
              </w:rPr>
              <w:t>2019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B33B6F" w:rsidRPr="00524DAA" w:rsidRDefault="00B33B6F" w:rsidP="00B403B0">
            <w:pPr>
              <w:spacing w:line="240" w:lineRule="auto"/>
              <w:jc w:val="center"/>
              <w:rPr>
                <w:rFonts w:cstheme="minorHAnsi"/>
                <w:color w:val="000000"/>
              </w:rPr>
            </w:pPr>
            <w:r>
              <w:rPr>
                <w:rFonts w:cstheme="minorHAnsi"/>
                <w:color w:val="000000"/>
              </w:rPr>
              <w:t>379</w:t>
            </w:r>
          </w:p>
        </w:tc>
        <w:tc>
          <w:tcPr>
            <w:tcW w:w="1841" w:type="dxa"/>
            <w:tcBorders>
              <w:top w:val="single" w:sz="4" w:space="0" w:color="auto"/>
              <w:left w:val="single" w:sz="4" w:space="0" w:color="auto"/>
              <w:bottom w:val="single" w:sz="4" w:space="0" w:color="auto"/>
              <w:right w:val="single" w:sz="4" w:space="0" w:color="auto"/>
            </w:tcBorders>
            <w:vAlign w:val="bottom"/>
            <w:hideMark/>
          </w:tcPr>
          <w:p w:rsidR="00B33B6F" w:rsidRPr="00524DAA" w:rsidRDefault="00B33B6F" w:rsidP="00B403B0">
            <w:pPr>
              <w:spacing w:line="240" w:lineRule="auto"/>
              <w:jc w:val="center"/>
              <w:rPr>
                <w:rFonts w:cstheme="minorHAnsi"/>
                <w:color w:val="000000"/>
              </w:rPr>
            </w:pPr>
            <w:r>
              <w:rPr>
                <w:rFonts w:cstheme="minorHAnsi"/>
                <w:color w:val="000000"/>
              </w:rPr>
              <w:t>19</w:t>
            </w:r>
          </w:p>
        </w:tc>
        <w:tc>
          <w:tcPr>
            <w:tcW w:w="1842" w:type="dxa"/>
            <w:tcBorders>
              <w:top w:val="single" w:sz="4" w:space="0" w:color="auto"/>
              <w:left w:val="single" w:sz="4" w:space="0" w:color="auto"/>
              <w:bottom w:val="single" w:sz="4" w:space="0" w:color="auto"/>
              <w:right w:val="single" w:sz="4" w:space="0" w:color="auto"/>
            </w:tcBorders>
            <w:vAlign w:val="bottom"/>
            <w:hideMark/>
          </w:tcPr>
          <w:p w:rsidR="00B33B6F" w:rsidRPr="00524DAA" w:rsidRDefault="00B33B6F" w:rsidP="00B403B0">
            <w:pPr>
              <w:spacing w:line="240" w:lineRule="auto"/>
              <w:jc w:val="center"/>
              <w:rPr>
                <w:rFonts w:cstheme="minorHAnsi"/>
                <w:color w:val="000000"/>
              </w:rPr>
            </w:pPr>
            <w:r>
              <w:rPr>
                <w:rFonts w:cstheme="minorHAnsi"/>
                <w:color w:val="000000"/>
              </w:rPr>
              <w:t>229</w:t>
            </w:r>
          </w:p>
        </w:tc>
        <w:tc>
          <w:tcPr>
            <w:tcW w:w="1633" w:type="dxa"/>
            <w:tcBorders>
              <w:top w:val="single" w:sz="4" w:space="0" w:color="auto"/>
              <w:left w:val="single" w:sz="4" w:space="0" w:color="auto"/>
              <w:bottom w:val="single" w:sz="4" w:space="0" w:color="auto"/>
              <w:right w:val="single" w:sz="4" w:space="0" w:color="auto"/>
            </w:tcBorders>
            <w:vAlign w:val="bottom"/>
            <w:hideMark/>
          </w:tcPr>
          <w:p w:rsidR="00B33B6F" w:rsidRPr="00524DAA" w:rsidRDefault="00B33B6F" w:rsidP="00B403B0">
            <w:pPr>
              <w:spacing w:line="240" w:lineRule="auto"/>
              <w:jc w:val="center"/>
              <w:rPr>
                <w:rFonts w:cstheme="minorHAnsi"/>
                <w:color w:val="000000"/>
              </w:rPr>
            </w:pPr>
            <w:r>
              <w:rPr>
                <w:rFonts w:cstheme="minorHAnsi"/>
                <w:color w:val="000000"/>
              </w:rPr>
              <w:t>69</w:t>
            </w:r>
          </w:p>
        </w:tc>
        <w:tc>
          <w:tcPr>
            <w:tcW w:w="1559" w:type="dxa"/>
            <w:tcBorders>
              <w:top w:val="single" w:sz="4" w:space="0" w:color="auto"/>
              <w:left w:val="single" w:sz="4" w:space="0" w:color="auto"/>
              <w:bottom w:val="single" w:sz="4" w:space="0" w:color="auto"/>
              <w:right w:val="single" w:sz="4" w:space="0" w:color="auto"/>
            </w:tcBorders>
            <w:vAlign w:val="bottom"/>
            <w:hideMark/>
          </w:tcPr>
          <w:p w:rsidR="00B33B6F" w:rsidRPr="00524DAA" w:rsidRDefault="00B33B6F" w:rsidP="00B403B0">
            <w:pPr>
              <w:spacing w:line="240" w:lineRule="auto"/>
              <w:jc w:val="center"/>
              <w:rPr>
                <w:rFonts w:cstheme="minorHAnsi"/>
                <w:color w:val="000000"/>
              </w:rPr>
            </w:pPr>
            <w:r>
              <w:rPr>
                <w:rFonts w:cstheme="minorHAnsi"/>
                <w:color w:val="000000"/>
              </w:rPr>
              <w:t>696</w:t>
            </w:r>
          </w:p>
        </w:tc>
      </w:tr>
    </w:tbl>
    <w:p w:rsidR="00636718" w:rsidRPr="00524DAA" w:rsidRDefault="0007087C" w:rsidP="00636718">
      <w:pPr>
        <w:pStyle w:val="SingleTxtG"/>
      </w:pPr>
      <w:r>
        <w:t>* Zdroj: MPSV</w:t>
      </w:r>
    </w:p>
    <w:p w:rsidR="00636718" w:rsidRPr="00524DAA" w:rsidRDefault="00636718" w:rsidP="00636718">
      <w:pPr>
        <w:pStyle w:val="SingleTxtG"/>
      </w:pPr>
      <w:r w:rsidRPr="00524DAA">
        <w:t>Klesající počet dětí se ZP svěřených do NRP, zaznamenaný v poslední době, neznamená, že o to více dětí končí v institucionální péči, neboť i zde se počet dětí se ZP snižuje. Zaznamenán byl pozitivní trend, kdy více těchto dětí zůstává</w:t>
      </w:r>
      <w:r w:rsidR="006768EE">
        <w:t xml:space="preserve"> v péči vlastních rodičů, kteří</w:t>
      </w:r>
      <w:r w:rsidR="006768EE">
        <w:br/>
      </w:r>
      <w:r w:rsidRPr="00524DAA">
        <w:t>v rámci podpory využívají ve vyšší míře terénních a ambulantních služeb (např. služeb jako je raná péče o děti se ZP do 7 let věku poskytovaná terénní a ambulantní formou či odlehčovací služba apod.).</w:t>
      </w:r>
      <w:r w:rsidR="00162D94">
        <w:t xml:space="preserve"> Dále k této problematice viz též odpověď na otázku č. 16 a)</w:t>
      </w:r>
      <w:r w:rsidR="00C31707">
        <w:t xml:space="preserve"> (odst. </w:t>
      </w:r>
      <w:r w:rsidR="00162D94">
        <w:t>1</w:t>
      </w:r>
      <w:r w:rsidR="008334F8">
        <w:t xml:space="preserve">87 </w:t>
      </w:r>
      <w:r w:rsidR="00162D94">
        <w:t>až 1</w:t>
      </w:r>
      <w:r w:rsidR="008334F8">
        <w:t>8</w:t>
      </w:r>
      <w:r w:rsidR="00162D94">
        <w:t>9</w:t>
      </w:r>
      <w:r w:rsidR="00C31707">
        <w:t>)</w:t>
      </w:r>
      <w:r w:rsidR="00162D94">
        <w:t>.</w:t>
      </w:r>
    </w:p>
    <w:p w:rsidR="00060515" w:rsidRPr="00524DAA" w:rsidRDefault="0024315E" w:rsidP="001D4EF8">
      <w:pPr>
        <w:pStyle w:val="SingleTxtG"/>
      </w:pPr>
      <w:r>
        <w:t>3</w:t>
      </w:r>
      <w:r w:rsidR="00216537">
        <w:t>3</w:t>
      </w:r>
      <w:r>
        <w:t>.</w:t>
      </w:r>
      <w:r w:rsidR="005C5C87" w:rsidRPr="00524DAA">
        <w:tab/>
      </w:r>
      <w:r w:rsidR="005C3B7E">
        <w:t>Pokud jde o oblast zdravotní péče, umožňuje z</w:t>
      </w:r>
      <w:r w:rsidR="005C5C87" w:rsidRPr="00524DAA">
        <w:t>ákon č. 372/2011 Sb., o zdravotních službách a podmínkách jejich poskytování, ve znění pozdějších předpisů</w:t>
      </w:r>
      <w:r w:rsidR="00AC0508">
        <w:t xml:space="preserve"> (dále jen „zákon o</w:t>
      </w:r>
      <w:r w:rsidR="005C3B7E">
        <w:t> </w:t>
      </w:r>
      <w:r w:rsidR="00AC0508">
        <w:t>zdravotních službách“)</w:t>
      </w:r>
      <w:r w:rsidR="005C5C87" w:rsidRPr="00524DAA">
        <w:t xml:space="preserve">, poskytování zdravotní péče ve vlastním sociálním prostředí pacienta </w:t>
      </w:r>
      <w:r w:rsidR="002A5172" w:rsidRPr="00524DAA">
        <w:t xml:space="preserve">(§ 10) </w:t>
      </w:r>
      <w:r w:rsidR="005C5C87" w:rsidRPr="00524DAA">
        <w:t>nebo poskytování ambulantní péče stacionární</w:t>
      </w:r>
      <w:r w:rsidR="002A5172" w:rsidRPr="00524DAA">
        <w:t xml:space="preserve"> (§ 7)</w:t>
      </w:r>
      <w:r w:rsidR="005C5C87" w:rsidRPr="00524DAA">
        <w:t>.</w:t>
      </w:r>
    </w:p>
    <w:p w:rsidR="005C5C87" w:rsidRPr="00524DAA" w:rsidRDefault="005C5C87" w:rsidP="001D4EF8">
      <w:pPr>
        <w:pStyle w:val="SingleTxtG"/>
      </w:pPr>
    </w:p>
    <w:p w:rsidR="00A37DEA" w:rsidRPr="00F445FB" w:rsidRDefault="00A37DEA" w:rsidP="00A37DEA">
      <w:pPr>
        <w:pStyle w:val="H1G"/>
      </w:pPr>
      <w:r w:rsidRPr="00524DAA">
        <w:lastRenderedPageBreak/>
        <w:tab/>
      </w:r>
      <w:r w:rsidRPr="00524DAA">
        <w:tab/>
        <w:t>Odpověď na otázku č. 6 b)</w:t>
      </w:r>
    </w:p>
    <w:p w:rsidR="002B7E76" w:rsidRDefault="0024315E" w:rsidP="002B7E76">
      <w:pPr>
        <w:pStyle w:val="SingleTxtG"/>
      </w:pPr>
      <w:r>
        <w:t>3</w:t>
      </w:r>
      <w:r w:rsidR="00216537">
        <w:t>4</w:t>
      </w:r>
      <w:r>
        <w:t>.</w:t>
      </w:r>
      <w:r w:rsidR="009B78F4" w:rsidRPr="00524DAA">
        <w:tab/>
        <w:t>Právo všech dětí na vyjádření vlastního názo</w:t>
      </w:r>
      <w:r w:rsidR="006768EE">
        <w:t>ru je garantováno čl. 12 Úmluvy</w:t>
      </w:r>
      <w:r w:rsidR="006768EE">
        <w:br/>
      </w:r>
      <w:r w:rsidR="009B78F4" w:rsidRPr="00524DAA">
        <w:t>o právech dítěte, podle kterého se všem dětem, které jsou schopny vyjadřovat vlastní názory, zabezpečuje právo tyto názory svobodně vyjadřovat ve všech záležitostech, které se jich dotýkají, přičemž se názorům dítěte musí věnovat pa</w:t>
      </w:r>
      <w:r w:rsidR="006768EE">
        <w:t>třičná pozornost. Toto právo se</w:t>
      </w:r>
      <w:r w:rsidR="006768EE">
        <w:br/>
      </w:r>
      <w:r w:rsidR="009B78F4" w:rsidRPr="00524DAA">
        <w:t>v ČR promítlo do řady právních předpisů v zájmu pos</w:t>
      </w:r>
      <w:r w:rsidR="006768EE">
        <w:t>ílení participačních práv dětí,</w:t>
      </w:r>
      <w:r w:rsidR="006768EE">
        <w:br/>
      </w:r>
      <w:r w:rsidR="009B78F4" w:rsidRPr="00524DAA">
        <w:t>vč. právních předpisů upravujících průběh soudního říz</w:t>
      </w:r>
      <w:r w:rsidR="006768EE">
        <w:t>ení, veřejnoprávní ochranu dětí</w:t>
      </w:r>
      <w:r w:rsidR="006768EE">
        <w:br/>
      </w:r>
      <w:r w:rsidR="009B78F4" w:rsidRPr="00524DAA">
        <w:t>a služby pro děti.</w:t>
      </w:r>
      <w:r w:rsidR="002B7E76">
        <w:t xml:space="preserve"> Danou problematikou se zabývá i tzv. participační nález Ústavního soudu ze dne 8. října 2018, </w:t>
      </w:r>
      <w:proofErr w:type="spellStart"/>
      <w:r w:rsidR="002B7E76">
        <w:t>sp</w:t>
      </w:r>
      <w:proofErr w:type="spellEnd"/>
      <w:r w:rsidR="002B7E76">
        <w:t>. zn. II. ÚS 725/18, v němž Ústavní soud konstatoval, že byla v řízení před obecnými soudy porušena základní práva stěžovatelčiny nezletilé dcery (vedlejší účastnice řízení před Ústavním soudem), konkrétně její právo na participaci v řízení, které se jí dotýká, podle čl. 12 Úmluvy o právech dítěte, a právo na projednání věci v její přítomnosti podle čl. 38 odst. 2 Listiny základních práv a svobod.</w:t>
      </w:r>
    </w:p>
    <w:p w:rsidR="009B78F4" w:rsidRPr="00524DAA" w:rsidRDefault="0024315E" w:rsidP="009B78F4">
      <w:pPr>
        <w:pStyle w:val="SingleTxtG"/>
      </w:pPr>
      <w:r>
        <w:t>3</w:t>
      </w:r>
      <w:r w:rsidR="00216537">
        <w:t>5</w:t>
      </w:r>
      <w:r>
        <w:t>.</w:t>
      </w:r>
      <w:r w:rsidR="009B78F4" w:rsidRPr="00524DAA">
        <w:tab/>
        <w:t xml:space="preserve">Podle úpravy </w:t>
      </w:r>
      <w:r w:rsidR="00E54B5A">
        <w:t>zákona č. 89/2012 Sb. o</w:t>
      </w:r>
      <w:r w:rsidR="009B78F4" w:rsidRPr="00524DAA">
        <w:t>bčansk</w:t>
      </w:r>
      <w:r w:rsidR="00E54B5A">
        <w:t xml:space="preserve">ý </w:t>
      </w:r>
      <w:r w:rsidR="009B78F4" w:rsidRPr="00524DAA">
        <w:t>zákoník</w:t>
      </w:r>
      <w:r w:rsidR="006768EE">
        <w:t xml:space="preserve">, ve znění pozdějších předpisů </w:t>
      </w:r>
      <w:r w:rsidR="00E54B5A">
        <w:t xml:space="preserve">(dále jen „občanský zákoník“) </w:t>
      </w:r>
      <w:r w:rsidR="00645F69">
        <w:t>zavedené s </w:t>
      </w:r>
      <w:r w:rsidR="009B78F4" w:rsidRPr="00524DAA">
        <w:t>účinn</w:t>
      </w:r>
      <w:r w:rsidR="00645F69">
        <w:t xml:space="preserve">ostí </w:t>
      </w:r>
      <w:r w:rsidR="009B78F4" w:rsidRPr="00524DAA">
        <w:t xml:space="preserve">od 1. ledna 2014 musí rodiče vykonávat rodičovskou odpovědnost v souladu se zájmy dítěte. Před rozhodnutím, které se dotýká zájmu dítěte, sdělí rodiče dítěti vše potřebné, aby </w:t>
      </w:r>
      <w:r w:rsidR="006768EE">
        <w:t>si mohlo vytvořit vlastní názor</w:t>
      </w:r>
      <w:r w:rsidR="006768EE">
        <w:br/>
      </w:r>
      <w:r w:rsidR="009B78F4" w:rsidRPr="00524DAA">
        <w:t xml:space="preserve">o dané záležitosti a rodičům jej sdělit. Toto neplatí, není-li dítě schopno </w:t>
      </w:r>
      <w:r w:rsidR="00AB4808" w:rsidRPr="00524DAA">
        <w:t xml:space="preserve">informace </w:t>
      </w:r>
      <w:r w:rsidR="009B78F4" w:rsidRPr="00524DAA">
        <w:t xml:space="preserve">náležitě přijmout nebo není schopno </w:t>
      </w:r>
      <w:r w:rsidR="00AB4808" w:rsidRPr="00524DAA">
        <w:t xml:space="preserve">vytvořit si vlastní názor </w:t>
      </w:r>
      <w:r w:rsidR="009B78F4" w:rsidRPr="00524DAA">
        <w:t>nebo není schopno tento názor rodičům sdělit. Názoru dítěte rodiče věnují patřičnou pozornost a berou názor dítěte při rozhodování v úvahu. Obdobně však musí respektovat názor dítěte i opatrovník, poručník či jiná osoba odpovědná za výchovu dítěte.</w:t>
      </w:r>
    </w:p>
    <w:p w:rsidR="00A06846" w:rsidRDefault="00C3044E" w:rsidP="009B78F4">
      <w:pPr>
        <w:pStyle w:val="SingleTxtG"/>
      </w:pPr>
      <w:r>
        <w:t>3</w:t>
      </w:r>
      <w:r w:rsidR="00216537">
        <w:t>6</w:t>
      </w:r>
      <w:r w:rsidR="0024315E">
        <w:t>.</w:t>
      </w:r>
      <w:r w:rsidR="00D72B40" w:rsidRPr="00524DAA">
        <w:tab/>
      </w:r>
      <w:r w:rsidR="00A06846">
        <w:t>Od 1. dubna 2000, tj. nabytí</w:t>
      </w:r>
      <w:r w:rsidR="0068711F">
        <w:t>m</w:t>
      </w:r>
      <w:r w:rsidR="00A06846">
        <w:t xml:space="preserve"> </w:t>
      </w:r>
      <w:r w:rsidR="00A06846" w:rsidRPr="00A06846">
        <w:t>účinnosti zákon</w:t>
      </w:r>
      <w:r w:rsidR="00A06846">
        <w:t>a</w:t>
      </w:r>
      <w:r w:rsidR="00A06846" w:rsidRPr="00A06846">
        <w:t xml:space="preserve"> č. 359/1999 Sb., o sociálně-právní ochraně dětí</w:t>
      </w:r>
      <w:r w:rsidR="00AE4312">
        <w:t xml:space="preserve">, ve znění pozdějších předpisů </w:t>
      </w:r>
      <w:r w:rsidR="00A06846" w:rsidRPr="00A06846">
        <w:t>(dále jen „zákon o SPOD“</w:t>
      </w:r>
      <w:r w:rsidR="0068711F">
        <w:t>)</w:t>
      </w:r>
      <w:r w:rsidR="00A06846" w:rsidRPr="00A06846">
        <w:t xml:space="preserve">, </w:t>
      </w:r>
      <w:r w:rsidR="0068711F">
        <w:t xml:space="preserve">je v ČR zákonem </w:t>
      </w:r>
      <w:r w:rsidR="00A06846" w:rsidRPr="00A06846">
        <w:t>zakotvena zásada vyslyšení a</w:t>
      </w:r>
      <w:r w:rsidR="0068711F">
        <w:t> </w:t>
      </w:r>
      <w:r w:rsidR="00A06846" w:rsidRPr="00A06846">
        <w:t>respektu k</w:t>
      </w:r>
      <w:r w:rsidR="00A06846">
        <w:t> </w:t>
      </w:r>
      <w:r w:rsidR="00A06846" w:rsidRPr="00A06846">
        <w:t xml:space="preserve">názoru dítěte, kterou musí respektovat pracovníci poskytující veřejnoprávní ochranu dětí. Z ní vyplývá, že dítě, které je schopno formulovat své vlastní názory, má právo pro účely sociálně-právní ochrany dětí (dále jen „SPOD“) tyto názory svobodně vyjadřovat při projednávání všech záležitostí, které se ho dotýkají, a to i bez přítomnosti rodičů nebo jiných osob odpovědných za výchovu dítěte. Vyjádření dítěte se věnuje náležitá pozornost odpovídající jeho věku a rozumové vyspělosti. Novelou zákona o SPOD provedenou s účinností od 1. </w:t>
      </w:r>
      <w:r w:rsidR="001A578D">
        <w:t>června</w:t>
      </w:r>
      <w:r w:rsidR="00A06846" w:rsidRPr="00A06846">
        <w:t xml:space="preserve"> 2006 bylo doplněno, že orgán sociálně-právní ochrany dětí </w:t>
      </w:r>
      <w:r w:rsidR="00E27B62">
        <w:t>(dále jen „OSPO</w:t>
      </w:r>
      <w:r w:rsidR="00C7777E">
        <w:t>D</w:t>
      </w:r>
      <w:r w:rsidR="00E27B62">
        <w:t xml:space="preserve">“) </w:t>
      </w:r>
      <w:r w:rsidR="00A06846" w:rsidRPr="00A06846">
        <w:t>je povinen přihlížet rovněž k přáním a pocitům dětí, což se týká zejména dětí předškolního věku, a dále byl</w:t>
      </w:r>
      <w:r w:rsidR="002B7E76">
        <w:t>a</w:t>
      </w:r>
      <w:r w:rsidR="00A06846" w:rsidRPr="00A06846">
        <w:t xml:space="preserve"> doplněna také povinnost informování dítěte o</w:t>
      </w:r>
      <w:r w:rsidR="00E27B62">
        <w:t> </w:t>
      </w:r>
      <w:r w:rsidR="00A06846" w:rsidRPr="00A06846">
        <w:t>probíhajícím soudním nebo správním řízení, jehož je účastníkem.</w:t>
      </w:r>
    </w:p>
    <w:p w:rsidR="009B78F4" w:rsidRPr="00524DAA" w:rsidRDefault="00C3044E" w:rsidP="009B78F4">
      <w:pPr>
        <w:pStyle w:val="SingleTxtG"/>
      </w:pPr>
      <w:r>
        <w:t>3</w:t>
      </w:r>
      <w:r w:rsidR="00216537">
        <w:t>7</w:t>
      </w:r>
      <w:r w:rsidR="0024315E">
        <w:t>.</w:t>
      </w:r>
      <w:r w:rsidR="008B0E4B" w:rsidRPr="00524DAA">
        <w:tab/>
      </w:r>
      <w:r w:rsidR="009B78F4" w:rsidRPr="00524DAA">
        <w:t>Zjišťování a respekt k názoru dítěte byly základním principem Národní strategie ochrany práv dětí – Právo na dětství 2012 – 2018). Zde byla ukotvena základní zásada, na základě níž mělo být dítě v centru dění celého systému a mělo být partnerem při řešení situace své i své rodiny („s dětmi je potřeba mluvit, naslouc</w:t>
      </w:r>
      <w:r w:rsidR="006A7B80">
        <w:t>hat jim, zjišťovat jejich přání</w:t>
      </w:r>
      <w:r w:rsidR="006A7B80">
        <w:br/>
      </w:r>
      <w:r w:rsidR="009B78F4" w:rsidRPr="00524DAA">
        <w:t>a potřeby, brát je do úvahy a poskytovat dětem s ohledem na ně podporu a pomoc“). Na participaci dětí se soustředil cíl č. 3 Vytváření příležitostí pro děti a mladé lidi účastnit se rozhodování o záležitostech, které se jich týkají/které je ovlivňují, jehož součástí byla opatření 1) k prosazování účasti dětí</w:t>
      </w:r>
      <w:r w:rsidR="00EE6CC0" w:rsidRPr="00524DAA">
        <w:t xml:space="preserve"> </w:t>
      </w:r>
      <w:r w:rsidR="009B78F4" w:rsidRPr="00524DAA">
        <w:t>v rozhodovacích procesech, týkajících se ochrany jejich práv, vytváření mechanismů, které umožní účast dětí na rozhodovacích procesech; 2) podpora systémů a opatření zaměřených na zapojení d</w:t>
      </w:r>
      <w:r w:rsidR="006A7B80">
        <w:t>ětí a mladých lidí do přijímání</w:t>
      </w:r>
      <w:r w:rsidR="006A7B80">
        <w:br/>
      </w:r>
      <w:r w:rsidR="009B78F4" w:rsidRPr="00524DAA">
        <w:t>a hodnocení přijímaných systémových opatření a jejich účasti na tvorbě takových opatření; 3) rozvoj kompetencí pracovníků působících v systému péče o děti (zejména pracovníků OSPOD, poskytovatelů služeb) v oblasti slyšení dítěte a zjišťování názoru dítěte; 4)</w:t>
      </w:r>
      <w:r w:rsidR="00E27B62">
        <w:t> </w:t>
      </w:r>
      <w:r w:rsidR="009B78F4" w:rsidRPr="00524DAA">
        <w:t>komplexní právní úprava práva dítěte být slyšeno.</w:t>
      </w:r>
    </w:p>
    <w:p w:rsidR="00EF073F" w:rsidRPr="00524DAA" w:rsidRDefault="00C3044E" w:rsidP="009B78F4">
      <w:pPr>
        <w:pStyle w:val="SingleTxtG"/>
      </w:pPr>
      <w:r>
        <w:t>3</w:t>
      </w:r>
      <w:r w:rsidR="00216537">
        <w:t>8</w:t>
      </w:r>
      <w:r w:rsidR="0024315E">
        <w:t>.</w:t>
      </w:r>
      <w:r w:rsidR="008B0E4B" w:rsidRPr="00524DAA">
        <w:tab/>
      </w:r>
      <w:r w:rsidR="009B78F4" w:rsidRPr="00524DAA">
        <w:t>MPSV se zaměřuje na podporu participace dětí i v rámci svých projektových aktivit. K šíření povědomí o tomto právu dítěte slouží jeho informační portál www.pravonadetstvi.cz, kde je vytvořena specifická sekce pro děti. Portál poskytuje informace o právech dětí jak samotným dětem, tak i laické a odborné veřejnosti.</w:t>
      </w:r>
    </w:p>
    <w:p w:rsidR="009B78F4" w:rsidRDefault="007E21BB" w:rsidP="009B78F4">
      <w:pPr>
        <w:pStyle w:val="SingleTxtG"/>
      </w:pPr>
      <w:r>
        <w:t>3</w:t>
      </w:r>
      <w:r w:rsidR="00216537">
        <w:t>9</w:t>
      </w:r>
      <w:r w:rsidR="0024315E">
        <w:t>.</w:t>
      </w:r>
      <w:r w:rsidR="00EF073F" w:rsidRPr="00524DAA">
        <w:tab/>
      </w:r>
      <w:r w:rsidR="009B78F4" w:rsidRPr="00524DAA">
        <w:t xml:space="preserve">V období </w:t>
      </w:r>
      <w:r w:rsidR="00EF073F" w:rsidRPr="00524DAA">
        <w:t xml:space="preserve">od ledna </w:t>
      </w:r>
      <w:r w:rsidR="009B78F4" w:rsidRPr="00524DAA">
        <w:t xml:space="preserve">2015 do </w:t>
      </w:r>
      <w:r w:rsidR="00EF073F" w:rsidRPr="00524DAA">
        <w:t xml:space="preserve">dubna </w:t>
      </w:r>
      <w:r w:rsidR="009B78F4" w:rsidRPr="00524DAA">
        <w:t xml:space="preserve">2017 realizovalo </w:t>
      </w:r>
      <w:r w:rsidR="00EF073F" w:rsidRPr="00524DAA">
        <w:t xml:space="preserve">MPSV </w:t>
      </w:r>
      <w:r w:rsidR="009B78F4" w:rsidRPr="00524DAA">
        <w:t>projekt „</w:t>
      </w:r>
      <w:proofErr w:type="spellStart"/>
      <w:r w:rsidR="009B78F4" w:rsidRPr="00524DAA">
        <w:t>Children</w:t>
      </w:r>
      <w:proofErr w:type="spellEnd"/>
      <w:r w:rsidR="009B78F4" w:rsidRPr="00524DAA">
        <w:t xml:space="preserve"> and </w:t>
      </w:r>
      <w:proofErr w:type="spellStart"/>
      <w:r w:rsidR="009B78F4" w:rsidRPr="00524DAA">
        <w:t>Youth</w:t>
      </w:r>
      <w:proofErr w:type="spellEnd"/>
      <w:r w:rsidR="009B78F4" w:rsidRPr="00524DAA">
        <w:t xml:space="preserve"> </w:t>
      </w:r>
      <w:proofErr w:type="spellStart"/>
      <w:r w:rsidR="009B78F4" w:rsidRPr="00524DAA">
        <w:t>at</w:t>
      </w:r>
      <w:proofErr w:type="spellEnd"/>
      <w:r w:rsidR="009B78F4" w:rsidRPr="00524DAA">
        <w:t xml:space="preserve"> Risk“ financovaný z Finančních mechanismů Evropského hospodářského prostoru a Norska, který se soustředil na posílení participačních práv dětí, na rozvoj kompetencí </w:t>
      </w:r>
      <w:r w:rsidR="009B78F4" w:rsidRPr="00524DAA">
        <w:lastRenderedPageBreak/>
        <w:t>pracovníků ve zjišťování a zohledňování názoru dítěte v přímé práci s ním a na zvýšení povědomí veřejnosti o otázce práv dětí (vč</w:t>
      </w:r>
      <w:r w:rsidR="00EF073F" w:rsidRPr="00524DAA">
        <w:t>.</w:t>
      </w:r>
      <w:r w:rsidR="009B78F4" w:rsidRPr="00524DAA">
        <w:t xml:space="preserve"> práva dětí na aktivní participaci). V tabulce </w:t>
      </w:r>
      <w:r w:rsidR="00B239E3" w:rsidRPr="00524DAA">
        <w:t xml:space="preserve">níže </w:t>
      </w:r>
      <w:r w:rsidR="009B78F4" w:rsidRPr="00524DAA">
        <w:t>jsou uvedené takto zaměřené projekty, které byly podpořeny.</w:t>
      </w:r>
    </w:p>
    <w:p w:rsidR="00F445FB" w:rsidRPr="00524DAA" w:rsidRDefault="00F445FB" w:rsidP="009B78F4">
      <w:pPr>
        <w:pStyle w:val="SingleTxtG"/>
      </w:pPr>
    </w:p>
    <w:p w:rsidR="00B239E3" w:rsidRPr="00524DAA" w:rsidRDefault="00B239E3" w:rsidP="00B239E3">
      <w:pPr>
        <w:pStyle w:val="SingleTxtG"/>
        <w:ind w:left="0"/>
      </w:pPr>
      <w:r w:rsidRPr="00524DAA">
        <w:t>Přehled projektů zaměřených na osvětu podpořených v rámci Malého grantového schématu</w:t>
      </w:r>
    </w:p>
    <w:tbl>
      <w:tblPr>
        <w:tblStyle w:val="Mkatabulky"/>
        <w:tblW w:w="0" w:type="auto"/>
        <w:tblInd w:w="108" w:type="dxa"/>
        <w:tblLook w:val="04A0" w:firstRow="1" w:lastRow="0" w:firstColumn="1" w:lastColumn="0" w:noHBand="0" w:noVBand="1"/>
      </w:tblPr>
      <w:tblGrid>
        <w:gridCol w:w="3402"/>
        <w:gridCol w:w="3119"/>
        <w:gridCol w:w="2583"/>
      </w:tblGrid>
      <w:tr w:rsidR="00273C76" w:rsidRPr="00524DAA" w:rsidTr="00273C76">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73C76" w:rsidRPr="00524DAA" w:rsidRDefault="00273C76">
            <w:pPr>
              <w:autoSpaceDE w:val="0"/>
              <w:autoSpaceDN w:val="0"/>
              <w:adjustRightInd w:val="0"/>
              <w:spacing w:line="240" w:lineRule="auto"/>
              <w:ind w:left="68"/>
              <w:jc w:val="both"/>
              <w:rPr>
                <w:rFonts w:cstheme="minorHAnsi"/>
                <w:b/>
                <w:bCs/>
                <w:sz w:val="22"/>
                <w:szCs w:val="22"/>
              </w:rPr>
            </w:pPr>
            <w:r w:rsidRPr="00524DAA">
              <w:rPr>
                <w:rFonts w:cstheme="minorHAnsi"/>
                <w:b/>
                <w:bCs/>
              </w:rPr>
              <w:t>Název projektu</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73C76" w:rsidRPr="00524DAA" w:rsidRDefault="00273C76">
            <w:pPr>
              <w:autoSpaceDE w:val="0"/>
              <w:autoSpaceDN w:val="0"/>
              <w:adjustRightInd w:val="0"/>
              <w:spacing w:line="240" w:lineRule="auto"/>
              <w:ind w:left="68"/>
              <w:jc w:val="both"/>
              <w:rPr>
                <w:rFonts w:cstheme="minorHAnsi"/>
                <w:b/>
                <w:bCs/>
                <w:sz w:val="22"/>
                <w:szCs w:val="22"/>
              </w:rPr>
            </w:pPr>
            <w:r w:rsidRPr="00524DAA">
              <w:rPr>
                <w:rFonts w:cstheme="minorHAnsi"/>
                <w:b/>
                <w:bCs/>
              </w:rPr>
              <w:t xml:space="preserve">Realizátor </w:t>
            </w:r>
          </w:p>
        </w:tc>
        <w:tc>
          <w:tcPr>
            <w:tcW w:w="2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73C76" w:rsidRPr="00524DAA" w:rsidRDefault="00273C76">
            <w:pPr>
              <w:autoSpaceDE w:val="0"/>
              <w:autoSpaceDN w:val="0"/>
              <w:adjustRightInd w:val="0"/>
              <w:spacing w:line="240" w:lineRule="auto"/>
              <w:ind w:left="68"/>
              <w:jc w:val="both"/>
              <w:rPr>
                <w:rFonts w:cstheme="minorHAnsi"/>
                <w:b/>
                <w:bCs/>
                <w:sz w:val="22"/>
                <w:szCs w:val="22"/>
              </w:rPr>
            </w:pPr>
            <w:r w:rsidRPr="00524DAA">
              <w:rPr>
                <w:rFonts w:cstheme="minorHAnsi"/>
                <w:b/>
                <w:bCs/>
              </w:rPr>
              <w:t>Výše dotace (CZK)</w:t>
            </w:r>
          </w:p>
        </w:tc>
      </w:tr>
      <w:tr w:rsidR="00273C76" w:rsidRPr="00524DAA" w:rsidTr="00273C76">
        <w:tc>
          <w:tcPr>
            <w:tcW w:w="3402" w:type="dxa"/>
            <w:tcBorders>
              <w:top w:val="single" w:sz="4" w:space="0" w:color="auto"/>
              <w:left w:val="single" w:sz="4" w:space="0" w:color="auto"/>
              <w:bottom w:val="single" w:sz="4" w:space="0" w:color="auto"/>
              <w:right w:val="single" w:sz="4" w:space="0" w:color="auto"/>
            </w:tcBorders>
            <w:hideMark/>
          </w:tcPr>
          <w:p w:rsidR="00273C76" w:rsidRPr="00524DAA" w:rsidRDefault="00273C76">
            <w:pPr>
              <w:autoSpaceDE w:val="0"/>
              <w:autoSpaceDN w:val="0"/>
              <w:adjustRightInd w:val="0"/>
              <w:spacing w:line="240" w:lineRule="auto"/>
              <w:ind w:left="68"/>
              <w:jc w:val="both"/>
              <w:rPr>
                <w:rFonts w:cstheme="minorHAnsi"/>
                <w:bCs/>
                <w:sz w:val="22"/>
                <w:szCs w:val="22"/>
              </w:rPr>
            </w:pPr>
            <w:r w:rsidRPr="00524DAA">
              <w:rPr>
                <w:rFonts w:cstheme="minorHAnsi"/>
                <w:bCs/>
              </w:rPr>
              <w:t>Hlasy dětí – a co s tím uděláme?</w:t>
            </w:r>
          </w:p>
        </w:tc>
        <w:tc>
          <w:tcPr>
            <w:tcW w:w="3119" w:type="dxa"/>
            <w:tcBorders>
              <w:top w:val="single" w:sz="4" w:space="0" w:color="auto"/>
              <w:left w:val="single" w:sz="4" w:space="0" w:color="auto"/>
              <w:bottom w:val="single" w:sz="4" w:space="0" w:color="auto"/>
              <w:right w:val="single" w:sz="4" w:space="0" w:color="auto"/>
            </w:tcBorders>
            <w:hideMark/>
          </w:tcPr>
          <w:p w:rsidR="00273C76" w:rsidRPr="00524DAA" w:rsidRDefault="00273C76">
            <w:pPr>
              <w:autoSpaceDE w:val="0"/>
              <w:autoSpaceDN w:val="0"/>
              <w:adjustRightInd w:val="0"/>
              <w:spacing w:line="240" w:lineRule="auto"/>
              <w:ind w:left="68"/>
              <w:jc w:val="both"/>
              <w:rPr>
                <w:rFonts w:cstheme="minorHAnsi"/>
                <w:bCs/>
                <w:sz w:val="22"/>
                <w:szCs w:val="22"/>
              </w:rPr>
            </w:pPr>
            <w:r w:rsidRPr="00524DAA">
              <w:rPr>
                <w:rFonts w:cstheme="minorHAnsi"/>
                <w:bCs/>
              </w:rPr>
              <w:t>DOMUS – Centrum pro rodinu</w:t>
            </w:r>
          </w:p>
        </w:tc>
        <w:tc>
          <w:tcPr>
            <w:tcW w:w="2583" w:type="dxa"/>
            <w:tcBorders>
              <w:top w:val="single" w:sz="4" w:space="0" w:color="auto"/>
              <w:left w:val="single" w:sz="4" w:space="0" w:color="auto"/>
              <w:bottom w:val="single" w:sz="4" w:space="0" w:color="auto"/>
              <w:right w:val="single" w:sz="4" w:space="0" w:color="auto"/>
            </w:tcBorders>
            <w:hideMark/>
          </w:tcPr>
          <w:p w:rsidR="00273C76" w:rsidRPr="00524DAA" w:rsidRDefault="00273C76">
            <w:pPr>
              <w:autoSpaceDE w:val="0"/>
              <w:autoSpaceDN w:val="0"/>
              <w:adjustRightInd w:val="0"/>
              <w:spacing w:line="240" w:lineRule="auto"/>
              <w:ind w:left="68"/>
              <w:jc w:val="both"/>
              <w:rPr>
                <w:rFonts w:cstheme="minorHAnsi"/>
                <w:bCs/>
                <w:sz w:val="22"/>
                <w:szCs w:val="22"/>
              </w:rPr>
            </w:pPr>
            <w:r w:rsidRPr="00524DAA">
              <w:rPr>
                <w:rFonts w:cstheme="minorHAnsi"/>
                <w:bCs/>
              </w:rPr>
              <w:t xml:space="preserve">4 475 949 Kč </w:t>
            </w:r>
          </w:p>
        </w:tc>
      </w:tr>
      <w:tr w:rsidR="00273C76" w:rsidRPr="00524DAA" w:rsidTr="00273C76">
        <w:trPr>
          <w:trHeight w:val="561"/>
        </w:trPr>
        <w:tc>
          <w:tcPr>
            <w:tcW w:w="3402" w:type="dxa"/>
            <w:tcBorders>
              <w:top w:val="single" w:sz="4" w:space="0" w:color="auto"/>
              <w:left w:val="single" w:sz="4" w:space="0" w:color="auto"/>
              <w:bottom w:val="single" w:sz="4" w:space="0" w:color="auto"/>
              <w:right w:val="single" w:sz="4" w:space="0" w:color="auto"/>
            </w:tcBorders>
            <w:hideMark/>
          </w:tcPr>
          <w:p w:rsidR="00273C76" w:rsidRPr="00524DAA" w:rsidRDefault="00273C76">
            <w:pPr>
              <w:autoSpaceDE w:val="0"/>
              <w:autoSpaceDN w:val="0"/>
              <w:adjustRightInd w:val="0"/>
              <w:spacing w:line="240" w:lineRule="auto"/>
              <w:ind w:left="68"/>
              <w:jc w:val="both"/>
              <w:rPr>
                <w:rFonts w:cstheme="minorHAnsi"/>
                <w:bCs/>
                <w:sz w:val="22"/>
                <w:szCs w:val="22"/>
              </w:rPr>
            </w:pPr>
            <w:r w:rsidRPr="00524DAA">
              <w:rPr>
                <w:rFonts w:cstheme="minorHAnsi"/>
                <w:bCs/>
              </w:rPr>
              <w:t>Osvětová kampaň zaměřená na práva dětí v náhradní rodinné péči</w:t>
            </w:r>
          </w:p>
        </w:tc>
        <w:tc>
          <w:tcPr>
            <w:tcW w:w="3119" w:type="dxa"/>
            <w:tcBorders>
              <w:top w:val="single" w:sz="4" w:space="0" w:color="auto"/>
              <w:left w:val="single" w:sz="4" w:space="0" w:color="auto"/>
              <w:bottom w:val="single" w:sz="4" w:space="0" w:color="auto"/>
              <w:right w:val="single" w:sz="4" w:space="0" w:color="auto"/>
            </w:tcBorders>
            <w:hideMark/>
          </w:tcPr>
          <w:p w:rsidR="00273C76" w:rsidRPr="00524DAA" w:rsidRDefault="00273C76">
            <w:pPr>
              <w:autoSpaceDE w:val="0"/>
              <w:autoSpaceDN w:val="0"/>
              <w:adjustRightInd w:val="0"/>
              <w:spacing w:line="240" w:lineRule="auto"/>
              <w:ind w:left="68"/>
              <w:jc w:val="both"/>
              <w:rPr>
                <w:rFonts w:cstheme="minorHAnsi"/>
                <w:bCs/>
                <w:sz w:val="22"/>
                <w:szCs w:val="22"/>
              </w:rPr>
            </w:pPr>
            <w:r w:rsidRPr="00524DAA">
              <w:rPr>
                <w:rFonts w:cstheme="minorHAnsi"/>
                <w:bCs/>
              </w:rPr>
              <w:t>Kruh rodiny, o.p.s.</w:t>
            </w:r>
          </w:p>
        </w:tc>
        <w:tc>
          <w:tcPr>
            <w:tcW w:w="2583" w:type="dxa"/>
            <w:tcBorders>
              <w:top w:val="single" w:sz="4" w:space="0" w:color="auto"/>
              <w:left w:val="single" w:sz="4" w:space="0" w:color="auto"/>
              <w:bottom w:val="single" w:sz="4" w:space="0" w:color="auto"/>
              <w:right w:val="single" w:sz="4" w:space="0" w:color="auto"/>
            </w:tcBorders>
            <w:hideMark/>
          </w:tcPr>
          <w:p w:rsidR="00273C76" w:rsidRPr="00524DAA" w:rsidRDefault="00273C76">
            <w:pPr>
              <w:autoSpaceDE w:val="0"/>
              <w:autoSpaceDN w:val="0"/>
              <w:adjustRightInd w:val="0"/>
              <w:spacing w:line="240" w:lineRule="auto"/>
              <w:ind w:left="68"/>
              <w:jc w:val="both"/>
              <w:rPr>
                <w:rFonts w:cstheme="minorHAnsi"/>
                <w:bCs/>
                <w:sz w:val="22"/>
                <w:szCs w:val="22"/>
              </w:rPr>
            </w:pPr>
            <w:r w:rsidRPr="00524DAA">
              <w:rPr>
                <w:rFonts w:cstheme="minorHAnsi"/>
                <w:bCs/>
              </w:rPr>
              <w:t>2 265 242 Kč</w:t>
            </w:r>
          </w:p>
        </w:tc>
      </w:tr>
      <w:tr w:rsidR="00273C76" w:rsidRPr="00524DAA" w:rsidTr="00273C76">
        <w:tc>
          <w:tcPr>
            <w:tcW w:w="3402" w:type="dxa"/>
            <w:tcBorders>
              <w:top w:val="single" w:sz="4" w:space="0" w:color="auto"/>
              <w:left w:val="single" w:sz="4" w:space="0" w:color="auto"/>
              <w:bottom w:val="single" w:sz="4" w:space="0" w:color="auto"/>
              <w:right w:val="single" w:sz="4" w:space="0" w:color="auto"/>
            </w:tcBorders>
            <w:hideMark/>
          </w:tcPr>
          <w:p w:rsidR="00273C76" w:rsidRPr="00524DAA" w:rsidRDefault="00273C76">
            <w:pPr>
              <w:autoSpaceDE w:val="0"/>
              <w:autoSpaceDN w:val="0"/>
              <w:adjustRightInd w:val="0"/>
              <w:spacing w:line="240" w:lineRule="auto"/>
              <w:ind w:left="68"/>
              <w:jc w:val="both"/>
              <w:rPr>
                <w:rFonts w:cstheme="minorHAnsi"/>
                <w:bCs/>
                <w:sz w:val="22"/>
                <w:szCs w:val="22"/>
              </w:rPr>
            </w:pPr>
            <w:r w:rsidRPr="00524DAA">
              <w:rPr>
                <w:rFonts w:cstheme="minorHAnsi"/>
                <w:bCs/>
              </w:rPr>
              <w:t>Hlasy ohrožených dětí“</w:t>
            </w:r>
          </w:p>
        </w:tc>
        <w:tc>
          <w:tcPr>
            <w:tcW w:w="3119" w:type="dxa"/>
            <w:tcBorders>
              <w:top w:val="single" w:sz="4" w:space="0" w:color="auto"/>
              <w:left w:val="single" w:sz="4" w:space="0" w:color="auto"/>
              <w:bottom w:val="single" w:sz="4" w:space="0" w:color="auto"/>
              <w:right w:val="single" w:sz="4" w:space="0" w:color="auto"/>
            </w:tcBorders>
            <w:hideMark/>
          </w:tcPr>
          <w:p w:rsidR="00273C76" w:rsidRPr="00524DAA" w:rsidRDefault="00273C76">
            <w:pPr>
              <w:autoSpaceDE w:val="0"/>
              <w:autoSpaceDN w:val="0"/>
              <w:adjustRightInd w:val="0"/>
              <w:spacing w:line="240" w:lineRule="auto"/>
              <w:ind w:left="68"/>
              <w:jc w:val="both"/>
              <w:rPr>
                <w:rFonts w:cstheme="minorHAnsi"/>
                <w:bCs/>
                <w:sz w:val="22"/>
                <w:szCs w:val="22"/>
              </w:rPr>
            </w:pPr>
            <w:proofErr w:type="spellStart"/>
            <w:r w:rsidRPr="00524DAA">
              <w:rPr>
                <w:rFonts w:cstheme="minorHAnsi"/>
                <w:bCs/>
              </w:rPr>
              <w:t>Ašta</w:t>
            </w:r>
            <w:proofErr w:type="spellEnd"/>
            <w:r w:rsidRPr="00524DAA">
              <w:rPr>
                <w:rFonts w:cstheme="minorHAnsi"/>
                <w:bCs/>
              </w:rPr>
              <w:t xml:space="preserve"> </w:t>
            </w:r>
            <w:proofErr w:type="spellStart"/>
            <w:r w:rsidRPr="00524DAA">
              <w:rPr>
                <w:rFonts w:cstheme="minorHAnsi"/>
                <w:bCs/>
              </w:rPr>
              <w:t>šmé</w:t>
            </w:r>
            <w:proofErr w:type="spellEnd"/>
            <w:r w:rsidRPr="00524DAA">
              <w:rPr>
                <w:rFonts w:cstheme="minorHAnsi"/>
                <w:bCs/>
              </w:rPr>
              <w:t xml:space="preserve">, </w:t>
            </w:r>
            <w:proofErr w:type="spellStart"/>
            <w:r w:rsidRPr="00524DAA">
              <w:rPr>
                <w:rFonts w:cstheme="minorHAnsi"/>
                <w:bCs/>
              </w:rPr>
              <w:t>z.s</w:t>
            </w:r>
            <w:proofErr w:type="spellEnd"/>
            <w:r w:rsidRPr="00524DAA">
              <w:rPr>
                <w:rFonts w:cstheme="minorHAnsi"/>
                <w:bCs/>
              </w:rPr>
              <w:t>.</w:t>
            </w:r>
          </w:p>
        </w:tc>
        <w:tc>
          <w:tcPr>
            <w:tcW w:w="2583" w:type="dxa"/>
            <w:tcBorders>
              <w:top w:val="single" w:sz="4" w:space="0" w:color="auto"/>
              <w:left w:val="single" w:sz="4" w:space="0" w:color="auto"/>
              <w:bottom w:val="single" w:sz="4" w:space="0" w:color="auto"/>
              <w:right w:val="single" w:sz="4" w:space="0" w:color="auto"/>
            </w:tcBorders>
            <w:hideMark/>
          </w:tcPr>
          <w:p w:rsidR="00273C76" w:rsidRPr="00524DAA" w:rsidRDefault="00273C76">
            <w:pPr>
              <w:autoSpaceDE w:val="0"/>
              <w:autoSpaceDN w:val="0"/>
              <w:adjustRightInd w:val="0"/>
              <w:spacing w:line="240" w:lineRule="auto"/>
              <w:ind w:left="68"/>
              <w:jc w:val="both"/>
              <w:rPr>
                <w:rFonts w:cstheme="minorHAnsi"/>
                <w:bCs/>
                <w:sz w:val="22"/>
                <w:szCs w:val="22"/>
              </w:rPr>
            </w:pPr>
            <w:r w:rsidRPr="00524DAA">
              <w:rPr>
                <w:rFonts w:cstheme="minorHAnsi"/>
                <w:bCs/>
              </w:rPr>
              <w:t>1 562 760 Kč</w:t>
            </w:r>
          </w:p>
        </w:tc>
      </w:tr>
    </w:tbl>
    <w:p w:rsidR="00B239E3" w:rsidRDefault="0007087C" w:rsidP="00BD67CC">
      <w:pPr>
        <w:pStyle w:val="SingleTxtG"/>
      </w:pPr>
      <w:r>
        <w:t>* Zdroj: MPSV</w:t>
      </w:r>
    </w:p>
    <w:p w:rsidR="0007087C" w:rsidRPr="00524DAA" w:rsidRDefault="0007087C" w:rsidP="00BD67CC">
      <w:pPr>
        <w:pStyle w:val="SingleTxtG"/>
      </w:pPr>
    </w:p>
    <w:p w:rsidR="00BD67CC" w:rsidRPr="00524DAA" w:rsidRDefault="00216537" w:rsidP="00BD67CC">
      <w:pPr>
        <w:pStyle w:val="SingleTxtG"/>
      </w:pPr>
      <w:r>
        <w:t>40</w:t>
      </w:r>
      <w:r w:rsidR="0024315E">
        <w:t>.</w:t>
      </w:r>
      <w:r w:rsidR="00BD67CC" w:rsidRPr="00524DAA">
        <w:tab/>
        <w:t>M</w:t>
      </w:r>
      <w:r w:rsidR="005A5FB5">
        <w:t>inisterstvo zdravotnictví (dále jen „M</w:t>
      </w:r>
      <w:r w:rsidR="00BD67CC" w:rsidRPr="00524DAA">
        <w:t>Z</w:t>
      </w:r>
      <w:r w:rsidR="005A5FB5">
        <w:t>“)</w:t>
      </w:r>
      <w:r w:rsidR="00BD67CC" w:rsidRPr="00524DAA">
        <w:t xml:space="preserve"> realizuje zapojení relevantních zástupců dětí do pracovních skupin, které se zabývají problematikou úzce spojenou s jejich zájmy, nap</w:t>
      </w:r>
      <w:r w:rsidR="006A7B80">
        <w:t>ř. Pracovní skupina pro dětskou</w:t>
      </w:r>
      <w:r w:rsidR="005A5FB5">
        <w:t xml:space="preserve"> </w:t>
      </w:r>
      <w:r w:rsidR="00BD67CC" w:rsidRPr="00524DAA">
        <w:t xml:space="preserve">a dorostovou psychiatrii MZ, popř. jsou jejich zájmy uplatněny prostřednictvím rodičů dětí se </w:t>
      </w:r>
      <w:r w:rsidR="00683E5A" w:rsidRPr="00524DAA">
        <w:t>ZP</w:t>
      </w:r>
      <w:r w:rsidR="00BD67CC" w:rsidRPr="00524DAA">
        <w:t>.</w:t>
      </w:r>
    </w:p>
    <w:p w:rsidR="00A37DEA" w:rsidRPr="00524DAA" w:rsidRDefault="0024315E" w:rsidP="00BD67CC">
      <w:pPr>
        <w:pStyle w:val="SingleTxtG"/>
      </w:pPr>
      <w:r>
        <w:t>4</w:t>
      </w:r>
      <w:r w:rsidR="00216537">
        <w:t>1</w:t>
      </w:r>
      <w:r>
        <w:t>.</w:t>
      </w:r>
      <w:r w:rsidR="00BD67CC" w:rsidRPr="00524DAA">
        <w:tab/>
        <w:t xml:space="preserve">Zákon, o zdravotních službách </w:t>
      </w:r>
      <w:r w:rsidR="004E19AD">
        <w:t xml:space="preserve">nejenže vymezuje práva a postavení </w:t>
      </w:r>
      <w:r w:rsidR="00BD67CC" w:rsidRPr="00524DAA">
        <w:t>pacientů, a</w:t>
      </w:r>
      <w:r w:rsidR="004E19AD">
        <w:t>le</w:t>
      </w:r>
      <w:r w:rsidR="00BD67CC" w:rsidRPr="00524DAA">
        <w:t xml:space="preserve"> zvlášť upravuje práva nezletilých, osob s omezenou svéprávností, pacientů se smyslovým postižením nebo těžkými komunikačními problémy zapříčiněnými zdravotními důvody.</w:t>
      </w:r>
    </w:p>
    <w:p w:rsidR="00A37DEA" w:rsidRPr="00524DAA" w:rsidRDefault="00A37DEA" w:rsidP="001D4EF8">
      <w:pPr>
        <w:pStyle w:val="SingleTxtG"/>
      </w:pPr>
    </w:p>
    <w:p w:rsidR="00A37DEA" w:rsidRPr="00F445FB" w:rsidRDefault="00A37DEA" w:rsidP="00A37DEA">
      <w:pPr>
        <w:pStyle w:val="H1G"/>
      </w:pPr>
      <w:r w:rsidRPr="00524DAA">
        <w:tab/>
      </w:r>
      <w:r w:rsidRPr="00524DAA">
        <w:tab/>
        <w:t xml:space="preserve">Odpověď na otázku č. </w:t>
      </w:r>
      <w:r w:rsidR="00951C87" w:rsidRPr="00524DAA">
        <w:t>7</w:t>
      </w:r>
      <w:r w:rsidRPr="00524DAA">
        <w:t xml:space="preserve"> </w:t>
      </w:r>
      <w:r w:rsidR="00951C87" w:rsidRPr="00524DAA">
        <w:t>a</w:t>
      </w:r>
      <w:r w:rsidRPr="00524DAA">
        <w:t>)</w:t>
      </w:r>
    </w:p>
    <w:p w:rsidR="008F2973" w:rsidRPr="00524DAA" w:rsidRDefault="0024315E" w:rsidP="008F2973">
      <w:pPr>
        <w:pStyle w:val="SingleTxtG"/>
      </w:pPr>
      <w:r>
        <w:t>4</w:t>
      </w:r>
      <w:r w:rsidR="00216537">
        <w:t>2</w:t>
      </w:r>
      <w:r>
        <w:t>.</w:t>
      </w:r>
      <w:r w:rsidR="008F2973" w:rsidRPr="00524DAA">
        <w:tab/>
        <w:t xml:space="preserve">Zvyšování povědomí o situaci osob se ZP a osvětová činnost probíhá jak </w:t>
      </w:r>
      <w:r w:rsidR="00F012A9">
        <w:t>prostřednictvím vlastních aktivit jednotlivých resortů, popř. d</w:t>
      </w:r>
      <w:r w:rsidR="006A7B80">
        <w:t>alších veřejných institucí, tak</w:t>
      </w:r>
      <w:r w:rsidR="006A7B80">
        <w:br/>
      </w:r>
      <w:r w:rsidR="00F012A9">
        <w:t xml:space="preserve">i </w:t>
      </w:r>
      <w:r w:rsidR="008F2973" w:rsidRPr="00524DAA">
        <w:t>formou poskytování podpory projektům organizací neziskového sektoru</w:t>
      </w:r>
      <w:r w:rsidR="00F012A9">
        <w:t>.</w:t>
      </w:r>
    </w:p>
    <w:p w:rsidR="00575BBA" w:rsidRDefault="0024315E" w:rsidP="008F2973">
      <w:pPr>
        <w:pStyle w:val="SingleTxtG"/>
      </w:pPr>
      <w:r>
        <w:t>4</w:t>
      </w:r>
      <w:r w:rsidR="00216537">
        <w:t>3</w:t>
      </w:r>
      <w:r>
        <w:t>.</w:t>
      </w:r>
      <w:r w:rsidR="00575BBA">
        <w:tab/>
      </w:r>
      <w:r w:rsidR="00575BBA" w:rsidRPr="00575BBA">
        <w:t xml:space="preserve">Pokud jde o </w:t>
      </w:r>
      <w:r w:rsidR="00A662FF">
        <w:t xml:space="preserve">problematiku osob se ZP a </w:t>
      </w:r>
      <w:r w:rsidR="00575BBA" w:rsidRPr="00575BBA">
        <w:t xml:space="preserve">Úmluvu samotnou, </w:t>
      </w:r>
      <w:r w:rsidR="00A662FF" w:rsidRPr="00A662FF">
        <w:t>podpor</w:t>
      </w:r>
      <w:r w:rsidR="00A662FF">
        <w:t>uje</w:t>
      </w:r>
      <w:r w:rsidR="00A662FF" w:rsidRPr="00A662FF">
        <w:t xml:space="preserve"> zvyšování povědomí o právech osob se ZP vymezených Úmluvou</w:t>
      </w:r>
      <w:r w:rsidR="00A662FF">
        <w:t xml:space="preserve"> </w:t>
      </w:r>
      <w:r w:rsidR="00454057">
        <w:t>M</w:t>
      </w:r>
      <w:r w:rsidR="00EA1358">
        <w:t>P</w:t>
      </w:r>
      <w:r w:rsidR="00454057">
        <w:t>S</w:t>
      </w:r>
      <w:r w:rsidR="00EA1358">
        <w:t xml:space="preserve">V </w:t>
      </w:r>
      <w:r w:rsidR="00575BBA" w:rsidRPr="00575BBA">
        <w:t>jako její gestor</w:t>
      </w:r>
      <w:r w:rsidR="00A662FF">
        <w:t xml:space="preserve"> v rámci mnoha svých aktivit. </w:t>
      </w:r>
      <w:r w:rsidR="00EA1358">
        <w:t>V</w:t>
      </w:r>
      <w:r w:rsidR="00575BBA" w:rsidRPr="00575BBA">
        <w:t xml:space="preserve">e spolupráci s dalšími zainteresovanými partnery </w:t>
      </w:r>
      <w:r w:rsidR="00EA1358">
        <w:t xml:space="preserve">uspořádalo </w:t>
      </w:r>
      <w:r w:rsidR="00575BBA" w:rsidRPr="00575BBA">
        <w:t>řadu konferencí</w:t>
      </w:r>
      <w:r w:rsidR="009801CF">
        <w:t>,</w:t>
      </w:r>
      <w:r w:rsidR="00575BBA" w:rsidRPr="00575BBA">
        <w:t xml:space="preserve"> seminářů, </w:t>
      </w:r>
      <w:r w:rsidR="009801CF">
        <w:t xml:space="preserve">školení a vzdělávacích akcí, </w:t>
      </w:r>
      <w:r w:rsidR="00575BBA" w:rsidRPr="00575BBA">
        <w:t xml:space="preserve">a to jak pro osoby se </w:t>
      </w:r>
      <w:r w:rsidR="00EA1358">
        <w:t>ZP</w:t>
      </w:r>
      <w:r w:rsidR="00575BBA" w:rsidRPr="00575BBA">
        <w:t xml:space="preserve">, tak </w:t>
      </w:r>
      <w:r w:rsidR="009801CF">
        <w:t xml:space="preserve">i pro </w:t>
      </w:r>
      <w:r w:rsidR="00575BBA" w:rsidRPr="00575BBA">
        <w:t xml:space="preserve">pracovníky </w:t>
      </w:r>
      <w:r w:rsidR="00650FA2">
        <w:t xml:space="preserve">veřejné </w:t>
      </w:r>
      <w:r w:rsidR="00575BBA" w:rsidRPr="00575BBA">
        <w:t>správy a samosprávy. Cílem těchto akcí bylo informovat o jednotlivých ustanoveních Úmluvy</w:t>
      </w:r>
      <w:r w:rsidR="009801CF">
        <w:t xml:space="preserve">, </w:t>
      </w:r>
      <w:r w:rsidR="009801CF" w:rsidRPr="009801CF">
        <w:t>zvyšov</w:t>
      </w:r>
      <w:r w:rsidR="009801CF">
        <w:t>at</w:t>
      </w:r>
      <w:r w:rsidR="009801CF" w:rsidRPr="009801CF">
        <w:t xml:space="preserve"> povědomí o principech rovného zacházení a důležitosti jejich dodržování</w:t>
      </w:r>
      <w:r w:rsidR="00575BBA" w:rsidRPr="00575BBA">
        <w:t xml:space="preserve"> a navázat spolupráci nezbytnou pro provádění </w:t>
      </w:r>
      <w:r w:rsidR="009801CF">
        <w:t xml:space="preserve">Úmluvy </w:t>
      </w:r>
      <w:r w:rsidR="00575BBA" w:rsidRPr="00575BBA">
        <w:t>v</w:t>
      </w:r>
      <w:r w:rsidR="00EA1358">
        <w:t> </w:t>
      </w:r>
      <w:r w:rsidR="00575BBA" w:rsidRPr="00575BBA">
        <w:t>Č</w:t>
      </w:r>
      <w:r w:rsidR="00EA1358">
        <w:t>R</w:t>
      </w:r>
      <w:r w:rsidR="00575BBA" w:rsidRPr="00575BBA">
        <w:t>.</w:t>
      </w:r>
      <w:r w:rsidR="00035F22">
        <w:t xml:space="preserve"> </w:t>
      </w:r>
    </w:p>
    <w:p w:rsidR="00E939ED" w:rsidRDefault="0024315E" w:rsidP="00E939ED">
      <w:pPr>
        <w:pStyle w:val="SingleTxtG"/>
      </w:pPr>
      <w:r>
        <w:t>4</w:t>
      </w:r>
      <w:r w:rsidR="00216537">
        <w:t>4</w:t>
      </w:r>
      <w:r>
        <w:t>.</w:t>
      </w:r>
      <w:r w:rsidR="00E939ED">
        <w:tab/>
        <w:t>V rámci své ediční a publikační činnosti informuje MPSV veřejnost prostřednictvím svých webových stránek a vydávaných publikací o pro</w:t>
      </w:r>
      <w:r w:rsidR="006A7B80">
        <w:t>blematice a právech osob se ZP.</w:t>
      </w:r>
      <w:r w:rsidR="006A7B80">
        <w:br/>
      </w:r>
      <w:r w:rsidR="00E939ED">
        <w:t>V rámci svého edičního plánu tak v posledních letech vydalo např. MPSV mj. i následující publikace zohledňující problematiku osob se ZP:</w:t>
      </w:r>
    </w:p>
    <w:p w:rsidR="00E939ED" w:rsidRDefault="00E939ED" w:rsidP="008D605B">
      <w:pPr>
        <w:pStyle w:val="Bullet1G"/>
      </w:pPr>
      <w:r>
        <w:t>Příručka pro osoby se zdravotním postižením v roce 201</w:t>
      </w:r>
      <w:r w:rsidR="008B15A1">
        <w:t>6</w:t>
      </w:r>
      <w:r>
        <w:t xml:space="preserve"> (http://www.mpsv.cz/files/clanky/29022/Prirucka_pro_OZP_v_roce_2016.pdf) – Jedná se o III. vydání příručky, která v jednoduché a srozumitelné formě vysvětluje složitý systém posuzování zdravotního stavu ve vztahu k dávkám pro osoby se ZP, příspěvku na péči a</w:t>
      </w:r>
      <w:r w:rsidR="008E6EF9">
        <w:t>j</w:t>
      </w:r>
      <w:r>
        <w:t xml:space="preserve">. Je určena nejen pro osoby se ZP, ale i pro lidi bez </w:t>
      </w:r>
      <w:r w:rsidR="008E6EF9">
        <w:t>zdravotního postižení.</w:t>
      </w:r>
    </w:p>
    <w:p w:rsidR="00E939ED" w:rsidRDefault="00E939ED" w:rsidP="008B15A1">
      <w:pPr>
        <w:pStyle w:val="Bullet1G"/>
      </w:pPr>
      <w:r>
        <w:t>Minimální kritéria kvality plánování rozvoje sociálních služeb na krajské úrovni – Titul se zaměřuje na stanovení minimálních kritérií kvality pro plánování rozvoje sociálních služeb na krajské úrovni.</w:t>
      </w:r>
    </w:p>
    <w:p w:rsidR="00E939ED" w:rsidRDefault="00E939ED" w:rsidP="008B15A1">
      <w:pPr>
        <w:pStyle w:val="Bullet1G"/>
      </w:pPr>
      <w:r>
        <w:t>Slovník sociálního zabezpečení 2015 – Slovník sociálního zabezpečení je určen nejen pro odbornou ale i laickou veřejnost, která v něm najde v jednoduché formě vysvětlené základní pojmy z celé oblasti sociáln</w:t>
      </w:r>
      <w:r w:rsidR="006A7B80">
        <w:t>ího zabezpečení. Jedná se např.</w:t>
      </w:r>
      <w:r w:rsidR="006A7B80">
        <w:br/>
      </w:r>
      <w:r>
        <w:t>o oblast sociálního a důchodového pojištění, nemocenského pojištění, nepojistných sociálních dávek a dávek pro osoby se ZP, podpory v nezaměstnanosti, činnosti lékařské posudkové služby a</w:t>
      </w:r>
      <w:r w:rsidR="008B15A1">
        <w:t>po</w:t>
      </w:r>
      <w:r w:rsidR="009203B4">
        <w:t>d.</w:t>
      </w:r>
    </w:p>
    <w:p w:rsidR="00E939ED" w:rsidRDefault="00E939ED" w:rsidP="00CC5FB5">
      <w:pPr>
        <w:pStyle w:val="Bullet1G"/>
      </w:pPr>
      <w:r>
        <w:lastRenderedPageBreak/>
        <w:t>Webový portál www.mpsv.cz má i zvláštní záložku „zdravotní postižení“, která obsahuje informace důležité pro osoby se ZP.</w:t>
      </w:r>
    </w:p>
    <w:p w:rsidR="00566EEF" w:rsidRDefault="0024315E" w:rsidP="008F2973">
      <w:pPr>
        <w:pStyle w:val="SingleTxtG"/>
      </w:pPr>
      <w:r>
        <w:t>4</w:t>
      </w:r>
      <w:r w:rsidR="006209DA">
        <w:t>5</w:t>
      </w:r>
      <w:r>
        <w:t>.</w:t>
      </w:r>
      <w:r w:rsidR="00566EEF">
        <w:tab/>
        <w:t xml:space="preserve">Celou řadu akcí </w:t>
      </w:r>
      <w:r w:rsidR="00A26FF2">
        <w:t xml:space="preserve">a aktivit </w:t>
      </w:r>
      <w:r w:rsidR="00566EEF">
        <w:t>uskutečnilo MPSV prostřednictvím dvou systémových projektů realizovaných v rámci O</w:t>
      </w:r>
      <w:r w:rsidR="009203B4">
        <w:t>PZ</w:t>
      </w:r>
      <w:r w:rsidR="00566EEF">
        <w:t xml:space="preserve">, kterými jsou projekt </w:t>
      </w:r>
      <w:r w:rsidR="0036283D">
        <w:t>„</w:t>
      </w:r>
      <w:r w:rsidR="00566EEF">
        <w:t>Život jako každý jiný</w:t>
      </w:r>
      <w:r w:rsidR="0036283D">
        <w:t>“</w:t>
      </w:r>
      <w:r w:rsidR="00566EEF">
        <w:t xml:space="preserve"> a</w:t>
      </w:r>
      <w:r w:rsidR="00A26FF2">
        <w:t> </w:t>
      </w:r>
      <w:r w:rsidR="00566EEF">
        <w:t xml:space="preserve">projekt </w:t>
      </w:r>
      <w:r w:rsidR="0036283D">
        <w:t>„</w:t>
      </w:r>
      <w:r w:rsidR="00566EEF">
        <w:t>Rozvoj systém</w:t>
      </w:r>
      <w:r w:rsidR="00AB022E">
        <w:t>u sociálních služeb</w:t>
      </w:r>
      <w:r w:rsidR="0036283D">
        <w:t>“</w:t>
      </w:r>
      <w:r w:rsidR="00AB022E">
        <w:t>.</w:t>
      </w:r>
      <w:r w:rsidR="001F376E">
        <w:t xml:space="preserve"> B</w:t>
      </w:r>
      <w:r w:rsidR="00961ADF">
        <w:t>liž</w:t>
      </w:r>
      <w:r w:rsidR="001F376E">
        <w:t xml:space="preserve">ší informace k oběma projektům viz </w:t>
      </w:r>
      <w:r w:rsidR="00412A62">
        <w:t xml:space="preserve">též </w:t>
      </w:r>
      <w:r w:rsidR="001F376E">
        <w:t>odpově</w:t>
      </w:r>
      <w:r w:rsidR="00412A62">
        <w:t>di</w:t>
      </w:r>
      <w:r w:rsidR="001F376E">
        <w:t xml:space="preserve"> na otázk</w:t>
      </w:r>
      <w:r w:rsidR="00487FF4">
        <w:t>y</w:t>
      </w:r>
      <w:r w:rsidR="001F376E">
        <w:t xml:space="preserve"> </w:t>
      </w:r>
      <w:r w:rsidR="00972FA0">
        <w:t xml:space="preserve">č. </w:t>
      </w:r>
      <w:r w:rsidR="001F376E">
        <w:t>7 b)</w:t>
      </w:r>
      <w:r w:rsidR="00E409B2">
        <w:t xml:space="preserve"> </w:t>
      </w:r>
      <w:r w:rsidR="00E409B2" w:rsidRPr="00E409B2">
        <w:t>(odst. 49)</w:t>
      </w:r>
      <w:r w:rsidR="00972FA0">
        <w:t>,</w:t>
      </w:r>
      <w:r w:rsidR="00412A62">
        <w:t xml:space="preserve"> </w:t>
      </w:r>
      <w:r w:rsidR="00972FA0">
        <w:t>14 b)</w:t>
      </w:r>
      <w:r w:rsidR="00B95B41">
        <w:t xml:space="preserve"> </w:t>
      </w:r>
      <w:r w:rsidR="00B95B41" w:rsidRPr="00B95B41">
        <w:t>(odst. 173 a 174)</w:t>
      </w:r>
      <w:r w:rsidR="00487FF4">
        <w:t xml:space="preserve">, </w:t>
      </w:r>
      <w:r w:rsidR="00CD678D" w:rsidRPr="00CD678D">
        <w:t>16 a) (odst. 181 a 183)</w:t>
      </w:r>
      <w:r w:rsidR="00CD678D">
        <w:t xml:space="preserve">, </w:t>
      </w:r>
      <w:r w:rsidR="00487FF4">
        <w:t xml:space="preserve">16 b) </w:t>
      </w:r>
      <w:r w:rsidR="00CD678D" w:rsidRPr="00CD678D">
        <w:t>(odst.</w:t>
      </w:r>
      <w:r w:rsidR="00CD678D">
        <w:t> </w:t>
      </w:r>
      <w:r w:rsidR="00CD678D" w:rsidRPr="00CD678D">
        <w:t xml:space="preserve">191) </w:t>
      </w:r>
      <w:r w:rsidR="00487FF4">
        <w:t>a 18 c)</w:t>
      </w:r>
      <w:r w:rsidR="00CD678D">
        <w:t xml:space="preserve"> </w:t>
      </w:r>
      <w:r w:rsidR="00CD678D" w:rsidRPr="00CD678D">
        <w:t>(odst. 216)</w:t>
      </w:r>
      <w:r w:rsidR="00487FF4">
        <w:t>.</w:t>
      </w:r>
    </w:p>
    <w:p w:rsidR="008F2973" w:rsidRPr="00524DAA" w:rsidRDefault="006171B5" w:rsidP="008F2973">
      <w:pPr>
        <w:pStyle w:val="SingleTxtG"/>
      </w:pPr>
      <w:r>
        <w:t>4</w:t>
      </w:r>
      <w:r w:rsidR="006209DA">
        <w:t>6</w:t>
      </w:r>
      <w:r w:rsidR="0024315E">
        <w:t>.</w:t>
      </w:r>
      <w:r w:rsidR="00761267" w:rsidRPr="00524DAA">
        <w:tab/>
      </w:r>
      <w:r w:rsidR="008F2973" w:rsidRPr="00524DAA">
        <w:t xml:space="preserve">Prostřednictvím dotačního programu Podpora veřejně </w:t>
      </w:r>
      <w:r w:rsidR="00237A26">
        <w:t xml:space="preserve">prospěšných </w:t>
      </w:r>
      <w:r w:rsidR="008F2973" w:rsidRPr="00524DAA">
        <w:t>aktivit spolků zdravotně postižených, který je každoročně vyhlašová</w:t>
      </w:r>
      <w:r w:rsidR="006A7B80">
        <w:t>n Úřadem vlády ČR ve spolupráci</w:t>
      </w:r>
      <w:r w:rsidR="006A7B80">
        <w:br/>
      </w:r>
      <w:r w:rsidR="008F2973" w:rsidRPr="00524DAA">
        <w:t xml:space="preserve">s VVOZP jsou podporovány edukační a informační činnosti v oblasti vyrovnávání příležitostí pro osoby se </w:t>
      </w:r>
      <w:r w:rsidR="00761267" w:rsidRPr="00524DAA">
        <w:t>ZP</w:t>
      </w:r>
      <w:r w:rsidR="008F2973" w:rsidRPr="00524DAA">
        <w:t>, a to např. pořádání informačních kampaní pro veřejnost, účast na výstavách a veřejných prezentacích</w:t>
      </w:r>
      <w:r w:rsidR="00761267" w:rsidRPr="00524DAA">
        <w:t>,</w:t>
      </w:r>
      <w:r w:rsidR="008F2973" w:rsidRPr="00524DAA">
        <w:t xml:space="preserve"> vč</w:t>
      </w:r>
      <w:r w:rsidR="00761267" w:rsidRPr="00524DAA">
        <w:t>.</w:t>
      </w:r>
      <w:r w:rsidR="008F2973" w:rsidRPr="00524DAA">
        <w:t xml:space="preserve"> doprovodných programů, pořádání odborných konferencí a seminářů, provoz informačních webových portálů, vydávání informačních materiálů, letáků, tiskovin a publikací s tematikou zdravotního postižení. </w:t>
      </w:r>
    </w:p>
    <w:p w:rsidR="008F2973" w:rsidRPr="00524DAA" w:rsidRDefault="006171B5" w:rsidP="008F2973">
      <w:pPr>
        <w:pStyle w:val="SingleTxtG"/>
      </w:pPr>
      <w:r>
        <w:t>4</w:t>
      </w:r>
      <w:r w:rsidR="006209DA">
        <w:t>7</w:t>
      </w:r>
      <w:r w:rsidR="0024315E">
        <w:t>.</w:t>
      </w:r>
      <w:r w:rsidR="00761267" w:rsidRPr="00524DAA">
        <w:tab/>
      </w:r>
      <w:r w:rsidR="008F2973" w:rsidRPr="00524DAA">
        <w:t>VVOZP dále každ</w:t>
      </w:r>
      <w:r w:rsidR="00965E06">
        <w:t xml:space="preserve">ý rok </w:t>
      </w:r>
      <w:r w:rsidR="001930E2">
        <w:t>vyhlašuje soutěž V</w:t>
      </w:r>
      <w:r w:rsidR="00965E06">
        <w:t xml:space="preserve">ýroční </w:t>
      </w:r>
      <w:r w:rsidR="008F2973" w:rsidRPr="00524DAA">
        <w:t>cen</w:t>
      </w:r>
      <w:r w:rsidR="001930E2">
        <w:t>a</w:t>
      </w:r>
      <w:r w:rsidR="008F2973" w:rsidRPr="00524DAA">
        <w:t xml:space="preserve"> </w:t>
      </w:r>
      <w:r w:rsidR="001930E2">
        <w:t xml:space="preserve">VVOZP </w:t>
      </w:r>
      <w:r w:rsidR="008F2973" w:rsidRPr="00524DAA">
        <w:t xml:space="preserve">za publicistické práce </w:t>
      </w:r>
      <w:r w:rsidR="00965E06" w:rsidRPr="00965E06">
        <w:t>v kategoriích tiskov</w:t>
      </w:r>
      <w:r w:rsidR="001930E2">
        <w:t>ý</w:t>
      </w:r>
      <w:r w:rsidR="00965E06" w:rsidRPr="00965E06">
        <w:t>, rozhlasov</w:t>
      </w:r>
      <w:r w:rsidR="001930E2">
        <w:t>ý</w:t>
      </w:r>
      <w:r w:rsidR="00965E06" w:rsidRPr="00965E06">
        <w:t xml:space="preserve"> a televizní pořad </w:t>
      </w:r>
      <w:r w:rsidR="008F2973" w:rsidRPr="00524DAA">
        <w:t xml:space="preserve">a </w:t>
      </w:r>
      <w:r w:rsidR="00965E06">
        <w:t xml:space="preserve">dále </w:t>
      </w:r>
      <w:r w:rsidR="001930E2">
        <w:t xml:space="preserve">v kategorii </w:t>
      </w:r>
      <w:r w:rsidR="008F2973" w:rsidRPr="00524DAA">
        <w:t>fotografie zaměřené na téma zdravotního postižení</w:t>
      </w:r>
      <w:r w:rsidR="00A32CE2">
        <w:t>.</w:t>
      </w:r>
      <w:r w:rsidR="006A7B80">
        <w:t xml:space="preserve"> Cena</w:t>
      </w:r>
      <w:r w:rsidR="001930E2">
        <w:t xml:space="preserve"> </w:t>
      </w:r>
      <w:r w:rsidR="008F2973" w:rsidRPr="00524DAA">
        <w:t xml:space="preserve">i fotografická soutěž jsou vyhlašovány </w:t>
      </w:r>
      <w:r w:rsidR="00A32CE2">
        <w:t>u příležitosti oslav Mezinárodního dne osob se ZP</w:t>
      </w:r>
      <w:r w:rsidR="00A32CE2" w:rsidRPr="00524DAA">
        <w:t xml:space="preserve"> </w:t>
      </w:r>
      <w:r w:rsidR="00FB1128">
        <w:t xml:space="preserve">a </w:t>
      </w:r>
      <w:r w:rsidR="008F2973" w:rsidRPr="00524DAA">
        <w:t>s cílem upoutat pozornost médií k</w:t>
      </w:r>
      <w:r w:rsidR="00A32CE2">
        <w:t> </w:t>
      </w:r>
      <w:r w:rsidR="008F2973" w:rsidRPr="00524DAA">
        <w:t>tématu zdravotního postižení a jejich prostřednictvím pozitivně ovlivňovat mínění a</w:t>
      </w:r>
      <w:r w:rsidR="00FB1128">
        <w:t> </w:t>
      </w:r>
      <w:r w:rsidR="008F2973" w:rsidRPr="00524DAA">
        <w:t xml:space="preserve">postoje veřejnosti vůči osobám se </w:t>
      </w:r>
      <w:r w:rsidR="00761267" w:rsidRPr="00524DAA">
        <w:t>ZP</w:t>
      </w:r>
      <w:r w:rsidR="008F2973" w:rsidRPr="00524DAA">
        <w:t>.</w:t>
      </w:r>
    </w:p>
    <w:p w:rsidR="00A37DEA" w:rsidRPr="00524DAA" w:rsidRDefault="006171B5" w:rsidP="001D4EF8">
      <w:pPr>
        <w:pStyle w:val="SingleTxtG"/>
      </w:pPr>
      <w:r>
        <w:t>4</w:t>
      </w:r>
      <w:r w:rsidR="006209DA">
        <w:t>8</w:t>
      </w:r>
      <w:r w:rsidR="0024315E">
        <w:t>.</w:t>
      </w:r>
      <w:r w:rsidR="002650D5" w:rsidRPr="00524DAA">
        <w:tab/>
      </w:r>
      <w:r w:rsidR="007A17E1" w:rsidRPr="00524DAA">
        <w:t xml:space="preserve">MZ </w:t>
      </w:r>
      <w:r w:rsidR="002650D5" w:rsidRPr="00524DAA">
        <w:t xml:space="preserve">podporuje </w:t>
      </w:r>
      <w:r w:rsidR="007A17E1" w:rsidRPr="00524DAA">
        <w:t xml:space="preserve">edukační, osvětovou a informační činnost v oblasti vyrovnávání příležitostí pro osoby se </w:t>
      </w:r>
      <w:r w:rsidR="00761267" w:rsidRPr="00524DAA">
        <w:t>ZP prostřednictvím Programu grantové podpory a Programu vyrovnávání příležitostí pro občany se zdravotním postižením</w:t>
      </w:r>
      <w:r w:rsidR="007A17E1" w:rsidRPr="00524DAA">
        <w:t xml:space="preserve">. V rámci těchto programů je přispíváno na pořádání informačních kampaní, </w:t>
      </w:r>
      <w:r w:rsidR="006A7B80">
        <w:t>odborných konferencí, přednášek</w:t>
      </w:r>
      <w:r w:rsidR="006A7B80">
        <w:br/>
      </w:r>
      <w:r w:rsidR="007A17E1" w:rsidRPr="00524DAA">
        <w:t>a seminářů, provoz informačních webových portálů, vydávání edukačních a informačních materiálů, letáků, tiskovin a publikací s tematikou zdravotního postižení. Jednotlivé aktivity jsou zaměřeny jak na odbornou a laickou veřejnost</w:t>
      </w:r>
      <w:r w:rsidR="00761267" w:rsidRPr="00524DAA">
        <w:t>,</w:t>
      </w:r>
      <w:r w:rsidR="007A17E1" w:rsidRPr="00524DAA">
        <w:t xml:space="preserve"> tak i </w:t>
      </w:r>
      <w:r w:rsidR="002650D5" w:rsidRPr="00524DAA">
        <w:t xml:space="preserve">na </w:t>
      </w:r>
      <w:r w:rsidR="007A17E1" w:rsidRPr="00524DAA">
        <w:t xml:space="preserve">osoby </w:t>
      </w:r>
      <w:r w:rsidR="002650D5" w:rsidRPr="00524DAA">
        <w:t xml:space="preserve">se </w:t>
      </w:r>
      <w:r w:rsidR="00761267" w:rsidRPr="00524DAA">
        <w:t xml:space="preserve">ZP </w:t>
      </w:r>
      <w:r w:rsidR="007A17E1" w:rsidRPr="00524DAA">
        <w:t>a jejich blízké.</w:t>
      </w:r>
    </w:p>
    <w:p w:rsidR="00597148" w:rsidRPr="00524DAA" w:rsidRDefault="00597148" w:rsidP="001D4EF8">
      <w:pPr>
        <w:pStyle w:val="SingleTxtG"/>
      </w:pPr>
    </w:p>
    <w:p w:rsidR="00951C87" w:rsidRPr="00CC5FB5" w:rsidRDefault="00951C87" w:rsidP="00951C87">
      <w:pPr>
        <w:pStyle w:val="H1G"/>
      </w:pPr>
      <w:r w:rsidRPr="00524DAA">
        <w:tab/>
      </w:r>
      <w:r w:rsidRPr="00524DAA">
        <w:tab/>
        <w:t>Odpověď na otázku č. 7 b)</w:t>
      </w:r>
    </w:p>
    <w:p w:rsidR="00E2005A" w:rsidRDefault="006171B5" w:rsidP="00431BC9">
      <w:pPr>
        <w:pStyle w:val="SingleTxtG"/>
      </w:pPr>
      <w:r>
        <w:t>4</w:t>
      </w:r>
      <w:r w:rsidR="006209DA">
        <w:t>9</w:t>
      </w:r>
      <w:r w:rsidR="00067A9E">
        <w:t>.</w:t>
      </w:r>
      <w:r w:rsidR="00E2005A">
        <w:tab/>
      </w:r>
      <w:r w:rsidR="00AE7BD0">
        <w:t xml:space="preserve">Prostřednictvím </w:t>
      </w:r>
      <w:r w:rsidR="00B15C60">
        <w:t xml:space="preserve">systémového </w:t>
      </w:r>
      <w:r w:rsidR="00E2005A" w:rsidRPr="00E2005A">
        <w:t xml:space="preserve">projektu </w:t>
      </w:r>
      <w:r w:rsidR="00AE7BD0">
        <w:t>„</w:t>
      </w:r>
      <w:r w:rsidR="00E2005A" w:rsidRPr="00E2005A">
        <w:t>Život jako každý jiný</w:t>
      </w:r>
      <w:r w:rsidR="00AE7BD0">
        <w:t>“</w:t>
      </w:r>
      <w:r w:rsidR="00E2005A" w:rsidRPr="00E2005A">
        <w:t xml:space="preserve"> </w:t>
      </w:r>
      <w:r w:rsidR="00B15C60">
        <w:t>realizovaného od roku</w:t>
      </w:r>
      <w:r w:rsidR="006A7B80">
        <w:t xml:space="preserve"> 2016</w:t>
      </w:r>
      <w:r w:rsidR="00AE7BD0">
        <w:t xml:space="preserve"> </w:t>
      </w:r>
      <w:r w:rsidR="00B15C60">
        <w:t xml:space="preserve">z prostředků </w:t>
      </w:r>
      <w:r w:rsidR="00AE7BD0">
        <w:t xml:space="preserve">OPZ </w:t>
      </w:r>
      <w:r w:rsidR="00E2005A" w:rsidRPr="00E2005A">
        <w:t xml:space="preserve">zvyšuje </w:t>
      </w:r>
      <w:r w:rsidR="00C411C6">
        <w:t xml:space="preserve">MPSV </w:t>
      </w:r>
      <w:r w:rsidR="00E2005A" w:rsidRPr="00E2005A">
        <w:t>informovanost o smyslu a cílech transformace sociálních služeb, rizicích péče v zařízeních ústavního charakteru a významu nezávislého způsobu života</w:t>
      </w:r>
      <w:r w:rsidR="00B15C60">
        <w:t xml:space="preserve">, a to </w:t>
      </w:r>
      <w:r w:rsidR="00E2005A" w:rsidRPr="00E2005A">
        <w:t xml:space="preserve">na webové stránce www.trass.cz a facebookovém profilu Národního centra podpory transformace sociálních služeb (https://www.facebook.com/trass.cz). V rámci projektu </w:t>
      </w:r>
      <w:r w:rsidR="00B15C60">
        <w:t xml:space="preserve">byly uskutečněny </w:t>
      </w:r>
      <w:r w:rsidR="00E2005A" w:rsidRPr="00E2005A">
        <w:t xml:space="preserve">rozhovory s lidmi se </w:t>
      </w:r>
      <w:r w:rsidR="00E2005A">
        <w:t>ZP</w:t>
      </w:r>
      <w:r w:rsidR="00E2005A" w:rsidRPr="00E2005A">
        <w:t xml:space="preserve"> či s jejich zástupci, které </w:t>
      </w:r>
      <w:r w:rsidR="00B15C60">
        <w:t xml:space="preserve">jsou </w:t>
      </w:r>
      <w:r w:rsidR="00E2005A" w:rsidRPr="00E2005A">
        <w:t>umístěny na webov</w:t>
      </w:r>
      <w:r w:rsidR="00B15C60">
        <w:t>ých</w:t>
      </w:r>
      <w:r w:rsidR="00E2005A" w:rsidRPr="00E2005A">
        <w:t xml:space="preserve"> stránk</w:t>
      </w:r>
      <w:r w:rsidR="00B15C60">
        <w:t>ách</w:t>
      </w:r>
      <w:r w:rsidR="00E2005A" w:rsidRPr="00E2005A">
        <w:t xml:space="preserve"> projektu </w:t>
      </w:r>
      <w:hyperlink r:id="rId12" w:history="1">
        <w:r w:rsidR="008A55E2" w:rsidRPr="00431ABF">
          <w:rPr>
            <w:rStyle w:val="Hypertextovodkaz"/>
          </w:rPr>
          <w:t>www.trass.cz</w:t>
        </w:r>
      </w:hyperlink>
      <w:r w:rsidR="00E2005A" w:rsidRPr="00E2005A">
        <w:t>.</w:t>
      </w:r>
      <w:r w:rsidR="008A55E2">
        <w:t xml:space="preserve"> </w:t>
      </w:r>
      <w:r w:rsidR="008A55E2" w:rsidRPr="008A55E2">
        <w:t xml:space="preserve">V rámci projektu byly pořádány </w:t>
      </w:r>
      <w:r w:rsidR="008A55E2">
        <w:t xml:space="preserve">i </w:t>
      </w:r>
      <w:r w:rsidR="008A55E2" w:rsidRPr="008A55E2">
        <w:t>metodické dny, z nichž osm bylo v roce 2018 zaměřeno na problematiku života osob s</w:t>
      </w:r>
      <w:r w:rsidR="00AE7BD0">
        <w:t> </w:t>
      </w:r>
      <w:r w:rsidR="008A55E2" w:rsidRPr="008A55E2">
        <w:t xml:space="preserve">duševním onemocněním. Na podzim roku 2018 proběhla </w:t>
      </w:r>
      <w:r w:rsidR="008E6EF9">
        <w:t xml:space="preserve">prostřednictvím </w:t>
      </w:r>
      <w:r w:rsidR="008A55E2" w:rsidRPr="008A55E2">
        <w:t>to</w:t>
      </w:r>
      <w:r w:rsidR="008E6EF9">
        <w:t xml:space="preserve">hoto </w:t>
      </w:r>
      <w:r w:rsidR="008A55E2" w:rsidRPr="008A55E2">
        <w:t>projektu destigmatizační kampaň zacílená na širokou veřejnost, která mj</w:t>
      </w:r>
      <w:r w:rsidR="008A55E2">
        <w:t>.</w:t>
      </w:r>
      <w:r w:rsidR="008A55E2" w:rsidRPr="008A55E2">
        <w:t xml:space="preserve"> podporovala život v přirozeném prostředí i u osob s duševním onemocněním.</w:t>
      </w:r>
    </w:p>
    <w:p w:rsidR="00761267" w:rsidRPr="00524DAA" w:rsidRDefault="006209DA" w:rsidP="00431BC9">
      <w:pPr>
        <w:pStyle w:val="SingleTxtG"/>
      </w:pPr>
      <w:r>
        <w:t>50</w:t>
      </w:r>
      <w:r w:rsidR="00067A9E">
        <w:t>.</w:t>
      </w:r>
      <w:r w:rsidR="00761267" w:rsidRPr="00524DAA">
        <w:tab/>
        <w:t>Boj proti stereotypům, předsudkům či stigmatizaci podporuje VVOZP prostřednictvím dotačního programu Podpora veřejně prospěšných aktivit spolků zdravotně postižených. Destigmatizaci se věnoval např. projekt Spolku KOLUMBUS, který v rámci svého projektu informoval a vzdělával uživatele psychiat</w:t>
      </w:r>
      <w:r w:rsidR="006A7B80">
        <w:t>rické péče a odbornou veřejnost</w:t>
      </w:r>
      <w:r w:rsidR="006A7B80">
        <w:br/>
      </w:r>
      <w:r w:rsidR="00761267" w:rsidRPr="00524DAA">
        <w:t>o postupu Reformy psychiatrické péče. Dále se spolek věnoval osvětové činnosti pro hospitalizované pacienty v psychiatrických nemocnicích.</w:t>
      </w:r>
    </w:p>
    <w:p w:rsidR="00431BC9" w:rsidRPr="00524DAA" w:rsidRDefault="00067A9E" w:rsidP="00431BC9">
      <w:pPr>
        <w:pStyle w:val="SingleTxtG"/>
      </w:pPr>
      <w:r>
        <w:t>5</w:t>
      </w:r>
      <w:r w:rsidR="006209DA">
        <w:t>1</w:t>
      </w:r>
      <w:r>
        <w:t>.</w:t>
      </w:r>
      <w:r w:rsidR="00431BC9" w:rsidRPr="00524DAA">
        <w:tab/>
      </w:r>
      <w:r w:rsidR="00C342CD">
        <w:t>V</w:t>
      </w:r>
      <w:r w:rsidR="00761267" w:rsidRPr="00524DAA">
        <w:t> rámci resortu zdravotnictví je d</w:t>
      </w:r>
      <w:r w:rsidR="00431BC9" w:rsidRPr="00524DAA">
        <w:t xml:space="preserve">estigmatizace lidí s duševním onemocněním řešena </w:t>
      </w:r>
      <w:r w:rsidR="00A7438D">
        <w:t xml:space="preserve">prostřednictvím </w:t>
      </w:r>
      <w:r w:rsidR="00431BC9" w:rsidRPr="00524DAA">
        <w:t xml:space="preserve">stejnojmenného projektu, který </w:t>
      </w:r>
      <w:r w:rsidR="003A6B11">
        <w:t>za</w:t>
      </w:r>
      <w:r w:rsidR="00431BC9" w:rsidRPr="00524DAA">
        <w:t xml:space="preserve"> finanční podpor</w:t>
      </w:r>
      <w:r w:rsidR="003A6B11">
        <w:t>y</w:t>
      </w:r>
      <w:r w:rsidR="00431BC9" w:rsidRPr="00524DAA">
        <w:t xml:space="preserve"> O</w:t>
      </w:r>
      <w:r w:rsidR="00E263A0">
        <w:t>PZ</w:t>
      </w:r>
      <w:r w:rsidR="00431BC9" w:rsidRPr="00524DAA">
        <w:t xml:space="preserve"> realizuje Národní ústav duševního zdraví. Projekt je realizován </w:t>
      </w:r>
      <w:r w:rsidR="006A7B80">
        <w:t>v období září 2017 – srpen 2022</w:t>
      </w:r>
      <w:r w:rsidR="00A7438D">
        <w:t xml:space="preserve"> </w:t>
      </w:r>
      <w:r w:rsidR="00431BC9" w:rsidRPr="00524DAA">
        <w:t>s</w:t>
      </w:r>
      <w:r w:rsidR="003A6B11">
        <w:t> </w:t>
      </w:r>
      <w:r w:rsidR="00431BC9" w:rsidRPr="00524DAA">
        <w:t>rozpočtem 94,96 mil. Kč.</w:t>
      </w:r>
    </w:p>
    <w:p w:rsidR="00D76143" w:rsidRPr="00524DAA" w:rsidRDefault="00067A9E" w:rsidP="00431BC9">
      <w:pPr>
        <w:pStyle w:val="SingleTxtG"/>
      </w:pPr>
      <w:r>
        <w:t>5</w:t>
      </w:r>
      <w:r w:rsidR="008A0B85">
        <w:t>2</w:t>
      </w:r>
      <w:r>
        <w:t>.</w:t>
      </w:r>
      <w:r w:rsidR="00AB0905" w:rsidRPr="00524DAA">
        <w:tab/>
      </w:r>
      <w:r w:rsidR="00431BC9" w:rsidRPr="00524DAA">
        <w:t>Projekt Destigmatizace usiluje o snížení stigmatizace a diskriminace lidí s duševním onemocněním a zlepšení přístupu lidí k duševnímu zdraví</w:t>
      </w:r>
      <w:r w:rsidR="00AB0905" w:rsidRPr="00524DAA">
        <w:t xml:space="preserve">. </w:t>
      </w:r>
      <w:r w:rsidR="00D76143" w:rsidRPr="00524DAA">
        <w:t xml:space="preserve">Projekt Destigmatizace a jeho </w:t>
      </w:r>
      <w:r w:rsidR="00D76143" w:rsidRPr="00524DAA">
        <w:lastRenderedPageBreak/>
        <w:t>iniciativa Na rovinu se soustředí na důkazech založen</w:t>
      </w:r>
      <w:r w:rsidR="0098034C" w:rsidRPr="00524DAA">
        <w:t>á (evidence-</w:t>
      </w:r>
      <w:proofErr w:type="spellStart"/>
      <w:r w:rsidR="0098034C" w:rsidRPr="00524DAA">
        <w:t>based</w:t>
      </w:r>
      <w:proofErr w:type="spellEnd"/>
      <w:r w:rsidR="0098034C" w:rsidRPr="00524DAA">
        <w:t xml:space="preserve">) </w:t>
      </w:r>
      <w:proofErr w:type="spellStart"/>
      <w:r w:rsidR="00D76143" w:rsidRPr="00524DAA">
        <w:t>destigmatizační</w:t>
      </w:r>
      <w:proofErr w:type="spellEnd"/>
      <w:r w:rsidR="00D76143" w:rsidRPr="00524DAA">
        <w:t xml:space="preserve"> opatření pro šest strategicky vybraných cílových skupin, jimiž jsou zdravotníci, sociální pracovníci, veřejná správa, komunity v okolí zařízení péče o duševní z</w:t>
      </w:r>
      <w:r w:rsidR="006A7B80">
        <w:t>draví, samotní lidé</w:t>
      </w:r>
      <w:r w:rsidR="006A7B80">
        <w:br/>
      </w:r>
      <w:r w:rsidR="00D76143" w:rsidRPr="00524DAA">
        <w:t>s duševním onemocněním a jejich rodinní příslušníci. Projekt Destigmatizace je celonárodní a působí ve všech regionech ČR. Kromě zmíněných cílových skupin se soustředí také na podporu uživatelského hnutí. V rámci projektu Destigmatizace byla vytvořena metodika, analýza současného stavu a v nejbližších měsících bude zahájena komunikace destigmatizace v regionech, podpora už</w:t>
      </w:r>
      <w:r w:rsidR="006A7B80">
        <w:t>ivatelů a rodinných příslušníků</w:t>
      </w:r>
      <w:r w:rsidR="006A7B80">
        <w:br/>
      </w:r>
      <w:r w:rsidR="00D76143" w:rsidRPr="00524DAA">
        <w:t>a projekt primární prevence.</w:t>
      </w:r>
    </w:p>
    <w:p w:rsidR="00912902" w:rsidRPr="00524DAA" w:rsidRDefault="00912902" w:rsidP="001D4EF8">
      <w:pPr>
        <w:pStyle w:val="SingleTxtG"/>
      </w:pPr>
    </w:p>
    <w:p w:rsidR="00912902" w:rsidRPr="00CC5FB5" w:rsidRDefault="00912902" w:rsidP="00912902">
      <w:pPr>
        <w:pStyle w:val="H1G"/>
      </w:pPr>
      <w:r w:rsidRPr="00524DAA">
        <w:tab/>
      </w:r>
      <w:r w:rsidRPr="00524DAA">
        <w:tab/>
        <w:t>Odpověď na otázku č. 7 c)</w:t>
      </w:r>
    </w:p>
    <w:p w:rsidR="00951C87" w:rsidRPr="00524DAA" w:rsidRDefault="00067A9E" w:rsidP="001D4EF8">
      <w:pPr>
        <w:pStyle w:val="SingleTxtG"/>
      </w:pPr>
      <w:r>
        <w:t>5</w:t>
      </w:r>
      <w:r w:rsidR="008A0B85">
        <w:t>3</w:t>
      </w:r>
      <w:r>
        <w:t>.</w:t>
      </w:r>
      <w:r w:rsidR="00B56954" w:rsidRPr="00524DAA">
        <w:tab/>
        <w:t xml:space="preserve">Vzdělávat zaměstnance veřejného sektoru v tématech zdravotního postižení je jedním z cílů Národního plánu. V rámci plnění </w:t>
      </w:r>
      <w:r w:rsidR="00F8029C">
        <w:t>úkolu „Vypracovat obsah školení</w:t>
      </w:r>
      <w:r w:rsidR="00F8029C">
        <w:br/>
      </w:r>
      <w:r w:rsidR="00B56954" w:rsidRPr="00524DAA">
        <w:t>a realizovat školení pro zaměstnance jednotlivých orgánů státní správy, týkající se problematiky osob se ZP a zásad komunikace s vybranými skupinami osob se ZP“ byla v</w:t>
      </w:r>
      <w:r w:rsidR="00E1614B">
        <w:t> </w:t>
      </w:r>
      <w:r w:rsidR="00B56954" w:rsidRPr="00524DAA">
        <w:t>rámci Odborné skupiny V</w:t>
      </w:r>
      <w:r w:rsidR="008E6EF9">
        <w:t xml:space="preserve">VOZP </w:t>
      </w:r>
      <w:r w:rsidR="00B56954" w:rsidRPr="00524DAA">
        <w:t>pro přístupnost veřejné správy a veřejných služeb zřízena Pracovní podskupina pro vzdělávání, která spolupracuje se Sekcí pro státní službu Ministerstva vnitra</w:t>
      </w:r>
      <w:r w:rsidR="00166E2F">
        <w:t xml:space="preserve"> (dále jen „MV“)</w:t>
      </w:r>
      <w:r w:rsidR="00B56954" w:rsidRPr="00524DAA">
        <w:t>. M</w:t>
      </w:r>
      <w:r w:rsidR="00166E2F">
        <w:t xml:space="preserve">V </w:t>
      </w:r>
      <w:r w:rsidR="00B56954" w:rsidRPr="00524DAA">
        <w:t xml:space="preserve">je gestorem pro vzdělávání zaměstnanců ve státní službě a pro část vzdělávání úředníků samosprávy. V rámci pracovní podskupiny se připravují tři úrovně vzdělávání. První obecná úroveň bude realizována zejména </w:t>
      </w:r>
      <w:proofErr w:type="spellStart"/>
      <w:r w:rsidR="00B56954" w:rsidRPr="00524DAA">
        <w:t>eLearningovou</w:t>
      </w:r>
      <w:proofErr w:type="spellEnd"/>
      <w:r w:rsidR="00B56954" w:rsidRPr="00524DAA">
        <w:t xml:space="preserve"> formou a je určena pro zaměstnance dle jejich vzdělávacího plánu, druhá úroveň bude určena pro manažery veřejné správy v rámci univerzálního designu a</w:t>
      </w:r>
      <w:r w:rsidR="00E1614B">
        <w:t> </w:t>
      </w:r>
      <w:r w:rsidR="00B56954" w:rsidRPr="00524DAA">
        <w:t>navrhování služeb</w:t>
      </w:r>
      <w:r w:rsidR="00E1614B">
        <w:t xml:space="preserve">, které nebudou </w:t>
      </w:r>
      <w:r w:rsidR="00B56954" w:rsidRPr="00524DAA">
        <w:t xml:space="preserve">pro osoby se </w:t>
      </w:r>
      <w:r w:rsidR="00E1614B">
        <w:t xml:space="preserve">ZP vytvářet </w:t>
      </w:r>
      <w:r w:rsidR="00B56954" w:rsidRPr="00524DAA">
        <w:t>bariéry, třetí specializovaná úroveň bude určena úředníkům, kteří často komunikují s osobami se ZP.</w:t>
      </w:r>
    </w:p>
    <w:p w:rsidR="00ED3124" w:rsidRDefault="00067A9E" w:rsidP="00ED3124">
      <w:pPr>
        <w:pStyle w:val="SingleTxtG"/>
      </w:pPr>
      <w:r>
        <w:t>5</w:t>
      </w:r>
      <w:r w:rsidR="008A0B85">
        <w:t>4</w:t>
      </w:r>
      <w:r>
        <w:t>.</w:t>
      </w:r>
      <w:r w:rsidR="00ED3124">
        <w:tab/>
        <w:t xml:space="preserve">V souladu se zákonem </w:t>
      </w:r>
      <w:r w:rsidR="00183319" w:rsidRPr="00183319">
        <w:t xml:space="preserve">č. 108/2006 Sb., o sociálních službách, ve znění pozdějších předpisů (dále jen „zákon o sociálních službách“ </w:t>
      </w:r>
      <w:r w:rsidR="00ED3124">
        <w:t>akredituje MPSV vzdělávací programy dalšího vzdělávání pro sociální pracovníky, pracovníky v sociálních službách, některé jejich vedoucí pracovníky a dále pro tzv. neformální pečovatele (fyzické osoby, které poskytují péči příjemci příspěvku na péči). V roce 2018 bylo akreditováno 804 těchto programů.</w:t>
      </w:r>
    </w:p>
    <w:p w:rsidR="0042416C" w:rsidRDefault="00067A9E" w:rsidP="00ED3124">
      <w:pPr>
        <w:pStyle w:val="SingleTxtG"/>
      </w:pPr>
      <w:r>
        <w:t>5</w:t>
      </w:r>
      <w:r w:rsidR="008A0B85">
        <w:t>5</w:t>
      </w:r>
      <w:r>
        <w:t>.</w:t>
      </w:r>
      <w:r w:rsidR="00ED3124">
        <w:tab/>
        <w:t>Prostřednictvím O</w:t>
      </w:r>
      <w:r w:rsidR="00E505F1">
        <w:t xml:space="preserve">PZ </w:t>
      </w:r>
      <w:r w:rsidR="00ED3124">
        <w:t>realizuje MPSV 2 projekty, v jejichž rámci probíhají semináře, workshopy, konference a studijní cesty, jejichž smyslem je vzdělávání sociálních pracovníků napříč resorty, sdílení dobré praxe a inovací v o</w:t>
      </w:r>
      <w:r w:rsidR="00F8029C">
        <w:t>blasti sociální práce. Jedná se</w:t>
      </w:r>
      <w:r w:rsidR="00F8029C">
        <w:br/>
      </w:r>
      <w:r w:rsidR="00ED3124">
        <w:t xml:space="preserve">o projekty </w:t>
      </w:r>
      <w:r w:rsidR="003A6B11">
        <w:t>„</w:t>
      </w:r>
      <w:r w:rsidR="00ED3124">
        <w:t>Systémová podpora profesionálního výkonu sociální práce</w:t>
      </w:r>
      <w:r w:rsidR="003A6B11">
        <w:t>“</w:t>
      </w:r>
      <w:r w:rsidR="00ED3124">
        <w:t xml:space="preserve"> a </w:t>
      </w:r>
      <w:r w:rsidR="003A6B11">
        <w:t>„</w:t>
      </w:r>
      <w:r w:rsidR="00ED3124">
        <w:t>Systémová podpora sociální práce v</w:t>
      </w:r>
      <w:r w:rsidR="003A6B11">
        <w:t> </w:t>
      </w:r>
      <w:r w:rsidR="00ED3124">
        <w:t>obcích</w:t>
      </w:r>
      <w:r w:rsidR="003A6B11">
        <w:t>“</w:t>
      </w:r>
      <w:r w:rsidR="00ED3124">
        <w:t xml:space="preserve"> (na tento projekt bylo v roce 2018 navázáno 15 individuálních projektů spolupracujících obcí v několika krajích ČR, čímž došlo ke zvýšení počtu sociálních pracovníků o 2-4/obec, a to podle její velikosti</w:t>
      </w:r>
      <w:r w:rsidR="00A60C02">
        <w:t>)</w:t>
      </w:r>
      <w:r w:rsidR="00ED3124">
        <w:t>.</w:t>
      </w:r>
    </w:p>
    <w:p w:rsidR="00ED3124" w:rsidRDefault="007B0889" w:rsidP="001D4EF8">
      <w:pPr>
        <w:pStyle w:val="SingleTxtG"/>
      </w:pPr>
      <w:r>
        <w:t>5</w:t>
      </w:r>
      <w:r w:rsidR="008A0B85">
        <w:t>6</w:t>
      </w:r>
      <w:r w:rsidR="00C009F6">
        <w:t>.</w:t>
      </w:r>
      <w:r w:rsidR="00C009F6">
        <w:tab/>
        <w:t xml:space="preserve">Na </w:t>
      </w:r>
      <w:r w:rsidR="00C009F6" w:rsidRPr="00C009F6">
        <w:t>školení</w:t>
      </w:r>
      <w:r w:rsidR="00282469">
        <w:t>ch</w:t>
      </w:r>
      <w:r w:rsidR="00C009F6" w:rsidRPr="00C009F6">
        <w:t xml:space="preserve"> pracovníků státní správy </w:t>
      </w:r>
      <w:r w:rsidR="000B5703">
        <w:t xml:space="preserve">a samosprávy </w:t>
      </w:r>
      <w:r w:rsidR="00C009F6" w:rsidRPr="00C009F6">
        <w:t>(např</w:t>
      </w:r>
      <w:r w:rsidR="00C009F6">
        <w:t>.</w:t>
      </w:r>
      <w:r w:rsidR="00C009F6" w:rsidRPr="00C009F6">
        <w:t xml:space="preserve"> Ú</w:t>
      </w:r>
      <w:r w:rsidR="00171C11">
        <w:t>P</w:t>
      </w:r>
      <w:r w:rsidR="00C009F6" w:rsidRPr="00C009F6">
        <w:t xml:space="preserve"> ČR), </w:t>
      </w:r>
      <w:r w:rsidR="000B5703">
        <w:t>jakož i </w:t>
      </w:r>
      <w:r w:rsidR="00C009F6" w:rsidRPr="00C009F6">
        <w:t>řady veřejných institucí (např</w:t>
      </w:r>
      <w:r w:rsidR="00C009F6">
        <w:t>.</w:t>
      </w:r>
      <w:r w:rsidR="00C009F6" w:rsidRPr="00C009F6">
        <w:t xml:space="preserve"> </w:t>
      </w:r>
      <w:r w:rsidR="00EB1E81">
        <w:t xml:space="preserve">státní </w:t>
      </w:r>
      <w:r w:rsidR="00C009F6" w:rsidRPr="00C009F6">
        <w:t>dráhy, letiště, apod</w:t>
      </w:r>
      <w:r w:rsidR="00C009F6">
        <w:t>.</w:t>
      </w:r>
      <w:r w:rsidR="00C009F6" w:rsidRPr="00C009F6">
        <w:t>) o problematice jednotlivých druhů zdravotního postižení, vč</w:t>
      </w:r>
      <w:r w:rsidR="00282469">
        <w:t>.</w:t>
      </w:r>
      <w:r w:rsidR="00C009F6" w:rsidRPr="00C009F6">
        <w:t xml:space="preserve"> jejich specifik a způsobu řešení případných problémů z toho vyplývajících</w:t>
      </w:r>
      <w:r w:rsidR="00282469">
        <w:t xml:space="preserve"> se nemalou měrou podíl</w:t>
      </w:r>
      <w:r w:rsidR="00DA7891">
        <w:t>ej</w:t>
      </w:r>
      <w:r w:rsidR="00282469">
        <w:t xml:space="preserve">í i Národní rada osob se </w:t>
      </w:r>
      <w:r w:rsidR="00DA7891">
        <w:t xml:space="preserve">ZP </w:t>
      </w:r>
      <w:r w:rsidR="00282469">
        <w:t>ČR, jakož i další organizace sdružující osoby se ZP</w:t>
      </w:r>
      <w:r w:rsidR="00C009F6" w:rsidRPr="00C009F6">
        <w:t>.</w:t>
      </w:r>
    </w:p>
    <w:p w:rsidR="00C009F6" w:rsidRDefault="00C009F6" w:rsidP="001D4EF8">
      <w:pPr>
        <w:pStyle w:val="SingleTxtG"/>
      </w:pPr>
    </w:p>
    <w:p w:rsidR="002C668B" w:rsidRPr="00CC5FB5" w:rsidRDefault="002C668B" w:rsidP="002C668B">
      <w:pPr>
        <w:pStyle w:val="H1G"/>
      </w:pPr>
      <w:r w:rsidRPr="00524DAA">
        <w:tab/>
      </w:r>
      <w:r w:rsidRPr="00524DAA">
        <w:tab/>
        <w:t>Odpověď na otázku č. 8 a)</w:t>
      </w:r>
    </w:p>
    <w:p w:rsidR="00EC0B36" w:rsidRPr="00524DAA" w:rsidRDefault="008A0B85" w:rsidP="00EC0B36">
      <w:pPr>
        <w:pStyle w:val="SingleTxtG"/>
      </w:pPr>
      <w:r>
        <w:t>57</w:t>
      </w:r>
      <w:r w:rsidR="00067A9E">
        <w:t>.</w:t>
      </w:r>
      <w:r w:rsidR="00EC0B36" w:rsidRPr="00524DAA">
        <w:tab/>
        <w:t>Zákon č. 183/2006 Sb., o územním plánování a stavebním řádu (stavební zákon), ve znění pozdějších předpisů zakládá povinnost respektovat obecné požadavky na výstavbu, mezi které patří také požadavky na bezbariérové užívání staveb stanovené vyhláškou Ministerstva pro místní rozvoj (</w:t>
      </w:r>
      <w:r w:rsidR="00061EB9" w:rsidRPr="00524DAA">
        <w:t>dále jen „</w:t>
      </w:r>
      <w:r w:rsidR="00EC0B36" w:rsidRPr="00524DAA">
        <w:t>MMR</w:t>
      </w:r>
      <w:r w:rsidR="00061EB9" w:rsidRPr="00524DAA">
        <w:t>“</w:t>
      </w:r>
      <w:r w:rsidR="00EC0B36" w:rsidRPr="00524DAA">
        <w:t>) č. 398/2009 Sb., o obecných technických požadavcích zabezpečujících bezbariérové užívání staveb</w:t>
      </w:r>
      <w:r w:rsidR="00EE7508">
        <w:t xml:space="preserve">, ve znění pozdějších předpisů </w:t>
      </w:r>
      <w:r w:rsidR="00EC0B36" w:rsidRPr="00524DAA">
        <w:t>(dále jen „</w:t>
      </w:r>
      <w:r w:rsidR="00BA22B5">
        <w:t xml:space="preserve">bezbariérová </w:t>
      </w:r>
      <w:r w:rsidR="00EE7508" w:rsidRPr="00EE7508">
        <w:t>vyhláška</w:t>
      </w:r>
      <w:r w:rsidR="00EC0B36" w:rsidRPr="00524DAA">
        <w:t xml:space="preserve">“). Její paragrafové znění stanoví rozsah požadavků na bezbariérové užívání staveb a přílohová část obsahuje požadavky na technické řešení. Detaily jsou ponechány na normových hodnotách. </w:t>
      </w:r>
      <w:r w:rsidR="00F351AA">
        <w:t xml:space="preserve">V jejím rámci </w:t>
      </w:r>
      <w:r w:rsidR="00EC0B36" w:rsidRPr="00524DAA">
        <w:t>se zavád</w:t>
      </w:r>
      <w:r w:rsidR="00763DC4">
        <w:t>ěj</w:t>
      </w:r>
      <w:r w:rsidR="00EC0B36" w:rsidRPr="00524DAA">
        <w:t xml:space="preserve">í a aktualizují příslušné </w:t>
      </w:r>
      <w:r w:rsidR="00EC0B36" w:rsidRPr="00524DAA">
        <w:lastRenderedPageBreak/>
        <w:t xml:space="preserve">české technické normy k navrhování a provádění požadavků na bezbariérové užívání staveb. </w:t>
      </w:r>
      <w:r w:rsidR="00F351AA">
        <w:t>Její p</w:t>
      </w:r>
      <w:r w:rsidR="00EC0B36" w:rsidRPr="00524DAA">
        <w:t xml:space="preserve">oslední aktualizace </w:t>
      </w:r>
      <w:r w:rsidR="00F351AA">
        <w:t xml:space="preserve">byla provedena v </w:t>
      </w:r>
      <w:r w:rsidR="00EC0B36" w:rsidRPr="00524DAA">
        <w:t>květn</w:t>
      </w:r>
      <w:r w:rsidR="00F351AA">
        <w:t>u</w:t>
      </w:r>
      <w:r w:rsidR="00EC0B36" w:rsidRPr="00524DAA">
        <w:t xml:space="preserve"> 2018. Seznam ČSN k</w:t>
      </w:r>
      <w:r w:rsidR="00F04276">
        <w:t xml:space="preserve"> bezbariérové </w:t>
      </w:r>
      <w:r w:rsidR="00EC0B36" w:rsidRPr="00524DAA">
        <w:t xml:space="preserve">vyhlášce je online k dispozici na adrese: </w:t>
      </w:r>
      <w:hyperlink r:id="rId13" w:history="1">
        <w:r w:rsidR="00E51BFF" w:rsidRPr="00524DAA">
          <w:rPr>
            <w:rStyle w:val="Hypertextovodkaz"/>
          </w:rPr>
          <w:t>http://www.mmr.cz/getmedia/e0adb6e7-1813-4a62-b263-a7c9975e8b93/398-2009_CSN_k2018_05.doc</w:t>
        </w:r>
      </w:hyperlink>
      <w:r w:rsidR="00E51BFF" w:rsidRPr="00524DAA">
        <w:t>.</w:t>
      </w:r>
    </w:p>
    <w:p w:rsidR="00EC0B36" w:rsidRPr="00524DAA" w:rsidRDefault="008A0B85" w:rsidP="00EC0B36">
      <w:pPr>
        <w:pStyle w:val="SingleTxtG"/>
      </w:pPr>
      <w:r>
        <w:t>58</w:t>
      </w:r>
      <w:r w:rsidR="00067A9E">
        <w:t>.</w:t>
      </w:r>
      <w:r w:rsidR="00061EB9" w:rsidRPr="00524DAA">
        <w:tab/>
      </w:r>
      <w:r w:rsidR="00EC0B36" w:rsidRPr="00524DAA">
        <w:t>Dříve bylo hl</w:t>
      </w:r>
      <w:r w:rsidR="004273B0">
        <w:t>.</w:t>
      </w:r>
      <w:r w:rsidR="00EC0B36" w:rsidRPr="00524DAA">
        <w:t xml:space="preserve"> město Praha zmocněno k vydání vlastních požadavků na bezbariérové užívání staveb</w:t>
      </w:r>
      <w:r w:rsidR="004273B0">
        <w:t>,</w:t>
      </w:r>
      <w:r w:rsidR="00EC0B36" w:rsidRPr="00524DAA">
        <w:t xml:space="preserve"> </w:t>
      </w:r>
      <w:r w:rsidR="004273B0">
        <w:t>n</w:t>
      </w:r>
      <w:r w:rsidR="00EC0B36" w:rsidRPr="00524DAA">
        <w:t xml:space="preserve">yní </w:t>
      </w:r>
      <w:r w:rsidR="004273B0">
        <w:t xml:space="preserve">však </w:t>
      </w:r>
      <w:r w:rsidR="00F04276">
        <w:t xml:space="preserve">platí </w:t>
      </w:r>
      <w:r w:rsidR="00EC0B36" w:rsidRPr="00524DAA">
        <w:t>bezbariérová vyhláška pro celé území ČR, vč</w:t>
      </w:r>
      <w:r w:rsidR="00061EB9" w:rsidRPr="00524DAA">
        <w:t>.</w:t>
      </w:r>
      <w:r w:rsidR="00EC0B36" w:rsidRPr="00524DAA">
        <w:t xml:space="preserve"> hl</w:t>
      </w:r>
      <w:r w:rsidR="004273B0">
        <w:t>.</w:t>
      </w:r>
      <w:r w:rsidR="00EC0B36" w:rsidRPr="00524DAA">
        <w:t xml:space="preserve"> města Prahy. Tento pokrok v legislativní oblasti je výhodný pro projektanty, úředníky i pro cílovou skupinu uživatelů staveb, vč</w:t>
      </w:r>
      <w:r w:rsidR="00061EB9" w:rsidRPr="00524DAA">
        <w:t>.</w:t>
      </w:r>
      <w:r w:rsidR="00EC0B36" w:rsidRPr="00524DAA">
        <w:t xml:space="preserve"> osob se </w:t>
      </w:r>
      <w:r w:rsidR="00763DC4">
        <w:t>ZP</w:t>
      </w:r>
      <w:r w:rsidR="00EC0B36" w:rsidRPr="00524DAA">
        <w:t>.</w:t>
      </w:r>
    </w:p>
    <w:p w:rsidR="00EC0B36" w:rsidRPr="00524DAA" w:rsidRDefault="008A0B85" w:rsidP="00CC5FB5">
      <w:pPr>
        <w:pStyle w:val="SingleTxtG"/>
      </w:pPr>
      <w:r>
        <w:t>59</w:t>
      </w:r>
      <w:r w:rsidR="00067A9E">
        <w:t>.</w:t>
      </w:r>
      <w:r w:rsidR="00061EB9" w:rsidRPr="00524DAA">
        <w:tab/>
      </w:r>
      <w:r w:rsidR="00F351AA">
        <w:t xml:space="preserve">V oblasti bezbariérovosti klade </w:t>
      </w:r>
      <w:r w:rsidR="00EC0B36" w:rsidRPr="00524DAA">
        <w:t>MMR velký důraz na:</w:t>
      </w:r>
    </w:p>
    <w:p w:rsidR="00EC0B36" w:rsidRPr="00524DAA" w:rsidRDefault="00EC0B36" w:rsidP="00061EB9">
      <w:pPr>
        <w:pStyle w:val="Bullet1G"/>
      </w:pPr>
      <w:r w:rsidRPr="00524DAA">
        <w:t>metodickou činnos</w:t>
      </w:r>
      <w:r w:rsidR="00F04276">
        <w:t>t vůči obecným stavebním úřadům,</w:t>
      </w:r>
    </w:p>
    <w:p w:rsidR="00EC0B36" w:rsidRPr="00524DAA" w:rsidRDefault="00EC0B36" w:rsidP="00061EB9">
      <w:pPr>
        <w:pStyle w:val="Bullet1G"/>
      </w:pPr>
      <w:r w:rsidRPr="00524DAA">
        <w:t>meziresortní koordinaci a jednotnost požadavků na bezbariérové užívání staveb, zejména mezi MMR a Ministerstvem dopravy, popř</w:t>
      </w:r>
      <w:r w:rsidR="00061EB9" w:rsidRPr="00524DAA">
        <w:t>.</w:t>
      </w:r>
      <w:r w:rsidR="00F8029C">
        <w:t xml:space="preserve"> ve vztahu k výrobkům</w:t>
      </w:r>
      <w:r w:rsidR="00F8029C">
        <w:br/>
      </w:r>
      <w:r w:rsidRPr="00524DAA">
        <w:t>s Mi</w:t>
      </w:r>
      <w:r w:rsidR="00F04276">
        <w:t>nisterstvem průmyslu a obchodu,</w:t>
      </w:r>
    </w:p>
    <w:p w:rsidR="00EC0B36" w:rsidRPr="00524DAA" w:rsidRDefault="00EC0B36" w:rsidP="00061EB9">
      <w:pPr>
        <w:pStyle w:val="Bullet1G"/>
      </w:pPr>
      <w:r w:rsidRPr="00524DAA">
        <w:t>spolupráci s</w:t>
      </w:r>
      <w:r w:rsidR="00F04276">
        <w:t> </w:t>
      </w:r>
      <w:r w:rsidRPr="00524DAA">
        <w:t>V</w:t>
      </w:r>
      <w:r w:rsidR="00763DC4">
        <w:t>VOZP</w:t>
      </w:r>
      <w:r w:rsidR="00F04276">
        <w:t>,</w:t>
      </w:r>
    </w:p>
    <w:p w:rsidR="00EC0B36" w:rsidRPr="00524DAA" w:rsidRDefault="00EC0B36" w:rsidP="00061EB9">
      <w:pPr>
        <w:pStyle w:val="Bullet1G"/>
      </w:pPr>
      <w:r w:rsidRPr="00524DAA">
        <w:t>sdílení inf</w:t>
      </w:r>
      <w:r w:rsidR="00F04276">
        <w:t>ormací v rámci odborných skupin,</w:t>
      </w:r>
    </w:p>
    <w:p w:rsidR="00EC0B36" w:rsidRPr="00524DAA" w:rsidRDefault="00EC0B36" w:rsidP="00061EB9">
      <w:pPr>
        <w:pStyle w:val="Bullet1G"/>
      </w:pPr>
      <w:r w:rsidRPr="00524DAA">
        <w:t>zpětnou vazbu od organizací osob s omezenou schopností pohybu nebo orientace.</w:t>
      </w:r>
    </w:p>
    <w:p w:rsidR="00763DC4" w:rsidRDefault="00067A9E" w:rsidP="00EC0B36">
      <w:pPr>
        <w:pStyle w:val="SingleTxtG"/>
      </w:pPr>
      <w:r>
        <w:t>6</w:t>
      </w:r>
      <w:r w:rsidR="008A0B85">
        <w:t>0</w:t>
      </w:r>
      <w:r>
        <w:t>.</w:t>
      </w:r>
      <w:r w:rsidR="00061EB9" w:rsidRPr="00524DAA">
        <w:tab/>
      </w:r>
      <w:r w:rsidR="00472B2F">
        <w:t>V</w:t>
      </w:r>
      <w:r w:rsidR="00EC0B36" w:rsidRPr="00524DAA">
        <w:t xml:space="preserve"> rámci své metodické činnosti </w:t>
      </w:r>
      <w:r w:rsidR="00472B2F">
        <w:t xml:space="preserve">MMR </w:t>
      </w:r>
      <w:r w:rsidR="00EC0B36" w:rsidRPr="00524DAA">
        <w:t>průbě</w:t>
      </w:r>
      <w:r w:rsidR="00F8029C">
        <w:t>žně zveřejňuje pracovní pomůcky</w:t>
      </w:r>
      <w:r w:rsidR="00F8029C">
        <w:br/>
      </w:r>
      <w:r w:rsidR="00EC0B36" w:rsidRPr="00524DAA">
        <w:t xml:space="preserve">k aplikaci požadavků na bezbariérové užívání staveb. Do roku 2014 se k této činnosti využívala především Stavebně správní praxe, od roku 2015 se vše publikuje přímo na internetových stránkách MMR. Souhrnně již bylo zveřejněno více než 100 příspěvků. Zvláště upozorňujeme na příspěvek z roku 2018 s názvem „Indukční smyčka pro nedoslýchavé osoby“ a na příspěvek z roku 2019 s názvem „Dveře na veřejná WC a do veřejných šaten se vybavují hmatovými štítky pro nevidomé“. Kompletní seznam pracovních pomůcek z webu MMR k dané problematice je </w:t>
      </w:r>
      <w:r w:rsidR="00763DC4">
        <w:t>uveden v příloze č. 2.</w:t>
      </w:r>
    </w:p>
    <w:p w:rsidR="00912902" w:rsidRPr="00524DAA" w:rsidRDefault="00067A9E" w:rsidP="00EC0B36">
      <w:pPr>
        <w:pStyle w:val="SingleTxtG"/>
      </w:pPr>
      <w:r>
        <w:t>6</w:t>
      </w:r>
      <w:r w:rsidR="00CB33B3">
        <w:t>1</w:t>
      </w:r>
      <w:r>
        <w:t>.</w:t>
      </w:r>
      <w:r w:rsidR="00F134A7" w:rsidRPr="00524DAA">
        <w:tab/>
      </w:r>
      <w:r w:rsidR="00EC0B36" w:rsidRPr="00524DAA">
        <w:t xml:space="preserve">V rámci připravované rekodifikace stavebního práva </w:t>
      </w:r>
      <w:r w:rsidR="00E660D5">
        <w:t xml:space="preserve">bude vymezení všech </w:t>
      </w:r>
      <w:r w:rsidR="00EC0B36" w:rsidRPr="00524DAA">
        <w:t>obecn</w:t>
      </w:r>
      <w:r w:rsidR="00E660D5">
        <w:t xml:space="preserve">ých </w:t>
      </w:r>
      <w:r w:rsidR="00EC0B36" w:rsidRPr="00524DAA">
        <w:t>požadavků na výstavbu</w:t>
      </w:r>
      <w:r w:rsidR="00791FB9">
        <w:t xml:space="preserve"> </w:t>
      </w:r>
      <w:r w:rsidR="00E660D5">
        <w:t xml:space="preserve">zahrnuto </w:t>
      </w:r>
      <w:r w:rsidR="00791FB9">
        <w:t>do jednoho zákona</w:t>
      </w:r>
      <w:r w:rsidR="00EC0B36" w:rsidRPr="00524DAA">
        <w:t xml:space="preserve">. </w:t>
      </w:r>
      <w:r w:rsidR="00791FB9">
        <w:t>Dále se p</w:t>
      </w:r>
      <w:r w:rsidR="00EC0B36" w:rsidRPr="00524DAA">
        <w:t xml:space="preserve">ředpokládá vznik jediného prováděcího právního předpisu, do něhož </w:t>
      </w:r>
      <w:r w:rsidR="005C492F" w:rsidRPr="00524DAA">
        <w:t xml:space="preserve">budou </w:t>
      </w:r>
      <w:r w:rsidR="00EC0B36" w:rsidRPr="00524DAA">
        <w:t xml:space="preserve">integrovány i požadavky na bezbariérové užívání staveb, </w:t>
      </w:r>
      <w:r w:rsidR="00791FB9">
        <w:t xml:space="preserve">čímž </w:t>
      </w:r>
      <w:r w:rsidR="00EC0B36" w:rsidRPr="00524DAA">
        <w:t>do</w:t>
      </w:r>
      <w:r w:rsidR="005C492F" w:rsidRPr="00524DAA">
        <w:t>jde</w:t>
      </w:r>
      <w:r w:rsidR="00EC0B36" w:rsidRPr="00524DAA">
        <w:t xml:space="preserve"> k dalšímu zásadnímu posílení jejich významu. Věcný záměr stavebního zákona schválila vláda Č</w:t>
      </w:r>
      <w:r w:rsidR="00CD4047" w:rsidRPr="00524DAA">
        <w:t xml:space="preserve">R </w:t>
      </w:r>
      <w:r w:rsidR="00EC0B36" w:rsidRPr="00524DAA">
        <w:t xml:space="preserve">svým usnesením </w:t>
      </w:r>
      <w:r w:rsidR="00CD4047" w:rsidRPr="00524DAA">
        <w:t xml:space="preserve">ze </w:t>
      </w:r>
      <w:r w:rsidR="00EC0B36" w:rsidRPr="00524DAA">
        <w:t xml:space="preserve">dne 24. června 2019 č. </w:t>
      </w:r>
      <w:proofErr w:type="gramStart"/>
      <w:r w:rsidR="00EC0B36" w:rsidRPr="00524DAA">
        <w:t>448 – k</w:t>
      </w:r>
      <w:proofErr w:type="gramEnd"/>
      <w:r w:rsidR="00791FB9">
        <w:t> </w:t>
      </w:r>
      <w:r w:rsidR="00EC0B36" w:rsidRPr="00524DAA">
        <w:t xml:space="preserve">dispozici </w:t>
      </w:r>
      <w:r w:rsidR="00CD4047" w:rsidRPr="00524DAA">
        <w:t xml:space="preserve">je </w:t>
      </w:r>
      <w:r w:rsidR="00EC0B36" w:rsidRPr="00524DAA">
        <w:t xml:space="preserve">na: </w:t>
      </w:r>
      <w:hyperlink r:id="rId14" w:history="1">
        <w:r w:rsidR="00CD4047" w:rsidRPr="00524DAA">
          <w:rPr>
            <w:rStyle w:val="Hypertextovodkaz"/>
          </w:rPr>
          <w:t>https://apps.odok.cz/attachment/-/down/RCIABDKAD632</w:t>
        </w:r>
      </w:hyperlink>
      <w:r w:rsidR="00CD4047" w:rsidRPr="00524DAA">
        <w:t>.</w:t>
      </w:r>
    </w:p>
    <w:p w:rsidR="00812962" w:rsidRPr="00524DAA" w:rsidRDefault="00812962" w:rsidP="001D4EF8">
      <w:pPr>
        <w:pStyle w:val="SingleTxtG"/>
      </w:pPr>
    </w:p>
    <w:p w:rsidR="00812962" w:rsidRPr="00CC5FB5" w:rsidRDefault="00812962" w:rsidP="00812962">
      <w:pPr>
        <w:pStyle w:val="H1G"/>
      </w:pPr>
      <w:r w:rsidRPr="00524DAA">
        <w:tab/>
      </w:r>
      <w:r w:rsidRPr="00524DAA">
        <w:tab/>
        <w:t>Odpověď na otázku č. 8 b)</w:t>
      </w:r>
    </w:p>
    <w:p w:rsidR="000A0168" w:rsidRDefault="000A0168" w:rsidP="005D1948">
      <w:pPr>
        <w:pStyle w:val="SingleTxtG"/>
      </w:pPr>
      <w:r>
        <w:t>62.</w:t>
      </w:r>
      <w:r>
        <w:tab/>
        <w:t xml:space="preserve">Pokud jde o problematiku </w:t>
      </w:r>
      <w:r w:rsidRPr="000A0168">
        <w:t>standard</w:t>
      </w:r>
      <w:r>
        <w:t>ů přístupnosti a</w:t>
      </w:r>
      <w:r w:rsidRPr="000A0168">
        <w:t xml:space="preserve"> odborn</w:t>
      </w:r>
      <w:r>
        <w:t>ou</w:t>
      </w:r>
      <w:r w:rsidRPr="000A0168">
        <w:t xml:space="preserve"> příprav</w:t>
      </w:r>
      <w:r>
        <w:t>u</w:t>
      </w:r>
      <w:r w:rsidRPr="000A0168">
        <w:t xml:space="preserve"> v</w:t>
      </w:r>
      <w:r>
        <w:t xml:space="preserve"> různých oblastech </w:t>
      </w:r>
      <w:r w:rsidRPr="000A0168">
        <w:t xml:space="preserve">přístupnosti, </w:t>
      </w:r>
      <w:r w:rsidR="008C5B14">
        <w:t>k tomu viz odpově</w:t>
      </w:r>
      <w:r w:rsidR="00776B66">
        <w:t>di</w:t>
      </w:r>
      <w:r w:rsidR="008C5B14">
        <w:t xml:space="preserve"> na otázku č. </w:t>
      </w:r>
      <w:r w:rsidR="00853E8B">
        <w:t xml:space="preserve">8 a) (odst. </w:t>
      </w:r>
      <w:r w:rsidR="00B1637E">
        <w:t xml:space="preserve">57, </w:t>
      </w:r>
      <w:r w:rsidR="00853E8B">
        <w:t xml:space="preserve">59 </w:t>
      </w:r>
      <w:r w:rsidR="00C41F1B">
        <w:t xml:space="preserve">a </w:t>
      </w:r>
      <w:r w:rsidR="00B1637E">
        <w:t xml:space="preserve">60), </w:t>
      </w:r>
      <w:r w:rsidR="00EF2BC1">
        <w:t>8 d)</w:t>
      </w:r>
      <w:r w:rsidR="00A53082">
        <w:t>, 8 e)</w:t>
      </w:r>
      <w:r w:rsidR="00CA51F7">
        <w:t>,</w:t>
      </w:r>
      <w:r w:rsidR="00A53082">
        <w:t xml:space="preserve"> </w:t>
      </w:r>
      <w:r w:rsidR="00F85F85" w:rsidRPr="00F85F85">
        <w:t>18 a), 18 c)</w:t>
      </w:r>
      <w:r w:rsidR="00CA51F7">
        <w:t xml:space="preserve"> </w:t>
      </w:r>
      <w:r w:rsidR="00CA51F7" w:rsidRPr="00CA51F7">
        <w:t>(odst. 215 a 219)</w:t>
      </w:r>
      <w:r w:rsidR="00F85F85" w:rsidRPr="00F85F85">
        <w:t>, 20 b)</w:t>
      </w:r>
      <w:r w:rsidR="00CA51F7">
        <w:t xml:space="preserve"> </w:t>
      </w:r>
      <w:r w:rsidR="00CA51F7" w:rsidRPr="00CA51F7">
        <w:t>(odst. 239)</w:t>
      </w:r>
      <w:r w:rsidR="00F85F85" w:rsidRPr="00F85F85">
        <w:t xml:space="preserve">, 21 a), 21 b), 24 b) </w:t>
      </w:r>
      <w:r w:rsidR="00F85F85">
        <w:t xml:space="preserve">a </w:t>
      </w:r>
      <w:r w:rsidR="00F85F85" w:rsidRPr="00F85F85">
        <w:t>25.</w:t>
      </w:r>
    </w:p>
    <w:p w:rsidR="00770B7D" w:rsidRDefault="00194B00" w:rsidP="005D1948">
      <w:pPr>
        <w:pStyle w:val="SingleTxtG"/>
      </w:pPr>
      <w:r>
        <w:t>63.</w:t>
      </w:r>
      <w:r>
        <w:tab/>
      </w:r>
      <w:r w:rsidR="002B2439">
        <w:t>Podmínky</w:t>
      </w:r>
      <w:r w:rsidR="0063354F">
        <w:t>,</w:t>
      </w:r>
      <w:r w:rsidR="002B2439">
        <w:t xml:space="preserve"> </w:t>
      </w:r>
      <w:r w:rsidR="0063354F">
        <w:t xml:space="preserve">obsah a rozsah </w:t>
      </w:r>
      <w:r w:rsidR="002B2439">
        <w:t>p</w:t>
      </w:r>
      <w:r w:rsidR="000A0168" w:rsidRPr="000A0168">
        <w:t xml:space="preserve">oskytování </w:t>
      </w:r>
      <w:r>
        <w:t xml:space="preserve">(osobní) </w:t>
      </w:r>
      <w:r w:rsidR="000A0168" w:rsidRPr="000A0168">
        <w:t>asistence</w:t>
      </w:r>
      <w:r w:rsidR="00CD67BD">
        <w:t>,</w:t>
      </w:r>
      <w:r w:rsidR="000A0168" w:rsidRPr="000A0168">
        <w:t xml:space="preserve"> zprostředkovatelů, průvodců, předčitatelů</w:t>
      </w:r>
      <w:r>
        <w:t xml:space="preserve"> a </w:t>
      </w:r>
      <w:r w:rsidR="000A0168" w:rsidRPr="000A0168">
        <w:t>profesionální</w:t>
      </w:r>
      <w:r w:rsidR="002B2439">
        <w:t>c</w:t>
      </w:r>
      <w:r w:rsidR="000A0168" w:rsidRPr="000A0168">
        <w:t>h tlumoční</w:t>
      </w:r>
      <w:r w:rsidR="002B2439">
        <w:t>ků</w:t>
      </w:r>
      <w:r w:rsidR="000A0168" w:rsidRPr="000A0168">
        <w:t xml:space="preserve"> </w:t>
      </w:r>
      <w:r>
        <w:t>do znakové řeči upravuje zákon o</w:t>
      </w:r>
      <w:r w:rsidR="00CD67BD">
        <w:t> </w:t>
      </w:r>
      <w:r>
        <w:t>sociálních službách</w:t>
      </w:r>
      <w:r w:rsidR="002B2439">
        <w:t>, a to v rámci vymezení poskytování jednotlivých druhů sociálních služeb</w:t>
      </w:r>
      <w:r>
        <w:t>.</w:t>
      </w:r>
      <w:r w:rsidR="00CD67BD">
        <w:t xml:space="preserve"> </w:t>
      </w:r>
      <w:r w:rsidR="00FC17A1">
        <w:t xml:space="preserve">V § 115 </w:t>
      </w:r>
      <w:r w:rsidR="00770B7D">
        <w:t xml:space="preserve">a násl. </w:t>
      </w:r>
      <w:r w:rsidR="00FC17A1">
        <w:t xml:space="preserve">upravuje zákon o sociálních službách </w:t>
      </w:r>
      <w:r w:rsidR="00770B7D">
        <w:t>kvalifikační požadavky na odborné pracovníky působící v</w:t>
      </w:r>
      <w:r w:rsidR="00E1062F">
        <w:t xml:space="preserve"> rámci jednotlivých </w:t>
      </w:r>
      <w:r w:rsidR="00770B7D">
        <w:t>sociálních služ</w:t>
      </w:r>
      <w:r w:rsidR="00E1062F">
        <w:t>e</w:t>
      </w:r>
      <w:r w:rsidR="00770B7D">
        <w:t>b</w:t>
      </w:r>
      <w:r w:rsidR="005F1AF2">
        <w:t>.</w:t>
      </w:r>
      <w:r w:rsidR="00770B7D">
        <w:t xml:space="preserve"> </w:t>
      </w:r>
      <w:r w:rsidR="005F1AF2">
        <w:t xml:space="preserve">V § 117a a násl. pak upravuje podmínky akreditace vzdělávacích zařízení a </w:t>
      </w:r>
      <w:r w:rsidR="00835C14">
        <w:t xml:space="preserve">akreditace </w:t>
      </w:r>
      <w:r w:rsidR="00E1062F">
        <w:t xml:space="preserve">odborných </w:t>
      </w:r>
      <w:r w:rsidR="005F1AF2">
        <w:t xml:space="preserve">vzdělávacích programů </w:t>
      </w:r>
      <w:r w:rsidR="00E1062F">
        <w:t xml:space="preserve">určených pro odborné vzdělávání pracovníků </w:t>
      </w:r>
      <w:r w:rsidR="005F1AF2">
        <w:t>v sociá</w:t>
      </w:r>
      <w:r w:rsidR="00C830C8">
        <w:t>l</w:t>
      </w:r>
      <w:r w:rsidR="005F1AF2">
        <w:t>ních službách.</w:t>
      </w:r>
      <w:r w:rsidR="00A92FBE">
        <w:t xml:space="preserve"> </w:t>
      </w:r>
    </w:p>
    <w:p w:rsidR="000A0168" w:rsidRDefault="00DA528E" w:rsidP="005D1948">
      <w:pPr>
        <w:pStyle w:val="SingleTxtG"/>
      </w:pPr>
      <w:r>
        <w:t>64.</w:t>
      </w:r>
      <w:r>
        <w:tab/>
      </w:r>
      <w:r w:rsidR="007729B5">
        <w:t xml:space="preserve">Schopnosti a dovednosti využívat </w:t>
      </w:r>
      <w:r w:rsidR="009F23CF">
        <w:t>o</w:t>
      </w:r>
      <w:r w:rsidR="000A0168" w:rsidRPr="000A0168">
        <w:t>znač</w:t>
      </w:r>
      <w:r w:rsidR="009F23CF">
        <w:t>ová</w:t>
      </w:r>
      <w:r w:rsidR="000A0168" w:rsidRPr="000A0168">
        <w:t xml:space="preserve">ní </w:t>
      </w:r>
      <w:r w:rsidR="00090B46">
        <w:t xml:space="preserve">a komunikaci </w:t>
      </w:r>
      <w:r w:rsidR="000A0168" w:rsidRPr="000A0168">
        <w:t xml:space="preserve">v Braillově písmu, </w:t>
      </w:r>
      <w:r w:rsidR="00090B46">
        <w:t xml:space="preserve">využívat </w:t>
      </w:r>
      <w:r w:rsidR="000A0168" w:rsidRPr="000A0168">
        <w:t>augmentativní a alternativní způsob</w:t>
      </w:r>
      <w:r w:rsidR="00090B46">
        <w:t>y</w:t>
      </w:r>
      <w:r w:rsidR="000A0168" w:rsidRPr="000A0168">
        <w:t xml:space="preserve"> komunikace</w:t>
      </w:r>
      <w:r w:rsidR="00090B46">
        <w:t>, jakož i</w:t>
      </w:r>
      <w:r w:rsidR="000A0168" w:rsidRPr="000A0168">
        <w:t xml:space="preserve"> další přístupn</w:t>
      </w:r>
      <w:r w:rsidR="00090B46">
        <w:t>é</w:t>
      </w:r>
      <w:r w:rsidR="000A0168" w:rsidRPr="000A0168">
        <w:t xml:space="preserve"> prostřed</w:t>
      </w:r>
      <w:r w:rsidR="00090B46">
        <w:t>ky</w:t>
      </w:r>
      <w:r w:rsidR="000A0168" w:rsidRPr="000A0168">
        <w:t>, způsob</w:t>
      </w:r>
      <w:r w:rsidR="00090B46">
        <w:t xml:space="preserve">y </w:t>
      </w:r>
      <w:r w:rsidR="000A0168" w:rsidRPr="000A0168">
        <w:t>a formát</w:t>
      </w:r>
      <w:r w:rsidR="00090B46">
        <w:t>y</w:t>
      </w:r>
      <w:r w:rsidR="000A0168" w:rsidRPr="000A0168">
        <w:t xml:space="preserve"> komunikace, jako jsou např</w:t>
      </w:r>
      <w:r w:rsidR="00090B46">
        <w:t xml:space="preserve">. piktogramy a popisky, získávají odborní pracovníci v rámci </w:t>
      </w:r>
      <w:r w:rsidR="00953688">
        <w:t>předepsaného vzdělání, popř. v rámci dalšího odborné</w:t>
      </w:r>
      <w:r w:rsidR="00554B40">
        <w:t>h</w:t>
      </w:r>
      <w:r w:rsidR="00953688">
        <w:t>o vzdělávání</w:t>
      </w:r>
      <w:r w:rsidR="009F23CF">
        <w:t>, a to v závislosti na tom, s jakou cílovou skupinou osob se ZP pracují.</w:t>
      </w:r>
      <w:r w:rsidR="008A0853">
        <w:t xml:space="preserve"> K dané problematice ještě viz výše odpověď na otázku č. 7 a).</w:t>
      </w:r>
    </w:p>
    <w:p w:rsidR="00E04622" w:rsidRPr="00524DAA" w:rsidRDefault="00E04622" w:rsidP="009B72AD">
      <w:pPr>
        <w:pStyle w:val="SingleTxtG"/>
      </w:pPr>
    </w:p>
    <w:p w:rsidR="00812962" w:rsidRPr="00CC5FB5" w:rsidRDefault="00812962" w:rsidP="00812962">
      <w:pPr>
        <w:pStyle w:val="H1G"/>
      </w:pPr>
      <w:r w:rsidRPr="00524DAA">
        <w:lastRenderedPageBreak/>
        <w:tab/>
      </w:r>
      <w:r w:rsidRPr="00524DAA">
        <w:tab/>
        <w:t>Odpověď na otázku č. 8 c)</w:t>
      </w:r>
    </w:p>
    <w:p w:rsidR="00812962" w:rsidRPr="00524DAA" w:rsidRDefault="00877815" w:rsidP="00D26969">
      <w:pPr>
        <w:pStyle w:val="SingleTxtG"/>
      </w:pPr>
      <w:r>
        <w:t>6</w:t>
      </w:r>
      <w:r w:rsidR="00776B66">
        <w:t>5</w:t>
      </w:r>
      <w:r>
        <w:t>.</w:t>
      </w:r>
      <w:r w:rsidR="00D26969" w:rsidRPr="00524DAA">
        <w:tab/>
        <w:t xml:space="preserve">Ke zvýšení přístupnosti veřejnoprávní ochrany dětí, která je zajišťována i dětem se </w:t>
      </w:r>
      <w:r w:rsidR="00252F55">
        <w:t>ZP</w:t>
      </w:r>
      <w:r w:rsidR="00D26969" w:rsidRPr="00524DAA">
        <w:t>, pokud vykazují znaky ohrožených dětí dle § 6 zákona o SPOD, přispěla standardizace výkonu SPOD, která byla zavedena od 1. ledna 2015. V rámci ní byla v zákoně o SPOD zakotvena povinnost OSPOD řídit se při výkonu S</w:t>
      </w:r>
      <w:r w:rsidR="00F8029C">
        <w:t>POD standardy kvality uvedenými</w:t>
      </w:r>
      <w:r w:rsidR="00F8029C">
        <w:br/>
      </w:r>
      <w:r w:rsidR="00D26969" w:rsidRPr="00524DAA">
        <w:t>v prováděcí vyhlášce tohoto zákona, které nastavují minimální zákonem stanovené požadavky na kvalitu SPOD, které musí OSPOD splnit. Součástí standardů je mj. požadavek na bezbariérovost prostor úřadů, které zajišťují veřejnoprávní ochranu dětí, kde probíhá jednání s cílovou skupinou, a to jak na obecní, tak i na krajské a celostátní úrovni, či požadavek na zajištění snadné orientace osob se smyslovým postižením v prostorách, kde je veřejnoprávní ochrana dětí poskytována. Dalším zákonem stanoveným požadavkem je zajištění služeb potřebných k jednání s osobami se specifickými potřebami, tj. i s lidmi se ZP. Ve vztahu k této cílové skupině se jedná např. o zajištění tlumočnických služeb pro osoby neslyšící. Naplnění těchto povinností je kontrolováno, a to krajskými úřady, které kontrolují kvalitu SPOD u obecních úřadů, a MP</w:t>
      </w:r>
      <w:r w:rsidR="00933DD1">
        <w:t>SV, jež kontroluje kvalitu SPOD</w:t>
      </w:r>
      <w:r w:rsidR="00933DD1">
        <w:br/>
      </w:r>
      <w:r w:rsidR="00D26969" w:rsidRPr="00524DAA">
        <w:t>u krajských úřadů. V rámci těchto kontrol bylo také zaznamenáno, že úřady iniciativně proškolují své úředníky zařazené k výkonu SPOD v oblasti jednání s osobami se ZP.</w:t>
      </w:r>
    </w:p>
    <w:p w:rsidR="00E04622" w:rsidRDefault="00E04622" w:rsidP="00E04622">
      <w:pPr>
        <w:pStyle w:val="SingleTxtG"/>
      </w:pPr>
      <w:r>
        <w:t>6</w:t>
      </w:r>
      <w:r w:rsidR="00776B66">
        <w:t>6</w:t>
      </w:r>
      <w:r>
        <w:t>.</w:t>
      </w:r>
      <w:r>
        <w:tab/>
        <w:t>Pokud jde o oblast sociálních služeb, je naplňování standardů kvality poskytování sociálních služeb řešeno především prostřednictvím kontroly dodržování standardů kvality, které tvoří přílohu vyhlášky č. 505/2006 Sb., kterou se provádějí některá ustanovení zákona o sociálních službách. Standard č. 7 nese název „Stížnosti na kvalitu nebo způsob poskytování sociální služby“ a ukládá poskytovatelům:</w:t>
      </w:r>
    </w:p>
    <w:p w:rsidR="00E04622" w:rsidRDefault="00E04622" w:rsidP="00E04622">
      <w:pPr>
        <w:pStyle w:val="Bullet1G"/>
        <w:numPr>
          <w:ilvl w:val="0"/>
          <w:numId w:val="33"/>
        </w:numPr>
      </w:pPr>
      <w:r>
        <w:t>písemně zpracovat vnitřní pravidla pro podávání a vyřizování stížností,</w:t>
      </w:r>
    </w:p>
    <w:p w:rsidR="00E04622" w:rsidRDefault="00E04622" w:rsidP="00E04622">
      <w:pPr>
        <w:pStyle w:val="Bullet1G"/>
        <w:numPr>
          <w:ilvl w:val="0"/>
          <w:numId w:val="33"/>
        </w:numPr>
      </w:pPr>
      <w:r>
        <w:t>informovat osoby o možnosti podat stížnost a jakým způsobem,</w:t>
      </w:r>
    </w:p>
    <w:p w:rsidR="00E04622" w:rsidRDefault="00E04622" w:rsidP="00E04622">
      <w:pPr>
        <w:pStyle w:val="Bullet1G"/>
        <w:numPr>
          <w:ilvl w:val="0"/>
          <w:numId w:val="33"/>
        </w:numPr>
      </w:pPr>
      <w:r>
        <w:t>evidovat a vyřizovat stížnosti písemně v přiměřené lhůtě,</w:t>
      </w:r>
    </w:p>
    <w:p w:rsidR="00E04622" w:rsidRDefault="00E04622" w:rsidP="00E04622">
      <w:pPr>
        <w:pStyle w:val="Bullet1G"/>
        <w:numPr>
          <w:ilvl w:val="0"/>
          <w:numId w:val="33"/>
        </w:numPr>
      </w:pPr>
      <w:r>
        <w:t>informovat osoby o možnosti obrátit se z důvodu nespokojenosti s vyřízením stížnosti na další orgány.</w:t>
      </w:r>
    </w:p>
    <w:p w:rsidR="00E04622" w:rsidRDefault="00E04622" w:rsidP="00E04622">
      <w:pPr>
        <w:pStyle w:val="SingleTxtG"/>
      </w:pPr>
      <w:r>
        <w:t>6</w:t>
      </w:r>
      <w:r w:rsidR="00776B66">
        <w:t>7</w:t>
      </w:r>
      <w:r>
        <w:t>.</w:t>
      </w:r>
      <w:r>
        <w:tab/>
        <w:t>Rozdělení kompetencí v oblasti kontroly sociálních služeb stanoví zákon</w:t>
      </w:r>
      <w:r>
        <w:br/>
        <w:t>o sociálních službách. Krajský úřad jakožto registrující orgán kontroluje registrační podmínky, což je např. odborná způsobilost všech fyzických osob, které budou přímo poskytovat sociální služby, zajištění hygienických podmínek a materiálních a technických podmínek. Krajský úřad je dále oslovován v případě poskytování služeb bez registrace. Inspekce poskytování sociálních služeb kontroluje plnění povinností poskytovatelů sociálních služeb stanovených v § 88, 89 a 91c zákona o sociálních službách a kvalitu poskytovaných sociálních služeb dle § 99 zákona o sociálních službách.</w:t>
      </w:r>
    </w:p>
    <w:p w:rsidR="00E04622" w:rsidRDefault="00E04622" w:rsidP="00E04622">
      <w:pPr>
        <w:pStyle w:val="SingleTxtG"/>
      </w:pPr>
      <w:r>
        <w:t>6</w:t>
      </w:r>
      <w:r w:rsidR="00776B66">
        <w:t>8</w:t>
      </w:r>
      <w:r>
        <w:t>.</w:t>
      </w:r>
      <w:r>
        <w:tab/>
        <w:t>Standardy kvality jsou spolu s dalšími oblastmi sociálních služeb předmětem inspekce poskytování sociálních služeb, kterou provádí MPSV. MPSV je oprávněno ukládat poskytovateli sociálních služeb opatření k odstranění nedostatků zjištěných při inspekci a poskytovatel je povinen splnit uložená opatření ve stanovené lhůtě. Při nesplnění uložených opatření se poskytovatel sociálních služeb dopouští přestupku a může mu být uložena i pokuta.</w:t>
      </w:r>
    </w:p>
    <w:p w:rsidR="00812962" w:rsidRDefault="00E04622" w:rsidP="00E04622">
      <w:pPr>
        <w:pStyle w:val="SingleTxtG"/>
      </w:pPr>
      <w:r>
        <w:t>6</w:t>
      </w:r>
      <w:r w:rsidR="00776B66">
        <w:t>9</w:t>
      </w:r>
      <w:r>
        <w:t>.</w:t>
      </w:r>
      <w:r>
        <w:tab/>
        <w:t>Dále jsou stížnosti řešeny přímo na MPSV, které je přijímá a vyřizuje. Podle povahy stížnosti jsou jednotlivá podání předána jako podnět k vykonání inspekce Inspekci poskytování sociálních služeb MPSV nebo jako podnět ke kontrole registračních podmínek na registrující orgán místně příslušného krajského úřadu. V některých případech je podnět poslán také zřizovatelům organizací poskytujících dané služby. Uvedené orgány podnět vyhodnotí a využijí svých zákonem stanovených pravomocí k dalšímu postupu.</w:t>
      </w:r>
    </w:p>
    <w:p w:rsidR="00ED58E2" w:rsidRDefault="00776B66" w:rsidP="002B291A">
      <w:pPr>
        <w:pStyle w:val="SingleTxtG"/>
      </w:pPr>
      <w:r>
        <w:rPr>
          <w:rFonts w:cs="Arial"/>
          <w:color w:val="000000"/>
          <w:szCs w:val="24"/>
          <w:shd w:val="clear" w:color="auto" w:fill="FFFFFF"/>
        </w:rPr>
        <w:t>70</w:t>
      </w:r>
      <w:r w:rsidR="00871CFD">
        <w:rPr>
          <w:rFonts w:cs="Arial"/>
          <w:color w:val="000000"/>
          <w:szCs w:val="24"/>
          <w:shd w:val="clear" w:color="auto" w:fill="FFFFFF"/>
        </w:rPr>
        <w:t>.</w:t>
      </w:r>
      <w:r w:rsidR="00871CFD">
        <w:rPr>
          <w:rFonts w:cs="Arial"/>
          <w:color w:val="000000"/>
          <w:szCs w:val="24"/>
          <w:shd w:val="clear" w:color="auto" w:fill="FFFFFF"/>
        </w:rPr>
        <w:tab/>
        <w:t>Činnost</w:t>
      </w:r>
      <w:r w:rsidR="00871CFD">
        <w:rPr>
          <w:i/>
          <w:iCs/>
          <w:shd w:val="clear" w:color="auto" w:fill="FFFFFF"/>
        </w:rPr>
        <w:t xml:space="preserve"> </w:t>
      </w:r>
      <w:r w:rsidR="00871CFD">
        <w:rPr>
          <w:iCs/>
          <w:shd w:val="clear" w:color="auto" w:fill="FFFFFF"/>
        </w:rPr>
        <w:t>školy či školského zařízení, průběh, podmínky a výsledky vzdělávání dětí, žáků a studentů, vč. dětí, žáků a studentů se speciálními vzdělávacími potřebami kontroluje a hodnotí Česká školní inspekce</w:t>
      </w:r>
      <w:r w:rsidR="002B291A">
        <w:rPr>
          <w:iCs/>
          <w:shd w:val="clear" w:color="auto" w:fill="FFFFFF"/>
        </w:rPr>
        <w:t xml:space="preserve">, která je </w:t>
      </w:r>
      <w:r w:rsidR="002B291A">
        <w:t>správním úřadem s celostátní působností, vykonávajícím nezávislou inspekční činnost</w:t>
      </w:r>
      <w:r w:rsidR="00ED58E2">
        <w:t xml:space="preserve"> a </w:t>
      </w:r>
      <w:r w:rsidR="002B291A">
        <w:t>hodnocení vzdělávací soustavy v oblasti vzdělávání a školských služeb.</w:t>
      </w:r>
    </w:p>
    <w:p w:rsidR="00E67DAC" w:rsidRDefault="00776B66" w:rsidP="00E67DAC">
      <w:pPr>
        <w:pStyle w:val="SingleTxtG"/>
      </w:pPr>
      <w:r>
        <w:lastRenderedPageBreak/>
        <w:t>71</w:t>
      </w:r>
      <w:r w:rsidR="00E67DAC">
        <w:t>.</w:t>
      </w:r>
      <w:r w:rsidR="00E67DAC">
        <w:tab/>
        <w:t>Rovné zacházení a zákaz diskriminace osob se ZP v oblasti poskytování služeb cestovního ruchu je zajištěno především právními předpisy; jde zejména o § 6 zákona č. 634/1992 Sb., o ochraně spotřebitele, ve znění pozdějších předpisů, který zakazuje diskriminaci spotřebitele. Tato právní úprava plně dopadá i na služby cestovního ruchu. Mezi zakázané diskriminační důvody podle správní praxe České obchodní inspekce jako příslušného dozorového orgánu a ustálené judikatury ve správním soudnictví patří též zákaz diskriminace na základě zdravotního postižení. V oblasti cestovních služeb, jejichž předmětem je doprava, se uplatní příslušné předpisy Evropské unie (dále jen „EU“) - např. Nařízení (ES) č. 1107/2006 pro leteckou dopravu, vč. charterových letů v rámci zájezdu, Nařízení (ES) č. 1371/2007 pro železniční dopravu a Nařízení (ES) č. 181/2011 pro autobusovou dopravu.</w:t>
      </w:r>
    </w:p>
    <w:p w:rsidR="002B291A" w:rsidRDefault="00776B66" w:rsidP="00E67DAC">
      <w:pPr>
        <w:pStyle w:val="SingleTxtG"/>
      </w:pPr>
      <w:r>
        <w:t>72</w:t>
      </w:r>
      <w:r w:rsidR="00E67DAC">
        <w:t>.</w:t>
      </w:r>
      <w:r w:rsidR="00E67DAC">
        <w:tab/>
        <w:t>V ČR byla provedena transpozice Směrnice EU č. 2015/2302 o souborných cestovních službách a spojených cestovních službách. Transpoziční opatření reflektují některé specifické potřeby osob se ZP. Do § 9a odst. 2 zákona č. 159/1999 Sb., o některých podmínkách podnikání a o výkonu některých činností v oblasti cestovního ruchu, ve znění pozdějších předpisů byla vložena povinnost prodejce zájezdu informovat o tom, zda jsou cesta nebo pobyt obecně vhodné pro osoby s omezenou schopností pohybu, a povinnost na žádost zákazníka poskytnout přesné informace o vhodnosti cesty nebo pobytu s ohledem na potřeby konkrétního zákazníka. Do § 2539 odst. 3 občanského zákoníku byla vložena úprava, podle níž omezení výše nákladů podle odst. 2 cit. paragrafu se nevztahuje na osoby s omezenou schopností pohybu ve smyslu čl. 2 písm. a) Nařízení (ES) č. 1107/2006 o právech osob se zdravotním postižením a osob s omezenou schopností pohybu a orientace v letecké dopravě, a na všechny osoby, které je doprovázejí, těhotné ženy a nezletilé bez doprovodu, jakož i na osoby, které potřebují zvláštní lékařskou pomoc, za předpokladu, že pořadateli sdělily své zvláštní potřeby alespoň čtyřicet osm hodin před zahájením zájezdu.</w:t>
      </w:r>
    </w:p>
    <w:p w:rsidR="00E04622" w:rsidRPr="00524DAA" w:rsidRDefault="00E04622" w:rsidP="00E04622">
      <w:pPr>
        <w:pStyle w:val="SingleTxtG"/>
      </w:pPr>
    </w:p>
    <w:p w:rsidR="00812962" w:rsidRPr="00CC5FB5" w:rsidRDefault="00812962" w:rsidP="00812962">
      <w:pPr>
        <w:pStyle w:val="H1G"/>
      </w:pPr>
      <w:r w:rsidRPr="00524DAA">
        <w:tab/>
      </w:r>
      <w:r w:rsidRPr="00524DAA">
        <w:tab/>
        <w:t>Odpověď na otázku č. 8 d)</w:t>
      </w:r>
    </w:p>
    <w:p w:rsidR="000D2E30" w:rsidRPr="00524DAA" w:rsidRDefault="00295BB4" w:rsidP="000D2E30">
      <w:pPr>
        <w:pStyle w:val="SingleTxtG"/>
      </w:pPr>
      <w:r>
        <w:t>73</w:t>
      </w:r>
      <w:r w:rsidR="00877815">
        <w:t>.</w:t>
      </w:r>
      <w:r w:rsidR="000D2E30" w:rsidRPr="00524DAA">
        <w:tab/>
        <w:t xml:space="preserve">Vývoj v oblasti přístupnosti dopravy a nastavování </w:t>
      </w:r>
      <w:r w:rsidR="00975B38">
        <w:t xml:space="preserve">jejích </w:t>
      </w:r>
      <w:r w:rsidR="000D2E30" w:rsidRPr="00524DAA">
        <w:t xml:space="preserve">pravidel </w:t>
      </w:r>
      <w:r w:rsidR="007164EE">
        <w:t xml:space="preserve">je </w:t>
      </w:r>
      <w:r w:rsidR="000D2E30" w:rsidRPr="00524DAA">
        <w:t>v </w:t>
      </w:r>
      <w:r w:rsidR="00190F6F" w:rsidRPr="00524DAA">
        <w:t>Č</w:t>
      </w:r>
      <w:r w:rsidR="000D2E30" w:rsidRPr="00524DAA">
        <w:t xml:space="preserve">R </w:t>
      </w:r>
      <w:r w:rsidR="007164EE">
        <w:t>kontinuální</w:t>
      </w:r>
      <w:r w:rsidR="000D2E30" w:rsidRPr="00524DAA">
        <w:t xml:space="preserve">. Pokrok v zajištění přístupné veřejné dopravy je možné sledovat jak v oblasti právních předpisů, tak i v oblasti metodické. Nad rámec evropských nařízení zajišťujících práva pro cestující se </w:t>
      </w:r>
      <w:r w:rsidR="008E6EF9">
        <w:t xml:space="preserve">ZP </w:t>
      </w:r>
      <w:r w:rsidR="00C56E54" w:rsidRPr="00524DAA">
        <w:t xml:space="preserve">obsahuje v ČR obecná vnitrostátní úprava dopravy </w:t>
      </w:r>
      <w:r w:rsidR="000D2E30" w:rsidRPr="00524DAA">
        <w:t>zpřísněn</w:t>
      </w:r>
      <w:r w:rsidR="00C56E54" w:rsidRPr="00524DAA">
        <w:t>ou</w:t>
      </w:r>
      <w:r w:rsidR="000D2E30" w:rsidRPr="00524DAA">
        <w:t xml:space="preserve"> regulac</w:t>
      </w:r>
      <w:r w:rsidR="00C56E54" w:rsidRPr="00524DAA">
        <w:t>i</w:t>
      </w:r>
      <w:r w:rsidR="00975B38">
        <w:t xml:space="preserve"> </w:t>
      </w:r>
      <w:r w:rsidR="000D2E30" w:rsidRPr="00524DAA">
        <w:t>v oblasti objednávané dopravy</w:t>
      </w:r>
      <w:r w:rsidR="001E198B" w:rsidRPr="00524DAA">
        <w:t>.</w:t>
      </w:r>
    </w:p>
    <w:p w:rsidR="000D2E30" w:rsidRPr="00524DAA" w:rsidRDefault="00295BB4" w:rsidP="000D2E30">
      <w:pPr>
        <w:pStyle w:val="SingleTxtG"/>
      </w:pPr>
      <w:r>
        <w:t>74</w:t>
      </w:r>
      <w:r w:rsidR="00877815">
        <w:t>.</w:t>
      </w:r>
      <w:r w:rsidR="008A36AE" w:rsidRPr="00524DAA">
        <w:tab/>
        <w:t>Od roku 2010 obsahuje v</w:t>
      </w:r>
      <w:r w:rsidR="000D2E30" w:rsidRPr="00524DAA">
        <w:t>nitrostátní úprav</w:t>
      </w:r>
      <w:r w:rsidR="008A36AE" w:rsidRPr="00524DAA">
        <w:t>u</w:t>
      </w:r>
      <w:r w:rsidR="000D2E30" w:rsidRPr="00524DAA">
        <w:t xml:space="preserve"> </w:t>
      </w:r>
      <w:r w:rsidR="008A36AE" w:rsidRPr="00524DAA">
        <w:t>z</w:t>
      </w:r>
      <w:r w:rsidR="000D2E30" w:rsidRPr="00524DAA">
        <w:t xml:space="preserve">ákon č. 194/2010 Sb., o veřejných službách v přepravě cestujících a o změně dalších zákonů, </w:t>
      </w:r>
      <w:r w:rsidR="00EE7508">
        <w:t xml:space="preserve">ve znění pozdějších předpisů, </w:t>
      </w:r>
      <w:r w:rsidR="000D2E30" w:rsidRPr="00524DAA">
        <w:t>který provádí nařízení Evropského Parlamentu a Rady (ES) č. 1370/2007 Sb. o veřejných službách v přepravě cestujících po železnici a silnici a o zrušení nařízení Rady (EHS) č.</w:t>
      </w:r>
      <w:r w:rsidR="00EE7508">
        <w:t> </w:t>
      </w:r>
      <w:r w:rsidR="000D2E30" w:rsidRPr="00524DAA">
        <w:t>1191/69 a č. 1107/70</w:t>
      </w:r>
      <w:r w:rsidR="00D46F1C" w:rsidRPr="00524DAA">
        <w:t xml:space="preserve">. Ve své </w:t>
      </w:r>
      <w:r w:rsidR="000D2E30" w:rsidRPr="00524DAA">
        <w:t xml:space="preserve">příloze </w:t>
      </w:r>
      <w:r w:rsidR="00D46F1C" w:rsidRPr="00524DAA">
        <w:t xml:space="preserve">vymezuje uvedený zákon </w:t>
      </w:r>
      <w:r w:rsidR="000D2E30" w:rsidRPr="00524DAA">
        <w:t>standardy kvality a</w:t>
      </w:r>
      <w:r w:rsidR="00EE7508">
        <w:t> </w:t>
      </w:r>
      <w:r w:rsidR="000D2E30" w:rsidRPr="00524DAA">
        <w:t>bezpečnosti z hlediska informačních zařízení pro cestující i pro přepravu os</w:t>
      </w:r>
      <w:r w:rsidR="00933DD1">
        <w:t>ob s</w:t>
      </w:r>
      <w:r w:rsidR="00EE7508">
        <w:t> </w:t>
      </w:r>
      <w:r w:rsidR="00933DD1">
        <w:t>omezenou schopností pohybu</w:t>
      </w:r>
      <w:r w:rsidR="00EE7508">
        <w:t xml:space="preserve"> </w:t>
      </w:r>
      <w:r w:rsidR="000D2E30" w:rsidRPr="00524DAA">
        <w:t>a orientace. Prová</w:t>
      </w:r>
      <w:r w:rsidR="00D46F1C" w:rsidRPr="00524DAA">
        <w:t>děcí</w:t>
      </w:r>
      <w:r w:rsidR="000D2E30" w:rsidRPr="00524DAA">
        <w:t>m předpisem zákona č. 194/2010 Sb. je nařízení vlády č. 63/2011 Sb., o stanovení minimálních hodnot a ukazatelů standardů kvality a bezpečnosti a o způsobu jejich prokazování v souvislosti s poskytováním veřejných služeb v přepravě cestujících. Nařízení vlády stanovuje parametry objednávaných služeb ve vztahu k přístupnosti vozidel a jejich počtu. V roce 2015 bylo nařízení vlády zpřísněno v oblasti počtu nasazovaných vozidel na výkony ve veřejné dopravě v objednávce státu, krajů, měst a obcí. Reálné promítnutí zpřísnění podmínek se projeví od roku 2020, ve kterém začnou postupně platit nové smlouvy o veřejných službách v přepravě cestujících u většiny regionálních objednatelů, i státu. Ministerstvo dopravy předpokládá další úpravu tohoto naří</w:t>
      </w:r>
      <w:r w:rsidR="00933DD1">
        <w:t>zení vlády</w:t>
      </w:r>
      <w:r w:rsidR="00EE7508">
        <w:t xml:space="preserve"> </w:t>
      </w:r>
      <w:r w:rsidR="000D2E30" w:rsidRPr="00524DAA">
        <w:t>v souvislosti s připomínkami organizací zastupující</w:t>
      </w:r>
      <w:r w:rsidR="00D46F1C" w:rsidRPr="00524DAA">
        <w:t>ch</w:t>
      </w:r>
      <w:r w:rsidR="000D2E30" w:rsidRPr="00524DAA">
        <w:t xml:space="preserve"> osoby se </w:t>
      </w:r>
      <w:r w:rsidR="00D46F1C" w:rsidRPr="00524DAA">
        <w:t>ZP</w:t>
      </w:r>
      <w:r w:rsidR="000D2E30" w:rsidRPr="00524DAA">
        <w:t xml:space="preserve">. Společně s technickými parametry vozidel, které jsou upraveny příslušnými normami </w:t>
      </w:r>
      <w:r w:rsidR="00757C89">
        <w:t>[</w:t>
      </w:r>
      <w:r w:rsidR="000D2E30" w:rsidRPr="00524DAA">
        <w:t>např</w:t>
      </w:r>
      <w:r w:rsidR="0079762E">
        <w:t>.</w:t>
      </w:r>
      <w:r w:rsidR="000D2E30" w:rsidRPr="00524DAA">
        <w:t xml:space="preserve"> </w:t>
      </w:r>
      <w:r w:rsidR="00757C89" w:rsidRPr="00757C89">
        <w:t>Nařízení Komise (EU) č. 1300/2014 o technických specifikacích pro interoperabilitu týkajících se přístupnosti železničního systému Unie pro osoby se zdravotním postižením a osoby s omezenou schopností pohybu a orientace</w:t>
      </w:r>
      <w:r w:rsidR="00757C89">
        <w:t xml:space="preserve"> (dále jen „</w:t>
      </w:r>
      <w:r w:rsidR="0079762E">
        <w:t>TSI PRM</w:t>
      </w:r>
      <w:r w:rsidR="00757C89">
        <w:t>“)</w:t>
      </w:r>
      <w:r w:rsidR="000D2E30" w:rsidRPr="00524DAA">
        <w:t xml:space="preserve">; ČSN EN 16585-1 Železniční aplikace - Konstrukční úpravy pro osoby s omezenou schopností pohybu nebo orientace </w:t>
      </w:r>
      <w:r w:rsidR="00933DD1">
        <w:t>–</w:t>
      </w:r>
      <w:r w:rsidR="000D2E30" w:rsidRPr="00524DAA">
        <w:t xml:space="preserve"> Vybaven</w:t>
      </w:r>
      <w:r w:rsidR="00933DD1">
        <w:t>í</w:t>
      </w:r>
      <w:r w:rsidR="0079762E">
        <w:t xml:space="preserve"> </w:t>
      </w:r>
      <w:r w:rsidR="000D2E30" w:rsidRPr="00524DAA">
        <w:t xml:space="preserve">a komponenty v kolejových vozidlech - Část 1: Toalety; Předpis Evropské hospodářské komise Organizace spojených národů (EHK OSN) č. 107 </w:t>
      </w:r>
      <w:r w:rsidR="00757C89">
        <w:t>-</w:t>
      </w:r>
      <w:r w:rsidR="000D2E30" w:rsidRPr="00524DAA">
        <w:t xml:space="preserve"> Jednotná ustanovení pro </w:t>
      </w:r>
      <w:r w:rsidR="000D2E30" w:rsidRPr="00524DAA">
        <w:lastRenderedPageBreak/>
        <w:t>schvalování vozidel kategorie M2 nebo M3 z hlediska jejich celkové konstrukce</w:t>
      </w:r>
      <w:r w:rsidR="00757C89">
        <w:t>]</w:t>
      </w:r>
      <w:r w:rsidR="000D2E30" w:rsidRPr="00524DAA">
        <w:t xml:space="preserve"> je možné dosáhnout kvalitní přístupné dopravy v</w:t>
      </w:r>
      <w:r w:rsidR="00757C89">
        <w:t> </w:t>
      </w:r>
      <w:r w:rsidR="000D2E30" w:rsidRPr="00524DAA">
        <w:t>jednotlivých územních celcích, tedy na území státu, krajů i obcí a t</w:t>
      </w:r>
      <w:r w:rsidR="00D46F1C" w:rsidRPr="00524DAA">
        <w:t>edy i ve venkovských oblastech.</w:t>
      </w:r>
    </w:p>
    <w:p w:rsidR="000D2E30" w:rsidRPr="00524DAA" w:rsidRDefault="00295BB4" w:rsidP="000D2E30">
      <w:pPr>
        <w:pStyle w:val="SingleTxtG"/>
      </w:pPr>
      <w:r>
        <w:t>75</w:t>
      </w:r>
      <w:r w:rsidR="00877815">
        <w:t>.</w:t>
      </w:r>
      <w:r w:rsidR="00342EBD" w:rsidRPr="00524DAA">
        <w:tab/>
      </w:r>
      <w:r w:rsidR="000D2E30" w:rsidRPr="00524DAA">
        <w:t xml:space="preserve">Aby byla problematika přístupné dopravy lépe uchopitelná pro regionální objednatele, vydalo </w:t>
      </w:r>
      <w:r w:rsidR="00342EBD" w:rsidRPr="00524DAA">
        <w:t xml:space="preserve">Ministerstvo dopravy </w:t>
      </w:r>
      <w:r w:rsidR="000D2E30" w:rsidRPr="00524DAA">
        <w:t xml:space="preserve">v roce 2018 metodickou pomůcku s názvem Metodická pomůcka pro zajištění veřejných služeb v přepravě cestujících přístupných pro osoby s omezenou schopností pohybu a orientace. Metodická pomůcka byla vydána ve spolupráci s organizacemi zastupujícími osoby se </w:t>
      </w:r>
      <w:r w:rsidR="00342EBD" w:rsidRPr="00524DAA">
        <w:t>ZP</w:t>
      </w:r>
      <w:r w:rsidR="000D2E30" w:rsidRPr="00524DAA">
        <w:t xml:space="preserve">. V rámci metodické činnosti </w:t>
      </w:r>
      <w:r w:rsidR="00342EBD" w:rsidRPr="00524DAA">
        <w:t xml:space="preserve">připravilo </w:t>
      </w:r>
      <w:r w:rsidR="000D2E30" w:rsidRPr="00524DAA">
        <w:t xml:space="preserve">Ministerstvo dopravy na webových stránkách speciální část „Bezbariérovost“, </w:t>
      </w:r>
      <w:r w:rsidR="00342EBD" w:rsidRPr="00524DAA">
        <w:t>ve</w:t>
      </w:r>
      <w:r w:rsidR="000D2E30" w:rsidRPr="00524DAA">
        <w:t xml:space="preserve"> které je možné na</w:t>
      </w:r>
      <w:r w:rsidR="00E11F8A">
        <w:t>jít</w:t>
      </w:r>
      <w:r w:rsidR="000D2E30" w:rsidRPr="00524DAA">
        <w:t xml:space="preserve"> nejdůležitější informace, příklady dobré praxe i vybrané metodiky.</w:t>
      </w:r>
    </w:p>
    <w:p w:rsidR="000D2E30" w:rsidRPr="00524DAA" w:rsidRDefault="00295BB4" w:rsidP="000D2E30">
      <w:pPr>
        <w:pStyle w:val="SingleTxtG"/>
      </w:pPr>
      <w:r>
        <w:t>7</w:t>
      </w:r>
      <w:r w:rsidR="00CB33B3">
        <w:t>6</w:t>
      </w:r>
      <w:r w:rsidR="00877815">
        <w:t>.</w:t>
      </w:r>
      <w:r w:rsidR="00342EBD" w:rsidRPr="00524DAA">
        <w:tab/>
      </w:r>
      <w:r w:rsidR="000D2E30" w:rsidRPr="00524DAA">
        <w:t xml:space="preserve">Zákon č. 304/2017 Sb., kterým se mění zákon č. 111/1994 Sb., o silniční dopravě, ve znění pozdějších předpisů, a další související zákony </w:t>
      </w:r>
      <w:r w:rsidR="00C319C1" w:rsidRPr="00524DAA">
        <w:t xml:space="preserve">zavedl </w:t>
      </w:r>
      <w:r w:rsidR="00F77547" w:rsidRPr="00524DAA">
        <w:t xml:space="preserve">s účinností od 4. října 2017 </w:t>
      </w:r>
      <w:r w:rsidR="000D2E30" w:rsidRPr="00524DAA">
        <w:t>nov</w:t>
      </w:r>
      <w:r w:rsidR="00C319C1" w:rsidRPr="00524DAA">
        <w:t>ou</w:t>
      </w:r>
      <w:r w:rsidR="000D2E30" w:rsidRPr="00524DAA">
        <w:t xml:space="preserve"> </w:t>
      </w:r>
      <w:r w:rsidR="007A07EC" w:rsidRPr="00524DAA">
        <w:t>ú</w:t>
      </w:r>
      <w:r w:rsidR="000D2E30" w:rsidRPr="00524DAA">
        <w:t>prav</w:t>
      </w:r>
      <w:r w:rsidR="00C319C1" w:rsidRPr="00524DAA">
        <w:t>u</w:t>
      </w:r>
      <w:r w:rsidR="000D2E30" w:rsidRPr="00524DAA">
        <w:t xml:space="preserve"> zřizování označníků zastávek v silniční dopravě. </w:t>
      </w:r>
      <w:r w:rsidR="00F77547" w:rsidRPr="00524DAA">
        <w:t>Od uvedeného data se o</w:t>
      </w:r>
      <w:r w:rsidR="000D2E30" w:rsidRPr="00524DAA">
        <w:t xml:space="preserve">značníky </w:t>
      </w:r>
      <w:r w:rsidR="00F77547" w:rsidRPr="00524DAA">
        <w:t xml:space="preserve">považují za </w:t>
      </w:r>
      <w:r w:rsidR="000D2E30" w:rsidRPr="00524DAA">
        <w:t>dopravní značk</w:t>
      </w:r>
      <w:r w:rsidR="00F77547" w:rsidRPr="00524DAA">
        <w:t>y</w:t>
      </w:r>
      <w:r w:rsidR="000D2E30" w:rsidRPr="00524DAA">
        <w:t>, toto opatření přineslo postupné odstranění nevhodně umístěných označníků a zlepšilo tak orientaci ce</w:t>
      </w:r>
      <w:r w:rsidR="00933DD1">
        <w:t>stujících při hledání zastávek.</w:t>
      </w:r>
      <w:r w:rsidR="00933DD1">
        <w:br/>
      </w:r>
      <w:r w:rsidR="000D2E30" w:rsidRPr="00524DAA">
        <w:t>O zastávky se nově stará vlastník pozemní komunikace. Úprava přinesla zlepšení stavu na zastávkách plošně ve všech regionech. V roce 2019 bylo zahájeno monitorování zastávek veřejné hromadné dopravy na území Prahy, monitorování má za cíl zmapovat přístupnost jednotlivých zastávek. Pro toto mapování byla ve spolupráci s Pražskou organizací vozíčkářů</w:t>
      </w:r>
      <w:r w:rsidR="00F77547" w:rsidRPr="00524DAA">
        <w:t xml:space="preserve"> vypracována metodika.</w:t>
      </w:r>
    </w:p>
    <w:p w:rsidR="000D2E30" w:rsidRPr="00524DAA" w:rsidRDefault="00295BB4" w:rsidP="000D2E30">
      <w:pPr>
        <w:pStyle w:val="SingleTxtG"/>
      </w:pPr>
      <w:r>
        <w:t>77</w:t>
      </w:r>
      <w:r w:rsidR="00877815">
        <w:t>.</w:t>
      </w:r>
      <w:r w:rsidR="00342EBD" w:rsidRPr="00524DAA">
        <w:tab/>
      </w:r>
      <w:r w:rsidR="007A1A10">
        <w:t xml:space="preserve">V návaznosti na </w:t>
      </w:r>
      <w:r w:rsidR="000D2E30" w:rsidRPr="00524DAA">
        <w:t>spoluprác</w:t>
      </w:r>
      <w:r w:rsidR="007A1A10">
        <w:t>i</w:t>
      </w:r>
      <w:r w:rsidR="000D2E30" w:rsidRPr="00524DAA">
        <w:t xml:space="preserve"> s</w:t>
      </w:r>
      <w:r w:rsidR="007D6B71">
        <w:t> </w:t>
      </w:r>
      <w:r w:rsidR="000D2E30" w:rsidRPr="00524DAA">
        <w:t>M</w:t>
      </w:r>
      <w:r w:rsidR="007D6B71">
        <w:t>M</w:t>
      </w:r>
      <w:r w:rsidR="00A87B3D">
        <w:t>R</w:t>
      </w:r>
      <w:r w:rsidR="007D6B71">
        <w:t xml:space="preserve"> </w:t>
      </w:r>
      <w:r w:rsidR="00F77547" w:rsidRPr="00524DAA">
        <w:t xml:space="preserve">se </w:t>
      </w:r>
      <w:r w:rsidR="000D2E30" w:rsidRPr="00524DAA">
        <w:t xml:space="preserve">požadavky </w:t>
      </w:r>
      <w:r w:rsidR="007A1A10">
        <w:t xml:space="preserve">bezbariérové </w:t>
      </w:r>
      <w:r w:rsidR="000D2E30" w:rsidRPr="00524DAA">
        <w:t xml:space="preserve">vyhlášky </w:t>
      </w:r>
      <w:r w:rsidR="00F77547" w:rsidRPr="00524DAA">
        <w:t xml:space="preserve">uplatňují </w:t>
      </w:r>
      <w:r w:rsidR="000D2E30" w:rsidRPr="00524DAA">
        <w:t xml:space="preserve">i </w:t>
      </w:r>
      <w:r w:rsidR="0018764F" w:rsidRPr="00524DAA">
        <w:t>na</w:t>
      </w:r>
      <w:r w:rsidR="000D2E30" w:rsidRPr="00524DAA">
        <w:t xml:space="preserve"> stavby dopravní. Tento krok pomáhá stavebním úřadům k</w:t>
      </w:r>
      <w:r w:rsidR="0018764F" w:rsidRPr="00524DAA">
        <w:t>e</w:t>
      </w:r>
      <w:r w:rsidR="000D2E30" w:rsidRPr="00524DAA">
        <w:t xml:space="preserve"> sjednocení přístupu v oblasti zajištění přístupnosti veřejného prostoru. V železniční dopravě se nad rámec </w:t>
      </w:r>
      <w:r w:rsidR="0018764F" w:rsidRPr="00524DAA">
        <w:t xml:space="preserve">uvedené </w:t>
      </w:r>
      <w:r w:rsidR="000D2E30" w:rsidRPr="00524DAA">
        <w:t>vyhlášky použije i</w:t>
      </w:r>
      <w:r w:rsidR="00E11F8A">
        <w:t xml:space="preserve"> TSI PRM</w:t>
      </w:r>
      <w:r w:rsidR="000D2E30" w:rsidRPr="00524DAA">
        <w:t>.</w:t>
      </w:r>
    </w:p>
    <w:p w:rsidR="000D2E30" w:rsidRPr="00524DAA" w:rsidRDefault="00877815" w:rsidP="000D2E30">
      <w:pPr>
        <w:pStyle w:val="SingleTxtG"/>
      </w:pPr>
      <w:r>
        <w:t>7</w:t>
      </w:r>
      <w:r w:rsidR="00295BB4">
        <w:t>8</w:t>
      </w:r>
      <w:r>
        <w:t>.</w:t>
      </w:r>
      <w:r w:rsidR="0018764F" w:rsidRPr="00524DAA">
        <w:tab/>
      </w:r>
      <w:r w:rsidR="00716EE0">
        <w:t>U</w:t>
      </w:r>
      <w:r w:rsidR="000D2E30" w:rsidRPr="00524DAA">
        <w:t xml:space="preserve"> novostav</w:t>
      </w:r>
      <w:r w:rsidR="00716EE0">
        <w:t>e</w:t>
      </w:r>
      <w:r w:rsidR="000D2E30" w:rsidRPr="00524DAA">
        <w:t xml:space="preserve">b nebo modernizací dopravní infrastruktury přístupné pro veřejnost je ve všech druzích dopravy sledováno i kritérium bezbariérovosti. Jednotlivé projekty v regionech na zajištění přístupné dopravy bylo a je možné financovat ze zdrojů </w:t>
      </w:r>
      <w:r w:rsidR="00B819BF">
        <w:t>O</w:t>
      </w:r>
      <w:r w:rsidR="000D2E30" w:rsidRPr="00524DAA">
        <w:t xml:space="preserve">peračního programu Doprava II, nebo z vládního programu Mobility pro všechny. </w:t>
      </w:r>
    </w:p>
    <w:p w:rsidR="000D2E30" w:rsidRPr="00524DAA" w:rsidRDefault="00877815" w:rsidP="000D2E30">
      <w:pPr>
        <w:pStyle w:val="SingleTxtG"/>
      </w:pPr>
      <w:r>
        <w:t>7</w:t>
      </w:r>
      <w:r w:rsidR="00295BB4">
        <w:t>9</w:t>
      </w:r>
      <w:r>
        <w:t>.</w:t>
      </w:r>
      <w:r w:rsidR="0018764F" w:rsidRPr="00524DAA">
        <w:tab/>
      </w:r>
      <w:r w:rsidR="000D2E30" w:rsidRPr="00524DAA">
        <w:t>Železniční stanice a zastávky jsou modernizovány jako součást projektů na modernizaci parametrů dopravní infrastruktury, nebo v</w:t>
      </w:r>
      <w:r w:rsidR="0018764F" w:rsidRPr="00524DAA">
        <w:t xml:space="preserve"> rámci </w:t>
      </w:r>
      <w:r w:rsidR="000D2E30" w:rsidRPr="00524DAA">
        <w:t>samostatných investičních akcí společnosti Správa železni</w:t>
      </w:r>
      <w:r w:rsidR="002173E1">
        <w:t>c</w:t>
      </w:r>
      <w:r w:rsidR="000D2E30" w:rsidRPr="00524DAA">
        <w:t xml:space="preserve">, </w:t>
      </w:r>
      <w:proofErr w:type="spellStart"/>
      <w:r w:rsidR="002173E1">
        <w:t>s</w:t>
      </w:r>
      <w:r w:rsidR="000D2E30" w:rsidRPr="00524DAA">
        <w:t>.</w:t>
      </w:r>
      <w:r w:rsidR="002173E1">
        <w:t>o</w:t>
      </w:r>
      <w:proofErr w:type="spellEnd"/>
      <w:r w:rsidR="000D2E30" w:rsidRPr="00524DAA">
        <w:t>.</w:t>
      </w:r>
    </w:p>
    <w:p w:rsidR="000D2E30" w:rsidRPr="00524DAA" w:rsidRDefault="00295BB4" w:rsidP="000D2E30">
      <w:pPr>
        <w:pStyle w:val="SingleTxtG"/>
      </w:pPr>
      <w:r>
        <w:t>80</w:t>
      </w:r>
      <w:r w:rsidR="00877815">
        <w:t>.</w:t>
      </w:r>
      <w:r w:rsidR="0018764F" w:rsidRPr="00524DAA">
        <w:tab/>
        <w:t>K významnému pokroku došlo i ve </w:t>
      </w:r>
      <w:r w:rsidR="000D2E30" w:rsidRPr="00524DAA">
        <w:t>zvýšení přístupnosti systému pražského metra, kde kromě budování nových výtahů pro zajištění bezbariérového přístupu do stanic všech linek začaly být v roce 2018 instalovány rektifikační hřebeny, které umožňují jednodušší vjezd vozíčkáře do soupravy tím, že zmenšují prostor mez</w:t>
      </w:r>
      <w:r w:rsidR="00933DD1">
        <w:t>i hranou nástupiště a soupravou</w:t>
      </w:r>
      <w:r w:rsidR="00933DD1">
        <w:br/>
      </w:r>
      <w:r w:rsidR="000D2E30" w:rsidRPr="00524DAA">
        <w:t>a pomáhají snížit výškový rozdíl nutný k překonání.</w:t>
      </w:r>
    </w:p>
    <w:p w:rsidR="000D2E30" w:rsidRPr="00524DAA" w:rsidRDefault="00295BB4" w:rsidP="000D2E30">
      <w:pPr>
        <w:pStyle w:val="SingleTxtG"/>
      </w:pPr>
      <w:r>
        <w:t>81</w:t>
      </w:r>
      <w:r w:rsidR="00877815">
        <w:t>.</w:t>
      </w:r>
      <w:r w:rsidR="0018764F" w:rsidRPr="00524DAA">
        <w:tab/>
      </w:r>
      <w:r w:rsidR="000D2E30" w:rsidRPr="00524DAA">
        <w:t>Železniční doprava byla v roce 2019 zajišťována cca 9500 spoji denně, z nichž více než 55 % bylo provedeno bezbariérovými vozidly. Bezb</w:t>
      </w:r>
      <w:r w:rsidR="00933DD1">
        <w:t>ariérová doprava se tak dostává</w:t>
      </w:r>
      <w:r w:rsidR="00933DD1">
        <w:br/>
      </w:r>
      <w:r w:rsidR="000D2E30" w:rsidRPr="00524DAA">
        <w:t>i do regionů. Všichni dopravci nabízí možnost objednání přepravy cestujících se zdravotním postižení, vč</w:t>
      </w:r>
      <w:r w:rsidR="007E17DF">
        <w:t>.</w:t>
      </w:r>
      <w:r w:rsidR="000D2E30" w:rsidRPr="00524DAA">
        <w:t xml:space="preserve"> příslušné asistence. Min</w:t>
      </w:r>
      <w:r w:rsidR="00933DD1">
        <w:t>isterstvo dopravy v souvislosti</w:t>
      </w:r>
      <w:r w:rsidR="00933DD1">
        <w:br/>
      </w:r>
      <w:r w:rsidR="000D2E30" w:rsidRPr="00524DAA">
        <w:t xml:space="preserve">s otevíráním trhu veřejných služeb v železniční osobní dopravě pracuje na spuštění Systému jednotného tarifu, jehož jednou ze základních funkcionalit systému </w:t>
      </w:r>
      <w:r w:rsidR="00933DD1">
        <w:t>by měla být</w:t>
      </w:r>
      <w:r w:rsidR="00933DD1">
        <w:br/>
      </w:r>
      <w:r w:rsidR="000D2E30" w:rsidRPr="00524DAA">
        <w:t xml:space="preserve">i objednávka přepravy pro osoby s omezenou schopností pohybu a orientace na jednom místě i při využití </w:t>
      </w:r>
      <w:r w:rsidR="0018764F" w:rsidRPr="00524DAA">
        <w:t xml:space="preserve">služeb </w:t>
      </w:r>
      <w:r w:rsidR="000D2E30" w:rsidRPr="00524DAA">
        <w:t>více dopravců.</w:t>
      </w:r>
    </w:p>
    <w:p w:rsidR="000D2E30" w:rsidRPr="00524DAA" w:rsidRDefault="00295BB4" w:rsidP="000D2E30">
      <w:pPr>
        <w:pStyle w:val="SingleTxtG"/>
      </w:pPr>
      <w:r>
        <w:t>82</w:t>
      </w:r>
      <w:r w:rsidR="00877815">
        <w:t>.</w:t>
      </w:r>
      <w:r w:rsidR="0018764F" w:rsidRPr="00524DAA">
        <w:tab/>
      </w:r>
      <w:r w:rsidR="000D2E30" w:rsidRPr="00524DAA">
        <w:t>Z hlediska práv cestujících byla v prosinci 2017 ukončena výjimka z nařízení Evropského parlamentu a Rady (EU) č. 181/2011 o p</w:t>
      </w:r>
      <w:r w:rsidR="00933DD1">
        <w:t>rávech cestujících v autobusové</w:t>
      </w:r>
      <w:r w:rsidR="00933DD1">
        <w:br/>
      </w:r>
      <w:r w:rsidR="000D2E30" w:rsidRPr="00524DAA">
        <w:t xml:space="preserve">a autokarové dopravě a o změně nařízení (ES) č. 2006/2004, od prosince 2019 </w:t>
      </w:r>
      <w:r w:rsidR="0018764F" w:rsidRPr="00524DAA">
        <w:t xml:space="preserve">začalo </w:t>
      </w:r>
      <w:r w:rsidR="00933DD1">
        <w:t>platit</w:t>
      </w:r>
      <w:r w:rsidR="00933DD1">
        <w:br/>
      </w:r>
      <w:r w:rsidR="000D2E30" w:rsidRPr="00524DAA">
        <w:t>i nařízení Evropského parlamentu a Rady (ES) č. 1371/2007 o právech a povinnostech cestujících v železniční přepravě v plném rozsahu. V současné době se Ministerstvo dopravy aktivně podílí na novelizaci nařízení Evropského parlamentu a Rady (ES) č.</w:t>
      </w:r>
      <w:r w:rsidR="0023154F" w:rsidRPr="00524DAA">
        <w:t> </w:t>
      </w:r>
      <w:r w:rsidR="000D2E30" w:rsidRPr="00524DAA">
        <w:t xml:space="preserve">1371/2007 o právech a povinnostech cestujících v železniční přepravě. </w:t>
      </w:r>
    </w:p>
    <w:p w:rsidR="00812962" w:rsidRPr="00524DAA" w:rsidRDefault="00295BB4" w:rsidP="000D2E30">
      <w:pPr>
        <w:pStyle w:val="SingleTxtG"/>
      </w:pPr>
      <w:r>
        <w:t>83</w:t>
      </w:r>
      <w:r w:rsidR="00877815">
        <w:t>.</w:t>
      </w:r>
      <w:r w:rsidR="009751D6" w:rsidRPr="00524DAA">
        <w:tab/>
      </w:r>
      <w:r w:rsidR="000D2E30" w:rsidRPr="00524DAA">
        <w:t>Všechna opatření i legislativou upravené parametry a pravidla pro zajištění přístupné dopravy jsou prováděna a uplatňována plošně</w:t>
      </w:r>
      <w:r w:rsidR="009751D6" w:rsidRPr="00524DAA">
        <w:t>,</w:t>
      </w:r>
      <w:r w:rsidR="000D2E30" w:rsidRPr="00524DAA">
        <w:t xml:space="preserve"> na celém území Č</w:t>
      </w:r>
      <w:r w:rsidR="009751D6" w:rsidRPr="00524DAA">
        <w:t>R</w:t>
      </w:r>
      <w:r w:rsidR="000D2E30" w:rsidRPr="00524DAA">
        <w:t xml:space="preserve">, bylo by </w:t>
      </w:r>
      <w:r w:rsidR="00F158A5" w:rsidRPr="00524DAA">
        <w:t xml:space="preserve">proto </w:t>
      </w:r>
      <w:r w:rsidR="000D2E30" w:rsidRPr="00524DAA">
        <w:t>chybné domnívat se, že ve venkovských oblastech je problematika zajišťování přístupnosti</w:t>
      </w:r>
      <w:r w:rsidR="009751D6" w:rsidRPr="00524DAA">
        <w:t xml:space="preserve"> </w:t>
      </w:r>
      <w:r w:rsidR="00A963DD" w:rsidRPr="00524DAA">
        <w:t>upozaďována.</w:t>
      </w:r>
    </w:p>
    <w:p w:rsidR="00812962" w:rsidRPr="00524DAA" w:rsidRDefault="00812962" w:rsidP="001D4EF8">
      <w:pPr>
        <w:pStyle w:val="SingleTxtG"/>
      </w:pPr>
    </w:p>
    <w:p w:rsidR="00812962" w:rsidRPr="00CC5FB5" w:rsidRDefault="00812962" w:rsidP="00812962">
      <w:pPr>
        <w:pStyle w:val="H1G"/>
      </w:pPr>
      <w:r w:rsidRPr="00524DAA">
        <w:tab/>
      </w:r>
      <w:r w:rsidRPr="00524DAA">
        <w:tab/>
        <w:t>Odpověď na otázku č. 8 e)</w:t>
      </w:r>
    </w:p>
    <w:p w:rsidR="00195A28" w:rsidRPr="00524DAA" w:rsidRDefault="00295BB4" w:rsidP="00195A28">
      <w:pPr>
        <w:pStyle w:val="SingleTxtG"/>
      </w:pPr>
      <w:r>
        <w:t>84</w:t>
      </w:r>
      <w:r w:rsidR="00877815">
        <w:t>.</w:t>
      </w:r>
      <w:r w:rsidR="00195A28" w:rsidRPr="00524DAA">
        <w:tab/>
        <w:t xml:space="preserve">Směrnice Evropského parlamentu a Rady (EU) </w:t>
      </w:r>
      <w:r w:rsidR="00465D9F">
        <w:t>2016/2102 ze dne 26. října 2016</w:t>
      </w:r>
      <w:r w:rsidR="00465D9F">
        <w:br/>
      </w:r>
      <w:r w:rsidR="00195A28" w:rsidRPr="00524DAA">
        <w:t>o přístupnosti webových stránek a mobilních aplikací subjektů veřejného sektoru byla do právního řádu ČR plně transponována a tato transpozice byla notifikována Evropskou komisí dne 18. dubna 2019, a to formou vložení veškerých relevantních českých transpozičních předpisů do databáze Evropské komise MNS (</w:t>
      </w:r>
      <w:proofErr w:type="spellStart"/>
      <w:r w:rsidR="00195A28" w:rsidRPr="00524DAA">
        <w:t>Mesures</w:t>
      </w:r>
      <w:proofErr w:type="spellEnd"/>
      <w:r w:rsidR="00195A28" w:rsidRPr="00524DAA">
        <w:t xml:space="preserve"> </w:t>
      </w:r>
      <w:proofErr w:type="spellStart"/>
      <w:r w:rsidR="00195A28" w:rsidRPr="00524DAA">
        <w:t>nationales</w:t>
      </w:r>
      <w:proofErr w:type="spellEnd"/>
      <w:r w:rsidR="00195A28" w:rsidRPr="00524DAA">
        <w:t xml:space="preserve"> </w:t>
      </w:r>
      <w:proofErr w:type="spellStart"/>
      <w:r w:rsidR="00195A28" w:rsidRPr="00524DAA">
        <w:t>d‘exécution</w:t>
      </w:r>
      <w:proofErr w:type="spellEnd"/>
      <w:r w:rsidR="00195A28" w:rsidRPr="00524DAA">
        <w:t>). Jd</w:t>
      </w:r>
      <w:r w:rsidR="002F7434" w:rsidRPr="00524DAA">
        <w:t>e</w:t>
      </w:r>
      <w:r w:rsidR="00195A28" w:rsidRPr="00524DAA">
        <w:t xml:space="preserve"> o následující právní předpisy:</w:t>
      </w:r>
    </w:p>
    <w:p w:rsidR="00195A28" w:rsidRPr="00524DAA" w:rsidRDefault="00195A28" w:rsidP="006C1E2C">
      <w:pPr>
        <w:pStyle w:val="Bullet1G"/>
      </w:pPr>
      <w:r w:rsidRPr="00524DAA">
        <w:t>zákon č. 85/1990 Sb., o právu petičním,</w:t>
      </w:r>
      <w:r w:rsidR="002F3514">
        <w:t xml:space="preserve"> ve znění pozdějších předpisů,</w:t>
      </w:r>
    </w:p>
    <w:p w:rsidR="00195A28" w:rsidRPr="00524DAA" w:rsidRDefault="00195A28" w:rsidP="006C1E2C">
      <w:pPr>
        <w:pStyle w:val="Bullet1G"/>
      </w:pPr>
      <w:r w:rsidRPr="00524DAA">
        <w:t>zákon č. 349/1999 Sb., o Veřejném ochránci práv</w:t>
      </w:r>
      <w:r w:rsidR="00022899">
        <w:t xml:space="preserve">, ve znění pozdějších předpisů (dále jen „zákon o </w:t>
      </w:r>
      <w:r w:rsidR="00BF2AF2">
        <w:t>V</w:t>
      </w:r>
      <w:r w:rsidR="00022899">
        <w:t>eřejném ochránci práv“),</w:t>
      </w:r>
    </w:p>
    <w:p w:rsidR="00195A28" w:rsidRPr="00524DAA" w:rsidRDefault="00195A28" w:rsidP="006C1E2C">
      <w:pPr>
        <w:pStyle w:val="Bullet1G"/>
      </w:pPr>
      <w:r w:rsidRPr="00524DAA">
        <w:t>zákon č. 255/2012 Sb., o kontrole (kontrolní řád), ve znění pozdějších předpisů,</w:t>
      </w:r>
    </w:p>
    <w:p w:rsidR="00195A28" w:rsidRPr="00524DAA" w:rsidRDefault="00195A28" w:rsidP="006C1E2C">
      <w:pPr>
        <w:pStyle w:val="Bullet1G"/>
      </w:pPr>
      <w:r w:rsidRPr="00524DAA">
        <w:t>zákon č. 2/1969 Sb., o zřízení ministerstev a jiných ústředních orgánů státní správy České republiky, ve znění pozdějších předpisů,</w:t>
      </w:r>
    </w:p>
    <w:p w:rsidR="00195A28" w:rsidRPr="00524DAA" w:rsidRDefault="00195A28" w:rsidP="006C1E2C">
      <w:pPr>
        <w:pStyle w:val="Bullet1G"/>
      </w:pPr>
      <w:r w:rsidRPr="00524DAA">
        <w:t>zákon č. 272/1996 Sb., kterým se provádějí některá opatření v soustavě ústředních orgánů státní správy České republiky a kterým se mění a doplňuje zákon České národní rady č. 2/1969 Sb., o zřízení ministerstev a jiných ústředních orgánů státní správy České republiky, ve znění pozdějších př</w:t>
      </w:r>
      <w:r w:rsidR="00465D9F">
        <w:t>edpisů, a mění a doplňuje zákon</w:t>
      </w:r>
      <w:r w:rsidR="00465D9F">
        <w:br/>
      </w:r>
      <w:r w:rsidRPr="00524DAA">
        <w:t>č. 97/1993 Sb., o působnosti Správy státních hmotných rezerv,</w:t>
      </w:r>
    </w:p>
    <w:p w:rsidR="00195A28" w:rsidRPr="00524DAA" w:rsidRDefault="00195A28" w:rsidP="006C1E2C">
      <w:pPr>
        <w:pStyle w:val="Bullet1G"/>
      </w:pPr>
      <w:r w:rsidRPr="00524DAA">
        <w:t>zákon č. 110/2007 Sb., o některých opatřeních v soustavě ústředních orgánů státní správy, souvisejících se zrušením Ministerstva informatiky a o změně některých zákonů,</w:t>
      </w:r>
    </w:p>
    <w:p w:rsidR="00195A28" w:rsidRPr="00524DAA" w:rsidRDefault="00195A28" w:rsidP="006C1E2C">
      <w:pPr>
        <w:pStyle w:val="Bullet1G"/>
      </w:pPr>
      <w:r w:rsidRPr="00524DAA">
        <w:t>zákon č. 274/2008 Sb., kterým se mění některé zákony v souvislosti s přijetím zákona o Policii České republiky,</w:t>
      </w:r>
    </w:p>
    <w:p w:rsidR="00195A28" w:rsidRPr="00524DAA" w:rsidRDefault="00195A28" w:rsidP="00CA1777">
      <w:pPr>
        <w:pStyle w:val="Bullet1G"/>
      </w:pPr>
      <w:r w:rsidRPr="00524DAA">
        <w:t>zákon č. 99/2019 Sb., o přístupnosti internetový</w:t>
      </w:r>
      <w:r w:rsidR="00465D9F">
        <w:t>ch stránek a mobilních aplikací</w:t>
      </w:r>
      <w:r w:rsidR="007A1791">
        <w:t xml:space="preserve"> </w:t>
      </w:r>
      <w:r w:rsidRPr="00524DAA">
        <w:t>a</w:t>
      </w:r>
      <w:r w:rsidR="007A1791">
        <w:t> </w:t>
      </w:r>
      <w:r w:rsidRPr="00524DAA">
        <w:t>o</w:t>
      </w:r>
      <w:r w:rsidR="007A1791">
        <w:t> </w:t>
      </w:r>
      <w:r w:rsidRPr="00524DAA">
        <w:t>změně zákona č. 365/200</w:t>
      </w:r>
      <w:r w:rsidR="00CA1777">
        <w:t xml:space="preserve">0 </w:t>
      </w:r>
      <w:r w:rsidRPr="00524DAA">
        <w:t>Sb., o inform</w:t>
      </w:r>
      <w:r w:rsidR="00465D9F">
        <w:t>ačních systémech veřejné správy</w:t>
      </w:r>
      <w:r w:rsidR="00465D9F">
        <w:br/>
      </w:r>
      <w:r w:rsidRPr="00524DAA">
        <w:t>a o změně některých dalších zákonů, ve znění pozdějších předpisů</w:t>
      </w:r>
      <w:r w:rsidR="00CA1777">
        <w:t xml:space="preserve"> (dále jen „zákon </w:t>
      </w:r>
      <w:r w:rsidR="00CA1777" w:rsidRPr="00CA1777">
        <w:t>o</w:t>
      </w:r>
      <w:r w:rsidR="007A1791">
        <w:t> </w:t>
      </w:r>
      <w:r w:rsidR="00CA1777" w:rsidRPr="00CA1777">
        <w:t>přístupnosti internetových stránek a mobilních aplikací</w:t>
      </w:r>
      <w:r w:rsidR="00CA1777">
        <w:t>“)</w:t>
      </w:r>
      <w:r w:rsidRPr="00524DAA">
        <w:t>.</w:t>
      </w:r>
    </w:p>
    <w:p w:rsidR="00195A28" w:rsidRPr="00524DAA" w:rsidRDefault="00295BB4" w:rsidP="00195A28">
      <w:pPr>
        <w:pStyle w:val="SingleTxtG"/>
      </w:pPr>
      <w:r>
        <w:t>85</w:t>
      </w:r>
      <w:r w:rsidR="00877815">
        <w:t>.</w:t>
      </w:r>
      <w:r w:rsidR="006C1E2C" w:rsidRPr="00524DAA">
        <w:tab/>
        <w:t xml:space="preserve">Cílem </w:t>
      </w:r>
      <w:r w:rsidR="00195A28" w:rsidRPr="00524DAA">
        <w:t>zákon</w:t>
      </w:r>
      <w:r w:rsidR="006C1E2C" w:rsidRPr="00524DAA">
        <w:t>a</w:t>
      </w:r>
      <w:r w:rsidR="00195A28" w:rsidRPr="00524DAA">
        <w:t xml:space="preserve"> o přístupnosti internetových stránek a mobilních aplikací, </w:t>
      </w:r>
      <w:r w:rsidR="007A1791">
        <w:t>jakož i </w:t>
      </w:r>
      <w:r w:rsidR="00195A28" w:rsidRPr="00524DAA">
        <w:t>evropské směrnice o přístupnosti je zajistit, aby internetové stránky a mobilní aplikace subjektů veřejného sektoru byly přístupnější napříč celou E</w:t>
      </w:r>
      <w:r w:rsidR="007A1791">
        <w:t>U</w:t>
      </w:r>
      <w:r w:rsidR="00195A28" w:rsidRPr="00524DAA">
        <w:t xml:space="preserve">, a to na základě společných požadavků kladených na přístupnost. Internetové stránky a mobilní aplikace by měly být přístupnější zejména pro osoby se </w:t>
      </w:r>
      <w:r w:rsidR="007D6B71">
        <w:t>ZP</w:t>
      </w:r>
      <w:r w:rsidR="00195A28" w:rsidRPr="00524DAA">
        <w:t xml:space="preserve">, které bývají vzhledem ke svému </w:t>
      </w:r>
      <w:r w:rsidR="006C1E2C" w:rsidRPr="00524DAA">
        <w:t xml:space="preserve">zdravotnímu omezení </w:t>
      </w:r>
      <w:r w:rsidR="00195A28" w:rsidRPr="00524DAA">
        <w:t xml:space="preserve">často znevýhodněny při práci s internetovými stránkami a mobilními aplikacemi. Osoby se </w:t>
      </w:r>
      <w:r w:rsidR="002C389F">
        <w:t xml:space="preserve">ZP </w:t>
      </w:r>
      <w:r w:rsidR="00195A28" w:rsidRPr="00524DAA">
        <w:t>však nelze vnímat jako jedinou cílovou skupinu směrnice a zákona, neboť stejně tak je důležit</w:t>
      </w:r>
      <w:r w:rsidR="00465D9F">
        <w:t>é, aby byly internetové stránky</w:t>
      </w:r>
      <w:r w:rsidR="002C389F">
        <w:t xml:space="preserve"> </w:t>
      </w:r>
      <w:r w:rsidR="00195A28" w:rsidRPr="00524DAA">
        <w:t>a</w:t>
      </w:r>
      <w:r w:rsidR="002C389F">
        <w:t> </w:t>
      </w:r>
      <w:r w:rsidR="00195A28" w:rsidRPr="00524DAA">
        <w:t>mobilní aplikace přístupné např</w:t>
      </w:r>
      <w:r w:rsidR="002C389F">
        <w:t>.</w:t>
      </w:r>
      <w:r w:rsidR="00195A28" w:rsidRPr="00524DAA">
        <w:t xml:space="preserve"> </w:t>
      </w:r>
      <w:r w:rsidR="00FD52D4">
        <w:t xml:space="preserve">pro </w:t>
      </w:r>
      <w:r w:rsidR="00195A28" w:rsidRPr="00524DAA">
        <w:t>osob</w:t>
      </w:r>
      <w:r w:rsidR="00FD52D4">
        <w:t>y</w:t>
      </w:r>
      <w:r w:rsidR="00195A28" w:rsidRPr="00524DAA">
        <w:t xml:space="preserve"> staršího věku. Internetové stránky a mobilní aplikace povinných subjektů musí být pro své uživatele vnímatelné, ovladatelné, srozumitelné a stabilní.</w:t>
      </w:r>
    </w:p>
    <w:p w:rsidR="00195A28" w:rsidRPr="00524DAA" w:rsidRDefault="00295BB4" w:rsidP="00195A28">
      <w:pPr>
        <w:pStyle w:val="SingleTxtG"/>
      </w:pPr>
      <w:r>
        <w:t>86</w:t>
      </w:r>
      <w:r w:rsidR="00877815">
        <w:t>.</w:t>
      </w:r>
      <w:r w:rsidR="00710DDB" w:rsidRPr="00524DAA">
        <w:tab/>
      </w:r>
      <w:r w:rsidR="00195A28" w:rsidRPr="00524DAA">
        <w:t xml:space="preserve">Právní úprava jak na úrovni </w:t>
      </w:r>
      <w:r w:rsidR="00752628">
        <w:t>EU</w:t>
      </w:r>
      <w:r w:rsidR="00195A28" w:rsidRPr="00524DAA">
        <w:t xml:space="preserve">, tak na národní úrovni využívá pro technické naplnění požadavků na přístupnost internetových stránek a mobilních aplikací harmonizovanou normu EN 301 549 V2. 1.2 (2018-08) a mezinárodně uznávaný standard Web </w:t>
      </w:r>
      <w:proofErr w:type="spellStart"/>
      <w:r w:rsidR="00195A28" w:rsidRPr="00524DAA">
        <w:t>Content</w:t>
      </w:r>
      <w:proofErr w:type="spellEnd"/>
      <w:r w:rsidR="00195A28" w:rsidRPr="00524DAA">
        <w:t xml:space="preserve"> </w:t>
      </w:r>
      <w:proofErr w:type="spellStart"/>
      <w:r w:rsidR="00195A28" w:rsidRPr="00524DAA">
        <w:t>Accessibility</w:t>
      </w:r>
      <w:proofErr w:type="spellEnd"/>
      <w:r w:rsidR="00195A28" w:rsidRPr="00524DAA">
        <w:t xml:space="preserve"> </w:t>
      </w:r>
      <w:proofErr w:type="spellStart"/>
      <w:r w:rsidR="00195A28" w:rsidRPr="00524DAA">
        <w:t>Guidelines</w:t>
      </w:r>
      <w:proofErr w:type="spellEnd"/>
      <w:r w:rsidR="00195A28" w:rsidRPr="00524DAA">
        <w:t xml:space="preserve"> (WCAG) 2.1. Zajištění přístupnosti internetových stránek a mobilních aplikací se bude realizovat </w:t>
      </w:r>
      <w:r w:rsidR="00465D9F">
        <w:t>na základě požadavků obsažených</w:t>
      </w:r>
      <w:r w:rsidR="00465D9F">
        <w:br/>
      </w:r>
      <w:r w:rsidR="00195A28" w:rsidRPr="00524DAA">
        <w:t>v příslušné evropské harmonizované normě, na kterou je v zákoně odkazováno. Tímto postupem bude zajištěno, že internetové stránky a mobilní aplikace povinných subjektů budou zcela v souladu s evropskými požadavky.</w:t>
      </w:r>
    </w:p>
    <w:p w:rsidR="00812962" w:rsidRPr="00524DAA" w:rsidRDefault="00812962" w:rsidP="001D4EF8">
      <w:pPr>
        <w:pStyle w:val="SingleTxtG"/>
      </w:pPr>
    </w:p>
    <w:p w:rsidR="00812962" w:rsidRPr="00CC5FB5" w:rsidRDefault="00812962" w:rsidP="00812962">
      <w:pPr>
        <w:pStyle w:val="H1G"/>
      </w:pPr>
      <w:r w:rsidRPr="00524DAA">
        <w:lastRenderedPageBreak/>
        <w:tab/>
      </w:r>
      <w:r w:rsidRPr="00524DAA">
        <w:tab/>
        <w:t>Odpověď na otázku č. 8 f)</w:t>
      </w:r>
    </w:p>
    <w:p w:rsidR="007D3A95" w:rsidRPr="00524DAA" w:rsidRDefault="00877815" w:rsidP="007D3A95">
      <w:pPr>
        <w:pStyle w:val="SingleTxtG"/>
      </w:pPr>
      <w:r>
        <w:t>8</w:t>
      </w:r>
      <w:r w:rsidR="00780863">
        <w:t>7</w:t>
      </w:r>
      <w:r>
        <w:t>.</w:t>
      </w:r>
      <w:r w:rsidR="007D3A95" w:rsidRPr="00524DAA">
        <w:tab/>
      </w:r>
      <w:r w:rsidR="00D46314">
        <w:t>Z</w:t>
      </w:r>
      <w:r w:rsidR="007D3A95" w:rsidRPr="00524DAA">
        <w:t xml:space="preserve">ákon č. 134/2016 Sb. o zadávání veřejných zakázek, ve znění pozdějších předpisů, stanoví, že pokud je předmět plnění veřejné zakázky určen k užívání fyzickými osobami, zadavatel při stanovení technické specifikace zohlední přístupnost předmětu veřejné zakázky osobám se </w:t>
      </w:r>
      <w:r w:rsidR="00B65C13" w:rsidRPr="00524DAA">
        <w:t>ZP</w:t>
      </w:r>
      <w:r w:rsidR="007D3A95" w:rsidRPr="00524DAA">
        <w:t xml:space="preserve">, neznemožňují-li to objektivní okolnosti. </w:t>
      </w:r>
    </w:p>
    <w:p w:rsidR="00812962" w:rsidRPr="00524DAA" w:rsidRDefault="00877815" w:rsidP="007D3A95">
      <w:pPr>
        <w:pStyle w:val="SingleTxtG"/>
      </w:pPr>
      <w:r>
        <w:t>8</w:t>
      </w:r>
      <w:r w:rsidR="00780863">
        <w:t>8</w:t>
      </w:r>
      <w:r>
        <w:t>.</w:t>
      </w:r>
      <w:r w:rsidR="007D3A95" w:rsidRPr="00524DAA">
        <w:tab/>
        <w:t xml:space="preserve">Pokud jsou závazné požadavky na přístupnost osobám se </w:t>
      </w:r>
      <w:r w:rsidR="00B65C13" w:rsidRPr="00524DAA">
        <w:t>ZP</w:t>
      </w:r>
      <w:r w:rsidR="007D3A95" w:rsidRPr="00524DAA">
        <w:t xml:space="preserve"> upraveny předpisem E</w:t>
      </w:r>
      <w:r w:rsidR="00752628">
        <w:t xml:space="preserve">U </w:t>
      </w:r>
      <w:r w:rsidR="007D3A95" w:rsidRPr="00524DAA">
        <w:t>(Směrnice Evropského parlamentu a Rady (EU) 2019/882 ze dne 17. dubna 2019 o</w:t>
      </w:r>
      <w:r w:rsidR="00752628">
        <w:t> </w:t>
      </w:r>
      <w:r w:rsidR="007D3A95" w:rsidRPr="00524DAA">
        <w:t>požadavcích na přístupnost u výrobků a služeb), stanoví zadavatel příslušné technické podmínky odkazem na tento předpis.</w:t>
      </w:r>
    </w:p>
    <w:p w:rsidR="00812962" w:rsidRPr="00524DAA" w:rsidRDefault="00812962" w:rsidP="001D4EF8">
      <w:pPr>
        <w:pStyle w:val="SingleTxtG"/>
      </w:pPr>
    </w:p>
    <w:p w:rsidR="00812962" w:rsidRPr="00CC5FB5" w:rsidRDefault="00812962" w:rsidP="00812962">
      <w:pPr>
        <w:pStyle w:val="H1G"/>
      </w:pPr>
      <w:r w:rsidRPr="00524DAA">
        <w:tab/>
      </w:r>
      <w:r w:rsidRPr="00524DAA">
        <w:tab/>
        <w:t>Odpověď na otázku č. 8 g)</w:t>
      </w:r>
    </w:p>
    <w:p w:rsidR="00F158A5" w:rsidRPr="00524DAA" w:rsidRDefault="00877815" w:rsidP="00F158A5">
      <w:pPr>
        <w:pStyle w:val="SingleTxtG"/>
      </w:pPr>
      <w:r>
        <w:t>8</w:t>
      </w:r>
      <w:r w:rsidR="00780863">
        <w:t>9</w:t>
      </w:r>
      <w:r>
        <w:t>.</w:t>
      </w:r>
      <w:r w:rsidR="00F158A5" w:rsidRPr="00524DAA">
        <w:tab/>
        <w:t>Nařízení Komise (EU) č. 1300/2014 o technických specifikacích pro interoperabilitu týkajících se přístupnosti železničního systému Unie pro osoby se zdravotním</w:t>
      </w:r>
      <w:r w:rsidR="00465D9F">
        <w:t xml:space="preserve"> postižením</w:t>
      </w:r>
      <w:r w:rsidR="005C54CB">
        <w:t xml:space="preserve"> </w:t>
      </w:r>
      <w:r w:rsidR="00F158A5" w:rsidRPr="00524DAA">
        <w:t>a</w:t>
      </w:r>
      <w:r w:rsidR="005C54CB">
        <w:t> </w:t>
      </w:r>
      <w:r w:rsidR="00F158A5" w:rsidRPr="00524DAA">
        <w:t>osoby s omezenou schopností pohybu a orientace je v ČR uplatňováno.</w:t>
      </w:r>
      <w:r w:rsidR="00C00911">
        <w:t xml:space="preserve"> </w:t>
      </w:r>
      <w:r w:rsidR="00522A73" w:rsidRPr="00524DAA">
        <w:t>N</w:t>
      </w:r>
      <w:r w:rsidR="00F158A5" w:rsidRPr="00524DAA">
        <w:t xml:space="preserve">ěkteré podmínky přístupnosti </w:t>
      </w:r>
      <w:r w:rsidR="00522A73" w:rsidRPr="00524DAA">
        <w:t xml:space="preserve">jsou </w:t>
      </w:r>
      <w:r w:rsidR="00F158A5" w:rsidRPr="00524DAA">
        <w:t>p</w:t>
      </w:r>
      <w:r w:rsidR="00522A73" w:rsidRPr="00524DAA">
        <w:t>ro</w:t>
      </w:r>
      <w:r w:rsidR="00F158A5" w:rsidRPr="00524DAA">
        <w:t xml:space="preserve"> modernizaci a stavb</w:t>
      </w:r>
      <w:r w:rsidR="00522A73" w:rsidRPr="00524DAA">
        <w:t>u</w:t>
      </w:r>
      <w:r w:rsidR="002922EC">
        <w:t xml:space="preserve"> železničních stanic</w:t>
      </w:r>
      <w:r w:rsidR="002922EC">
        <w:br/>
      </w:r>
      <w:r w:rsidR="00F158A5" w:rsidRPr="00524DAA">
        <w:t xml:space="preserve">a zastávek </w:t>
      </w:r>
      <w:r w:rsidR="00522A73" w:rsidRPr="00524DAA">
        <w:t xml:space="preserve">dokonce </w:t>
      </w:r>
      <w:r w:rsidR="00F158A5" w:rsidRPr="00524DAA">
        <w:t>zpřísněny</w:t>
      </w:r>
      <w:r w:rsidR="00522A73" w:rsidRPr="00524DAA">
        <w:t>, a to</w:t>
      </w:r>
      <w:r w:rsidR="00F158A5" w:rsidRPr="00524DAA">
        <w:t xml:space="preserve"> zákonem č. 266/1994 Sb., o dráhách, vyhláškou č.</w:t>
      </w:r>
      <w:r w:rsidR="00522A73" w:rsidRPr="00524DAA">
        <w:t> </w:t>
      </w:r>
      <w:r w:rsidR="00F158A5" w:rsidRPr="00524DAA">
        <w:t xml:space="preserve">177/1995 Sb., kterou se vydává stavební a technický řád drah </w:t>
      </w:r>
      <w:r w:rsidR="00F122D4" w:rsidRPr="00524DAA">
        <w:t>(</w:t>
      </w:r>
      <w:r w:rsidR="002922EC">
        <w:t>novelizací Stavebního</w:t>
      </w:r>
      <w:r w:rsidR="002922EC">
        <w:br/>
      </w:r>
      <w:r w:rsidR="00F158A5" w:rsidRPr="00524DAA">
        <w:t>a technického řádu drah byla rozšířena možnost výstavby úrovňových přechodů kolejí pro přístup určených pro přístup cestujících na nástupiště</w:t>
      </w:r>
      <w:r w:rsidR="00F122D4" w:rsidRPr="00524DAA">
        <w:t>)</w:t>
      </w:r>
      <w:r w:rsidR="00F158A5" w:rsidRPr="00524DAA">
        <w:t xml:space="preserve"> a vyhlášk</w:t>
      </w:r>
      <w:r w:rsidR="00F122D4" w:rsidRPr="00524DAA">
        <w:t>ou</w:t>
      </w:r>
      <w:r w:rsidR="00F158A5" w:rsidRPr="00524DAA">
        <w:t xml:space="preserve"> č.</w:t>
      </w:r>
      <w:r w:rsidR="002922EC">
        <w:t xml:space="preserve"> 398/2009 Sb.</w:t>
      </w:r>
      <w:r w:rsidR="00F158A5" w:rsidRPr="00524DAA">
        <w:t xml:space="preserve"> </w:t>
      </w:r>
      <w:r w:rsidR="00F122D4" w:rsidRPr="00524DAA">
        <w:t xml:space="preserve">Existuje i celá řada </w:t>
      </w:r>
      <w:r w:rsidR="00F158A5" w:rsidRPr="00524DAA">
        <w:t xml:space="preserve">technických norem, z nichž se </w:t>
      </w:r>
      <w:r w:rsidR="00F122D4" w:rsidRPr="00524DAA">
        <w:t xml:space="preserve">na </w:t>
      </w:r>
      <w:r w:rsidR="00F158A5" w:rsidRPr="00524DAA">
        <w:t>přístupnost železniční infrastruktury vztahují zejm</w:t>
      </w:r>
      <w:r w:rsidR="00F122D4" w:rsidRPr="00524DAA">
        <w:t>éna</w:t>
      </w:r>
      <w:r w:rsidR="00F158A5" w:rsidRPr="00524DAA">
        <w:t xml:space="preserve">: </w:t>
      </w:r>
    </w:p>
    <w:p w:rsidR="00F158A5" w:rsidRPr="00524DAA" w:rsidRDefault="00F122D4" w:rsidP="00F122D4">
      <w:pPr>
        <w:pStyle w:val="Bullet1G"/>
      </w:pPr>
      <w:r w:rsidRPr="00524DAA">
        <w:t>ČSN 74 3305 Ochranná zábradlí,</w:t>
      </w:r>
    </w:p>
    <w:p w:rsidR="00F158A5" w:rsidRPr="00524DAA" w:rsidRDefault="00F158A5" w:rsidP="00F122D4">
      <w:pPr>
        <w:pStyle w:val="Bullet1G"/>
      </w:pPr>
      <w:r w:rsidRPr="00524DAA">
        <w:t>TNŽ 73 6334 Oplocení a zábradlí na drahá</w:t>
      </w:r>
      <w:r w:rsidR="00F122D4" w:rsidRPr="00524DAA">
        <w:t>ch celostátních a regionálních,</w:t>
      </w:r>
    </w:p>
    <w:p w:rsidR="00F158A5" w:rsidRPr="00524DAA" w:rsidRDefault="00F158A5" w:rsidP="00F122D4">
      <w:pPr>
        <w:pStyle w:val="Bullet1G"/>
      </w:pPr>
      <w:r w:rsidRPr="00524DAA">
        <w:t>ČSN 7</w:t>
      </w:r>
      <w:r w:rsidR="00F122D4" w:rsidRPr="00524DAA">
        <w:t>3 4130 Schodiště a šikmé rampy,</w:t>
      </w:r>
    </w:p>
    <w:p w:rsidR="00F158A5" w:rsidRPr="00524DAA" w:rsidRDefault="00F158A5" w:rsidP="00F122D4">
      <w:pPr>
        <w:pStyle w:val="Bullet1G"/>
      </w:pPr>
      <w:r w:rsidRPr="00524DAA">
        <w:t>ČSN 73 4959 Nástu</w:t>
      </w:r>
      <w:r w:rsidR="00F122D4" w:rsidRPr="00524DAA">
        <w:t>piště a nástupištní přístřešky,</w:t>
      </w:r>
    </w:p>
    <w:p w:rsidR="00F158A5" w:rsidRPr="00524DAA" w:rsidRDefault="00F158A5" w:rsidP="00F122D4">
      <w:pPr>
        <w:pStyle w:val="Bullet1G"/>
      </w:pPr>
      <w:r w:rsidRPr="00524DAA">
        <w:t>TNŽ 73 4955 Výpravní budovy a budovy zastávek.</w:t>
      </w:r>
    </w:p>
    <w:p w:rsidR="00F158A5" w:rsidRPr="00524DAA" w:rsidRDefault="00780863" w:rsidP="00F158A5">
      <w:pPr>
        <w:pStyle w:val="SingleTxtG"/>
      </w:pPr>
      <w:r>
        <w:t>90</w:t>
      </w:r>
      <w:r w:rsidR="00877815">
        <w:t>.</w:t>
      </w:r>
      <w:r w:rsidR="004C64B9" w:rsidRPr="00524DAA">
        <w:tab/>
      </w:r>
      <w:r w:rsidR="00F158A5" w:rsidRPr="00524DAA">
        <w:t>Nad rámec technických norem provozovatel stanic na železniční síti v</w:t>
      </w:r>
      <w:r w:rsidR="004C64B9" w:rsidRPr="00524DAA">
        <w:t> </w:t>
      </w:r>
      <w:r w:rsidR="00F158A5" w:rsidRPr="00524DAA">
        <w:t>Č</w:t>
      </w:r>
      <w:r w:rsidR="004C64B9" w:rsidRPr="00524DAA">
        <w:t xml:space="preserve">R </w:t>
      </w:r>
      <w:r w:rsidR="00F158A5" w:rsidRPr="00524DAA">
        <w:t>(Správa železni</w:t>
      </w:r>
      <w:r w:rsidR="00BE61FA" w:rsidRPr="00524DAA">
        <w:t>c</w:t>
      </w:r>
      <w:r w:rsidR="00F158A5" w:rsidRPr="00524DAA">
        <w:t xml:space="preserve">, </w:t>
      </w:r>
      <w:proofErr w:type="spellStart"/>
      <w:r w:rsidR="00F158A5" w:rsidRPr="00524DAA">
        <w:t>s.o</w:t>
      </w:r>
      <w:proofErr w:type="spellEnd"/>
      <w:r w:rsidR="00F158A5" w:rsidRPr="00524DAA">
        <w:t xml:space="preserve">.) ve spolupráci s organizacemi zastupujícími osoby s omezenou schopností pohybu a orientace vydal vnitřní směrnici a její grafický manuál (Směrnice č. 118 Orientační a informační systém v železničních stanicích a na železničních zastávkách), která se věnuje problematice orientace cestujících ve </w:t>
      </w:r>
      <w:r w:rsidR="002922EC">
        <w:t>stanici a sjednocuje orientační</w:t>
      </w:r>
      <w:r w:rsidR="002922EC">
        <w:br/>
      </w:r>
      <w:r w:rsidR="00F158A5" w:rsidRPr="00524DAA">
        <w:t>a informační systémy ve stanicích a zastávkách na území Č</w:t>
      </w:r>
      <w:r w:rsidR="004C64B9" w:rsidRPr="00524DAA">
        <w:t>R</w:t>
      </w:r>
      <w:r w:rsidR="00F158A5" w:rsidRPr="00524DAA">
        <w:t>. Z hlediska orientace osob se zrakovým postižením jsou ve stanicích instalovány zvukové majáčky (Vysílačky pro nevidomé), které usnadňují jejich orientaci hlasovou navigací, jejíž ovládání je umístěno ve slepecké holi. Podobná zařízení jsou instalována i na prostředky hromadné dopravy ve velkých městech a veřejně přístupných budovách. Sjednocením přístupu tak dochází k</w:t>
      </w:r>
      <w:r w:rsidR="00B42C97" w:rsidRPr="00524DAA">
        <w:t>e</w:t>
      </w:r>
      <w:r w:rsidR="00F158A5" w:rsidRPr="00524DAA">
        <w:t xml:space="preserve"> zvýšení uživatelské přívětivosti pro osoby se zrakovým postižením.</w:t>
      </w:r>
    </w:p>
    <w:p w:rsidR="00F158A5" w:rsidRPr="00524DAA" w:rsidRDefault="00780863" w:rsidP="00F158A5">
      <w:pPr>
        <w:pStyle w:val="SingleTxtG"/>
      </w:pPr>
      <w:r>
        <w:t>91</w:t>
      </w:r>
      <w:r w:rsidR="00877815">
        <w:t>.</w:t>
      </w:r>
      <w:r w:rsidR="004C64B9" w:rsidRPr="00524DAA">
        <w:tab/>
      </w:r>
      <w:r w:rsidR="00B42C97" w:rsidRPr="00524DAA">
        <w:t xml:space="preserve">Pokud jde o přístupnost dopravních staveb, v současnosti </w:t>
      </w:r>
      <w:r w:rsidR="00F158A5" w:rsidRPr="00524DAA">
        <w:t>probíhá</w:t>
      </w:r>
      <w:r w:rsidR="00B42C97" w:rsidRPr="00524DAA">
        <w:t>,</w:t>
      </w:r>
      <w:r w:rsidR="00F158A5" w:rsidRPr="00524DAA">
        <w:t xml:space="preserve"> resp. je do r</w:t>
      </w:r>
      <w:r w:rsidR="00C00911">
        <w:t>oku</w:t>
      </w:r>
      <w:r w:rsidR="00F158A5" w:rsidRPr="00524DAA">
        <w:t xml:space="preserve"> 2021 plánováno 114 rekonstrukcí nádražních budov, z toho </w:t>
      </w:r>
      <w:r w:rsidR="00B42C97" w:rsidRPr="00524DAA">
        <w:t xml:space="preserve">se </w:t>
      </w:r>
      <w:r w:rsidR="00F158A5" w:rsidRPr="00524DAA">
        <w:t>u 79 budov zvyšuje úroveň bezbariérovosti budovy a doplňují některé chybějící prvky pro osoby s omezenou schopností pohybu a orientace. Modernizace probíhají nejen na hlavních tratích sítě TEN-T, ale i na stanicích mimo tento systém. Bezbariérové WC je možné najít v 93 stanicích po celé Č</w:t>
      </w:r>
      <w:r w:rsidR="004C64B9" w:rsidRPr="00524DAA">
        <w:t>R</w:t>
      </w:r>
      <w:r w:rsidR="00F158A5" w:rsidRPr="00524DAA">
        <w:t xml:space="preserve">. </w:t>
      </w:r>
    </w:p>
    <w:p w:rsidR="00812962" w:rsidRPr="00524DAA" w:rsidRDefault="00780863" w:rsidP="00F158A5">
      <w:pPr>
        <w:pStyle w:val="SingleTxtG"/>
      </w:pPr>
      <w:r>
        <w:t>92</w:t>
      </w:r>
      <w:r w:rsidR="00877815">
        <w:t>.</w:t>
      </w:r>
      <w:r w:rsidR="004C64B9" w:rsidRPr="00524DAA">
        <w:tab/>
      </w:r>
      <w:r w:rsidR="00F158A5" w:rsidRPr="00524DAA">
        <w:t>Nově pořizovaná vozidla i modernizovaná vozidla splňují podmínky TSI PRM. Celkový počet železničních spojů se zařazenými bezbariérovými spoji umožňující</w:t>
      </w:r>
      <w:r w:rsidR="004917F0" w:rsidRPr="00524DAA">
        <w:t>mi</w:t>
      </w:r>
      <w:r w:rsidR="00F158A5" w:rsidRPr="00524DAA">
        <w:t xml:space="preserve"> přepravu cestujících na vozíku v roce 2019 přesáhl 55 %. Všichni dopravci nabízí asistenci během přepravy po předchozím objednání. </w:t>
      </w:r>
      <w:r w:rsidR="004917F0" w:rsidRPr="00524DAA">
        <w:t>V roce 2018 zajistil d</w:t>
      </w:r>
      <w:r w:rsidR="00F158A5" w:rsidRPr="00524DAA">
        <w:t>opravce České dráhy, a.s. přepravu 7</w:t>
      </w:r>
      <w:r w:rsidR="004917F0" w:rsidRPr="00524DAA">
        <w:t> </w:t>
      </w:r>
      <w:r w:rsidR="00F158A5" w:rsidRPr="00524DAA">
        <w:t xml:space="preserve">546 osob, které si svou cestu objednaly prostřednictvím objednávkového systému (před devíti lety byl počet přepravených objednaných cestujících ani ne třetinový). Další cestující se </w:t>
      </w:r>
      <w:r w:rsidR="00B42D9E" w:rsidRPr="00524DAA">
        <w:t xml:space="preserve">ZP </w:t>
      </w:r>
      <w:r w:rsidR="00F158A5" w:rsidRPr="00524DAA">
        <w:t xml:space="preserve">byli přepraveni mimo systém objednání, protože zvládli cestu absolvovat bez </w:t>
      </w:r>
      <w:r w:rsidR="00F158A5" w:rsidRPr="00524DAA">
        <w:lastRenderedPageBreak/>
        <w:t>asistence dopravce. Hodnoty z výročních zpráv dopravce České dráhy ukazují, že přístupnost železniční dopravy a povědomí o ní se v</w:t>
      </w:r>
      <w:r w:rsidR="004917F0" w:rsidRPr="00524DAA">
        <w:t> </w:t>
      </w:r>
      <w:r w:rsidR="00F158A5" w:rsidRPr="00524DAA">
        <w:t>Č</w:t>
      </w:r>
      <w:r w:rsidR="004917F0" w:rsidRPr="00524DAA">
        <w:t xml:space="preserve">R </w:t>
      </w:r>
      <w:r w:rsidR="00F158A5" w:rsidRPr="00524DAA">
        <w:t>rozšiřuje.</w:t>
      </w:r>
    </w:p>
    <w:p w:rsidR="00812962" w:rsidRPr="00524DAA" w:rsidRDefault="00812962" w:rsidP="001D4EF8">
      <w:pPr>
        <w:pStyle w:val="SingleTxtG"/>
      </w:pPr>
    </w:p>
    <w:p w:rsidR="00CA61F9" w:rsidRPr="00CC5FB5" w:rsidRDefault="00CA61F9" w:rsidP="00CA61F9">
      <w:pPr>
        <w:pStyle w:val="H1G"/>
      </w:pPr>
      <w:r w:rsidRPr="00524DAA">
        <w:tab/>
      </w:r>
      <w:r w:rsidRPr="00524DAA">
        <w:tab/>
        <w:t>Odpověď na otázku č. 9</w:t>
      </w:r>
    </w:p>
    <w:p w:rsidR="005B7EDC" w:rsidRPr="00524DAA" w:rsidRDefault="00780863" w:rsidP="00566AC3">
      <w:pPr>
        <w:pStyle w:val="SingleTxtG"/>
      </w:pPr>
      <w:r>
        <w:t>93</w:t>
      </w:r>
      <w:r w:rsidR="00877815">
        <w:t>.</w:t>
      </w:r>
      <w:r w:rsidR="00CF3EC8" w:rsidRPr="00524DAA">
        <w:tab/>
      </w:r>
      <w:r w:rsidR="005B7EDC" w:rsidRPr="00524DAA">
        <w:t>Resort M</w:t>
      </w:r>
      <w:r w:rsidR="00166E2F">
        <w:t xml:space="preserve">V </w:t>
      </w:r>
      <w:r w:rsidR="00AF222A" w:rsidRPr="00524DAA">
        <w:t xml:space="preserve">řeší problematiku </w:t>
      </w:r>
      <w:r w:rsidR="006105DE" w:rsidRPr="00524DAA">
        <w:t xml:space="preserve">specifik </w:t>
      </w:r>
      <w:r w:rsidR="005B7EDC" w:rsidRPr="00524DAA">
        <w:t>osob s</w:t>
      </w:r>
      <w:r w:rsidR="00B72F6D" w:rsidRPr="00524DAA">
        <w:t>e</w:t>
      </w:r>
      <w:r w:rsidR="005B7EDC" w:rsidRPr="00524DAA">
        <w:t xml:space="preserve"> </w:t>
      </w:r>
      <w:r w:rsidR="008C6C03" w:rsidRPr="00524DAA">
        <w:t>ZP</w:t>
      </w:r>
      <w:r w:rsidR="00B72F6D" w:rsidRPr="00524DAA">
        <w:t xml:space="preserve">, </w:t>
      </w:r>
      <w:r w:rsidR="005B7EDC" w:rsidRPr="00524DAA">
        <w:t>vč</w:t>
      </w:r>
      <w:r w:rsidR="00B72F6D" w:rsidRPr="00524DAA">
        <w:t>.</w:t>
      </w:r>
      <w:r w:rsidR="005B7EDC" w:rsidRPr="00524DAA">
        <w:t xml:space="preserve"> </w:t>
      </w:r>
      <w:r w:rsidR="00A35AE7" w:rsidRPr="00524DAA">
        <w:t>osob</w:t>
      </w:r>
      <w:r w:rsidR="005B7EDC" w:rsidRPr="00524DAA">
        <w:t xml:space="preserve"> se sluchovým postižením při mimořádných událos</w:t>
      </w:r>
      <w:r w:rsidR="00B72F6D" w:rsidRPr="00524DAA">
        <w:t>tech</w:t>
      </w:r>
      <w:r w:rsidR="00AF222A" w:rsidRPr="00524DAA">
        <w:t xml:space="preserve"> </w:t>
      </w:r>
      <w:r w:rsidR="006105DE" w:rsidRPr="00524DAA">
        <w:t>dlouhodobě a systematicky</w:t>
      </w:r>
      <w:r w:rsidR="00B72F6D" w:rsidRPr="00524DAA">
        <w:t>, a to na několika úrovních.</w:t>
      </w:r>
    </w:p>
    <w:p w:rsidR="006B591F" w:rsidRPr="00524DAA" w:rsidRDefault="006B591F" w:rsidP="006B591F">
      <w:pPr>
        <w:pStyle w:val="SingleTxtG"/>
      </w:pPr>
      <w:r w:rsidRPr="00524DAA">
        <w:t>(a)</w:t>
      </w:r>
      <w:r w:rsidRPr="00524DAA">
        <w:tab/>
        <w:t>Ministerstvo vnitra</w:t>
      </w:r>
    </w:p>
    <w:p w:rsidR="005B7EDC" w:rsidRPr="00524DAA" w:rsidRDefault="00F560C0" w:rsidP="005B7EDC">
      <w:pPr>
        <w:pStyle w:val="SingleTxtG"/>
      </w:pPr>
      <w:r>
        <w:t>94</w:t>
      </w:r>
      <w:r w:rsidR="00877815">
        <w:t>.</w:t>
      </w:r>
      <w:r w:rsidR="004F0841" w:rsidRPr="00524DAA">
        <w:tab/>
      </w:r>
      <w:r w:rsidR="005B7EDC" w:rsidRPr="00524DAA">
        <w:t>V r</w:t>
      </w:r>
      <w:r w:rsidR="000C0424">
        <w:t>oce</w:t>
      </w:r>
      <w:r w:rsidR="005B7EDC" w:rsidRPr="00524DAA">
        <w:t xml:space="preserve"> 2019 vydalo M</w:t>
      </w:r>
      <w:r w:rsidR="00166E2F">
        <w:t xml:space="preserve">V </w:t>
      </w:r>
      <w:r w:rsidR="005B7EDC" w:rsidRPr="00524DAA">
        <w:t>publikaci „Asistence lidem s disabilitou při katastrofách“ s</w:t>
      </w:r>
      <w:r w:rsidR="00166E2F">
        <w:t> </w:t>
      </w:r>
      <w:r w:rsidR="005B7EDC" w:rsidRPr="00524DAA">
        <w:t>podtitulem „Evropská síť pro psychosociální krizové řízení“. Publikace je určena příslušníkům H</w:t>
      </w:r>
      <w:r w:rsidR="00610594" w:rsidRPr="00524DAA">
        <w:t xml:space="preserve">asičského záchranného sboru </w:t>
      </w:r>
      <w:r w:rsidR="00C35B3B" w:rsidRPr="00524DAA">
        <w:t>ČR</w:t>
      </w:r>
      <w:r w:rsidR="00610594" w:rsidRPr="00524DAA">
        <w:t xml:space="preserve">, </w:t>
      </w:r>
      <w:r w:rsidR="005B7EDC" w:rsidRPr="00524DAA">
        <w:t>Policie ČR, zdravotnickému personálu a</w:t>
      </w:r>
      <w:r w:rsidR="00166E2F">
        <w:t> </w:t>
      </w:r>
      <w:r w:rsidR="005B7EDC" w:rsidRPr="00524DAA">
        <w:t xml:space="preserve">organizacím </w:t>
      </w:r>
      <w:r w:rsidR="00610594" w:rsidRPr="00524DAA">
        <w:t xml:space="preserve">osob se ZP </w:t>
      </w:r>
      <w:r w:rsidR="005B7EDC" w:rsidRPr="00524DAA">
        <w:t>pro zlepšení jejich odborné přípravy pro práci s</w:t>
      </w:r>
      <w:r w:rsidR="00610594" w:rsidRPr="00524DAA">
        <w:t xml:space="preserve"> osobami se ZP </w:t>
      </w:r>
      <w:r w:rsidR="005B7EDC" w:rsidRPr="00524DAA">
        <w:t>a</w:t>
      </w:r>
      <w:r w:rsidR="00166E2F">
        <w:t> </w:t>
      </w:r>
      <w:r w:rsidR="005B7EDC" w:rsidRPr="00524DAA">
        <w:t>vzájemné spolupráce. Příručka byla v tištěné podobě distribuována uvedeným složkám a</w:t>
      </w:r>
      <w:r w:rsidR="00166E2F">
        <w:t> </w:t>
      </w:r>
      <w:r w:rsidR="005B7EDC" w:rsidRPr="00524DAA">
        <w:t xml:space="preserve">dále je volně ke stažení v elektronické podobě na: </w:t>
      </w:r>
      <w:hyperlink r:id="rId15" w:history="1">
        <w:r w:rsidR="006F3519" w:rsidRPr="00524DAA">
          <w:rPr>
            <w:rStyle w:val="Hypertextovodkaz"/>
          </w:rPr>
          <w:t>https://www.mvcr.cz/clanek/ministerstvo-vnitra-vydalo-prirucku-asistence-lidem-sdisabilitou-pri-katastrofach.aspx</w:t>
        </w:r>
      </w:hyperlink>
      <w:r w:rsidR="005B7EDC" w:rsidRPr="00524DAA">
        <w:t>.</w:t>
      </w:r>
    </w:p>
    <w:p w:rsidR="005B7EDC" w:rsidRPr="00524DAA" w:rsidRDefault="00151067" w:rsidP="005B7EDC">
      <w:pPr>
        <w:pStyle w:val="SingleTxtG"/>
      </w:pPr>
      <w:r>
        <w:t>9</w:t>
      </w:r>
      <w:r w:rsidR="00F560C0">
        <w:t>5</w:t>
      </w:r>
      <w:r w:rsidR="00877815">
        <w:t>.</w:t>
      </w:r>
      <w:r w:rsidR="00863F60" w:rsidRPr="00524DAA">
        <w:tab/>
      </w:r>
      <w:r w:rsidR="005B7EDC" w:rsidRPr="00524DAA">
        <w:t>V oblasti evropské spolupráce se M</w:t>
      </w:r>
      <w:r w:rsidR="00166E2F">
        <w:t xml:space="preserve">V </w:t>
      </w:r>
      <w:r w:rsidR="005B7EDC" w:rsidRPr="00524DAA">
        <w:t>podílelo na dvou projektech podporovaných Evropskou komisí, zaměřených na spolupráci s lidmi se sluchovým, zrakovým, mentálním či motorickým postižením při kat</w:t>
      </w:r>
      <w:r w:rsidR="002922EC">
        <w:t>astrofách, a to projekt „EUNAD“</w:t>
      </w:r>
      <w:r w:rsidR="002922EC">
        <w:br/>
      </w:r>
      <w:r w:rsidR="005B7EDC" w:rsidRPr="00524DAA">
        <w:t xml:space="preserve">v letech 2013 – 2014 a „EUNAD – IP“ v letech 2016 - 2017. </w:t>
      </w:r>
      <w:r w:rsidR="00863F60" w:rsidRPr="00524DAA">
        <w:t>V rámci projektu p</w:t>
      </w:r>
      <w:r w:rsidR="005B7EDC" w:rsidRPr="00524DAA">
        <w:t>roběhly odborné workshopy, mezinárodní konference, výzkum a</w:t>
      </w:r>
      <w:r w:rsidR="00D137DB" w:rsidRPr="00524DAA">
        <w:t>po</w:t>
      </w:r>
      <w:r w:rsidR="005B7EDC" w:rsidRPr="00524DAA">
        <w:t>d. Mezi závěrečné výstupy patří např. publikace „</w:t>
      </w:r>
      <w:proofErr w:type="spellStart"/>
      <w:r w:rsidR="005B7EDC" w:rsidRPr="00524DAA">
        <w:t>Assisting</w:t>
      </w:r>
      <w:proofErr w:type="spellEnd"/>
      <w:r w:rsidR="005B7EDC" w:rsidRPr="00524DAA">
        <w:t xml:space="preserve"> </w:t>
      </w:r>
      <w:proofErr w:type="spellStart"/>
      <w:r w:rsidR="005B7EDC" w:rsidRPr="00524DAA">
        <w:t>People</w:t>
      </w:r>
      <w:proofErr w:type="spellEnd"/>
      <w:r w:rsidR="005B7EDC" w:rsidRPr="00524DAA">
        <w:t xml:space="preserve"> </w:t>
      </w:r>
      <w:proofErr w:type="spellStart"/>
      <w:r w:rsidR="005B7EDC" w:rsidRPr="00524DAA">
        <w:t>with</w:t>
      </w:r>
      <w:proofErr w:type="spellEnd"/>
      <w:r w:rsidR="005B7EDC" w:rsidRPr="00524DAA">
        <w:t xml:space="preserve"> </w:t>
      </w:r>
      <w:proofErr w:type="spellStart"/>
      <w:r w:rsidR="005B7EDC" w:rsidRPr="00524DAA">
        <w:t>Disabilities</w:t>
      </w:r>
      <w:proofErr w:type="spellEnd"/>
      <w:r w:rsidR="005B7EDC" w:rsidRPr="00524DAA">
        <w:t xml:space="preserve"> in Case </w:t>
      </w:r>
      <w:proofErr w:type="spellStart"/>
      <w:r w:rsidR="005B7EDC" w:rsidRPr="00524DAA">
        <w:t>of</w:t>
      </w:r>
      <w:proofErr w:type="spellEnd"/>
      <w:r w:rsidR="005B7EDC" w:rsidRPr="00524DAA">
        <w:t xml:space="preserve"> </w:t>
      </w:r>
      <w:proofErr w:type="spellStart"/>
      <w:r w:rsidR="005B7EDC" w:rsidRPr="00524DAA">
        <w:t>Disaster</w:t>
      </w:r>
      <w:proofErr w:type="spellEnd"/>
      <w:r w:rsidR="005B7EDC" w:rsidRPr="00524DAA">
        <w:t xml:space="preserve">“ či tvorba odborné sítě. Bližší informace lze nalézt na webu daného projektu: </w:t>
      </w:r>
      <w:hyperlink r:id="rId16" w:history="1">
        <w:r w:rsidR="00863F60" w:rsidRPr="00524DAA">
          <w:rPr>
            <w:rStyle w:val="Hypertextovodkaz"/>
          </w:rPr>
          <w:t>http://eunad-info.eu/home.html</w:t>
        </w:r>
      </w:hyperlink>
      <w:r w:rsidR="005B7EDC" w:rsidRPr="00524DAA">
        <w:t>. Podklady v češtině jsou k dispozici na webu M</w:t>
      </w:r>
      <w:r w:rsidR="00166E2F">
        <w:t xml:space="preserve">V </w:t>
      </w:r>
      <w:hyperlink r:id="rId17" w:history="1">
        <w:r w:rsidR="00863F60" w:rsidRPr="00524DAA">
          <w:rPr>
            <w:rStyle w:val="Hypertextovodkaz"/>
          </w:rPr>
          <w:t>https://www.mvcr.cz/clanek/mezinarodni-projekty.aspx</w:t>
        </w:r>
      </w:hyperlink>
      <w:r w:rsidR="00863F60" w:rsidRPr="00524DAA">
        <w:t>.</w:t>
      </w:r>
    </w:p>
    <w:p w:rsidR="005B7EDC" w:rsidRPr="00524DAA" w:rsidRDefault="006B591F" w:rsidP="005B7EDC">
      <w:pPr>
        <w:pStyle w:val="SingleTxtG"/>
      </w:pPr>
      <w:r w:rsidRPr="00524DAA">
        <w:t>(b)</w:t>
      </w:r>
      <w:r w:rsidRPr="00524DAA">
        <w:tab/>
        <w:t>P</w:t>
      </w:r>
      <w:r w:rsidR="005B7EDC" w:rsidRPr="00524DAA">
        <w:t>olicie ČR</w:t>
      </w:r>
    </w:p>
    <w:p w:rsidR="005B7EDC" w:rsidRPr="00524DAA" w:rsidRDefault="00877815" w:rsidP="005B7EDC">
      <w:pPr>
        <w:pStyle w:val="SingleTxtG"/>
      </w:pPr>
      <w:r>
        <w:t>9</w:t>
      </w:r>
      <w:r w:rsidR="00F560C0">
        <w:t>6</w:t>
      </w:r>
      <w:r>
        <w:t>.</w:t>
      </w:r>
      <w:r w:rsidR="006B591F" w:rsidRPr="00524DAA">
        <w:tab/>
      </w:r>
      <w:r w:rsidR="00485B10">
        <w:t xml:space="preserve">V roce 2018 zpracovala </w:t>
      </w:r>
      <w:r w:rsidR="005B7EDC" w:rsidRPr="00524DAA">
        <w:t>Policie ČR vzdělávací videa a metodiku pro práci se zvlášť zranitelnou obětí, kam je rovněž zařazena oblast spolupráce a interakce s lidmi se sluchovým, zrakovým, motorickým či mentálním postižením.</w:t>
      </w:r>
    </w:p>
    <w:p w:rsidR="005B7EDC" w:rsidRPr="00524DAA" w:rsidRDefault="00877815" w:rsidP="005B7EDC">
      <w:pPr>
        <w:pStyle w:val="SingleTxtG"/>
      </w:pPr>
      <w:r>
        <w:t>9</w:t>
      </w:r>
      <w:r w:rsidR="00F560C0">
        <w:t>7</w:t>
      </w:r>
      <w:r>
        <w:t>.</w:t>
      </w:r>
      <w:r w:rsidR="006B591F" w:rsidRPr="00524DAA">
        <w:tab/>
      </w:r>
      <w:r w:rsidR="005B7EDC" w:rsidRPr="00524DAA">
        <w:t>Pro neslyšící spravuje Integrované operační středisko Krajského ředitelství policie hl. m. Prahy tísňovou linku na tel. čísle 603 111 158, na které mohou neslyšící odeslat SMS zprávu. Pokud je tíseň hlášena z jiného kraje, než z Prahy, pak jej neprodleně operační středisko interním informačním systémem předá na příslušné krajské ředitelství policie k přijetí opatření. K fungování linky proběhla mezi komunit</w:t>
      </w:r>
      <w:r w:rsidR="002922EC">
        <w:t>ou neslyšících masivní osvěta</w:t>
      </w:r>
      <w:r w:rsidR="002922EC">
        <w:br/>
      </w:r>
      <w:r w:rsidR="005B7EDC" w:rsidRPr="00524DAA">
        <w:t>a o jejím fungování jsou informovány také veškeré organizace, které se vě</w:t>
      </w:r>
      <w:r w:rsidR="002922EC">
        <w:t>nují neslyšícím</w:t>
      </w:r>
      <w:r w:rsidR="002922EC">
        <w:br/>
      </w:r>
      <w:r w:rsidR="005B7EDC" w:rsidRPr="00524DAA">
        <w:t xml:space="preserve">a obdobně </w:t>
      </w:r>
      <w:r w:rsidR="006B591F" w:rsidRPr="00524DAA">
        <w:t>postiženým</w:t>
      </w:r>
      <w:r w:rsidR="005B7EDC" w:rsidRPr="00524DAA">
        <w:t>.</w:t>
      </w:r>
    </w:p>
    <w:p w:rsidR="005B7EDC" w:rsidRPr="00524DAA" w:rsidRDefault="006B591F" w:rsidP="006B591F">
      <w:pPr>
        <w:pStyle w:val="SingleTxtG"/>
      </w:pPr>
      <w:r w:rsidRPr="00524DAA">
        <w:t>(c)</w:t>
      </w:r>
      <w:r w:rsidRPr="00524DAA">
        <w:tab/>
      </w:r>
      <w:r w:rsidR="005B7EDC" w:rsidRPr="00524DAA">
        <w:t xml:space="preserve">Hasičský záchranný sbor ČR </w:t>
      </w:r>
    </w:p>
    <w:p w:rsidR="005B7EDC" w:rsidRPr="00524DAA" w:rsidRDefault="00877815" w:rsidP="005B7EDC">
      <w:pPr>
        <w:pStyle w:val="SingleTxtG"/>
      </w:pPr>
      <w:r>
        <w:t>9</w:t>
      </w:r>
      <w:r w:rsidR="00F560C0">
        <w:t>8</w:t>
      </w:r>
      <w:r>
        <w:t>.</w:t>
      </w:r>
      <w:r w:rsidR="00047CA6" w:rsidRPr="00524DAA">
        <w:tab/>
      </w:r>
      <w:r w:rsidR="005B7EDC" w:rsidRPr="00524DAA">
        <w:t xml:space="preserve">Intenzivně a po dlouhou dobu se problematikou osob se </w:t>
      </w:r>
      <w:r w:rsidR="00D137DB" w:rsidRPr="00524DAA">
        <w:t>ZP</w:t>
      </w:r>
      <w:r w:rsidR="005B7EDC" w:rsidRPr="00524DAA">
        <w:t xml:space="preserve"> zabývá Hasičský záchranný sbor ČR (dále jen „HZS ČR“). Vzhledem k tomu, že převážná část činností sboru je zaměřena na záchranné práce, je tématu osob se </w:t>
      </w:r>
      <w:r w:rsidR="00D137DB" w:rsidRPr="00524DAA">
        <w:t>ZP</w:t>
      </w:r>
      <w:r w:rsidR="002922EC">
        <w:t xml:space="preserve"> věnována pozornost převážně</w:t>
      </w:r>
      <w:r w:rsidR="002922EC">
        <w:br/>
      </w:r>
      <w:r w:rsidR="005B7EDC" w:rsidRPr="00524DAA">
        <w:t xml:space="preserve">z hlediska komunikace s nimi při zásazích a při mimořádných událostech. HZS ČR jednotlivých krajů rozvíjí aktivní spolupráci s organizacemi </w:t>
      </w:r>
      <w:r w:rsidR="00D04A89" w:rsidRPr="00524DAA">
        <w:t xml:space="preserve">osob se ZP </w:t>
      </w:r>
      <w:r w:rsidR="005B7EDC" w:rsidRPr="00524DAA">
        <w:t xml:space="preserve">v jejich </w:t>
      </w:r>
      <w:r w:rsidR="002C3329">
        <w:t>území</w:t>
      </w:r>
      <w:r w:rsidR="005B7EDC" w:rsidRPr="00524DAA">
        <w:t xml:space="preserve"> (osvěta, vzájemné informování, cvičení I</w:t>
      </w:r>
      <w:r w:rsidR="00D04A89" w:rsidRPr="00524DAA">
        <w:t>ntegrovaného zách</w:t>
      </w:r>
      <w:r w:rsidR="00091649" w:rsidRPr="00524DAA">
        <w:t>r</w:t>
      </w:r>
      <w:r w:rsidR="00D04A89" w:rsidRPr="00524DAA">
        <w:t xml:space="preserve">anného systému </w:t>
      </w:r>
      <w:r w:rsidR="005B7EDC" w:rsidRPr="00524DAA">
        <w:t xml:space="preserve">apod.). </w:t>
      </w:r>
    </w:p>
    <w:p w:rsidR="005B7EDC" w:rsidRPr="00524DAA" w:rsidRDefault="00877815" w:rsidP="005B7EDC">
      <w:pPr>
        <w:pStyle w:val="SingleTxtG"/>
      </w:pPr>
      <w:r>
        <w:t>9</w:t>
      </w:r>
      <w:r w:rsidR="00F560C0">
        <w:t>9</w:t>
      </w:r>
      <w:r>
        <w:t>.</w:t>
      </w:r>
      <w:r w:rsidR="00D04A89" w:rsidRPr="00524DAA">
        <w:tab/>
      </w:r>
      <w:r w:rsidR="005B7EDC" w:rsidRPr="00524DAA">
        <w:t>Problematika osob s</w:t>
      </w:r>
      <w:r w:rsidR="00D04A89" w:rsidRPr="00524DAA">
        <w:t>e</w:t>
      </w:r>
      <w:r w:rsidR="005B7EDC" w:rsidRPr="00524DAA">
        <w:t xml:space="preserve"> </w:t>
      </w:r>
      <w:r w:rsidR="00D04A89" w:rsidRPr="00524DAA">
        <w:t xml:space="preserve">ZP, vč. osob </w:t>
      </w:r>
      <w:r w:rsidR="005B7EDC" w:rsidRPr="00524DAA">
        <w:t>se sluchovým postižením, při mimořádných událostech je součástí odborné přípravy přís</w:t>
      </w:r>
      <w:r w:rsidR="002922EC">
        <w:t>lušníků HZS ČR. Téma komunikace</w:t>
      </w:r>
      <w:r w:rsidR="002922EC">
        <w:br/>
      </w:r>
      <w:r w:rsidR="005B7EDC" w:rsidRPr="00524DAA">
        <w:t xml:space="preserve">s vybranými skupinami osob se </w:t>
      </w:r>
      <w:r w:rsidR="00D04A89" w:rsidRPr="00524DAA">
        <w:t xml:space="preserve">ZP </w:t>
      </w:r>
      <w:r w:rsidR="005B7EDC" w:rsidRPr="00524DAA">
        <w:t xml:space="preserve">je zařazeno již do Nástupního odborného výcviku příslušníků HZS ČR v hodinách výuky psychologie, objevuje se také ve speciálních kurzech a instrukčně metodických zaměstnáních pořádaných psychologickou službou HZS ČR (např. specializační odborná příprava „První psychická pomoc I. a II.“ – doposud </w:t>
      </w:r>
      <w:r w:rsidR="00D04A89" w:rsidRPr="00524DAA">
        <w:t xml:space="preserve">bylo </w:t>
      </w:r>
      <w:r w:rsidR="005B7EDC" w:rsidRPr="00524DAA">
        <w:t xml:space="preserve">provedeno </w:t>
      </w:r>
      <w:r w:rsidR="00D30DAC">
        <w:t>10</w:t>
      </w:r>
      <w:r w:rsidR="005B7EDC" w:rsidRPr="00524DAA">
        <w:t xml:space="preserve">9 školení </w:t>
      </w:r>
      <w:r w:rsidR="00D04A89" w:rsidRPr="00524DAA">
        <w:t xml:space="preserve">pro </w:t>
      </w:r>
      <w:r w:rsidR="005B7EDC" w:rsidRPr="00524DAA">
        <w:t>1</w:t>
      </w:r>
      <w:r w:rsidR="00D30DAC">
        <w:t>306</w:t>
      </w:r>
      <w:r w:rsidR="005B7EDC" w:rsidRPr="00524DAA">
        <w:t xml:space="preserve"> posluchačů), i v rámci pravidelné odborné přípravy na stanicích a v průběhu cvičení I</w:t>
      </w:r>
      <w:r w:rsidR="00D04A89" w:rsidRPr="00524DAA">
        <w:t>ntegrovaného záchranného systému</w:t>
      </w:r>
      <w:r w:rsidR="005B7EDC" w:rsidRPr="00524DAA">
        <w:t xml:space="preserve">. </w:t>
      </w:r>
      <w:r w:rsidR="00101724">
        <w:t xml:space="preserve">Příslušníci HZS ČR jsou v rámci vzdělávání seznamováni i s dokumentem „Desatero komunikace s pacienty s poruchou </w:t>
      </w:r>
      <w:r w:rsidR="00101724">
        <w:lastRenderedPageBreak/>
        <w:t>autistického spektra“ VVOZP a ve své činnosti a komunikaci zohledňují obsah tohoto dokumentu.</w:t>
      </w:r>
    </w:p>
    <w:p w:rsidR="005B7EDC" w:rsidRPr="00524DAA" w:rsidRDefault="00F560C0" w:rsidP="005B7EDC">
      <w:pPr>
        <w:pStyle w:val="SingleTxtG"/>
      </w:pPr>
      <w:r>
        <w:t>100</w:t>
      </w:r>
      <w:r w:rsidR="00877815">
        <w:t>.</w:t>
      </w:r>
      <w:r w:rsidR="00D04A89" w:rsidRPr="00524DAA">
        <w:tab/>
      </w:r>
      <w:r w:rsidR="00101724">
        <w:t xml:space="preserve">V rámci vzdělávacích aktivit natočil HZS ČR </w:t>
      </w:r>
      <w:r w:rsidR="005B7EDC" w:rsidRPr="00524DAA">
        <w:t>v roce 2014 výukové DVD s názvem „Komunikace s osobami se zdravotním postižením při mimořádné události“</w:t>
      </w:r>
      <w:r w:rsidR="00101724">
        <w:t xml:space="preserve">. </w:t>
      </w:r>
      <w:r w:rsidR="005B7EDC" w:rsidRPr="00524DAA">
        <w:t>DVD vychází z</w:t>
      </w:r>
      <w:r w:rsidR="00B6102A">
        <w:t> </w:t>
      </w:r>
      <w:r w:rsidR="005B7EDC" w:rsidRPr="00524DAA">
        <w:t>metodick</w:t>
      </w:r>
      <w:r w:rsidR="00B6102A">
        <w:t xml:space="preserve">ých listů </w:t>
      </w:r>
      <w:r w:rsidR="00101724">
        <w:t>„Zásady komunikace s osobami se zdravotním postižením na místě zásahu“</w:t>
      </w:r>
      <w:r w:rsidR="00101724" w:rsidRPr="00524DAA">
        <w:t xml:space="preserve"> </w:t>
      </w:r>
      <w:r w:rsidR="005B7EDC" w:rsidRPr="00524DAA">
        <w:t xml:space="preserve">a </w:t>
      </w:r>
      <w:r w:rsidR="00101724">
        <w:t>„Posttraumatická péče hasičům a psychosociální pomoc osobám zasaženým mimořádnou událostí“</w:t>
      </w:r>
      <w:r w:rsidR="00B6102A">
        <w:t xml:space="preserve"> a </w:t>
      </w:r>
      <w:r w:rsidR="005B7EDC" w:rsidRPr="00524DAA">
        <w:t xml:space="preserve">slouží jako metodická pomůcka pro příslušníky HZS ČR pro práci s osobami se </w:t>
      </w:r>
      <w:r w:rsidR="00A835E2" w:rsidRPr="00524DAA">
        <w:t xml:space="preserve">ZP </w:t>
      </w:r>
      <w:r w:rsidR="005B7EDC" w:rsidRPr="00524DAA">
        <w:t>(zrakovým, sluchovým, tělesným a mentálním). Natáčení výukových DVD se zúčastnily i osoby s konkrétním postižením a</w:t>
      </w:r>
      <w:r w:rsidR="002922EC">
        <w:t xml:space="preserve"> jejich přínos nespočíval pouze</w:t>
      </w:r>
      <w:r w:rsidR="002922EC">
        <w:br/>
      </w:r>
      <w:r w:rsidR="005B7EDC" w:rsidRPr="00524DAA">
        <w:t xml:space="preserve">v přímém vystupování v klipech, které jsou orientovány na nejčastější situace při zásazích, ale především v konkrétních podnětech k tomu, jak by měli zasahující hasiči s osobami </w:t>
      </w:r>
      <w:r w:rsidR="00A835E2" w:rsidRPr="00524DAA">
        <w:t xml:space="preserve">se ZP </w:t>
      </w:r>
      <w:r w:rsidR="005B7EDC" w:rsidRPr="00524DAA">
        <w:t>jednat (např</w:t>
      </w:r>
      <w:r w:rsidR="00A835E2" w:rsidRPr="00524DAA">
        <w:t>.</w:t>
      </w:r>
      <w:r w:rsidR="005B7EDC" w:rsidRPr="00524DAA">
        <w:t xml:space="preserve"> základy znakování, použití speciálních pomůcek, vedení nevidomého prostorem s překážkami, po schodech, zacházení s vod</w:t>
      </w:r>
      <w:r w:rsidR="00A835E2" w:rsidRPr="00524DAA">
        <w:t>i</w:t>
      </w:r>
      <w:r w:rsidR="005B7EDC" w:rsidRPr="00524DAA">
        <w:t xml:space="preserve">cím psem apod.). DVD získalo ocenění v kategorii Projekt roku 2014. </w:t>
      </w:r>
    </w:p>
    <w:p w:rsidR="005B7EDC" w:rsidRPr="00524DAA" w:rsidRDefault="00F560C0" w:rsidP="005B7EDC">
      <w:pPr>
        <w:pStyle w:val="SingleTxtG"/>
      </w:pPr>
      <w:r>
        <w:t>101</w:t>
      </w:r>
      <w:r w:rsidR="00877815">
        <w:t>.</w:t>
      </w:r>
      <w:r w:rsidR="00A835E2" w:rsidRPr="00524DAA">
        <w:tab/>
      </w:r>
      <w:r w:rsidR="005B7EDC" w:rsidRPr="00524DAA">
        <w:t xml:space="preserve">V roce 2017 byly centrálně publikovány a na každé výjezdové vozidlo HZS ČR distribuovány „Karty pro komunikaci s neslyšícími u mimořádných událostí“, které kromě základních dorozumívacích vět obsahují i piktogramy některých základních pojmů, jako je např. lidské tělo, dům a další, na nichž mohou lidé se sluchovým </w:t>
      </w:r>
      <w:r w:rsidR="00A835E2" w:rsidRPr="00524DAA">
        <w:t xml:space="preserve">postižením </w:t>
      </w:r>
      <w:r w:rsidR="005B7EDC" w:rsidRPr="00524DAA">
        <w:t>ukázat, zda jsou zraněni a kde je něco bolí, zda se v zasaženém domě ještě někdo nachází, kde je plyn apod. Při pravidelných praktických cvičeních nebo i soutěžích hasičů (např. soutěž ve vyprošťování z havarovaných vozidel) se pak zařazují modelové situace, kdy hasiči procvičují komunikaci s osobami se sluchovým nebo jiným postižením.</w:t>
      </w:r>
      <w:r w:rsidR="00BB5014">
        <w:t xml:space="preserve"> </w:t>
      </w:r>
      <w:r w:rsidR="00BB5014" w:rsidRPr="00BB5014">
        <w:t>V posledních dvou letech spolupracuje psychologické pracoviště generálního ředitelství HZS ČR na tvorbě pomůcky „Karty pro komunikaci s (neslyšícími) dětmi u mimořádných událostí“. Vydání a</w:t>
      </w:r>
      <w:r w:rsidR="00BB5014">
        <w:t> </w:t>
      </w:r>
      <w:r w:rsidR="00BB5014" w:rsidRPr="00BB5014">
        <w:t>distribuce těchto karet na výjezdová vozidla HZS ČR je plánována do konce roku 2020</w:t>
      </w:r>
      <w:r w:rsidR="00BB5014">
        <w:t>.</w:t>
      </w:r>
    </w:p>
    <w:p w:rsidR="005B7EDC" w:rsidRPr="00524DAA" w:rsidRDefault="00F560C0" w:rsidP="005B7EDC">
      <w:pPr>
        <w:pStyle w:val="SingleTxtG"/>
      </w:pPr>
      <w:r>
        <w:t>102</w:t>
      </w:r>
      <w:r w:rsidR="00877815">
        <w:t>.</w:t>
      </w:r>
      <w:r w:rsidR="00B5125E" w:rsidRPr="00524DAA">
        <w:tab/>
      </w:r>
      <w:r w:rsidR="005B7EDC" w:rsidRPr="00524DAA">
        <w:t>V současné době zajišťuje H</w:t>
      </w:r>
      <w:r w:rsidR="007A476D">
        <w:t xml:space="preserve">ZS </w:t>
      </w:r>
      <w:r w:rsidR="005B7EDC" w:rsidRPr="00524DAA">
        <w:t>Č</w:t>
      </w:r>
      <w:r w:rsidR="007A476D">
        <w:t xml:space="preserve">R </w:t>
      </w:r>
      <w:r w:rsidR="005B7EDC" w:rsidRPr="00524DAA">
        <w:t xml:space="preserve">v technologii operačních a informačních středisek příjem SMS zpráv od osob, které používají zvláštní způsob tísňového volání nebo při jejichž záchraně je nutno uplatnit zvláštní pravidla a postupy </w:t>
      </w:r>
      <w:r w:rsidR="00D137DB" w:rsidRPr="00524DAA">
        <w:t xml:space="preserve">podle </w:t>
      </w:r>
      <w:r w:rsidR="005B7EDC" w:rsidRPr="00524DAA">
        <w:t xml:space="preserve">ustanovení § 38 zákona o HZS. Do tohoto seznamu se zařazují osoby se </w:t>
      </w:r>
      <w:r w:rsidR="00B5125E" w:rsidRPr="00524DAA">
        <w:t xml:space="preserve">ZP </w:t>
      </w:r>
      <w:r w:rsidR="005B7EDC" w:rsidRPr="00524DAA">
        <w:t xml:space="preserve">na základě jejich žádosti. Služba příjmu SMS je v současnosti poskytována v 11 krajích (vyjma hl. m. Prahy, Středočeského kraje a Jihočeského kraje). Pro použití služby je nezbytná předchozí registrace prostřednictvím seznamu dle § 38 zákona o HZS. Použití služby je zpoplatněno dle standardního ceníku telekomunikačních služeb odesílatele. Součástí informace není údaj o poloze uživatele. HZS ČR si dlouhodobě klade za cíl vyřešit koncepčně problematiku příjmu tísňových zpráv od osob se </w:t>
      </w:r>
      <w:r w:rsidR="00B5125E" w:rsidRPr="00524DAA">
        <w:t>ZP</w:t>
      </w:r>
      <w:r w:rsidR="005B7EDC" w:rsidRPr="00524DAA">
        <w:t xml:space="preserve">, tento cíl je zakotven ve Strategii rozvoje Hasičského záchranného sboru ČR do roku 2021 s výhledem do roku 2030. Zavedení příjmu tísňových SMS do technologie Telefonních center tísňového volání je zařazeno do plánu hlavních cílů </w:t>
      </w:r>
      <w:r w:rsidR="00B5125E" w:rsidRPr="00524DAA">
        <w:t>G</w:t>
      </w:r>
      <w:r w:rsidR="005B7EDC" w:rsidRPr="00524DAA">
        <w:t>enerálního ředitelství HZS ČR na rok 2019.</w:t>
      </w:r>
    </w:p>
    <w:p w:rsidR="00CA61F9" w:rsidRDefault="00CA61F9" w:rsidP="001D4EF8">
      <w:pPr>
        <w:pStyle w:val="SingleTxtG"/>
      </w:pPr>
    </w:p>
    <w:p w:rsidR="00C95010" w:rsidRDefault="00C95010">
      <w:pPr>
        <w:suppressAutoHyphens w:val="0"/>
        <w:spacing w:line="240" w:lineRule="auto"/>
      </w:pPr>
      <w:r>
        <w:br w:type="page"/>
      </w:r>
    </w:p>
    <w:p w:rsidR="00DD1DA4" w:rsidRPr="00CC5FB5" w:rsidRDefault="00DD1DA4" w:rsidP="00DD1DA4">
      <w:pPr>
        <w:pStyle w:val="H1G"/>
      </w:pPr>
      <w:r w:rsidRPr="00524DAA">
        <w:lastRenderedPageBreak/>
        <w:tab/>
      </w:r>
      <w:r w:rsidRPr="00524DAA">
        <w:tab/>
        <w:t>Odpověď na otázku č. 10</w:t>
      </w:r>
      <w:r w:rsidR="00893EE3" w:rsidRPr="00524DAA">
        <w:t xml:space="preserve"> a)</w:t>
      </w:r>
    </w:p>
    <w:p w:rsidR="00A0183B" w:rsidRDefault="00035DBD" w:rsidP="00A0183B">
      <w:pPr>
        <w:pStyle w:val="SingleTxtG"/>
      </w:pPr>
      <w:r>
        <w:t>103</w:t>
      </w:r>
      <w:r w:rsidR="00877815">
        <w:t>.</w:t>
      </w:r>
      <w:r w:rsidR="00A0183B" w:rsidRPr="00524DAA">
        <w:tab/>
        <w:t>Vzhledem k přijetí občanského zákoníku, jenž nabyl účinnosti 1. ledna 2014 a</w:t>
      </w:r>
      <w:r w:rsidR="00BC787D">
        <w:t> </w:t>
      </w:r>
      <w:r w:rsidR="00A0183B" w:rsidRPr="00524DAA">
        <w:t>představil novou koncepci opatření při narušení schopnosti zletilého právně jednat (viz dále) jsou následující statistické údaje rozděleny dle období 2009-2013 a 2014-2018. Dále je třeba upřesnit, že tyto údaje představují počet rozhodnutí, nikoli počet osob. O některých osobách mohlo být rozho</w:t>
      </w:r>
      <w:r w:rsidR="001C1616">
        <w:t>dováno vícekrát.</w:t>
      </w:r>
    </w:p>
    <w:p w:rsidR="001F3F20" w:rsidRPr="00524DAA" w:rsidRDefault="001F3F20" w:rsidP="00A0183B">
      <w:pPr>
        <w:pStyle w:val="SingleTxtG"/>
      </w:pPr>
    </w:p>
    <w:tbl>
      <w:tblPr>
        <w:tblStyle w:val="Mkatabulky"/>
        <w:tblW w:w="9108" w:type="dxa"/>
        <w:tblLook w:val="04A0" w:firstRow="1" w:lastRow="0" w:firstColumn="1" w:lastColumn="0" w:noHBand="0" w:noVBand="1"/>
      </w:tblPr>
      <w:tblGrid>
        <w:gridCol w:w="4248"/>
        <w:gridCol w:w="972"/>
        <w:gridCol w:w="972"/>
        <w:gridCol w:w="972"/>
        <w:gridCol w:w="972"/>
        <w:gridCol w:w="929"/>
        <w:gridCol w:w="43"/>
      </w:tblGrid>
      <w:tr w:rsidR="00A0183B" w:rsidRPr="00524DAA" w:rsidTr="003F25F4">
        <w:trPr>
          <w:gridAfter w:val="1"/>
          <w:wAfter w:w="43" w:type="dxa"/>
          <w:cantSplit/>
          <w:trHeight w:val="567"/>
        </w:trPr>
        <w:tc>
          <w:tcPr>
            <w:tcW w:w="9065" w:type="dxa"/>
            <w:gridSpan w:val="6"/>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jc w:val="center"/>
              <w:rPr>
                <w:b/>
                <w:sz w:val="20"/>
                <w:lang w:val="cs-CZ"/>
              </w:rPr>
            </w:pPr>
            <w:r w:rsidRPr="00524DAA">
              <w:rPr>
                <w:b/>
                <w:sz w:val="20"/>
                <w:lang w:val="cs-CZ"/>
              </w:rPr>
              <w:t>Způsobilost k právním úkonům (2009-2013)</w:t>
            </w:r>
          </w:p>
        </w:tc>
      </w:tr>
      <w:tr w:rsidR="00A0183B" w:rsidRPr="00524DAA" w:rsidTr="003F25F4">
        <w:trPr>
          <w:cantSplit/>
          <w:trHeight w:val="567"/>
        </w:trPr>
        <w:tc>
          <w:tcPr>
            <w:tcW w:w="4248" w:type="dxa"/>
            <w:tcBorders>
              <w:top w:val="single" w:sz="4" w:space="0" w:color="auto"/>
              <w:left w:val="single" w:sz="4" w:space="0" w:color="auto"/>
              <w:bottom w:val="single" w:sz="12" w:space="0" w:color="auto"/>
              <w:right w:val="single" w:sz="4" w:space="0" w:color="auto"/>
            </w:tcBorders>
            <w:vAlign w:val="center"/>
            <w:hideMark/>
          </w:tcPr>
          <w:p w:rsidR="00A0183B" w:rsidRPr="00524DAA" w:rsidRDefault="00A0183B">
            <w:pPr>
              <w:pStyle w:val="Normln1"/>
              <w:spacing w:after="0" w:line="276" w:lineRule="auto"/>
              <w:rPr>
                <w:b/>
                <w:sz w:val="20"/>
                <w:lang w:val="cs-CZ"/>
              </w:rPr>
            </w:pPr>
            <w:r w:rsidRPr="00524DAA">
              <w:rPr>
                <w:b/>
                <w:sz w:val="20"/>
                <w:lang w:val="cs-CZ"/>
              </w:rPr>
              <w:t>Rozhodnutí</w:t>
            </w:r>
          </w:p>
        </w:tc>
        <w:tc>
          <w:tcPr>
            <w:tcW w:w="972" w:type="dxa"/>
            <w:tcBorders>
              <w:top w:val="single" w:sz="4" w:space="0" w:color="auto"/>
              <w:left w:val="single" w:sz="4" w:space="0" w:color="auto"/>
              <w:bottom w:val="single" w:sz="12" w:space="0" w:color="auto"/>
              <w:right w:val="single" w:sz="4" w:space="0" w:color="auto"/>
            </w:tcBorders>
            <w:vAlign w:val="center"/>
            <w:hideMark/>
          </w:tcPr>
          <w:p w:rsidR="00A0183B" w:rsidRPr="00524DAA" w:rsidRDefault="00A0183B">
            <w:pPr>
              <w:pStyle w:val="Normln1"/>
              <w:spacing w:after="0" w:line="276" w:lineRule="auto"/>
              <w:jc w:val="center"/>
              <w:rPr>
                <w:b/>
                <w:sz w:val="20"/>
                <w:lang w:val="cs-CZ"/>
              </w:rPr>
            </w:pPr>
            <w:r w:rsidRPr="00524DAA">
              <w:rPr>
                <w:b/>
                <w:sz w:val="20"/>
                <w:lang w:val="cs-CZ"/>
              </w:rPr>
              <w:t>2009</w:t>
            </w:r>
          </w:p>
        </w:tc>
        <w:tc>
          <w:tcPr>
            <w:tcW w:w="972" w:type="dxa"/>
            <w:tcBorders>
              <w:top w:val="single" w:sz="4" w:space="0" w:color="auto"/>
              <w:left w:val="single" w:sz="4" w:space="0" w:color="auto"/>
              <w:bottom w:val="single" w:sz="12" w:space="0" w:color="auto"/>
              <w:right w:val="single" w:sz="4" w:space="0" w:color="auto"/>
            </w:tcBorders>
            <w:vAlign w:val="center"/>
            <w:hideMark/>
          </w:tcPr>
          <w:p w:rsidR="00A0183B" w:rsidRPr="00524DAA" w:rsidRDefault="00A0183B">
            <w:pPr>
              <w:pStyle w:val="Normln1"/>
              <w:spacing w:after="0" w:line="276" w:lineRule="auto"/>
              <w:jc w:val="center"/>
              <w:rPr>
                <w:b/>
                <w:sz w:val="20"/>
                <w:lang w:val="cs-CZ"/>
              </w:rPr>
            </w:pPr>
            <w:r w:rsidRPr="00524DAA">
              <w:rPr>
                <w:b/>
                <w:sz w:val="20"/>
                <w:lang w:val="cs-CZ"/>
              </w:rPr>
              <w:t>2010</w:t>
            </w:r>
          </w:p>
        </w:tc>
        <w:tc>
          <w:tcPr>
            <w:tcW w:w="972" w:type="dxa"/>
            <w:tcBorders>
              <w:top w:val="single" w:sz="4" w:space="0" w:color="auto"/>
              <w:left w:val="single" w:sz="4" w:space="0" w:color="auto"/>
              <w:bottom w:val="single" w:sz="12" w:space="0" w:color="auto"/>
              <w:right w:val="single" w:sz="4" w:space="0" w:color="auto"/>
            </w:tcBorders>
            <w:vAlign w:val="center"/>
            <w:hideMark/>
          </w:tcPr>
          <w:p w:rsidR="00A0183B" w:rsidRPr="00524DAA" w:rsidRDefault="00A0183B">
            <w:pPr>
              <w:pStyle w:val="Normln1"/>
              <w:spacing w:after="0" w:line="276" w:lineRule="auto"/>
              <w:jc w:val="center"/>
              <w:rPr>
                <w:b/>
                <w:sz w:val="20"/>
                <w:lang w:val="cs-CZ"/>
              </w:rPr>
            </w:pPr>
            <w:r w:rsidRPr="00524DAA">
              <w:rPr>
                <w:b/>
                <w:sz w:val="20"/>
                <w:lang w:val="cs-CZ"/>
              </w:rPr>
              <w:t>2011</w:t>
            </w:r>
          </w:p>
        </w:tc>
        <w:tc>
          <w:tcPr>
            <w:tcW w:w="972" w:type="dxa"/>
            <w:tcBorders>
              <w:top w:val="single" w:sz="4" w:space="0" w:color="auto"/>
              <w:left w:val="single" w:sz="4" w:space="0" w:color="auto"/>
              <w:bottom w:val="single" w:sz="12" w:space="0" w:color="auto"/>
              <w:right w:val="single" w:sz="4" w:space="0" w:color="auto"/>
            </w:tcBorders>
            <w:vAlign w:val="center"/>
            <w:hideMark/>
          </w:tcPr>
          <w:p w:rsidR="00A0183B" w:rsidRPr="00524DAA" w:rsidRDefault="00A0183B">
            <w:pPr>
              <w:pStyle w:val="Normln1"/>
              <w:spacing w:after="0" w:line="276" w:lineRule="auto"/>
              <w:jc w:val="center"/>
              <w:rPr>
                <w:b/>
                <w:sz w:val="20"/>
                <w:lang w:val="cs-CZ"/>
              </w:rPr>
            </w:pPr>
            <w:r w:rsidRPr="00524DAA">
              <w:rPr>
                <w:b/>
                <w:sz w:val="20"/>
                <w:lang w:val="cs-CZ"/>
              </w:rPr>
              <w:t>2012</w:t>
            </w:r>
          </w:p>
        </w:tc>
        <w:tc>
          <w:tcPr>
            <w:tcW w:w="972" w:type="dxa"/>
            <w:gridSpan w:val="2"/>
            <w:tcBorders>
              <w:top w:val="single" w:sz="4" w:space="0" w:color="auto"/>
              <w:left w:val="single" w:sz="4" w:space="0" w:color="auto"/>
              <w:bottom w:val="single" w:sz="12" w:space="0" w:color="auto"/>
              <w:right w:val="single" w:sz="4" w:space="0" w:color="auto"/>
            </w:tcBorders>
            <w:vAlign w:val="center"/>
            <w:hideMark/>
          </w:tcPr>
          <w:p w:rsidR="00A0183B" w:rsidRPr="00524DAA" w:rsidRDefault="00A0183B">
            <w:pPr>
              <w:pStyle w:val="Normln1"/>
              <w:spacing w:after="0" w:line="276" w:lineRule="auto"/>
              <w:jc w:val="center"/>
              <w:rPr>
                <w:b/>
                <w:sz w:val="20"/>
                <w:lang w:val="cs-CZ"/>
              </w:rPr>
            </w:pPr>
            <w:r w:rsidRPr="00524DAA">
              <w:rPr>
                <w:b/>
                <w:sz w:val="20"/>
                <w:lang w:val="cs-CZ"/>
              </w:rPr>
              <w:t>2013</w:t>
            </w:r>
          </w:p>
        </w:tc>
      </w:tr>
      <w:tr w:rsidR="00A0183B" w:rsidRPr="00524DAA" w:rsidTr="003F25F4">
        <w:trPr>
          <w:cantSplit/>
          <w:trHeight w:val="567"/>
        </w:trPr>
        <w:tc>
          <w:tcPr>
            <w:tcW w:w="4248" w:type="dxa"/>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rPr>
                <w:szCs w:val="24"/>
                <w:lang w:eastAsia="cs-CZ"/>
              </w:rPr>
            </w:pPr>
            <w:r w:rsidRPr="00524DAA">
              <w:rPr>
                <w:szCs w:val="24"/>
              </w:rPr>
              <w:t>Rozhodnutí o zbavení způsobilosti účastníka k právním úkonům</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lang w:eastAsia="cs-CZ"/>
              </w:rPr>
            </w:pPr>
            <w:r w:rsidRPr="00524DAA">
              <w:rPr>
                <w:szCs w:val="24"/>
              </w:rPr>
              <w:t>2299</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2045</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2171</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2254</w:t>
            </w: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2273</w:t>
            </w:r>
          </w:p>
        </w:tc>
      </w:tr>
      <w:tr w:rsidR="00A0183B" w:rsidRPr="00524DAA" w:rsidTr="003F25F4">
        <w:trPr>
          <w:cantSplit/>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after="200" w:line="276" w:lineRule="auto"/>
              <w:rPr>
                <w:szCs w:val="24"/>
              </w:rPr>
            </w:pPr>
            <w:r w:rsidRPr="00524DAA">
              <w:rPr>
                <w:szCs w:val="24"/>
              </w:rPr>
              <w:t>Jiný výsledek řízení o zbavení způsobilosti účastníka k právním úkonům</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945</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949</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992</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1127</w:t>
            </w: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1185</w:t>
            </w:r>
          </w:p>
        </w:tc>
      </w:tr>
      <w:tr w:rsidR="00A0183B" w:rsidRPr="00524DAA" w:rsidTr="003F25F4">
        <w:trPr>
          <w:cantSplit/>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after="200" w:line="276" w:lineRule="auto"/>
              <w:rPr>
                <w:szCs w:val="24"/>
              </w:rPr>
            </w:pPr>
            <w:r w:rsidRPr="00524DAA">
              <w:rPr>
                <w:szCs w:val="24"/>
              </w:rPr>
              <w:t>Rozhodnutí o omezení způsobilosti účastníka k právním úkonům</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770</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816</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860</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938</w:t>
            </w: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1342</w:t>
            </w:r>
          </w:p>
        </w:tc>
      </w:tr>
      <w:tr w:rsidR="00A0183B" w:rsidRPr="00524DAA" w:rsidTr="003F25F4">
        <w:trPr>
          <w:cantSplit/>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after="200" w:line="276" w:lineRule="auto"/>
              <w:rPr>
                <w:szCs w:val="24"/>
              </w:rPr>
            </w:pPr>
            <w:r w:rsidRPr="00524DAA">
              <w:rPr>
                <w:szCs w:val="24"/>
              </w:rPr>
              <w:t>Jiný výsledek řízení o omezení způsobilosti účastníka k právním úkonům</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127</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117</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137</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139</w:t>
            </w: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168</w:t>
            </w:r>
          </w:p>
        </w:tc>
      </w:tr>
      <w:tr w:rsidR="00A0183B" w:rsidRPr="00524DAA" w:rsidTr="003F25F4">
        <w:trPr>
          <w:cantSplit/>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after="200" w:line="276" w:lineRule="auto"/>
              <w:rPr>
                <w:szCs w:val="24"/>
              </w:rPr>
            </w:pPr>
            <w:r w:rsidRPr="00524DAA">
              <w:rPr>
                <w:szCs w:val="24"/>
              </w:rPr>
              <w:t>Rozhodnutí o vrácení způsobilosti účastníka k právním úkonům</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65</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45</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59</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51</w:t>
            </w: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77</w:t>
            </w:r>
          </w:p>
        </w:tc>
      </w:tr>
      <w:tr w:rsidR="00A0183B" w:rsidRPr="00524DAA" w:rsidTr="003F25F4">
        <w:trPr>
          <w:cantSplit/>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after="200" w:line="276" w:lineRule="auto"/>
              <w:rPr>
                <w:szCs w:val="24"/>
              </w:rPr>
            </w:pPr>
            <w:r w:rsidRPr="00524DAA">
              <w:rPr>
                <w:szCs w:val="24"/>
              </w:rPr>
              <w:t>Jiný výsledek řízení o vrácení způsobilosti účastníka k právním úkonům</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169</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172</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117</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143</w:t>
            </w: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149</w:t>
            </w:r>
          </w:p>
        </w:tc>
      </w:tr>
      <w:tr w:rsidR="00A0183B" w:rsidRPr="00524DAA" w:rsidTr="003F25F4">
        <w:trPr>
          <w:cantSplit/>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after="200" w:line="276" w:lineRule="auto"/>
              <w:rPr>
                <w:szCs w:val="24"/>
              </w:rPr>
            </w:pPr>
            <w:r w:rsidRPr="00524DAA">
              <w:rPr>
                <w:szCs w:val="24"/>
              </w:rPr>
              <w:t>Rozhodnutí o změně způsobilosti účastníka k právním úkonům (zbaveného účastníka způsobilosti k právním úkonům na omezeného a naopak)</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x</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110</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128</w:t>
            </w:r>
          </w:p>
        </w:tc>
        <w:tc>
          <w:tcPr>
            <w:tcW w:w="97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129</w:t>
            </w:r>
          </w:p>
        </w:tc>
        <w:tc>
          <w:tcPr>
            <w:tcW w:w="972"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162</w:t>
            </w:r>
          </w:p>
        </w:tc>
      </w:tr>
    </w:tbl>
    <w:p w:rsidR="001F3F20" w:rsidRDefault="007914F8" w:rsidP="00B324E1">
      <w:pPr>
        <w:pStyle w:val="SingleTxtG"/>
        <w:rPr>
          <w:szCs w:val="24"/>
        </w:rPr>
      </w:pPr>
      <w:r>
        <w:t>* Zdroj: Ministerstvo spravedlnosti (dále jen „MS“)</w:t>
      </w:r>
    </w:p>
    <w:p w:rsidR="001C1616" w:rsidRDefault="001C1616" w:rsidP="00B324E1">
      <w:pPr>
        <w:pStyle w:val="SingleTxtG"/>
        <w:rPr>
          <w:szCs w:val="24"/>
        </w:rPr>
      </w:pPr>
    </w:p>
    <w:tbl>
      <w:tblPr>
        <w:tblStyle w:val="Mkatabulky"/>
        <w:tblW w:w="0" w:type="auto"/>
        <w:tblLook w:val="04A0" w:firstRow="1" w:lastRow="0" w:firstColumn="1" w:lastColumn="0" w:noHBand="0" w:noVBand="1"/>
      </w:tblPr>
      <w:tblGrid>
        <w:gridCol w:w="4248"/>
        <w:gridCol w:w="962"/>
        <w:gridCol w:w="963"/>
        <w:gridCol w:w="963"/>
        <w:gridCol w:w="963"/>
        <w:gridCol w:w="963"/>
      </w:tblGrid>
      <w:tr w:rsidR="00A0183B" w:rsidRPr="00524DAA" w:rsidTr="00A0183B">
        <w:trPr>
          <w:trHeight w:val="567"/>
        </w:trPr>
        <w:tc>
          <w:tcPr>
            <w:tcW w:w="9062" w:type="dxa"/>
            <w:gridSpan w:val="6"/>
            <w:tcBorders>
              <w:top w:val="single" w:sz="4" w:space="0" w:color="auto"/>
              <w:left w:val="single" w:sz="4" w:space="0" w:color="auto"/>
              <w:bottom w:val="single" w:sz="4" w:space="0" w:color="auto"/>
              <w:right w:val="single" w:sz="4" w:space="0" w:color="auto"/>
            </w:tcBorders>
            <w:vAlign w:val="center"/>
            <w:hideMark/>
          </w:tcPr>
          <w:p w:rsidR="00A0183B" w:rsidRPr="00524DAA" w:rsidRDefault="001F3F20">
            <w:pPr>
              <w:pStyle w:val="Normln1"/>
              <w:spacing w:after="0" w:line="276" w:lineRule="auto"/>
              <w:jc w:val="center"/>
              <w:rPr>
                <w:b/>
                <w:sz w:val="20"/>
                <w:lang w:val="cs-CZ"/>
              </w:rPr>
            </w:pPr>
            <w:r>
              <w:br w:type="page"/>
            </w:r>
            <w:r w:rsidR="00A0183B" w:rsidRPr="00524DAA">
              <w:rPr>
                <w:b/>
                <w:sz w:val="20"/>
                <w:lang w:val="cs-CZ"/>
              </w:rPr>
              <w:t>Omezení a vracení svéprávnosti (2014-2018)</w:t>
            </w:r>
          </w:p>
        </w:tc>
      </w:tr>
      <w:tr w:rsidR="00A0183B" w:rsidRPr="00524DAA" w:rsidTr="00A0183B">
        <w:trPr>
          <w:trHeight w:val="567"/>
        </w:trPr>
        <w:tc>
          <w:tcPr>
            <w:tcW w:w="4248" w:type="dxa"/>
            <w:tcBorders>
              <w:top w:val="single" w:sz="4" w:space="0" w:color="auto"/>
              <w:left w:val="single" w:sz="4" w:space="0" w:color="auto"/>
              <w:bottom w:val="single" w:sz="12" w:space="0" w:color="auto"/>
              <w:right w:val="single" w:sz="4" w:space="0" w:color="auto"/>
            </w:tcBorders>
            <w:vAlign w:val="center"/>
            <w:hideMark/>
          </w:tcPr>
          <w:p w:rsidR="00A0183B" w:rsidRPr="00524DAA" w:rsidRDefault="00A0183B">
            <w:pPr>
              <w:pStyle w:val="Normln1"/>
              <w:spacing w:after="0" w:line="276" w:lineRule="auto"/>
              <w:jc w:val="left"/>
              <w:rPr>
                <w:b/>
                <w:sz w:val="20"/>
                <w:lang w:val="cs-CZ"/>
              </w:rPr>
            </w:pPr>
            <w:r w:rsidRPr="00524DAA">
              <w:rPr>
                <w:b/>
                <w:sz w:val="20"/>
                <w:lang w:val="cs-CZ"/>
              </w:rPr>
              <w:t>Rozhodnutí</w:t>
            </w:r>
          </w:p>
        </w:tc>
        <w:tc>
          <w:tcPr>
            <w:tcW w:w="962" w:type="dxa"/>
            <w:tcBorders>
              <w:top w:val="single" w:sz="4" w:space="0" w:color="auto"/>
              <w:left w:val="single" w:sz="4" w:space="0" w:color="auto"/>
              <w:bottom w:val="single" w:sz="12" w:space="0" w:color="auto"/>
              <w:right w:val="single" w:sz="4" w:space="0" w:color="auto"/>
            </w:tcBorders>
            <w:vAlign w:val="center"/>
            <w:hideMark/>
          </w:tcPr>
          <w:p w:rsidR="00A0183B" w:rsidRPr="00524DAA" w:rsidRDefault="00A0183B">
            <w:pPr>
              <w:pStyle w:val="Normln1"/>
              <w:spacing w:after="0" w:line="276" w:lineRule="auto"/>
              <w:jc w:val="center"/>
              <w:rPr>
                <w:b/>
                <w:sz w:val="20"/>
                <w:lang w:val="cs-CZ"/>
              </w:rPr>
            </w:pPr>
            <w:r w:rsidRPr="00524DAA">
              <w:rPr>
                <w:b/>
                <w:sz w:val="20"/>
                <w:lang w:val="cs-CZ"/>
              </w:rPr>
              <w:t>2014</w:t>
            </w:r>
          </w:p>
        </w:tc>
        <w:tc>
          <w:tcPr>
            <w:tcW w:w="963" w:type="dxa"/>
            <w:tcBorders>
              <w:top w:val="single" w:sz="4" w:space="0" w:color="auto"/>
              <w:left w:val="single" w:sz="4" w:space="0" w:color="auto"/>
              <w:bottom w:val="single" w:sz="12" w:space="0" w:color="auto"/>
              <w:right w:val="single" w:sz="4" w:space="0" w:color="auto"/>
            </w:tcBorders>
            <w:vAlign w:val="center"/>
            <w:hideMark/>
          </w:tcPr>
          <w:p w:rsidR="00A0183B" w:rsidRPr="00524DAA" w:rsidRDefault="00A0183B">
            <w:pPr>
              <w:pStyle w:val="Normln1"/>
              <w:spacing w:after="0" w:line="276" w:lineRule="auto"/>
              <w:jc w:val="center"/>
              <w:rPr>
                <w:b/>
                <w:sz w:val="20"/>
                <w:lang w:val="cs-CZ"/>
              </w:rPr>
            </w:pPr>
            <w:r w:rsidRPr="00524DAA">
              <w:rPr>
                <w:b/>
                <w:sz w:val="20"/>
                <w:lang w:val="cs-CZ"/>
              </w:rPr>
              <w:t>2015</w:t>
            </w:r>
          </w:p>
        </w:tc>
        <w:tc>
          <w:tcPr>
            <w:tcW w:w="963" w:type="dxa"/>
            <w:tcBorders>
              <w:top w:val="single" w:sz="4" w:space="0" w:color="auto"/>
              <w:left w:val="single" w:sz="4" w:space="0" w:color="auto"/>
              <w:bottom w:val="single" w:sz="12" w:space="0" w:color="auto"/>
              <w:right w:val="single" w:sz="4" w:space="0" w:color="auto"/>
            </w:tcBorders>
            <w:vAlign w:val="center"/>
            <w:hideMark/>
          </w:tcPr>
          <w:p w:rsidR="00A0183B" w:rsidRPr="00524DAA" w:rsidRDefault="00A0183B">
            <w:pPr>
              <w:pStyle w:val="Normln1"/>
              <w:spacing w:after="0" w:line="276" w:lineRule="auto"/>
              <w:jc w:val="center"/>
              <w:rPr>
                <w:b/>
                <w:sz w:val="20"/>
                <w:lang w:val="cs-CZ"/>
              </w:rPr>
            </w:pPr>
            <w:r w:rsidRPr="00524DAA">
              <w:rPr>
                <w:b/>
                <w:sz w:val="20"/>
                <w:lang w:val="cs-CZ"/>
              </w:rPr>
              <w:t>2016</w:t>
            </w:r>
          </w:p>
        </w:tc>
        <w:tc>
          <w:tcPr>
            <w:tcW w:w="963" w:type="dxa"/>
            <w:tcBorders>
              <w:top w:val="single" w:sz="4" w:space="0" w:color="auto"/>
              <w:left w:val="single" w:sz="4" w:space="0" w:color="auto"/>
              <w:bottom w:val="single" w:sz="12" w:space="0" w:color="auto"/>
              <w:right w:val="single" w:sz="4" w:space="0" w:color="auto"/>
            </w:tcBorders>
            <w:vAlign w:val="center"/>
            <w:hideMark/>
          </w:tcPr>
          <w:p w:rsidR="00A0183B" w:rsidRPr="00524DAA" w:rsidRDefault="00A0183B">
            <w:pPr>
              <w:pStyle w:val="Normln1"/>
              <w:spacing w:after="0" w:line="276" w:lineRule="auto"/>
              <w:jc w:val="center"/>
              <w:rPr>
                <w:b/>
                <w:sz w:val="20"/>
                <w:lang w:val="cs-CZ"/>
              </w:rPr>
            </w:pPr>
            <w:r w:rsidRPr="00524DAA">
              <w:rPr>
                <w:b/>
                <w:sz w:val="20"/>
                <w:lang w:val="cs-CZ"/>
              </w:rPr>
              <w:t>2017</w:t>
            </w:r>
          </w:p>
        </w:tc>
        <w:tc>
          <w:tcPr>
            <w:tcW w:w="963" w:type="dxa"/>
            <w:tcBorders>
              <w:top w:val="single" w:sz="4" w:space="0" w:color="auto"/>
              <w:left w:val="single" w:sz="4" w:space="0" w:color="auto"/>
              <w:bottom w:val="single" w:sz="12" w:space="0" w:color="auto"/>
              <w:right w:val="single" w:sz="4" w:space="0" w:color="auto"/>
            </w:tcBorders>
            <w:vAlign w:val="center"/>
            <w:hideMark/>
          </w:tcPr>
          <w:p w:rsidR="00A0183B" w:rsidRPr="00524DAA" w:rsidRDefault="00A0183B">
            <w:pPr>
              <w:pStyle w:val="Normln1"/>
              <w:spacing w:after="0" w:line="276" w:lineRule="auto"/>
              <w:jc w:val="center"/>
              <w:rPr>
                <w:b/>
                <w:sz w:val="20"/>
                <w:lang w:val="cs-CZ"/>
              </w:rPr>
            </w:pPr>
            <w:r w:rsidRPr="00524DAA">
              <w:rPr>
                <w:b/>
                <w:sz w:val="20"/>
                <w:lang w:val="cs-CZ"/>
              </w:rPr>
              <w:t>2018</w:t>
            </w:r>
          </w:p>
        </w:tc>
      </w:tr>
      <w:tr w:rsidR="00A0183B" w:rsidRPr="00524DAA" w:rsidTr="00A0183B">
        <w:trPr>
          <w:trHeight w:val="567"/>
        </w:trPr>
        <w:tc>
          <w:tcPr>
            <w:tcW w:w="4248" w:type="dxa"/>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rPr>
                <w:szCs w:val="24"/>
                <w:lang w:eastAsia="cs-CZ"/>
              </w:rPr>
            </w:pPr>
            <w:r w:rsidRPr="00524DAA">
              <w:rPr>
                <w:szCs w:val="24"/>
              </w:rPr>
              <w:t>omezena</w:t>
            </w:r>
          </w:p>
        </w:tc>
        <w:tc>
          <w:tcPr>
            <w:tcW w:w="962" w:type="dxa"/>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2683</w:t>
            </w:r>
          </w:p>
        </w:tc>
        <w:tc>
          <w:tcPr>
            <w:tcW w:w="963" w:type="dxa"/>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5578</w:t>
            </w:r>
          </w:p>
        </w:tc>
        <w:tc>
          <w:tcPr>
            <w:tcW w:w="963" w:type="dxa"/>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4902</w:t>
            </w:r>
          </w:p>
        </w:tc>
        <w:tc>
          <w:tcPr>
            <w:tcW w:w="963" w:type="dxa"/>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4104</w:t>
            </w:r>
          </w:p>
        </w:tc>
        <w:tc>
          <w:tcPr>
            <w:tcW w:w="963" w:type="dxa"/>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4077</w:t>
            </w:r>
          </w:p>
        </w:tc>
      </w:tr>
      <w:tr w:rsidR="00A0183B" w:rsidRPr="00524DAA" w:rsidTr="00A0183B">
        <w:trPr>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rPr>
                <w:szCs w:val="24"/>
              </w:rPr>
            </w:pPr>
            <w:r w:rsidRPr="00524DAA">
              <w:rPr>
                <w:szCs w:val="24"/>
              </w:rPr>
              <w:t>změna omezení</w:t>
            </w:r>
          </w:p>
        </w:tc>
        <w:tc>
          <w:tcPr>
            <w:tcW w:w="96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865</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4543</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6017</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4456</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2325</w:t>
            </w:r>
          </w:p>
        </w:tc>
      </w:tr>
      <w:tr w:rsidR="00A0183B" w:rsidRPr="00524DAA" w:rsidTr="00A0183B">
        <w:trPr>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rPr>
                <w:szCs w:val="24"/>
              </w:rPr>
            </w:pPr>
            <w:r w:rsidRPr="00524DAA">
              <w:rPr>
                <w:szCs w:val="24"/>
              </w:rPr>
              <w:t>vrácení</w:t>
            </w:r>
          </w:p>
        </w:tc>
        <w:tc>
          <w:tcPr>
            <w:tcW w:w="96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222</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689</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1243</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755</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242</w:t>
            </w:r>
          </w:p>
        </w:tc>
      </w:tr>
      <w:tr w:rsidR="00A0183B" w:rsidRPr="00524DAA" w:rsidTr="00A0183B">
        <w:trPr>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rPr>
                <w:szCs w:val="24"/>
              </w:rPr>
            </w:pPr>
            <w:r w:rsidRPr="00524DAA">
              <w:rPr>
                <w:szCs w:val="24"/>
              </w:rPr>
              <w:t>doba omezení prodloužena</w:t>
            </w:r>
          </w:p>
        </w:tc>
        <w:tc>
          <w:tcPr>
            <w:tcW w:w="96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307</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1793</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2324</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1849</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6715</w:t>
            </w:r>
          </w:p>
        </w:tc>
      </w:tr>
      <w:tr w:rsidR="00A0183B" w:rsidRPr="00524DAA" w:rsidTr="00A0183B">
        <w:trPr>
          <w:trHeight w:val="567"/>
        </w:trPr>
        <w:tc>
          <w:tcPr>
            <w:tcW w:w="4248"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rPr>
                <w:szCs w:val="24"/>
              </w:rPr>
            </w:pPr>
            <w:r w:rsidRPr="00524DAA">
              <w:rPr>
                <w:szCs w:val="24"/>
              </w:rPr>
              <w:t>jiný výsledek</w:t>
            </w:r>
          </w:p>
        </w:tc>
        <w:tc>
          <w:tcPr>
            <w:tcW w:w="962"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1702</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2377</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2584</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2326</w:t>
            </w:r>
          </w:p>
        </w:tc>
        <w:tc>
          <w:tcPr>
            <w:tcW w:w="963"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right"/>
              <w:rPr>
                <w:szCs w:val="24"/>
              </w:rPr>
            </w:pPr>
            <w:r w:rsidRPr="00524DAA">
              <w:rPr>
                <w:szCs w:val="24"/>
              </w:rPr>
              <w:t>2328</w:t>
            </w:r>
          </w:p>
        </w:tc>
      </w:tr>
    </w:tbl>
    <w:p w:rsidR="001F3F20" w:rsidRDefault="007914F8" w:rsidP="00B324E1">
      <w:pPr>
        <w:pStyle w:val="SingleTxtG"/>
      </w:pPr>
      <w:r>
        <w:t>* Zdroj: MS</w:t>
      </w:r>
    </w:p>
    <w:p w:rsidR="00A0183B" w:rsidRPr="00524DAA" w:rsidRDefault="00035DBD" w:rsidP="00B324E1">
      <w:pPr>
        <w:pStyle w:val="SingleTxtG"/>
      </w:pPr>
      <w:r>
        <w:lastRenderedPageBreak/>
        <w:t>104</w:t>
      </w:r>
      <w:r w:rsidR="00E022F6">
        <w:t>.</w:t>
      </w:r>
      <w:r w:rsidR="00B324E1" w:rsidRPr="00524DAA">
        <w:tab/>
      </w:r>
      <w:r w:rsidR="00A0183B" w:rsidRPr="00524DAA">
        <w:t>Co se týče počtu osob omezených ve svéprávnosti v jednotlivých letech, Ministerstvo spravedlnosti</w:t>
      </w:r>
      <w:r w:rsidR="002F0219">
        <w:t xml:space="preserve"> </w:t>
      </w:r>
      <w:r w:rsidR="00A0183B" w:rsidRPr="00524DAA">
        <w:t>může poskytnout pouze počet tzv. živých spisů u soudů ke konci jednotlivých let.</w:t>
      </w:r>
    </w:p>
    <w:p w:rsidR="00B324E1" w:rsidRPr="00524DAA" w:rsidRDefault="00B324E1" w:rsidP="00B324E1">
      <w:pPr>
        <w:pStyle w:val="SingleTxtG"/>
      </w:pPr>
    </w:p>
    <w:tbl>
      <w:tblPr>
        <w:tblStyle w:val="Mkatabulky"/>
        <w:tblW w:w="10065" w:type="dxa"/>
        <w:tblInd w:w="5" w:type="dxa"/>
        <w:tblLook w:val="04A0" w:firstRow="1" w:lastRow="0" w:firstColumn="1" w:lastColumn="0" w:noHBand="0" w:noVBand="1"/>
      </w:tblPr>
      <w:tblGrid>
        <w:gridCol w:w="943"/>
        <w:gridCol w:w="1775"/>
        <w:gridCol w:w="696"/>
        <w:gridCol w:w="696"/>
        <w:gridCol w:w="696"/>
        <w:gridCol w:w="696"/>
        <w:gridCol w:w="696"/>
        <w:gridCol w:w="696"/>
        <w:gridCol w:w="106"/>
        <w:gridCol w:w="589"/>
        <w:gridCol w:w="211"/>
        <w:gridCol w:w="485"/>
        <w:gridCol w:w="314"/>
        <w:gridCol w:w="390"/>
        <w:gridCol w:w="386"/>
        <w:gridCol w:w="690"/>
      </w:tblGrid>
      <w:tr w:rsidR="00A0183B" w:rsidRPr="00524DAA" w:rsidTr="00774110">
        <w:tc>
          <w:tcPr>
            <w:tcW w:w="2718"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rPr>
                <w:b/>
                <w:sz w:val="20"/>
                <w:lang w:val="cs-CZ"/>
              </w:rPr>
            </w:pPr>
            <w:r w:rsidRPr="00524DAA">
              <w:rPr>
                <w:b/>
                <w:sz w:val="20"/>
                <w:lang w:val="cs-CZ"/>
              </w:rPr>
              <w:t>Počet spisů</w:t>
            </w:r>
          </w:p>
        </w:tc>
        <w:tc>
          <w:tcPr>
            <w:tcW w:w="696"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rPr>
                <w:b/>
                <w:sz w:val="20"/>
                <w:lang w:val="cs-CZ"/>
              </w:rPr>
            </w:pPr>
            <w:r w:rsidRPr="00524DAA">
              <w:rPr>
                <w:b/>
                <w:sz w:val="20"/>
                <w:lang w:val="cs-CZ"/>
              </w:rPr>
              <w:t>2009</w:t>
            </w:r>
          </w:p>
        </w:tc>
        <w:tc>
          <w:tcPr>
            <w:tcW w:w="696"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rPr>
                <w:b/>
                <w:sz w:val="20"/>
                <w:lang w:val="cs-CZ"/>
              </w:rPr>
            </w:pPr>
            <w:r w:rsidRPr="00524DAA">
              <w:rPr>
                <w:b/>
                <w:sz w:val="20"/>
                <w:lang w:val="cs-CZ"/>
              </w:rPr>
              <w:t>2010</w:t>
            </w:r>
          </w:p>
        </w:tc>
        <w:tc>
          <w:tcPr>
            <w:tcW w:w="696"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rPr>
                <w:b/>
                <w:sz w:val="20"/>
                <w:lang w:val="cs-CZ"/>
              </w:rPr>
            </w:pPr>
            <w:r w:rsidRPr="00524DAA">
              <w:rPr>
                <w:b/>
                <w:sz w:val="20"/>
                <w:lang w:val="cs-CZ"/>
              </w:rPr>
              <w:t>2011</w:t>
            </w:r>
          </w:p>
        </w:tc>
        <w:tc>
          <w:tcPr>
            <w:tcW w:w="696"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rPr>
                <w:b/>
                <w:sz w:val="20"/>
                <w:lang w:val="cs-CZ"/>
              </w:rPr>
            </w:pPr>
            <w:r w:rsidRPr="00524DAA">
              <w:rPr>
                <w:b/>
                <w:sz w:val="20"/>
                <w:lang w:val="cs-CZ"/>
              </w:rPr>
              <w:t>2012</w:t>
            </w:r>
          </w:p>
        </w:tc>
        <w:tc>
          <w:tcPr>
            <w:tcW w:w="696"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rPr>
                <w:b/>
                <w:sz w:val="20"/>
                <w:lang w:val="cs-CZ"/>
              </w:rPr>
            </w:pPr>
            <w:r w:rsidRPr="00524DAA">
              <w:rPr>
                <w:b/>
                <w:sz w:val="20"/>
                <w:lang w:val="cs-CZ"/>
              </w:rPr>
              <w:t>2013</w:t>
            </w:r>
          </w:p>
        </w:tc>
        <w:tc>
          <w:tcPr>
            <w:tcW w:w="696"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rPr>
                <w:b/>
                <w:sz w:val="20"/>
                <w:lang w:val="cs-CZ"/>
              </w:rPr>
            </w:pPr>
            <w:r w:rsidRPr="00524DAA">
              <w:rPr>
                <w:b/>
                <w:sz w:val="20"/>
                <w:lang w:val="cs-CZ"/>
              </w:rPr>
              <w:t>2014</w:t>
            </w:r>
          </w:p>
        </w:tc>
        <w:tc>
          <w:tcPr>
            <w:tcW w:w="695"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rPr>
                <w:b/>
                <w:sz w:val="20"/>
                <w:lang w:val="cs-CZ"/>
              </w:rPr>
            </w:pPr>
            <w:r w:rsidRPr="00524DAA">
              <w:rPr>
                <w:b/>
                <w:sz w:val="20"/>
                <w:lang w:val="cs-CZ"/>
              </w:rPr>
              <w:t>2015</w:t>
            </w:r>
          </w:p>
        </w:tc>
        <w:tc>
          <w:tcPr>
            <w:tcW w:w="696"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rPr>
                <w:b/>
                <w:sz w:val="20"/>
                <w:lang w:val="cs-CZ"/>
              </w:rPr>
            </w:pPr>
            <w:r w:rsidRPr="00524DAA">
              <w:rPr>
                <w:b/>
                <w:sz w:val="20"/>
                <w:lang w:val="cs-CZ"/>
              </w:rPr>
              <w:t>2016</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rPr>
                <w:b/>
                <w:sz w:val="20"/>
                <w:lang w:val="cs-CZ"/>
              </w:rPr>
            </w:pPr>
            <w:r w:rsidRPr="00524DAA">
              <w:rPr>
                <w:b/>
                <w:sz w:val="20"/>
                <w:lang w:val="cs-CZ"/>
              </w:rPr>
              <w:t>2017</w:t>
            </w:r>
          </w:p>
        </w:tc>
        <w:tc>
          <w:tcPr>
            <w:tcW w:w="1076"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rPr>
                <w:b/>
                <w:sz w:val="20"/>
                <w:lang w:val="cs-CZ"/>
              </w:rPr>
            </w:pPr>
            <w:r w:rsidRPr="00524DAA">
              <w:rPr>
                <w:b/>
                <w:sz w:val="20"/>
                <w:lang w:val="cs-CZ"/>
              </w:rPr>
              <w:t>2018</w:t>
            </w:r>
          </w:p>
        </w:tc>
      </w:tr>
      <w:tr w:rsidR="00A0183B" w:rsidRPr="00524DAA" w:rsidTr="00774110">
        <w:tc>
          <w:tcPr>
            <w:tcW w:w="943" w:type="dxa"/>
            <w:vMerge w:val="restart"/>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rPr>
                <w:sz w:val="20"/>
                <w:lang w:val="cs-CZ"/>
              </w:rPr>
            </w:pPr>
            <w:r w:rsidRPr="00524DAA">
              <w:rPr>
                <w:sz w:val="20"/>
                <w:lang w:val="cs-CZ"/>
              </w:rPr>
              <w:t>Nevyřízeno – živá spisovna</w:t>
            </w:r>
          </w:p>
        </w:tc>
        <w:tc>
          <w:tcPr>
            <w:tcW w:w="1775" w:type="dxa"/>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24"/>
                <w:lang w:eastAsia="cs-CZ"/>
              </w:rPr>
            </w:pPr>
            <w:r w:rsidRPr="00524DAA">
              <w:rPr>
                <w:szCs w:val="24"/>
              </w:rPr>
              <w:t>omezené způsobilosti k právním úkonům</w:t>
            </w:r>
          </w:p>
        </w:tc>
        <w:tc>
          <w:tcPr>
            <w:tcW w:w="696" w:type="dxa"/>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lang w:eastAsia="cs-CZ"/>
              </w:rPr>
            </w:pPr>
            <w:r w:rsidRPr="00524DAA">
              <w:rPr>
                <w:szCs w:val="18"/>
              </w:rPr>
              <w:t>1 209</w:t>
            </w:r>
          </w:p>
        </w:tc>
        <w:tc>
          <w:tcPr>
            <w:tcW w:w="696" w:type="dxa"/>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rPr>
            </w:pPr>
            <w:r w:rsidRPr="00524DAA">
              <w:rPr>
                <w:szCs w:val="18"/>
              </w:rPr>
              <w:t>2 165</w:t>
            </w:r>
          </w:p>
        </w:tc>
        <w:tc>
          <w:tcPr>
            <w:tcW w:w="696" w:type="dxa"/>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rPr>
            </w:pPr>
            <w:r w:rsidRPr="00524DAA">
              <w:rPr>
                <w:szCs w:val="18"/>
              </w:rPr>
              <w:t>3 114</w:t>
            </w:r>
          </w:p>
        </w:tc>
        <w:tc>
          <w:tcPr>
            <w:tcW w:w="696" w:type="dxa"/>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rPr>
            </w:pPr>
            <w:r w:rsidRPr="00524DAA">
              <w:rPr>
                <w:szCs w:val="18"/>
              </w:rPr>
              <w:t>3 899</w:t>
            </w:r>
          </w:p>
        </w:tc>
        <w:tc>
          <w:tcPr>
            <w:tcW w:w="696" w:type="dxa"/>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rPr>
            </w:pPr>
            <w:r w:rsidRPr="00524DAA">
              <w:rPr>
                <w:szCs w:val="18"/>
              </w:rPr>
              <w:t>5 142</w:t>
            </w:r>
          </w:p>
        </w:tc>
        <w:tc>
          <w:tcPr>
            <w:tcW w:w="3867" w:type="dxa"/>
            <w:gridSpan w:val="9"/>
            <w:vMerge w:val="restart"/>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jc w:val="center"/>
              <w:rPr>
                <w:sz w:val="20"/>
                <w:lang w:val="cs-CZ"/>
              </w:rPr>
            </w:pPr>
            <w:r w:rsidRPr="00524DAA">
              <w:rPr>
                <w:sz w:val="20"/>
                <w:lang w:val="cs-CZ"/>
              </w:rPr>
              <w:t>x</w:t>
            </w:r>
          </w:p>
        </w:tc>
      </w:tr>
      <w:tr w:rsidR="00A0183B" w:rsidRPr="00524DAA" w:rsidTr="00774110">
        <w:tc>
          <w:tcPr>
            <w:tcW w:w="943" w:type="dxa"/>
            <w:vMerge/>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40" w:lineRule="auto"/>
              <w:rPr>
                <w:szCs w:val="24"/>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24"/>
              </w:rPr>
            </w:pPr>
            <w:r w:rsidRPr="00524DAA">
              <w:rPr>
                <w:szCs w:val="24"/>
              </w:rPr>
              <w:t>zbavených způsobilosti k právním úkonům</w:t>
            </w:r>
          </w:p>
        </w:tc>
        <w:tc>
          <w:tcPr>
            <w:tcW w:w="696"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rPr>
            </w:pPr>
            <w:r w:rsidRPr="00524DAA">
              <w:rPr>
                <w:szCs w:val="18"/>
              </w:rPr>
              <w:t>32 158</w:t>
            </w:r>
          </w:p>
        </w:tc>
        <w:tc>
          <w:tcPr>
            <w:tcW w:w="696"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rPr>
            </w:pPr>
            <w:r w:rsidRPr="00524DAA">
              <w:rPr>
                <w:szCs w:val="18"/>
              </w:rPr>
              <w:t>32 431</w:t>
            </w:r>
          </w:p>
        </w:tc>
        <w:tc>
          <w:tcPr>
            <w:tcW w:w="696"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rPr>
            </w:pPr>
            <w:r w:rsidRPr="00524DAA">
              <w:rPr>
                <w:szCs w:val="18"/>
              </w:rPr>
              <w:t>32 817</w:t>
            </w:r>
          </w:p>
        </w:tc>
        <w:tc>
          <w:tcPr>
            <w:tcW w:w="696"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rPr>
            </w:pPr>
            <w:r w:rsidRPr="00524DAA">
              <w:rPr>
                <w:szCs w:val="18"/>
              </w:rPr>
              <w:t>33 256</w:t>
            </w:r>
          </w:p>
        </w:tc>
        <w:tc>
          <w:tcPr>
            <w:tcW w:w="696"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rPr>
            </w:pPr>
            <w:r w:rsidRPr="00524DAA">
              <w:rPr>
                <w:szCs w:val="18"/>
              </w:rPr>
              <w:t>33 366</w:t>
            </w:r>
          </w:p>
        </w:tc>
        <w:tc>
          <w:tcPr>
            <w:tcW w:w="3867" w:type="dxa"/>
            <w:gridSpan w:val="9"/>
            <w:vMerge/>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40" w:lineRule="auto"/>
              <w:rPr>
                <w:szCs w:val="24"/>
              </w:rPr>
            </w:pPr>
          </w:p>
        </w:tc>
      </w:tr>
      <w:tr w:rsidR="00A0183B" w:rsidRPr="00524DAA" w:rsidTr="00774110">
        <w:tc>
          <w:tcPr>
            <w:tcW w:w="943" w:type="dxa"/>
            <w:vMerge/>
            <w:tcBorders>
              <w:top w:val="single" w:sz="12" w:space="0" w:color="auto"/>
              <w:left w:val="single" w:sz="4" w:space="0" w:color="auto"/>
              <w:bottom w:val="single" w:sz="4" w:space="0" w:color="auto"/>
              <w:right w:val="single" w:sz="4" w:space="0" w:color="auto"/>
            </w:tcBorders>
            <w:vAlign w:val="center"/>
            <w:hideMark/>
          </w:tcPr>
          <w:p w:rsidR="00A0183B" w:rsidRPr="00524DAA" w:rsidRDefault="00A0183B">
            <w:pPr>
              <w:spacing w:line="240" w:lineRule="auto"/>
              <w:rPr>
                <w:szCs w:val="24"/>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24"/>
              </w:rPr>
            </w:pPr>
            <w:r w:rsidRPr="00524DAA">
              <w:rPr>
                <w:szCs w:val="24"/>
              </w:rPr>
              <w:t>omezených ve svéprávnosti</w:t>
            </w:r>
          </w:p>
        </w:tc>
        <w:tc>
          <w:tcPr>
            <w:tcW w:w="3480" w:type="dxa"/>
            <w:gridSpan w:val="5"/>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pStyle w:val="Normln1"/>
              <w:spacing w:after="0" w:line="276" w:lineRule="auto"/>
              <w:jc w:val="center"/>
              <w:rPr>
                <w:sz w:val="20"/>
                <w:lang w:val="cs-CZ"/>
              </w:rPr>
            </w:pPr>
            <w:r w:rsidRPr="00524DAA">
              <w:rPr>
                <w:sz w:val="20"/>
                <w:lang w:val="cs-CZ"/>
              </w:rPr>
              <w:t>x</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lang w:eastAsia="cs-CZ"/>
              </w:rPr>
            </w:pPr>
            <w:r w:rsidRPr="00524DAA">
              <w:rPr>
                <w:szCs w:val="18"/>
              </w:rPr>
              <w:t>38 315</w:t>
            </w:r>
          </w:p>
        </w:tc>
        <w:tc>
          <w:tcPr>
            <w:tcW w:w="800"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rPr>
            </w:pPr>
            <w:r w:rsidRPr="00524DAA">
              <w:rPr>
                <w:szCs w:val="18"/>
              </w:rPr>
              <w:t>37 635</w:t>
            </w:r>
          </w:p>
        </w:tc>
        <w:tc>
          <w:tcPr>
            <w:tcW w:w="799"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rPr>
            </w:pPr>
            <w:r w:rsidRPr="00524DAA">
              <w:rPr>
                <w:szCs w:val="18"/>
              </w:rPr>
              <w:t>36 877</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rPr>
            </w:pPr>
            <w:r w:rsidRPr="00524DAA">
              <w:rPr>
                <w:szCs w:val="18"/>
              </w:rPr>
              <w:t>37 399</w:t>
            </w:r>
          </w:p>
        </w:tc>
        <w:tc>
          <w:tcPr>
            <w:tcW w:w="690" w:type="dxa"/>
            <w:tcBorders>
              <w:top w:val="single" w:sz="4" w:space="0" w:color="auto"/>
              <w:left w:val="single" w:sz="4" w:space="0" w:color="auto"/>
              <w:bottom w:val="single" w:sz="4" w:space="0" w:color="auto"/>
              <w:right w:val="single" w:sz="4" w:space="0" w:color="auto"/>
            </w:tcBorders>
            <w:vAlign w:val="center"/>
            <w:hideMark/>
          </w:tcPr>
          <w:p w:rsidR="00A0183B" w:rsidRPr="00524DAA" w:rsidRDefault="00A0183B">
            <w:pPr>
              <w:spacing w:line="276" w:lineRule="auto"/>
              <w:jc w:val="center"/>
              <w:rPr>
                <w:szCs w:val="18"/>
              </w:rPr>
            </w:pPr>
            <w:r w:rsidRPr="00524DAA">
              <w:rPr>
                <w:szCs w:val="18"/>
              </w:rPr>
              <w:t>41 052</w:t>
            </w:r>
          </w:p>
        </w:tc>
      </w:tr>
    </w:tbl>
    <w:p w:rsidR="00893EE3" w:rsidRPr="00524DAA" w:rsidRDefault="007914F8" w:rsidP="001D4EF8">
      <w:pPr>
        <w:pStyle w:val="SingleTxtG"/>
      </w:pPr>
      <w:r>
        <w:t>*</w:t>
      </w:r>
      <w:r w:rsidR="00AF2B13">
        <w:t xml:space="preserve"> </w:t>
      </w:r>
      <w:r>
        <w:t>Zdroj: MS</w:t>
      </w:r>
    </w:p>
    <w:p w:rsidR="00893EE3" w:rsidRPr="00CC5FB5" w:rsidRDefault="00893EE3" w:rsidP="00893EE3">
      <w:pPr>
        <w:pStyle w:val="H1G"/>
      </w:pPr>
      <w:r w:rsidRPr="00524DAA">
        <w:tab/>
      </w:r>
      <w:r w:rsidRPr="00524DAA">
        <w:tab/>
        <w:t>Odpověď na otázku č. 10 b)</w:t>
      </w:r>
    </w:p>
    <w:p w:rsidR="00FD4479" w:rsidRPr="00524DAA" w:rsidRDefault="00035DBD" w:rsidP="00FD4479">
      <w:pPr>
        <w:pStyle w:val="SingleTxtG"/>
      </w:pPr>
      <w:r>
        <w:t>105</w:t>
      </w:r>
      <w:r w:rsidR="00E022F6">
        <w:t>.</w:t>
      </w:r>
      <w:r w:rsidR="00FD4479" w:rsidRPr="00524DAA">
        <w:tab/>
        <w:t>M</w:t>
      </w:r>
      <w:r w:rsidR="00D274CC">
        <w:t xml:space="preserve">S </w:t>
      </w:r>
      <w:r w:rsidR="00FD4479" w:rsidRPr="00524DAA">
        <w:t>dlouhodobě sleduje a vyhodnocuje statistické údaje týkající se rozhodování soudů v dané oblasti. Od roku 2014, kdy nabyl účinnosti občanský zákoník, jsou zpracovávány statistické údaje o rozhodování soudů o nápomoci při rozhodování, zastoupení členem domácnosti, opatrov</w:t>
      </w:r>
      <w:r w:rsidR="008C170B">
        <w:t>nictví bez omezení svéprávnosti</w:t>
      </w:r>
      <w:r w:rsidR="008C170B">
        <w:br/>
      </w:r>
      <w:r w:rsidR="00FD4479" w:rsidRPr="00524DAA">
        <w:t>a omezení svéprávnosti. V rámci statistik jsou také sledovány soudní zásahy do práva na uzavření manželství a práva volit.</w:t>
      </w:r>
    </w:p>
    <w:p w:rsidR="00FD4479" w:rsidRPr="00524DAA" w:rsidRDefault="002D639C" w:rsidP="00FD4479">
      <w:pPr>
        <w:pStyle w:val="SingleTxtG"/>
      </w:pPr>
      <w:r>
        <w:t>10</w:t>
      </w:r>
      <w:r w:rsidR="00035DBD">
        <w:t>6</w:t>
      </w:r>
      <w:r>
        <w:t>.</w:t>
      </w:r>
      <w:r w:rsidR="00FD4479" w:rsidRPr="00524DAA">
        <w:tab/>
        <w:t xml:space="preserve">Právní úprava </w:t>
      </w:r>
      <w:r w:rsidR="00575B91">
        <w:t xml:space="preserve">svéprávnosti </w:t>
      </w:r>
      <w:r w:rsidR="00FD4479" w:rsidRPr="00524DAA">
        <w:t xml:space="preserve">týkající se osob se </w:t>
      </w:r>
      <w:r w:rsidR="00FC5B51">
        <w:t xml:space="preserve">ZP </w:t>
      </w:r>
      <w:r w:rsidR="00575B91">
        <w:t xml:space="preserve">je </w:t>
      </w:r>
      <w:r w:rsidR="00FD4479" w:rsidRPr="00524DAA">
        <w:t xml:space="preserve">v občanském zákoníku založena na tom, že má být vždy užito nejmírnější a nejméně omezující opatření, zejména nápomoc při rozhodování, a že omezení svéprávnosti je nástrojem ultima ratio. Z dosavadních zjištění ze statistických údajů, odborných setkání a seminářů se soudci a dalšími odborníky vyplývá, že praxe se s novými instituty stále </w:t>
      </w:r>
      <w:r w:rsidR="00575B91">
        <w:t xml:space="preserve">teprve </w:t>
      </w:r>
      <w:r w:rsidR="00FD4479" w:rsidRPr="00524DAA">
        <w:t xml:space="preserve">učí zacházet. Od </w:t>
      </w:r>
      <w:r w:rsidR="002D43D8">
        <w:t xml:space="preserve">nabytí </w:t>
      </w:r>
      <w:r w:rsidR="00FD4479" w:rsidRPr="00524DAA">
        <w:t>účinnosti občanského zákoníku, v</w:t>
      </w:r>
      <w:r w:rsidR="00BC787D">
        <w:t> </w:t>
      </w:r>
      <w:r w:rsidR="00FD4479" w:rsidRPr="00524DAA">
        <w:t>letech 2014 až 2018, však došlo celkem v 12 582 případech ke schválení některého z výše uvedených mírnějších a méně omez</w:t>
      </w:r>
      <w:r w:rsidR="00EA78F4">
        <w:t xml:space="preserve">ujících </w:t>
      </w:r>
      <w:r w:rsidR="00FD4479" w:rsidRPr="00524DAA">
        <w:t xml:space="preserve">opatření, </w:t>
      </w:r>
      <w:r w:rsidR="00575B91">
        <w:t xml:space="preserve">z čehož </w:t>
      </w:r>
      <w:r w:rsidR="00FD4479" w:rsidRPr="00524DAA">
        <w:t>lze usuzovat, že bez existence právní úpravy v novém občanském zákoníku by ve všech těchto případech s nejvyšší pravděpodobností došlo k omezení svéprávnosti dotčených osob.</w:t>
      </w:r>
    </w:p>
    <w:p w:rsidR="00893EE3" w:rsidRPr="00524DAA" w:rsidRDefault="002D639C" w:rsidP="001D4EF8">
      <w:pPr>
        <w:pStyle w:val="SingleTxtG"/>
      </w:pPr>
      <w:r>
        <w:t>10</w:t>
      </w:r>
      <w:r w:rsidR="00035DBD">
        <w:t>7</w:t>
      </w:r>
      <w:r>
        <w:t>.</w:t>
      </w:r>
      <w:r w:rsidR="00F41303" w:rsidRPr="00524DAA">
        <w:tab/>
        <w:t xml:space="preserve">V současné době se </w:t>
      </w:r>
      <w:r w:rsidR="009A1C72">
        <w:t xml:space="preserve">v oblasti omezení svéprávnosti </w:t>
      </w:r>
      <w:r w:rsidR="00F41303" w:rsidRPr="00524DAA">
        <w:t>nepřipravuje změna občanského zákoníku</w:t>
      </w:r>
      <w:r w:rsidR="009A1C72">
        <w:t>,</w:t>
      </w:r>
      <w:r w:rsidR="00F41303" w:rsidRPr="00524DAA">
        <w:t xml:space="preserve"> s</w:t>
      </w:r>
      <w:r w:rsidR="00BC787D">
        <w:t> </w:t>
      </w:r>
      <w:r w:rsidR="00F41303" w:rsidRPr="00524DAA">
        <w:t xml:space="preserve">výjimkou </w:t>
      </w:r>
      <w:r w:rsidR="00E95490" w:rsidRPr="00524DAA">
        <w:t xml:space="preserve">dále uvedeného </w:t>
      </w:r>
      <w:r w:rsidR="00F41303" w:rsidRPr="00524DAA">
        <w:t>navrhovaného zrušení možnosti zastoupení opatrovníkem při určování a popírání rodičovství</w:t>
      </w:r>
      <w:r w:rsidR="00E95490" w:rsidRPr="00524DAA">
        <w:t xml:space="preserve"> [viz odpověď na otázku č. 19 a)]</w:t>
      </w:r>
      <w:r w:rsidR="00F41303" w:rsidRPr="00524DAA">
        <w:t>.</w:t>
      </w:r>
    </w:p>
    <w:p w:rsidR="00AC6D21" w:rsidRPr="00524DAA" w:rsidRDefault="00AC6D21" w:rsidP="00AC6D21">
      <w:pPr>
        <w:pStyle w:val="SingleTxtG"/>
      </w:pPr>
    </w:p>
    <w:p w:rsidR="00893EE3" w:rsidRPr="00CC5FB5" w:rsidRDefault="00893EE3" w:rsidP="00893EE3">
      <w:pPr>
        <w:pStyle w:val="H1G"/>
      </w:pPr>
      <w:r w:rsidRPr="00524DAA">
        <w:tab/>
      </w:r>
      <w:r w:rsidRPr="00524DAA">
        <w:tab/>
        <w:t>Odpověď na otázku č. 10 c)</w:t>
      </w:r>
    </w:p>
    <w:p w:rsidR="001A5249" w:rsidRPr="00524DAA" w:rsidRDefault="002D639C" w:rsidP="00CC5FB5">
      <w:pPr>
        <w:pStyle w:val="SingleTxtG"/>
      </w:pPr>
      <w:r>
        <w:t>10</w:t>
      </w:r>
      <w:r w:rsidR="00035DBD">
        <w:t>8</w:t>
      </w:r>
      <w:r>
        <w:t>.</w:t>
      </w:r>
      <w:r w:rsidR="001A5249" w:rsidRPr="00524DAA">
        <w:tab/>
        <w:t xml:space="preserve">K problematice zrušení právních překážek týkajících se volebního práva a omezení práva uzavřít manželství viz dále odpovědi k otázkám č. </w:t>
      </w:r>
      <w:r w:rsidR="008638F0" w:rsidRPr="00524DAA">
        <w:t>19 a) a 24 a)</w:t>
      </w:r>
      <w:r w:rsidR="001A5249" w:rsidRPr="00524DAA">
        <w:t>.</w:t>
      </w:r>
    </w:p>
    <w:p w:rsidR="00893EE3" w:rsidRPr="00524DAA" w:rsidRDefault="00893EE3" w:rsidP="001D4EF8">
      <w:pPr>
        <w:pStyle w:val="SingleTxtG"/>
      </w:pPr>
    </w:p>
    <w:p w:rsidR="00893EE3" w:rsidRPr="00CC5FB5" w:rsidRDefault="00893EE3" w:rsidP="00893EE3">
      <w:pPr>
        <w:pStyle w:val="H1G"/>
      </w:pPr>
      <w:r w:rsidRPr="00524DAA">
        <w:tab/>
      </w:r>
      <w:r w:rsidRPr="00524DAA">
        <w:tab/>
        <w:t>Odpověď na otázku č. 10 d)</w:t>
      </w:r>
    </w:p>
    <w:p w:rsidR="00BF2EDC" w:rsidRDefault="002D639C" w:rsidP="00E8769B">
      <w:pPr>
        <w:pStyle w:val="SingleTxtG"/>
      </w:pPr>
      <w:r>
        <w:t>10</w:t>
      </w:r>
      <w:r w:rsidR="00035DBD">
        <w:t>9</w:t>
      </w:r>
      <w:r w:rsidR="00EF6C12">
        <w:t>.</w:t>
      </w:r>
      <w:r>
        <w:tab/>
      </w:r>
      <w:r w:rsidR="00BF2EDC">
        <w:t>M</w:t>
      </w:r>
      <w:r w:rsidR="00D274CC">
        <w:t xml:space="preserve">S </w:t>
      </w:r>
      <w:r w:rsidR="00BF2EDC" w:rsidRPr="00BF2EDC">
        <w:t>sleduje, analyzuje a průběžně vyhodnocu</w:t>
      </w:r>
      <w:r w:rsidR="00361289">
        <w:t>j</w:t>
      </w:r>
      <w:r w:rsidR="00BF2EDC">
        <w:t>e</w:t>
      </w:r>
      <w:r w:rsidR="00BF2EDC" w:rsidRPr="00BF2EDC">
        <w:t xml:space="preserve"> využívání nových opatření </w:t>
      </w:r>
      <w:r w:rsidR="007254A9" w:rsidRPr="007254A9">
        <w:t>při narušení schopnosti zletilého právně jednat</w:t>
      </w:r>
      <w:r w:rsidR="007254A9">
        <w:t xml:space="preserve"> </w:t>
      </w:r>
      <w:r w:rsidR="00BF2EDC" w:rsidRPr="00BF2EDC">
        <w:t>podle občanského zákoníku, jenž nabyl účinnosti 1. ledna 2014. Změn</w:t>
      </w:r>
      <w:r w:rsidR="002D43D8">
        <w:t>u</w:t>
      </w:r>
      <w:r w:rsidR="00BF2EDC" w:rsidRPr="00BF2EDC">
        <w:t xml:space="preserve"> právní úpravy </w:t>
      </w:r>
      <w:r w:rsidR="002D43D8">
        <w:t xml:space="preserve">ČR </w:t>
      </w:r>
      <w:r w:rsidR="00BF2EDC">
        <w:t>v současné době nepřipravuje.</w:t>
      </w:r>
    </w:p>
    <w:p w:rsidR="00E8769B" w:rsidRDefault="00EF6C12" w:rsidP="00E8769B">
      <w:pPr>
        <w:pStyle w:val="SingleTxtG"/>
      </w:pPr>
      <w:r>
        <w:t>1</w:t>
      </w:r>
      <w:r w:rsidR="00035DBD">
        <w:t>1</w:t>
      </w:r>
      <w:r w:rsidR="00D46314">
        <w:t>0</w:t>
      </w:r>
      <w:r>
        <w:t>.</w:t>
      </w:r>
      <w:r w:rsidR="00BF2EDC">
        <w:tab/>
      </w:r>
      <w:r w:rsidR="00E8769B">
        <w:t>Stávající znění zákona o zdravotních službách považuje</w:t>
      </w:r>
      <w:r w:rsidR="00995C08">
        <w:t xml:space="preserve"> </w:t>
      </w:r>
      <w:r w:rsidR="001F1218">
        <w:t xml:space="preserve">MZ </w:t>
      </w:r>
      <w:r w:rsidR="00E8769B">
        <w:t>z</w:t>
      </w:r>
      <w:r w:rsidR="0003456F">
        <w:t> </w:t>
      </w:r>
      <w:r w:rsidR="00E8769B">
        <w:t xml:space="preserve">hlediska garance </w:t>
      </w:r>
      <w:r w:rsidR="00995C08">
        <w:t>a</w:t>
      </w:r>
      <w:r w:rsidR="005A5FB5">
        <w:t> </w:t>
      </w:r>
      <w:r w:rsidR="00995C08">
        <w:t xml:space="preserve">uplatňování </w:t>
      </w:r>
      <w:r w:rsidR="00E8769B">
        <w:t xml:space="preserve">práv osob se ZP coby pacientů </w:t>
      </w:r>
      <w:r w:rsidR="00995C08">
        <w:t xml:space="preserve">za dostačující </w:t>
      </w:r>
      <w:r w:rsidR="00E8769B">
        <w:t xml:space="preserve">a </w:t>
      </w:r>
      <w:r w:rsidR="00995C08">
        <w:t>v</w:t>
      </w:r>
      <w:r w:rsidR="004A579C">
        <w:t xml:space="preserve"> úpravách </w:t>
      </w:r>
      <w:r w:rsidR="00995C08">
        <w:t xml:space="preserve">uvedených </w:t>
      </w:r>
      <w:r w:rsidR="00C965E7">
        <w:t xml:space="preserve">v </w:t>
      </w:r>
      <w:r w:rsidR="00995C08">
        <w:t xml:space="preserve">§ 28 a </w:t>
      </w:r>
      <w:r w:rsidR="00C965E7">
        <w:t>§ </w:t>
      </w:r>
      <w:r w:rsidR="00995C08">
        <w:t>3</w:t>
      </w:r>
      <w:r w:rsidR="000E11C0">
        <w:t>5</w:t>
      </w:r>
      <w:r w:rsidR="00995C08">
        <w:t xml:space="preserve"> </w:t>
      </w:r>
      <w:r w:rsidR="00E8769B">
        <w:t xml:space="preserve">není třeba </w:t>
      </w:r>
      <w:r w:rsidR="00995C08">
        <w:t xml:space="preserve">provádět </w:t>
      </w:r>
      <w:r w:rsidR="00E8769B">
        <w:t>zásadní legislativní změn</w:t>
      </w:r>
      <w:r w:rsidR="00995C08">
        <w:t>y</w:t>
      </w:r>
      <w:r w:rsidR="00E8769B">
        <w:t>. M</w:t>
      </w:r>
      <w:r w:rsidR="001F1218">
        <w:t xml:space="preserve">Z </w:t>
      </w:r>
      <w:r w:rsidR="00E8769B">
        <w:t xml:space="preserve">obdrželo od Národní rady osob se </w:t>
      </w:r>
      <w:r w:rsidR="004B1881">
        <w:t xml:space="preserve">ZP </w:t>
      </w:r>
      <w:r w:rsidR="00E8769B">
        <w:t xml:space="preserve">ČR podněty </w:t>
      </w:r>
      <w:r w:rsidR="007F5196">
        <w:t xml:space="preserve">v rámci </w:t>
      </w:r>
      <w:r w:rsidR="00E8769B">
        <w:t>probíhající</w:t>
      </w:r>
      <w:r w:rsidR="007F5196">
        <w:t xml:space="preserve">ch prací na </w:t>
      </w:r>
      <w:r w:rsidR="00E8769B">
        <w:t>novel</w:t>
      </w:r>
      <w:r w:rsidR="007F5196">
        <w:t>e</w:t>
      </w:r>
      <w:r w:rsidR="00E8769B">
        <w:t xml:space="preserve"> uvedeného zákona</w:t>
      </w:r>
      <w:r w:rsidR="004A579C">
        <w:t xml:space="preserve"> o zdravotních službách</w:t>
      </w:r>
      <w:r w:rsidR="00E8769B">
        <w:t xml:space="preserve">, avšak současná právní úprava </w:t>
      </w:r>
      <w:r w:rsidR="004A579C">
        <w:t xml:space="preserve">obsah </w:t>
      </w:r>
      <w:r w:rsidR="00E8769B">
        <w:t>t</w:t>
      </w:r>
      <w:r w:rsidR="004A579C">
        <w:t xml:space="preserve">ěchto </w:t>
      </w:r>
      <w:r w:rsidR="00E8769B">
        <w:t>podnět</w:t>
      </w:r>
      <w:r w:rsidR="004A579C">
        <w:t>ů</w:t>
      </w:r>
      <w:r w:rsidR="00E8769B">
        <w:t xml:space="preserve"> předvídá, neznemožňuje je </w:t>
      </w:r>
      <w:r w:rsidR="004A579C">
        <w:lastRenderedPageBreak/>
        <w:t>a</w:t>
      </w:r>
      <w:r w:rsidR="00B206CF">
        <w:t> </w:t>
      </w:r>
      <w:r w:rsidR="00E8769B">
        <w:t>ani nezakazuje. M</w:t>
      </w:r>
      <w:r w:rsidR="001F1218">
        <w:t xml:space="preserve">Z </w:t>
      </w:r>
      <w:r w:rsidR="00E8769B">
        <w:t>proto Považuje za dostačující, aby byla oblast práv pacientů, dochází</w:t>
      </w:r>
      <w:r w:rsidR="00B206CF">
        <w:noBreakHyphen/>
      </w:r>
      <w:r w:rsidR="00E8769B">
        <w:t>li v praxi k pochybením, ošetřena metodickým doporučením</w:t>
      </w:r>
      <w:r w:rsidR="004A579C">
        <w:t xml:space="preserve"> ze strany ministerstva</w:t>
      </w:r>
      <w:r w:rsidR="00E8769B">
        <w:t>.</w:t>
      </w:r>
    </w:p>
    <w:p w:rsidR="00E8769B" w:rsidRDefault="00E8769B" w:rsidP="00E8769B">
      <w:pPr>
        <w:pStyle w:val="SingleTxtG"/>
      </w:pPr>
    </w:p>
    <w:p w:rsidR="00CD45B3" w:rsidRPr="00CC5FB5" w:rsidRDefault="00CD45B3" w:rsidP="00CD45B3">
      <w:pPr>
        <w:pStyle w:val="H1G"/>
      </w:pPr>
      <w:r w:rsidRPr="00524DAA">
        <w:tab/>
      </w:r>
      <w:r w:rsidRPr="00524DAA">
        <w:tab/>
        <w:t>Odpověď na otázku č. 11 a)</w:t>
      </w:r>
    </w:p>
    <w:p w:rsidR="006F153D" w:rsidRPr="00524DAA" w:rsidRDefault="00CC24D5" w:rsidP="006F153D">
      <w:pPr>
        <w:pStyle w:val="SingleTxtG"/>
      </w:pPr>
      <w:r>
        <w:t>1</w:t>
      </w:r>
      <w:r w:rsidR="00EB277E">
        <w:t>11</w:t>
      </w:r>
      <w:r>
        <w:t>.</w:t>
      </w:r>
      <w:r w:rsidR="005B3EED" w:rsidRPr="00524DAA">
        <w:tab/>
      </w:r>
      <w:r w:rsidR="006F153D" w:rsidRPr="00524DAA">
        <w:t xml:space="preserve">Přístup osob se </w:t>
      </w:r>
      <w:r>
        <w:t xml:space="preserve">ZP </w:t>
      </w:r>
      <w:r w:rsidR="005B3EED" w:rsidRPr="00524DAA">
        <w:t xml:space="preserve">ke spravedlnosti </w:t>
      </w:r>
      <w:r w:rsidR="006F153D" w:rsidRPr="00524DAA">
        <w:t xml:space="preserve">je řešen na úrovni zákonů, podzákonných předpisů i judikatury soudů. Ústava i Listina základních práv a svobod zakotvuje, že všichni účastnici jsou si v řízení rovni, </w:t>
      </w:r>
      <w:r w:rsidR="00374A7C">
        <w:t xml:space="preserve">a </w:t>
      </w:r>
      <w:r w:rsidR="006F153D" w:rsidRPr="00524DAA">
        <w:t>dále právo na tlumočníka a právo na soudní ochranu.</w:t>
      </w:r>
    </w:p>
    <w:p w:rsidR="00CD47FA" w:rsidRPr="00524DAA" w:rsidRDefault="00CC24D5" w:rsidP="00CD47FA">
      <w:pPr>
        <w:pStyle w:val="SingleTxtG"/>
      </w:pPr>
      <w:r>
        <w:t>1</w:t>
      </w:r>
      <w:r w:rsidR="009D0B49">
        <w:t>12</w:t>
      </w:r>
      <w:r>
        <w:t>.</w:t>
      </w:r>
      <w:r w:rsidR="00CD47FA" w:rsidRPr="00524DAA">
        <w:tab/>
        <w:t xml:space="preserve">Občanské soudní řízení, soudní řízení správní i řízení trestní vycházejí z ústavní zásady rovnosti účastníků řízení (čl. 37 odst. 3 Listiny základních práv a svobod). Způsobilost být účastníkem řízení má ten, kdo má způsobilost mít práva a povinnosti </w:t>
      </w:r>
      <w:r w:rsidR="00AC4A03">
        <w:rPr>
          <w:lang w:val="en-US"/>
        </w:rPr>
        <w:t>[</w:t>
      </w:r>
      <w:r w:rsidR="00CD47FA" w:rsidRPr="00524DAA">
        <w:t xml:space="preserve">§ 19 </w:t>
      </w:r>
      <w:r w:rsidR="0086060A">
        <w:t xml:space="preserve">zákona č. 99/1963 Sb., </w:t>
      </w:r>
      <w:r w:rsidR="00CD47FA" w:rsidRPr="00524DAA">
        <w:t>občansk</w:t>
      </w:r>
      <w:r w:rsidR="0086060A">
        <w:t xml:space="preserve">ý </w:t>
      </w:r>
      <w:r w:rsidR="00CD47FA" w:rsidRPr="00524DAA">
        <w:t>soudní řád</w:t>
      </w:r>
      <w:r w:rsidR="0086060A">
        <w:t>, ve znění pozdějších předpisů (dále jen „občanský soudní řád“)</w:t>
      </w:r>
      <w:r w:rsidR="00AC4A03">
        <w:t>]</w:t>
      </w:r>
      <w:r w:rsidR="00CD47FA" w:rsidRPr="00524DAA">
        <w:t>. Je-li svéprávnost osoby omezena, vykonává její práva v řízení její zákonný zástupce, popř. soudem ustanovený opatrovník.</w:t>
      </w:r>
    </w:p>
    <w:p w:rsidR="00CD47FA" w:rsidRPr="00524DAA" w:rsidRDefault="00CC24D5" w:rsidP="00CD47FA">
      <w:pPr>
        <w:pStyle w:val="SingleTxtG"/>
      </w:pPr>
      <w:r>
        <w:t>1</w:t>
      </w:r>
      <w:r w:rsidR="009D0B49">
        <w:t>13</w:t>
      </w:r>
      <w:r>
        <w:t>.</w:t>
      </w:r>
      <w:r w:rsidR="00CD47FA" w:rsidRPr="00524DAA">
        <w:tab/>
        <w:t xml:space="preserve">Nálezem Ústavního soudu ze dne 13. dubna 2011, </w:t>
      </w:r>
      <w:proofErr w:type="spellStart"/>
      <w:r w:rsidR="00CD47FA" w:rsidRPr="00524DAA">
        <w:t>sp</w:t>
      </w:r>
      <w:proofErr w:type="spellEnd"/>
      <w:r w:rsidR="00CD47FA" w:rsidRPr="00524DAA">
        <w:t xml:space="preserve">. zn. </w:t>
      </w:r>
      <w:proofErr w:type="spellStart"/>
      <w:r w:rsidR="00CD47FA" w:rsidRPr="00524DAA">
        <w:t>Pl</w:t>
      </w:r>
      <w:proofErr w:type="spellEnd"/>
      <w:r w:rsidR="00CD47FA" w:rsidRPr="00524DAA">
        <w:t xml:space="preserve">. ÚS 43/10, vyhlášeným pod č. 130/2011 Sb., byla s účinností ode dne 20. </w:t>
      </w:r>
      <w:r w:rsidR="00976A5E">
        <w:t>května</w:t>
      </w:r>
      <w:r w:rsidR="00CD47FA" w:rsidRPr="00524DAA">
        <w:t xml:space="preserve"> 2011 zrušena věta první § 33 odst.</w:t>
      </w:r>
      <w:r w:rsidR="00976A5E">
        <w:t> </w:t>
      </w:r>
      <w:r w:rsidR="00CD47FA" w:rsidRPr="00524DAA">
        <w:t xml:space="preserve">3 zákona č. 150/2002 Sb., soudního </w:t>
      </w:r>
      <w:r w:rsidR="008F1A3B">
        <w:t xml:space="preserve">řádu </w:t>
      </w:r>
      <w:r w:rsidR="00CD47FA" w:rsidRPr="00524DAA">
        <w:t>správního, která vylučovala z procesní způsobilosti všechny osoby nemající plnou způsobilost k právním úkonům. Toto ustanovení bylo Ústavním soudem shledáno jako rozporné mimo jiné s články 12 a 13 Úmluvy. Procesní způsobilost ve věcech správního so</w:t>
      </w:r>
      <w:r w:rsidR="008C170B">
        <w:t>udnictví tak bude mít zachovánu</w:t>
      </w:r>
      <w:r w:rsidR="008C170B">
        <w:br/>
      </w:r>
      <w:r w:rsidR="00CD47FA" w:rsidRPr="00524DAA">
        <w:t xml:space="preserve">i osoba, která je částečně omezena ve svéprávnosti, její faktické schopnosti však umožňují plnohodnotnou účast v řízení před správními soudy. </w:t>
      </w:r>
      <w:r w:rsidR="001A2187">
        <w:t xml:space="preserve">Tomu </w:t>
      </w:r>
      <w:r w:rsidR="00CD47FA" w:rsidRPr="00524DAA">
        <w:t>M</w:t>
      </w:r>
      <w:r w:rsidR="001A2187">
        <w:t xml:space="preserve">S </w:t>
      </w:r>
      <w:r w:rsidR="00CD47FA" w:rsidRPr="00524DAA">
        <w:t xml:space="preserve">přizpůsobilo </w:t>
      </w:r>
      <w:r w:rsidR="001A2187">
        <w:t xml:space="preserve">i </w:t>
      </w:r>
      <w:r w:rsidR="00CD47FA" w:rsidRPr="00524DAA">
        <w:t>novelu soudního řádu správního, která tuto úpravu obsahuje.</w:t>
      </w:r>
    </w:p>
    <w:p w:rsidR="006F153D" w:rsidRPr="00524DAA" w:rsidRDefault="00CC24D5" w:rsidP="006F153D">
      <w:pPr>
        <w:pStyle w:val="SingleTxtG"/>
      </w:pPr>
      <w:r>
        <w:t>1</w:t>
      </w:r>
      <w:r w:rsidR="009D0B49">
        <w:t>14</w:t>
      </w:r>
      <w:r>
        <w:t>.</w:t>
      </w:r>
      <w:r w:rsidR="005B3EED" w:rsidRPr="00524DAA">
        <w:tab/>
      </w:r>
      <w:r w:rsidR="006F153D" w:rsidRPr="00524DAA">
        <w:t>Účastníkem řízení může být ten, kdo má právní osobnost (§ 19 občansk</w:t>
      </w:r>
      <w:r w:rsidR="00976A5E">
        <w:t>ého</w:t>
      </w:r>
      <w:r w:rsidR="006F153D" w:rsidRPr="00524DAA">
        <w:t xml:space="preserve"> soudní</w:t>
      </w:r>
      <w:r w:rsidR="00976A5E">
        <w:t>ho</w:t>
      </w:r>
      <w:r w:rsidR="006F153D" w:rsidRPr="00524DAA">
        <w:t xml:space="preserve"> řád</w:t>
      </w:r>
      <w:r w:rsidR="00976A5E">
        <w:t>u</w:t>
      </w:r>
      <w:r w:rsidR="006F153D" w:rsidRPr="00524DAA">
        <w:t>), kterou má člověk od narození do smrti (§ 23 občansk</w:t>
      </w:r>
      <w:r w:rsidR="005F17BB">
        <w:t xml:space="preserve">ého </w:t>
      </w:r>
      <w:r w:rsidR="006F153D" w:rsidRPr="00524DAA">
        <w:t>zákoník</w:t>
      </w:r>
      <w:r w:rsidR="005F17BB">
        <w:t>u</w:t>
      </w:r>
      <w:r w:rsidR="006F153D" w:rsidRPr="00524DAA">
        <w:t xml:space="preserve">). Procesní způsobilost jako schopnost samostatně jednat před soudem je omezena rozsahem svéprávnosti člověka (§ 20 občanského soudního řádu). Osoba se </w:t>
      </w:r>
      <w:r w:rsidR="005F17BB">
        <w:t xml:space="preserve">ZP </w:t>
      </w:r>
      <w:r w:rsidR="006F153D" w:rsidRPr="00524DAA">
        <w:t xml:space="preserve">tedy může být účastníkem řízení. </w:t>
      </w:r>
      <w:r w:rsidR="00D75695">
        <w:t>Není-li</w:t>
      </w:r>
      <w:r w:rsidR="006F153D" w:rsidRPr="00524DAA">
        <w:t xml:space="preserve"> schopna samostatně jednat v soudním řízení, má právo si zvolit zmocněnce vedle opatrovníka, který jí je ustanoven soudem. Např</w:t>
      </w:r>
      <w:r w:rsidR="005B3EED" w:rsidRPr="00524DAA">
        <w:t>.</w:t>
      </w:r>
      <w:r w:rsidR="006F153D" w:rsidRPr="00524DAA">
        <w:t xml:space="preserve"> osoby s</w:t>
      </w:r>
      <w:r w:rsidR="00A5795B">
        <w:t> </w:t>
      </w:r>
      <w:r w:rsidR="006F153D" w:rsidRPr="00524DAA">
        <w:t xml:space="preserve">omezenou svéprávností mají právo samy podávat návrhy na zrušení nebo změnu rozhodnutí, kterým bylo rozhodnuto o omezení </w:t>
      </w:r>
      <w:r w:rsidR="00DB2139">
        <w:t xml:space="preserve">jejich </w:t>
      </w:r>
      <w:r w:rsidR="006F153D" w:rsidRPr="00524DAA">
        <w:t xml:space="preserve">svéprávnosti podle § 35 odst. 3 zákona </w:t>
      </w:r>
      <w:r w:rsidR="00A5795B">
        <w:t xml:space="preserve">č. 292/2013 Sb., </w:t>
      </w:r>
      <w:r w:rsidR="006F153D" w:rsidRPr="00524DAA">
        <w:t>o</w:t>
      </w:r>
      <w:r w:rsidR="00976A5E">
        <w:t> </w:t>
      </w:r>
      <w:r w:rsidR="006F153D" w:rsidRPr="00524DAA">
        <w:t>zvláštních řízeních soudních</w:t>
      </w:r>
      <w:r w:rsidR="00A5795B">
        <w:t>, ve znění pozdějších předpisů (dále jen „zákon o zvláštních řízeních soudních“)</w:t>
      </w:r>
      <w:r w:rsidR="006F153D" w:rsidRPr="00524DAA">
        <w:t xml:space="preserve">. Soud má povinnost seznámit osobu se </w:t>
      </w:r>
      <w:r w:rsidR="005F17BB">
        <w:t xml:space="preserve">ZP </w:t>
      </w:r>
      <w:r w:rsidR="006F153D" w:rsidRPr="00524DAA">
        <w:t>s</w:t>
      </w:r>
      <w:r w:rsidR="00A5795B">
        <w:t> </w:t>
      </w:r>
      <w:r w:rsidR="006F153D" w:rsidRPr="00524DAA">
        <w:t xml:space="preserve">obsahem rozhodnutí (§ 41, § 79 zákona o zvláštních řízeních soudních). Osoba se </w:t>
      </w:r>
      <w:r w:rsidR="005F17BB">
        <w:t xml:space="preserve">ZP </w:t>
      </w:r>
      <w:r w:rsidR="006F153D" w:rsidRPr="00524DAA">
        <w:t>si může pro řízení zvolit důvěrníka nebo podpůrce (§ 68 zákona o zvláštních řízeních soudních). Dále má osoba se</w:t>
      </w:r>
      <w:r w:rsidR="00976A5E">
        <w:t> </w:t>
      </w:r>
      <w:r w:rsidR="005F17BB">
        <w:t xml:space="preserve">ZP </w:t>
      </w:r>
      <w:r w:rsidR="006F153D" w:rsidRPr="00524DAA">
        <w:t>právo být v řízení slyšena (§ 70, § 77, § 84a zákona o</w:t>
      </w:r>
      <w:r w:rsidR="005F17BB">
        <w:t> </w:t>
      </w:r>
      <w:r w:rsidR="006F153D" w:rsidRPr="00524DAA">
        <w:t>zvláštních řízeních soudních), k</w:t>
      </w:r>
      <w:r w:rsidR="00976A5E">
        <w:t> </w:t>
      </w:r>
      <w:r w:rsidR="006F153D" w:rsidRPr="00524DAA">
        <w:t>tomu může využít práva na ustanovení tlumočníka (§ 18 občansk</w:t>
      </w:r>
      <w:r w:rsidR="005F17BB">
        <w:t>ého</w:t>
      </w:r>
      <w:r w:rsidR="006F153D" w:rsidRPr="00524DAA">
        <w:t xml:space="preserve"> soudní</w:t>
      </w:r>
      <w:r w:rsidR="005F17BB">
        <w:t>ho</w:t>
      </w:r>
      <w:r w:rsidR="006F153D" w:rsidRPr="00524DAA">
        <w:t xml:space="preserve"> řád</w:t>
      </w:r>
      <w:r w:rsidR="005F17BB">
        <w:t>u</w:t>
      </w:r>
      <w:r w:rsidR="006F153D" w:rsidRPr="00524DAA">
        <w:t>); využití služeb tlumočníka je bezplatné.</w:t>
      </w:r>
    </w:p>
    <w:p w:rsidR="006F153D" w:rsidRPr="00524DAA" w:rsidRDefault="00CC24D5" w:rsidP="006F153D">
      <w:pPr>
        <w:pStyle w:val="SingleTxtG"/>
      </w:pPr>
      <w:r>
        <w:t>1</w:t>
      </w:r>
      <w:r w:rsidR="009D0B49">
        <w:t>15</w:t>
      </w:r>
      <w:r>
        <w:t>.</w:t>
      </w:r>
      <w:r w:rsidR="005B3EED" w:rsidRPr="00524DAA">
        <w:tab/>
      </w:r>
      <w:r w:rsidR="006F153D" w:rsidRPr="00524DAA">
        <w:t>U osob se sluchovým postižením a hluchoslepých osob je nezbytné dodržovat právo na možnost volby preferovaného komunikačního systému a zajišťovat simultánní přepis pro osoby se sluchovým postižením tak, jak to stanoví zákon č. 155/1998 Sb., o komunikačních systémech neslyšících a hluchoslepých osob, ve znění pozdějších předpisů.</w:t>
      </w:r>
    </w:p>
    <w:p w:rsidR="006F153D" w:rsidRPr="00524DAA" w:rsidRDefault="00CC24D5" w:rsidP="006F153D">
      <w:pPr>
        <w:pStyle w:val="SingleTxtG"/>
      </w:pPr>
      <w:r>
        <w:t>11</w:t>
      </w:r>
      <w:r w:rsidR="009D0B49">
        <w:t>6</w:t>
      </w:r>
      <w:r>
        <w:t>.</w:t>
      </w:r>
      <w:r w:rsidR="00140650" w:rsidRPr="00524DAA">
        <w:tab/>
      </w:r>
      <w:r w:rsidR="006F153D" w:rsidRPr="00524DAA">
        <w:t>Ústavní soud judikoval ve svém nálezu, že v</w:t>
      </w:r>
      <w:r w:rsidR="008336F0">
        <w:t> </w:t>
      </w:r>
      <w:r w:rsidR="006F153D" w:rsidRPr="00524DAA">
        <w:t>případě</w:t>
      </w:r>
      <w:r w:rsidR="008336F0">
        <w:t>,</w:t>
      </w:r>
      <w:r w:rsidR="006F153D" w:rsidRPr="00524DAA">
        <w:t xml:space="preserve"> že se soudního řízení účastní osoba se </w:t>
      </w:r>
      <w:r w:rsidR="008336F0">
        <w:t>ZP</w:t>
      </w:r>
      <w:r w:rsidR="006F153D" w:rsidRPr="00524DAA">
        <w:t xml:space="preserve">, jsou obecné soudy povinny zpozornět a zvlášť dbát na to, aby tato osoba mohla v řízení plně uplatnit svá práva stejně jako jiní účastníci řízení. Přitom je třeba samozřejmě přihlížet k charakteru </w:t>
      </w:r>
      <w:r w:rsidR="00DB2139">
        <w:t xml:space="preserve">ZP </w:t>
      </w:r>
      <w:r w:rsidR="006F153D" w:rsidRPr="00524DAA">
        <w:t xml:space="preserve">konkrétní dotčené osoby a podle toho přijmout případná kompenzační opatření. </w:t>
      </w:r>
      <w:r w:rsidR="00976A5E">
        <w:t xml:space="preserve">U </w:t>
      </w:r>
      <w:r w:rsidR="006F153D" w:rsidRPr="00524DAA">
        <w:t xml:space="preserve">osob s duševním postižením tak </w:t>
      </w:r>
      <w:r w:rsidR="00976A5E">
        <w:t xml:space="preserve">bude </w:t>
      </w:r>
      <w:r w:rsidR="006F153D" w:rsidRPr="00524DAA">
        <w:t>kupříkladu minimálním přiměřeným opatřením zpravidla ustanovení zástupce pro řízení z řad advokátů, aby byla náležitě zajištěna ochrana jejich práv.</w:t>
      </w:r>
    </w:p>
    <w:p w:rsidR="006F153D" w:rsidRPr="00524DAA" w:rsidRDefault="00CC24D5" w:rsidP="006F153D">
      <w:pPr>
        <w:pStyle w:val="SingleTxtG"/>
      </w:pPr>
      <w:r>
        <w:t>11</w:t>
      </w:r>
      <w:r w:rsidR="009D0B49">
        <w:t>7</w:t>
      </w:r>
      <w:r>
        <w:t>.</w:t>
      </w:r>
      <w:r w:rsidR="00140650" w:rsidRPr="00524DAA">
        <w:tab/>
      </w:r>
      <w:r w:rsidR="006F153D" w:rsidRPr="00524DAA">
        <w:t xml:space="preserve">V souvislosti s přístupem ke spravedlnosti je nutno zmínit i faktický přístup do budov soudu. Technické požadavky zabezpečující užívání budov osobami s pohybovým, zrakovým, sluchovým a mentálním postižením, osobami pokročilého věku, těhotnými ženami, osobami doprovázejícími dítě v kočárku nebo dítě do tří let, jsou upraveny </w:t>
      </w:r>
      <w:r w:rsidR="00DB2139">
        <w:t xml:space="preserve">bezbariérovou </w:t>
      </w:r>
      <w:r w:rsidR="006F153D" w:rsidRPr="00524DAA">
        <w:t>vyhláš</w:t>
      </w:r>
      <w:r w:rsidR="00DB2139">
        <w:t>kou</w:t>
      </w:r>
      <w:r w:rsidR="006F153D" w:rsidRPr="00524DAA">
        <w:t xml:space="preserve">. </w:t>
      </w:r>
      <w:r w:rsidR="006F153D" w:rsidRPr="00524DAA">
        <w:lastRenderedPageBreak/>
        <w:t>Tato vyhláška stanoví např., že budovy soudu musí být zajištěny vodorovnými komunikacemi, schodišti a souběžně vedenými bezbariérovými rampami nebo výtahy.</w:t>
      </w:r>
    </w:p>
    <w:p w:rsidR="002713FF" w:rsidRDefault="002713FF" w:rsidP="002713FF">
      <w:pPr>
        <w:pStyle w:val="SingleTxtG"/>
      </w:pPr>
      <w:r>
        <w:t>118.</w:t>
      </w:r>
      <w:r>
        <w:tab/>
        <w:t>Je-li osoba se ZP v postavení obviněného, mohou tělesné nebo duševní vady</w:t>
      </w:r>
      <w:r>
        <w:br/>
        <w:t>v souladu s § 36 odst. 2 zákona č. 141/1961 Sb., trestního řádu, ve znění pozdějších předpisů (dále jen „trestní řád“) zakládat důvod nutné obhajoby. Těmto osobám tak bude zajištěn profesionální výkon obhajoby ze strany advokáta. Posouzení existence tohoto důvodu je svěřeno soudu a v přípravném řízení státnímu zástupci, jejichž úvaha se odvíjí od individuálních okolností ovlivňujících způsobilost obviněného náležitě se hájit.</w:t>
      </w:r>
    </w:p>
    <w:p w:rsidR="002713FF" w:rsidRDefault="002713FF" w:rsidP="002713FF">
      <w:pPr>
        <w:pStyle w:val="SingleTxtG"/>
      </w:pPr>
      <w:r>
        <w:t>119.</w:t>
      </w:r>
      <w:r>
        <w:tab/>
        <w:t>Jsou-li osoby se ZP v postavení obětí, pak půjde zpravidla o zvlášť zranitelné oběti, neboť § 2 odst. 4 písm. b) zákona č. 45/2013 Sb., o obětech trestných činů a o změně některých zákonů, ve znění pozdějších předpisů (dále jen „zákon o obětech trestných činů“) rozumí pod pojmem zvlášť zranitelná oběť také osobu, která „je postižena fyzickým, smyslovým, mentálním nebo psychickým postižením, pokud tyto skutečnosti mohou vzhledem k okolnostem případu a poměrům této osoby bránit jejímu plnému a účelnému uplatnění ve společnosti ve srovnání s jejími ostatními členy“. Zvlášť zranitelným obětem pak zákon o obětech trestných činů přiznává zvláštní práva, mezi něž náleží zejména právo na bezplatnou odbornou pomoc (§ 4), právo na zabránění kontaktu s osobou, kterou označily za pachatele, s osobou podezřelou nebo s osobou, proti níž se trestní řízení vede (§ 17 odst. 2), v přípravném řízení právo na výslech či podání vysvětlení osobou stejného nebo opačného pohlaví (§ 19 odst. 1), právo na přibrání tlumočníka stejného nebo opačného pohlaví v případě, že je třeba jejich výpověď tlumočit (§ 19 odst. 2), právo na výslech prováděný zvlášť citlivě a s ohledem na konkrétní okolnosti, které činí tyto oběti zvlášť zranitelnými (§ 20 odst. 1), v přípravném řízení právo na provedení výslechu osobou</w:t>
      </w:r>
      <w:r>
        <w:br/>
        <w:t>k tomu vyškolenou, navíc v prostorách pro tento účel upravených či přizpůsobených (§ 20 odst. 2), právo na úplný výslech tak, aby nemusel být později opakován (§ 20 odst. 3),</w:t>
      </w:r>
      <w:r>
        <w:br/>
        <w:t>v případě opakovaného výslechu právo na výslech stejnou osobou (§ 20 odst. 3) nebo právo na přijetí vhodných opatření vedoucích k zamezení bezprostřednímu vizuálnímu kontaktu</w:t>
      </w:r>
      <w:r>
        <w:br/>
        <w:t>s osobou podezřelou ze spáchání trestného činu nebo s osobou, proti níž se trestní řízení vede (§ 20 odst. 4).</w:t>
      </w:r>
    </w:p>
    <w:p w:rsidR="006F153D" w:rsidRPr="00524DAA" w:rsidRDefault="002713FF" w:rsidP="002713FF">
      <w:pPr>
        <w:pStyle w:val="SingleTxtG"/>
      </w:pPr>
      <w:r>
        <w:t>120.</w:t>
      </w:r>
      <w:r>
        <w:tab/>
        <w:t>Zvlášť zranitelným obětem je také přiznáno právo na právní pomoc poskytovanou zmocněncem bezplatně, a to bez ohledu na skutečnost, zda má oběť v postavení poškozeného dostatek prostředků, aby si sama hradila náklady vzniklé přibráním zmocněnce, jakož i bez ohledu na to, zda tato oběť uplatnila v souladu se zákonem svůj nárok na náhradu škody nebo nemajetkové újmy nebo na vydání bezdůvodného obohacení (§ 51a trestního řádu).</w:t>
      </w:r>
    </w:p>
    <w:p w:rsidR="00CD45B3" w:rsidRPr="00524DAA" w:rsidRDefault="00CD45B3" w:rsidP="001D4EF8">
      <w:pPr>
        <w:pStyle w:val="SingleTxtG"/>
      </w:pPr>
    </w:p>
    <w:p w:rsidR="00CD45B3" w:rsidRPr="00CC5FB5" w:rsidRDefault="00CD45B3" w:rsidP="00CD45B3">
      <w:pPr>
        <w:pStyle w:val="H1G"/>
      </w:pPr>
      <w:r w:rsidRPr="00524DAA">
        <w:tab/>
      </w:r>
      <w:r w:rsidRPr="00524DAA">
        <w:tab/>
        <w:t>O</w:t>
      </w:r>
      <w:r w:rsidR="00140650" w:rsidRPr="00524DAA">
        <w:t>d</w:t>
      </w:r>
      <w:r w:rsidRPr="00524DAA">
        <w:t>pověď na otázku č. 11 b)</w:t>
      </w:r>
    </w:p>
    <w:p w:rsidR="00696BBD" w:rsidRPr="00524DAA" w:rsidRDefault="00CC24D5" w:rsidP="00696BBD">
      <w:pPr>
        <w:pStyle w:val="SingleTxtG"/>
      </w:pPr>
      <w:r>
        <w:t>1</w:t>
      </w:r>
      <w:r w:rsidR="002713FF">
        <w:t>2</w:t>
      </w:r>
      <w:r w:rsidR="004936A0">
        <w:t>1</w:t>
      </w:r>
      <w:r>
        <w:t>.</w:t>
      </w:r>
      <w:r w:rsidR="00696BBD" w:rsidRPr="00524DAA">
        <w:tab/>
        <w:t xml:space="preserve">Pokud jde o zajištění poskytování materiálů, informací a komunikace ve všech soudních řízeních, ČR dodržuje zakotvené povinnosti na přístupnost webových stránek orgánů veřejné správy, poskytuje informace podle zákona č. 106/1999 Sb., o svobodném přístupu k informacím </w:t>
      </w:r>
      <w:r w:rsidR="00273258">
        <w:t>a</w:t>
      </w:r>
      <w:r w:rsidR="006A5128">
        <w:t xml:space="preserve"> zveřejňuje</w:t>
      </w:r>
      <w:r w:rsidR="00D600D2">
        <w:t xml:space="preserve"> </w:t>
      </w:r>
      <w:r w:rsidR="00273258">
        <w:t xml:space="preserve">i </w:t>
      </w:r>
      <w:r w:rsidR="00696BBD" w:rsidRPr="00524DAA">
        <w:t>části insolvenčních spisů na webových stránkách veřejného insolvenční</w:t>
      </w:r>
      <w:r w:rsidR="00830E68" w:rsidRPr="00524DAA">
        <w:t>ho</w:t>
      </w:r>
      <w:r w:rsidR="00696BBD" w:rsidRPr="00524DAA">
        <w:t xml:space="preserve"> rejstříku</w:t>
      </w:r>
      <w:r w:rsidR="00830E68" w:rsidRPr="00524DAA">
        <w:t>:</w:t>
      </w:r>
      <w:r w:rsidR="00696BBD" w:rsidRPr="00524DAA">
        <w:t xml:space="preserve"> (</w:t>
      </w:r>
      <w:hyperlink r:id="rId18" w:history="1">
        <w:r w:rsidR="00830E68" w:rsidRPr="00524DAA">
          <w:rPr>
            <w:rStyle w:val="Hypertextovodkaz"/>
          </w:rPr>
          <w:t>https://isir.justice.cz</w:t>
        </w:r>
      </w:hyperlink>
      <w:r w:rsidR="00696BBD" w:rsidRPr="00524DAA">
        <w:t>).</w:t>
      </w:r>
      <w:r w:rsidR="00830E68" w:rsidRPr="00524DAA">
        <w:t xml:space="preserve"> </w:t>
      </w:r>
      <w:r w:rsidR="00696BBD" w:rsidRPr="00524DAA">
        <w:t>Každoročně dochází ke zvyšování počtu zřízených datových schránek pro komunikaci občanů s orgány veřejné správy, což přispívá k usnadnění přístupu k informacím a rychlejší komunikaci v řízení.</w:t>
      </w:r>
    </w:p>
    <w:p w:rsidR="00696BBD" w:rsidRPr="00524DAA" w:rsidRDefault="00CC24D5" w:rsidP="00696BBD">
      <w:pPr>
        <w:pStyle w:val="SingleTxtG"/>
      </w:pPr>
      <w:r>
        <w:t>1</w:t>
      </w:r>
      <w:r w:rsidR="002713FF">
        <w:t>22</w:t>
      </w:r>
      <w:r>
        <w:t>.</w:t>
      </w:r>
      <w:r w:rsidR="00830E68" w:rsidRPr="00524DAA">
        <w:tab/>
      </w:r>
      <w:r w:rsidR="00445373" w:rsidRPr="00524DAA">
        <w:t>M</w:t>
      </w:r>
      <w:r w:rsidR="00205805">
        <w:t xml:space="preserve">S </w:t>
      </w:r>
      <w:r w:rsidR="00696BBD" w:rsidRPr="00524DAA">
        <w:t>i nadále pracuje na elektronické verzi soudního spisu („</w:t>
      </w:r>
      <w:proofErr w:type="spellStart"/>
      <w:r w:rsidR="00696BBD" w:rsidRPr="00524DAA">
        <w:t>eSpis</w:t>
      </w:r>
      <w:proofErr w:type="spellEnd"/>
      <w:r w:rsidR="00696BBD" w:rsidRPr="00524DAA">
        <w:t>“) a s ním spojené</w:t>
      </w:r>
      <w:r w:rsidR="004E742C">
        <w:t>m</w:t>
      </w:r>
      <w:r w:rsidR="00696BBD" w:rsidRPr="00524DAA">
        <w:t xml:space="preserve"> vzdálené</w:t>
      </w:r>
      <w:r w:rsidR="004E742C">
        <w:t>m</w:t>
      </w:r>
      <w:r w:rsidR="00696BBD" w:rsidRPr="00524DAA">
        <w:t xml:space="preserve"> nahlížení do elektronického spisu. Dále je rozšiřována funkce snadného čtení webových stránek pro osoby zrakově postižené. ČR preferuje vytváření a testování přístupných online služeb splňující</w:t>
      </w:r>
      <w:r w:rsidR="00830E68" w:rsidRPr="00524DAA">
        <w:t>ch</w:t>
      </w:r>
      <w:r w:rsidR="006A5128">
        <w:t xml:space="preserve"> </w:t>
      </w:r>
      <w:r w:rsidR="00565F12">
        <w:t xml:space="preserve">požadavky </w:t>
      </w:r>
      <w:r w:rsidR="006A5128">
        <w:t>zákon</w:t>
      </w:r>
      <w:r w:rsidR="00565F12">
        <w:t>a</w:t>
      </w:r>
      <w:r w:rsidR="006A5128">
        <w:t xml:space="preserve"> č.</w:t>
      </w:r>
      <w:r w:rsidR="00565F12">
        <w:t> </w:t>
      </w:r>
      <w:r w:rsidR="006A5128">
        <w:t>99/2019 Sb.,</w:t>
      </w:r>
      <w:r w:rsidR="00565F12">
        <w:t xml:space="preserve"> </w:t>
      </w:r>
      <w:r w:rsidR="00696BBD" w:rsidRPr="00524DAA">
        <w:t>o</w:t>
      </w:r>
      <w:r w:rsidR="00205805">
        <w:t> </w:t>
      </w:r>
      <w:r w:rsidR="00696BBD" w:rsidRPr="00524DAA">
        <w:t>přístupnosti internetových stránek a mobilních aplikací (resp</w:t>
      </w:r>
      <w:r w:rsidR="00205805">
        <w:t>.</w:t>
      </w:r>
      <w:r w:rsidR="00696BBD" w:rsidRPr="00524DAA">
        <w:t xml:space="preserve"> standard</w:t>
      </w:r>
      <w:r w:rsidR="00205805">
        <w:t>u</w:t>
      </w:r>
      <w:r w:rsidR="00696BBD" w:rsidRPr="00524DAA">
        <w:t xml:space="preserve"> WCAG). Aktuálně připravuje elektronickou </w:t>
      </w:r>
      <w:r w:rsidR="006C2399">
        <w:t xml:space="preserve">Databázi </w:t>
      </w:r>
      <w:r w:rsidR="00696BBD" w:rsidRPr="00524DAA">
        <w:t xml:space="preserve">rozhodnutí a </w:t>
      </w:r>
      <w:r w:rsidR="006A5128">
        <w:t>judikatury okresních, krajských</w:t>
      </w:r>
      <w:r w:rsidR="006C2399">
        <w:t xml:space="preserve"> </w:t>
      </w:r>
      <w:r w:rsidR="00696BBD" w:rsidRPr="00524DAA">
        <w:t>a</w:t>
      </w:r>
      <w:r w:rsidR="00205805">
        <w:t> </w:t>
      </w:r>
      <w:r w:rsidR="00696BBD" w:rsidRPr="00524DAA">
        <w:t>vrchních soudů v ČR, která by měla odpovídat požadavk</w:t>
      </w:r>
      <w:r w:rsidR="00273258">
        <w:t>ům</w:t>
      </w:r>
      <w:r w:rsidR="00696BBD" w:rsidRPr="00524DAA">
        <w:t xml:space="preserve"> přístupnosti pro osoby se </w:t>
      </w:r>
      <w:r w:rsidR="00273258">
        <w:t>ZP</w:t>
      </w:r>
      <w:r w:rsidR="00696BBD" w:rsidRPr="00524DAA">
        <w:t>.</w:t>
      </w:r>
    </w:p>
    <w:p w:rsidR="00696BBD" w:rsidRPr="00524DAA" w:rsidRDefault="00CC24D5" w:rsidP="00696BBD">
      <w:pPr>
        <w:pStyle w:val="SingleTxtG"/>
      </w:pPr>
      <w:r>
        <w:t>1</w:t>
      </w:r>
      <w:r w:rsidR="009977CC">
        <w:t>2</w:t>
      </w:r>
      <w:r w:rsidR="002713FF">
        <w:t>3</w:t>
      </w:r>
      <w:r>
        <w:t>.</w:t>
      </w:r>
      <w:r w:rsidR="00830E68" w:rsidRPr="00524DAA">
        <w:tab/>
      </w:r>
      <w:r w:rsidR="00696BBD" w:rsidRPr="00524DAA">
        <w:t xml:space="preserve">Kromě snahy o elektronizaci a usnadnění vzdáleného přístupu osobám se </w:t>
      </w:r>
      <w:r w:rsidR="00273258">
        <w:t xml:space="preserve">ZP </w:t>
      </w:r>
      <w:r w:rsidR="00696BBD" w:rsidRPr="00524DAA">
        <w:t>má ČR taktéž právní úprav</w:t>
      </w:r>
      <w:r w:rsidR="00830E68" w:rsidRPr="00524DAA">
        <w:t>ou</w:t>
      </w:r>
      <w:r w:rsidR="00696BBD" w:rsidRPr="00524DAA">
        <w:t xml:space="preserve"> zakotvenou povinnost soudů nejen doručit soudní rozhodnutí účastníku (§ 79, § 84a zákona o zvláštních řízeních soudních), ale i činit i jiná vhodná </w:t>
      </w:r>
      <w:r w:rsidR="00696BBD" w:rsidRPr="00524DAA">
        <w:lastRenderedPageBreak/>
        <w:t>opatření, aby se osoba mohla vhodnou formou s obsahem soudního rozhodnutí seznámit a</w:t>
      </w:r>
      <w:r w:rsidR="00A5795B">
        <w:t> </w:t>
      </w:r>
      <w:r w:rsidR="00696BBD" w:rsidRPr="00524DAA">
        <w:t>měla ho k dispozici (§ 41 zákona o zvláštních řízeních soudních).</w:t>
      </w:r>
    </w:p>
    <w:p w:rsidR="00140650" w:rsidRPr="00524DAA" w:rsidRDefault="00CC24D5" w:rsidP="00140650">
      <w:pPr>
        <w:pStyle w:val="SingleTxtG"/>
      </w:pPr>
      <w:r>
        <w:t>1</w:t>
      </w:r>
      <w:r w:rsidR="009977CC">
        <w:t>2</w:t>
      </w:r>
      <w:r w:rsidR="002713FF">
        <w:t>4</w:t>
      </w:r>
      <w:r>
        <w:t>.</w:t>
      </w:r>
      <w:r w:rsidR="00140650" w:rsidRPr="00524DAA">
        <w:tab/>
        <w:t>Všechny oběti mají právo na přístup k informacím, které se týkají věci, v níž se staly oběťmi trestného činu. Tyto informace jim poskytují jak policejní orgán, státní zástupce, jiný orgán veřejné moci či zdravotnické zařízení, tak i subjekty zapsané v registru poskytovatelů pomoci obětem trestných činů.</w:t>
      </w:r>
    </w:p>
    <w:p w:rsidR="00140650" w:rsidRPr="00524DAA" w:rsidRDefault="00CC24D5" w:rsidP="00140650">
      <w:pPr>
        <w:pStyle w:val="SingleTxtG"/>
      </w:pPr>
      <w:r>
        <w:t>1</w:t>
      </w:r>
      <w:r w:rsidR="009977CC">
        <w:t>2</w:t>
      </w:r>
      <w:r w:rsidR="002713FF">
        <w:t>5</w:t>
      </w:r>
      <w:r>
        <w:t>.</w:t>
      </w:r>
      <w:r w:rsidR="00140650" w:rsidRPr="00524DAA">
        <w:tab/>
        <w:t>V souladu s § 13 zákona o obětech trestných činů musí být oběť informována srozumitelným způsobem se zohledněním jejího věku, rozumové a volní vyspělosti, gramotnosti a zdravotního stavu</w:t>
      </w:r>
      <w:r w:rsidR="007E17DF">
        <w:t>,</w:t>
      </w:r>
      <w:r w:rsidR="00140650" w:rsidRPr="00524DAA">
        <w:t xml:space="preserve"> vč</w:t>
      </w:r>
      <w:r w:rsidR="007E17DF">
        <w:t>.</w:t>
      </w:r>
      <w:r w:rsidR="00140650" w:rsidRPr="00524DAA">
        <w:t xml:space="preserve"> psychického stavu.</w:t>
      </w:r>
    </w:p>
    <w:p w:rsidR="00CD45B3" w:rsidRPr="00524DAA" w:rsidRDefault="00CD45B3" w:rsidP="001D4EF8">
      <w:pPr>
        <w:pStyle w:val="SingleTxtG"/>
      </w:pPr>
    </w:p>
    <w:p w:rsidR="00CD45B3" w:rsidRPr="00F472FC" w:rsidRDefault="00CD45B3" w:rsidP="00CD45B3">
      <w:pPr>
        <w:pStyle w:val="H1G"/>
      </w:pPr>
      <w:r w:rsidRPr="00524DAA">
        <w:tab/>
      </w:r>
      <w:r w:rsidRPr="00524DAA">
        <w:tab/>
        <w:t>Odpověď na otázku č. 11 c)</w:t>
      </w:r>
    </w:p>
    <w:p w:rsidR="00725919" w:rsidRDefault="00725919" w:rsidP="00725919">
      <w:pPr>
        <w:pStyle w:val="SingleTxtG"/>
      </w:pPr>
    </w:p>
    <w:p w:rsidR="00477A35" w:rsidRPr="00524DAA" w:rsidRDefault="00CC24D5" w:rsidP="00477A35">
      <w:pPr>
        <w:pStyle w:val="SingleTxtG"/>
      </w:pPr>
      <w:r>
        <w:t>12</w:t>
      </w:r>
      <w:r w:rsidR="003243E1">
        <w:t>6</w:t>
      </w:r>
      <w:r>
        <w:t>.</w:t>
      </w:r>
      <w:r w:rsidR="00477A35" w:rsidRPr="00524DAA">
        <w:tab/>
        <w:t xml:space="preserve">Podle zákona č. 85/1996 Sb., o advokacii, může být do seznamu advokátů zapsán každý, kdo mj. splňuje podmínku plné svéprávnosti. Osoba se </w:t>
      </w:r>
      <w:r w:rsidR="00B9594E">
        <w:t xml:space="preserve">ZP </w:t>
      </w:r>
      <w:r w:rsidR="00477A35" w:rsidRPr="00524DAA">
        <w:t xml:space="preserve">může být advokátem pouze tehdy, pokud její </w:t>
      </w:r>
      <w:r w:rsidR="00B9594E">
        <w:t xml:space="preserve">zdravotní </w:t>
      </w:r>
      <w:r w:rsidR="00477A35" w:rsidRPr="00524DAA">
        <w:t>postižení nemá vliv na její plnou svéprávnost. Požadavek na plnou svéprávnost je kladen i na osoby soudců a přísedících podle zákona č. 6/2002 Sb., o soudech, soudcích, přísedících a státní správě soudů a o změně některých dalších zákonů (zákon o soudech a soudcích). V případě omezení svéprávnosti soudce jeho funkce skončí, u advokáta dojde k vyškrtnutí ze seznamu advokátů. Návrh na zahájení řízení nebo usnesení o zahájení řízení o omezení nebo vrácení svéprávnosti toho, kdo je advokátem, notářem, soudním exekutorem, soudcem, státním zástupcem, insolvenčním správcem, zapsaným mediátorem, znalcem nebo tlumočníkem, doručí soud bez odkladu též ministru spravedlnosti a příslušné komoře.</w:t>
      </w:r>
    </w:p>
    <w:p w:rsidR="00CD45B3" w:rsidRPr="00524DAA" w:rsidRDefault="00CC24D5" w:rsidP="00477A35">
      <w:pPr>
        <w:pStyle w:val="SingleTxtG"/>
      </w:pPr>
      <w:r>
        <w:t>12</w:t>
      </w:r>
      <w:r w:rsidR="003243E1">
        <w:t>7</w:t>
      </w:r>
      <w:r>
        <w:t>.</w:t>
      </w:r>
      <w:r w:rsidR="00477A35" w:rsidRPr="00524DAA">
        <w:tab/>
        <w:t xml:space="preserve">Zaměstnanci Policie ČR, Vězeňské služby České republiky, ale i zaměstnanci Generální inspekce bezpečnostních sborů a Bezpečnostní informační služby jako zaměstnanci bezpečnostního sboru, kteří vykonávají službu ve služebním poměru, musí být nejen plně svéprávní, ale taktéž je na ně kladen požadavek zdravotní způsobilosti, osobnostní způsobilosti posouzená psychologem a fyzické způsobilosti podle zákona č. 361/2003 Sb., o služebním poměru příslušníků bezpečnostních sborů. Osoba se </w:t>
      </w:r>
      <w:r w:rsidR="00F26352">
        <w:t xml:space="preserve">ZP </w:t>
      </w:r>
      <w:r w:rsidR="006A5128">
        <w:t>tak</w:t>
      </w:r>
      <w:r w:rsidR="006A5128">
        <w:br/>
      </w:r>
      <w:r w:rsidR="00477A35" w:rsidRPr="00524DAA">
        <w:t>s největší pravděpodobností nesplní zákonné předpoklady pro výkon této služby.</w:t>
      </w:r>
    </w:p>
    <w:p w:rsidR="00CD45B3" w:rsidRPr="00524DAA" w:rsidRDefault="00CD45B3" w:rsidP="001D4EF8">
      <w:pPr>
        <w:pStyle w:val="SingleTxtG"/>
      </w:pPr>
    </w:p>
    <w:p w:rsidR="00CD45B3" w:rsidRPr="00F472FC" w:rsidRDefault="00CD45B3" w:rsidP="00CD45B3">
      <w:pPr>
        <w:pStyle w:val="H1G"/>
      </w:pPr>
      <w:r w:rsidRPr="00524DAA">
        <w:tab/>
      </w:r>
      <w:r w:rsidRPr="00524DAA">
        <w:tab/>
        <w:t>Odpověď na otázku č. 11 d)</w:t>
      </w:r>
    </w:p>
    <w:p w:rsidR="00FF77A5" w:rsidRPr="00524DAA" w:rsidRDefault="00CC24D5" w:rsidP="001D4EF8">
      <w:pPr>
        <w:pStyle w:val="SingleTxtG"/>
      </w:pPr>
      <w:r>
        <w:t>1</w:t>
      </w:r>
      <w:r w:rsidR="00262E17">
        <w:t>2</w:t>
      </w:r>
      <w:r w:rsidR="003243E1">
        <w:t>8</w:t>
      </w:r>
      <w:r>
        <w:t>.</w:t>
      </w:r>
      <w:r w:rsidR="00A16CA1" w:rsidRPr="00524DAA">
        <w:tab/>
        <w:t xml:space="preserve">Problematika týkající se osob se ZP byla </w:t>
      </w:r>
      <w:r w:rsidR="00370E89">
        <w:t xml:space="preserve">a je </w:t>
      </w:r>
      <w:r w:rsidR="00A16CA1" w:rsidRPr="00524DAA">
        <w:t xml:space="preserve">součástí programů a vzdělávacích akcí určených pro soudce a státní zástupce, justiční a právní čekatele a ostatní vyšší odborný administrativní aparát soudů a státních zastupitelství. </w:t>
      </w:r>
      <w:r w:rsidR="000B2521" w:rsidRPr="00524DAA">
        <w:t>Byl</w:t>
      </w:r>
      <w:r w:rsidR="00E34B6C">
        <w:t>y</w:t>
      </w:r>
      <w:r w:rsidR="000B2521" w:rsidRPr="00524DAA">
        <w:t xml:space="preserve"> </w:t>
      </w:r>
      <w:r w:rsidR="00E34B6C">
        <w:t xml:space="preserve">uskutečněny semináře </w:t>
      </w:r>
      <w:r w:rsidR="000B2521" w:rsidRPr="00524DAA">
        <w:t>zaměřen</w:t>
      </w:r>
      <w:r w:rsidR="00E34B6C">
        <w:t>é</w:t>
      </w:r>
      <w:r w:rsidR="000B2521" w:rsidRPr="00524DAA">
        <w:t xml:space="preserve"> na problematiku zdravotního postižení a práv vyplývajících z Úmluvy, zejména práva na podporu a bezpečí při právním jednání, dále na problematiku komunikace s vybranými skupinami osob se ZP (komunikační systémy osob se sluchovým postižením, snadno srozumitelná forma komunikace apod.). V rámci </w:t>
      </w:r>
      <w:r w:rsidR="00EA3651" w:rsidRPr="00524DAA">
        <w:t xml:space="preserve">zajištění vzdělávání </w:t>
      </w:r>
      <w:r w:rsidR="000B2521" w:rsidRPr="00524DAA">
        <w:t>se Justiční akademie zabývala problematikou osob se ZP na mnoha vzdělávacích akcích, uspořádala např. seminář Řízení o svéprávnosti, na semináři byla zařazena samostatná přednáška o dopadu čl. 12 Úmluvy na řízení o omezení svéprávnosti. Dál</w:t>
      </w:r>
      <w:r w:rsidR="006A5128">
        <w:t>e lze zmínit seminář Komunikace</w:t>
      </w:r>
      <w:r w:rsidR="006A5128">
        <w:br/>
      </w:r>
      <w:r w:rsidR="000B2521" w:rsidRPr="00524DAA">
        <w:t>s osobami s duševní poruchou pro opatrovnické soudce či pravidelně pořádaný seminář Antidiskriminační právo, který je zaměřen na problematiku diskri</w:t>
      </w:r>
      <w:r w:rsidR="006A5128">
        <w:t>minace a zahrnuje</w:t>
      </w:r>
      <w:r w:rsidR="006A5128">
        <w:br/>
      </w:r>
      <w:r w:rsidR="00EA3651" w:rsidRPr="00524DAA">
        <w:t xml:space="preserve">i </w:t>
      </w:r>
      <w:r w:rsidR="000B2521" w:rsidRPr="00524DAA">
        <w:t>otázky diskriminace na základě zdravotního postižení a diskriminace v</w:t>
      </w:r>
      <w:r w:rsidR="006A5128">
        <w:t> přístupu</w:t>
      </w:r>
      <w:r w:rsidR="006A5128">
        <w:br/>
      </w:r>
      <w:r w:rsidR="00EA3651" w:rsidRPr="00524DAA">
        <w:t>k zdravotním službám.</w:t>
      </w:r>
    </w:p>
    <w:p w:rsidR="00A16CA1" w:rsidRPr="00524DAA" w:rsidRDefault="00CC24D5" w:rsidP="001D4EF8">
      <w:pPr>
        <w:pStyle w:val="SingleTxtG"/>
      </w:pPr>
      <w:r>
        <w:t>1</w:t>
      </w:r>
      <w:r w:rsidR="00262E17">
        <w:t>2</w:t>
      </w:r>
      <w:r w:rsidR="003243E1">
        <w:t>9</w:t>
      </w:r>
      <w:r>
        <w:t>.</w:t>
      </w:r>
      <w:r w:rsidR="00FF77A5" w:rsidRPr="00524DAA">
        <w:tab/>
      </w:r>
      <w:r w:rsidR="00EA3651" w:rsidRPr="00524DAA">
        <w:t xml:space="preserve">Problematika zdravotního postižení byla dále </w:t>
      </w:r>
      <w:r w:rsidR="00A16CA1" w:rsidRPr="00524DAA">
        <w:t>doprovodnou součástí vzdělávacích akcí realizovaných v oblasti trestního soudnictví, semi</w:t>
      </w:r>
      <w:r w:rsidR="006A5128">
        <w:t>nářů k trestné činnosti mládeže</w:t>
      </w:r>
      <w:r w:rsidR="006A5128">
        <w:br/>
      </w:r>
      <w:r w:rsidR="00A16CA1" w:rsidRPr="00524DAA">
        <w:t xml:space="preserve">a mladistvých, seminářů k zákoníku práce a v rámci vzdělávacích akcí se související </w:t>
      </w:r>
      <w:r w:rsidR="00A16CA1" w:rsidRPr="00524DAA">
        <w:lastRenderedPageBreak/>
        <w:t>problematikou, např. problematikou rasové diskriminace, obchodování s lidmi, domácího násilí, extremismu, genderové politiky, internetové kriminality, aj</w:t>
      </w:r>
      <w:r w:rsidR="006A5128">
        <w:t>.</w:t>
      </w:r>
    </w:p>
    <w:p w:rsidR="00FF77A5" w:rsidRPr="00524DAA" w:rsidRDefault="00CC24D5" w:rsidP="00FF77A5">
      <w:pPr>
        <w:pStyle w:val="SingleTxtG"/>
      </w:pPr>
      <w:r>
        <w:t>1</w:t>
      </w:r>
      <w:r w:rsidR="003243E1">
        <w:t>30</w:t>
      </w:r>
      <w:r>
        <w:t>.</w:t>
      </w:r>
      <w:r w:rsidR="00FF77A5" w:rsidRPr="00524DAA">
        <w:tab/>
        <w:t>Součástí vzdělávání o problematice zdravotního postižení je i zvyšování právního vědomí zaměstnanců Vězeňské služby ČR v oblasti zákazu diskriminace z důvodu zdravotního postižení či nepříznivého zdravotního stavu vězněných osob a provádění školení týkajících se informovanosti o omezené mobilitě a dalších důsledcích zdravotního postižení. V rámci zajištění tohoto vzdělávání spolupracují vybraní vyučující s rezortem MPSV v souvislosti s akreditovaným vzděláváním sociálních pracovníků a nejdůležitější poznatky k problému prezentují i v jiných kurzech.</w:t>
      </w:r>
    </w:p>
    <w:p w:rsidR="00CD45B3" w:rsidRPr="00524DAA" w:rsidRDefault="00CD45B3" w:rsidP="001D4EF8">
      <w:pPr>
        <w:pStyle w:val="SingleTxtG"/>
      </w:pPr>
    </w:p>
    <w:p w:rsidR="00A431D2" w:rsidRPr="00F472FC" w:rsidRDefault="00A431D2" w:rsidP="00A431D2">
      <w:pPr>
        <w:pStyle w:val="H1G"/>
      </w:pPr>
      <w:r w:rsidRPr="00524DAA">
        <w:tab/>
      </w:r>
      <w:r w:rsidRPr="00524DAA">
        <w:tab/>
        <w:t>Odpověď na otázku č. 12 a)</w:t>
      </w:r>
    </w:p>
    <w:p w:rsidR="00A25869" w:rsidRPr="00524DAA" w:rsidRDefault="00CC24D5" w:rsidP="00A25869">
      <w:pPr>
        <w:pStyle w:val="SingleTxtG"/>
      </w:pPr>
      <w:r>
        <w:t>1</w:t>
      </w:r>
      <w:r w:rsidR="003243E1">
        <w:t>31</w:t>
      </w:r>
      <w:r>
        <w:t>.</w:t>
      </w:r>
      <w:r w:rsidR="00A25869" w:rsidRPr="00524DAA">
        <w:tab/>
        <w:t>Právo na osobní svobodu je garantováno na ústavní úrovni čl. 8 Listiny základních práv a svobod. Podle ustanovení tohoto článku je osobní svoboda zaručena a nikdo nesmí být stíhán nebo zbaven svobody jinak než z důvodů a způsobem, který stanoví zákon.</w:t>
      </w:r>
    </w:p>
    <w:p w:rsidR="00A25869" w:rsidRPr="00524DAA" w:rsidRDefault="00CC24D5" w:rsidP="00A25869">
      <w:pPr>
        <w:pStyle w:val="SingleTxtG"/>
      </w:pPr>
      <w:r>
        <w:t>1</w:t>
      </w:r>
      <w:r w:rsidR="003243E1">
        <w:t>3</w:t>
      </w:r>
      <w:r w:rsidR="007E66FB">
        <w:t>2</w:t>
      </w:r>
      <w:r>
        <w:t>.</w:t>
      </w:r>
      <w:r w:rsidR="00A25869" w:rsidRPr="00524DAA">
        <w:tab/>
        <w:t>Zákonem je také stanoveno, ve kterých případech může být osoba převzata nebo držena v</w:t>
      </w:r>
      <w:r w:rsidR="00736829">
        <w:t>e</w:t>
      </w:r>
      <w:r w:rsidR="00A25869" w:rsidRPr="00524DAA">
        <w:t xml:space="preserve"> </w:t>
      </w:r>
      <w:r w:rsidR="00736829">
        <w:t xml:space="preserve">zdravotním </w:t>
      </w:r>
      <w:r w:rsidR="00A25869" w:rsidRPr="00524DAA">
        <w:t>ústav</w:t>
      </w:r>
      <w:r w:rsidR="00736829">
        <w:t>u</w:t>
      </w:r>
      <w:r w:rsidR="00A25869" w:rsidRPr="00524DAA">
        <w:t xml:space="preserve"> (§ 38 zákona o zdravotních službách) nebo v zařízení sociálních služeb (§ 91a a 91b zákona o</w:t>
      </w:r>
      <w:r w:rsidR="006646A1">
        <w:t> </w:t>
      </w:r>
      <w:r w:rsidR="00A25869" w:rsidRPr="00524DAA">
        <w:t>sociálních službách) bez svého souhlasu. V případě držení ve zdravotním ústavu bez souhlasu dotčeného člověka je již v č</w:t>
      </w:r>
      <w:r w:rsidR="00F657FB" w:rsidRPr="00524DAA">
        <w:t>l</w:t>
      </w:r>
      <w:r w:rsidR="00A25869" w:rsidRPr="00524DAA">
        <w:t>. 7 Listiny základních práv a svobod stanoveno, že takové opatření musí být do 24 hodin oznámeno soudu, který o tomto umístění rozhodne do 7 dnů. Práva dotčených osob jsou chráněna v</w:t>
      </w:r>
      <w:r w:rsidR="00A5795B">
        <w:t> </w:t>
      </w:r>
      <w:r w:rsidR="00A25869" w:rsidRPr="00524DAA">
        <w:t xml:space="preserve">řízení o vyslovení přípustnosti převzetí </w:t>
      </w:r>
      <w:r w:rsidR="00D30A5F" w:rsidRPr="00D30A5F">
        <w:t>a držení ve zdravotním ústavu</w:t>
      </w:r>
      <w:r w:rsidR="00D30A5F">
        <w:t xml:space="preserve"> </w:t>
      </w:r>
      <w:r w:rsidR="00A25869" w:rsidRPr="00524DAA">
        <w:t>a v řízení o</w:t>
      </w:r>
      <w:r w:rsidR="00D30A5F">
        <w:t> </w:t>
      </w:r>
      <w:r w:rsidR="00A25869" w:rsidRPr="00524DAA">
        <w:t xml:space="preserve">vyslovení nepřípustnosti </w:t>
      </w:r>
      <w:r w:rsidR="00D30A5F">
        <w:t xml:space="preserve">držení </w:t>
      </w:r>
      <w:r w:rsidR="00A25869" w:rsidRPr="00524DAA">
        <w:t xml:space="preserve">v zařízení sociálních služeb podle </w:t>
      </w:r>
      <w:r w:rsidR="00A5795B">
        <w:t>§</w:t>
      </w:r>
      <w:r w:rsidR="00A25869" w:rsidRPr="00524DAA">
        <w:t xml:space="preserve"> 75 až </w:t>
      </w:r>
      <w:r w:rsidR="00A25FE9">
        <w:t>§ </w:t>
      </w:r>
      <w:r w:rsidR="00A25869" w:rsidRPr="00524DAA">
        <w:t>84b zákona o</w:t>
      </w:r>
      <w:r w:rsidR="00A5795B">
        <w:t> </w:t>
      </w:r>
      <w:r w:rsidR="00A25869" w:rsidRPr="00524DAA">
        <w:t>zvláštních řízeních soudních</w:t>
      </w:r>
      <w:r w:rsidR="00A5795B">
        <w:t>,</w:t>
      </w:r>
      <w:r w:rsidR="00A25869" w:rsidRPr="00524DAA">
        <w:t xml:space="preserve"> který nabyl účinnosti 1. ledna 2014.</w:t>
      </w:r>
    </w:p>
    <w:p w:rsidR="00A25869" w:rsidRPr="00524DAA" w:rsidRDefault="00CC24D5" w:rsidP="00A25869">
      <w:pPr>
        <w:pStyle w:val="SingleTxtG"/>
      </w:pPr>
      <w:r>
        <w:t>1</w:t>
      </w:r>
      <w:r w:rsidR="003243E1">
        <w:t>3</w:t>
      </w:r>
      <w:r w:rsidR="007E66FB">
        <w:t>3</w:t>
      </w:r>
      <w:r>
        <w:t>.</w:t>
      </w:r>
      <w:r w:rsidR="00F657FB" w:rsidRPr="00524DAA">
        <w:tab/>
      </w:r>
      <w:r w:rsidR="00A25869" w:rsidRPr="00524DAA">
        <w:t xml:space="preserve">Zdravotní ústav je povinen oznámit do 24 hodin soudu převzetí každého, kdo v něm byl umístěn bez písemného souhlasu. Je-li písemný souhlas odvolán nebo je-li člověk ve zdravotnickém zařízení omezen ve volném pohybu nebo styku </w:t>
      </w:r>
      <w:r w:rsidR="006A5128">
        <w:t>s vnějším světem</w:t>
      </w:r>
      <w:r w:rsidR="006A5128">
        <w:br/>
      </w:r>
      <w:r w:rsidR="00A25869" w:rsidRPr="00524DAA">
        <w:t>v průběhu léčení, je zdravotní ústav povinen učinit ozná</w:t>
      </w:r>
      <w:r w:rsidR="006A5128">
        <w:t>mení soudu do 24 hodin poté, co</w:t>
      </w:r>
      <w:r w:rsidR="006A5128">
        <w:br/>
      </w:r>
      <w:r w:rsidR="00A25869" w:rsidRPr="00524DAA">
        <w:t>k tomu došlo. Soud následně vydá usnesení o zahájení řízení. Neučiní-li zdravotní ústav oznámení, může podat návrh na zahájení řízení přímo umístěný člověk nebo jeho zákonný zástupce.</w:t>
      </w:r>
    </w:p>
    <w:p w:rsidR="00A25869" w:rsidRPr="00524DAA" w:rsidRDefault="00CC24D5" w:rsidP="00A25869">
      <w:pPr>
        <w:pStyle w:val="SingleTxtG"/>
      </w:pPr>
      <w:r>
        <w:t>1</w:t>
      </w:r>
      <w:r w:rsidR="003243E1">
        <w:t>3</w:t>
      </w:r>
      <w:r w:rsidR="007E66FB">
        <w:t>4</w:t>
      </w:r>
      <w:r>
        <w:t>.</w:t>
      </w:r>
      <w:r w:rsidR="00EB7673" w:rsidRPr="00524DAA">
        <w:tab/>
      </w:r>
      <w:r w:rsidR="00A25869" w:rsidRPr="00524DAA">
        <w:t>Řízení má dvě fáze. Soud nejprve rozhoduje o přípustnosti samotného převzetí člověka do zdravotního ústavu, tedy jestli k převzetí došlo ze zákonných důvodů, a pokud ano, zda tyto důvody trvají. Soud musí rozhodnout do 7 dnů od převzetí člověka do zdravotního ústavu. Dojde-li soud k závěru, že k převzetí člověka do zdravotního ústavu nedošlo v souladu se zákonem, nařídí jeho propuštění.</w:t>
      </w:r>
    </w:p>
    <w:p w:rsidR="00A25869" w:rsidRPr="00524DAA" w:rsidRDefault="00CC24D5" w:rsidP="00A25869">
      <w:pPr>
        <w:pStyle w:val="SingleTxtG"/>
      </w:pPr>
      <w:r>
        <w:t>13</w:t>
      </w:r>
      <w:r w:rsidR="007E66FB">
        <w:t>5</w:t>
      </w:r>
      <w:r>
        <w:t>.</w:t>
      </w:r>
      <w:r w:rsidR="00EB7673" w:rsidRPr="00524DAA">
        <w:tab/>
      </w:r>
      <w:r w:rsidR="00A25869" w:rsidRPr="00524DAA">
        <w:t>Vysloví-li soud v první fázi řízení, že převzetí bylo přípustné, přistoupí k druhé fázi řízení, ve které</w:t>
      </w:r>
      <w:r w:rsidR="005770AC">
        <w:t>m</w:t>
      </w:r>
      <w:r w:rsidR="00A25869" w:rsidRPr="00524DAA">
        <w:t xml:space="preserve"> soud rozhodne, jestli je přípustné i další držení člověka ve zdravotním ústavu bez jeho souhlasu. Soud vždy jmenuje znalce pro posouzení zdravotního stavu daného člověka a musí rozhodnout do 3 měsíců od rozhodnutí o přípustnosti převzetí. Soud rozhodne, zda je další držení přípustné a na jakou dobu, nejdéle však na dobu jednoho roku. Umístěný člověk, osoba jemu blízká, jeho zástupce či opatrovník mají právo v průběhu této doby podat návrh na propuštění. Po uplynutí této doby účinnost soudního rozhodnutí zanikne</w:t>
      </w:r>
      <w:r w:rsidR="00456E6F">
        <w:t>,</w:t>
      </w:r>
      <w:r w:rsidR="00A25869" w:rsidRPr="00524DAA">
        <w:t xml:space="preserve"> a</w:t>
      </w:r>
      <w:r w:rsidR="00456E6F">
        <w:t>však</w:t>
      </w:r>
      <w:r w:rsidR="00A25869" w:rsidRPr="00524DAA">
        <w:t xml:space="preserve"> jeví-li se hospitalizace člověka i nadále nutná, </w:t>
      </w:r>
      <w:r w:rsidR="00456E6F">
        <w:t xml:space="preserve">musí soud </w:t>
      </w:r>
      <w:r w:rsidR="00A25869" w:rsidRPr="00524DAA">
        <w:t>opět rozhodnout o</w:t>
      </w:r>
      <w:r w:rsidR="00456E6F">
        <w:t> </w:t>
      </w:r>
      <w:r w:rsidR="00A25869" w:rsidRPr="00524DAA">
        <w:t>přípustnosti dalšího držení člověka ve zdravotním ústavu.</w:t>
      </w:r>
      <w:r w:rsidR="00EB7673" w:rsidRPr="00524DAA">
        <w:t xml:space="preserve"> </w:t>
      </w:r>
      <w:r w:rsidR="00A25869" w:rsidRPr="00524DAA">
        <w:t>Ústav může člověka propustit kdykoli dříve bez ohledu na rozhodnutí soudu.</w:t>
      </w:r>
    </w:p>
    <w:p w:rsidR="00A25869" w:rsidRPr="00524DAA" w:rsidRDefault="00CC24D5" w:rsidP="00A25869">
      <w:pPr>
        <w:pStyle w:val="SingleTxtG"/>
      </w:pPr>
      <w:r>
        <w:t>13</w:t>
      </w:r>
      <w:r w:rsidR="007E66FB">
        <w:t>6</w:t>
      </w:r>
      <w:r>
        <w:t>.</w:t>
      </w:r>
      <w:r w:rsidR="00EB7673" w:rsidRPr="00524DAA">
        <w:tab/>
      </w:r>
      <w:r w:rsidR="00A25869" w:rsidRPr="00524DAA">
        <w:t>Proti oběma rozhodnutím lze podat odvolání do 15 dnů od doručení rozhodnutí. Odvolání nemá odkladný účinek.</w:t>
      </w:r>
    </w:p>
    <w:p w:rsidR="00A25869" w:rsidRPr="00524DAA" w:rsidRDefault="00CC24D5" w:rsidP="00A25869">
      <w:pPr>
        <w:pStyle w:val="SingleTxtG"/>
      </w:pPr>
      <w:r>
        <w:t>1</w:t>
      </w:r>
      <w:r w:rsidR="00262E17">
        <w:t>3</w:t>
      </w:r>
      <w:r w:rsidR="007E66FB">
        <w:t>7</w:t>
      </w:r>
      <w:r>
        <w:t>.</w:t>
      </w:r>
      <w:r w:rsidR="00F657FB" w:rsidRPr="00524DAA">
        <w:tab/>
      </w:r>
      <w:r w:rsidR="00370E89">
        <w:t>Jestliže</w:t>
      </w:r>
      <w:r w:rsidR="00A25869" w:rsidRPr="00524DAA">
        <w:t xml:space="preserve"> osoba, která není schopna vypovědět smlouvu o poskytování pobytové sociální služby, projeví vážně míněný nesouhlas s poskytováním pobytové sociální služby, je poskytovatel sociální služby povinen oznámit tuto skut</w:t>
      </w:r>
      <w:r w:rsidR="006A5128">
        <w:t>ečnost ve lhůtě 24 hodin soudu,</w:t>
      </w:r>
      <w:r w:rsidR="006A5128">
        <w:br/>
      </w:r>
      <w:r w:rsidR="00A25869" w:rsidRPr="00524DAA">
        <w:t xml:space="preserve">v jehož obvodu je zařízení sociálních služeb, ve kterém se tato osoba nachází. Soud vydá usnesení o zahájení řízení. Neučiní-li poskytovatel oznámení, mohou podat návrh na zahájení </w:t>
      </w:r>
      <w:r w:rsidR="00A25869" w:rsidRPr="00524DAA">
        <w:lastRenderedPageBreak/>
        <w:t xml:space="preserve">řízení umístěná osoba nebo její zákonný zástupce. Podnět soudu k zahájení řízení může dát </w:t>
      </w:r>
      <w:r w:rsidR="00370E89">
        <w:t>jakákoliv osoba</w:t>
      </w:r>
      <w:r w:rsidR="00A25869" w:rsidRPr="00524DAA">
        <w:t>.</w:t>
      </w:r>
    </w:p>
    <w:p w:rsidR="00A25869" w:rsidRPr="00524DAA" w:rsidRDefault="00CC24D5" w:rsidP="00A25869">
      <w:pPr>
        <w:pStyle w:val="SingleTxtG"/>
      </w:pPr>
      <w:r>
        <w:t>1</w:t>
      </w:r>
      <w:r w:rsidR="00262E17">
        <w:t>3</w:t>
      </w:r>
      <w:r w:rsidR="007E66FB">
        <w:t>8</w:t>
      </w:r>
      <w:r>
        <w:t>.</w:t>
      </w:r>
      <w:r w:rsidR="00EB7673" w:rsidRPr="00524DAA">
        <w:tab/>
      </w:r>
      <w:r w:rsidR="00A25869" w:rsidRPr="00524DAA">
        <w:t>Soud je povinen věc projednat a rozhodnout nejpozději do 45 dnů ode dne zahájení řízení. Rozhodne-li soud, že držení člověka v zařízení sociálních služeb není přípustné, doručí rozhodnutí umístěnému člověku, jeho zástupci, da</w:t>
      </w:r>
      <w:r w:rsidR="006A5128">
        <w:t>nému zařízení sociálních služeb</w:t>
      </w:r>
      <w:r w:rsidR="006A5128">
        <w:br/>
      </w:r>
      <w:r w:rsidR="00A25869" w:rsidRPr="00524DAA">
        <w:t>a dalším zákonem stanoveným osobám do 24 hodin od jeho vydání. Zařízení sociálních služeb musí umístěného člověka bezodkladně propustit. Rozhodne-li soud, že držení člověka v zařízení sociálních služeb je přípustné, může být řízení ze stejných důvodů zahájeno až po uplynutí 30 dnů od právní moci rozhodnutí.</w:t>
      </w:r>
    </w:p>
    <w:p w:rsidR="00CD45B3" w:rsidRPr="00524DAA" w:rsidRDefault="00CC24D5" w:rsidP="00A25869">
      <w:pPr>
        <w:pStyle w:val="SingleTxtG"/>
      </w:pPr>
      <w:r>
        <w:t>1</w:t>
      </w:r>
      <w:r w:rsidR="007E66FB">
        <w:t>39</w:t>
      </w:r>
      <w:r>
        <w:t>.</w:t>
      </w:r>
      <w:r w:rsidR="00EB7673" w:rsidRPr="00524DAA">
        <w:tab/>
      </w:r>
      <w:r w:rsidR="00A25869" w:rsidRPr="00524DAA">
        <w:t>Proti rozhodnutí lze podat odvolání do 15 dnů od doručení rozhodnutí. Odvolání nemá odkladný účinek.</w:t>
      </w:r>
      <w:r w:rsidR="00EB7673" w:rsidRPr="00524DAA">
        <w:t xml:space="preserve"> </w:t>
      </w:r>
      <w:r w:rsidR="00A25869" w:rsidRPr="00524DAA">
        <w:t>Zařízení může osobu propustit kdykoli dříve bez ohledu na rozhodnutí soudu.</w:t>
      </w:r>
    </w:p>
    <w:p w:rsidR="007E66FB" w:rsidRDefault="007E66FB" w:rsidP="007E66FB">
      <w:pPr>
        <w:pStyle w:val="SingleTxtG"/>
      </w:pPr>
      <w:r>
        <w:t>140.</w:t>
      </w:r>
      <w:r>
        <w:tab/>
        <w:t>ČR úvodem zdůrazňuje, že trestní zákoník neobsahuje ustanovení, která by umožňovala zbavit kohokoli svobody z důvodu skutečného nebo vnímaného postižení či poruchy. Pokud jsou tyto osoby zbaveny osobní svobody, je tomu z toho důvodu, že se dopustily trestného činu, resp. v případě osob, které nejsou plně svéprávné, činu jinak trestného. Při splnění všech zákonných podmínek může být těmto osobám uloženo ochranné opatření, které je trestněprávní sankcí preventivní povahy a má za cíl ochranu společnosti, nikoli potrestání pachatele. Soud může v trestním řízení uložit ochranné opatření nejen trestně odpovědným osobám, ale také osobám, které nejsou trestně odpovědné (buď pro nepříčetnost, nebo pro nízký věk). Jsou určitou újmou a omezením osobní svobody a práv toho, komu jsou ukládána. Pro ukládání ochranných opatření se plně uplatní zásada přiměřenosti, tj. ochranné opatření nelze uložit, není-li přiměřené povaze</w:t>
      </w:r>
      <w:r>
        <w:br/>
        <w:t>a závažnosti pachatelem spáchaného činu a nebezpečí, které od pachatele v budoucnu hrozí pro zájmy chráněné trestním zákonem, jakož i osobě pachatele a jeho poměrům. Trvání tohoto ochranného opatření je limitováno naplněním jeho účelu. Uložené ochranné léčení může trvat nejdéle dva roky, ledaže soud rozhodne před skončením této doby o jejím prodloužení, přičemž léčení může být takto prodlouženo nejdéle o další dva roky (to lze činit i opakovaně). Uložení ochranného opatření lze napadnout v rámci řádných</w:t>
      </w:r>
      <w:r>
        <w:br/>
        <w:t>i mimořádných opravných prostředků.</w:t>
      </w:r>
    </w:p>
    <w:p w:rsidR="007E66FB" w:rsidRPr="00524DAA" w:rsidRDefault="007E66FB" w:rsidP="001D4EF8">
      <w:pPr>
        <w:pStyle w:val="SingleTxtG"/>
      </w:pPr>
    </w:p>
    <w:p w:rsidR="00A431D2" w:rsidRPr="00F472FC" w:rsidRDefault="00A431D2" w:rsidP="00A431D2">
      <w:pPr>
        <w:pStyle w:val="H1G"/>
      </w:pPr>
      <w:r w:rsidRPr="00524DAA">
        <w:tab/>
      </w:r>
      <w:r w:rsidRPr="00524DAA">
        <w:tab/>
        <w:t>Odpověď na otázku č. 12 b)</w:t>
      </w:r>
    </w:p>
    <w:p w:rsidR="00DC7FBA" w:rsidRDefault="00202F9F" w:rsidP="00DC7FBA">
      <w:pPr>
        <w:pStyle w:val="SingleTxtG"/>
      </w:pPr>
      <w:r>
        <w:t>1</w:t>
      </w:r>
      <w:r w:rsidR="000E2402">
        <w:t>41</w:t>
      </w:r>
      <w:r>
        <w:t>.</w:t>
      </w:r>
      <w:r>
        <w:tab/>
      </w:r>
      <w:r w:rsidR="00DC7FBA">
        <w:t>Osobám se ZP, které byly obviněny z trestného činu, náleží v rámci trestního řízení stejná procesní práva jako všem jiným osobám v postavení obviněného. Na všechny tyto osoby bez rozdílu se plně aplikuje zásada presumpce neviny podle § 2 odst. 2 trestního řádu.</w:t>
      </w:r>
    </w:p>
    <w:p w:rsidR="00DC7FBA" w:rsidRDefault="00EF6C12" w:rsidP="00DC7FBA">
      <w:pPr>
        <w:pStyle w:val="SingleTxtG"/>
      </w:pPr>
      <w:r>
        <w:t>1</w:t>
      </w:r>
      <w:r w:rsidR="000E2402">
        <w:t>42</w:t>
      </w:r>
      <w:r>
        <w:t>.</w:t>
      </w:r>
      <w:r w:rsidR="00DC7FBA">
        <w:tab/>
        <w:t>V rámci uplatnění práva na obhajobu přiznává trestní řád obviněné osobě se ZP, jakož i jakýmkoli dalším osobám obviněným, řadu oprávnění. Obviněný má právo vyjádřit se ke všem skutečnostem, které se mu kladou za vinu, a k důkazům o nich, není však povinen vypovídat. Může uvádět okolnosti a důkazy sloužící k jeho obhajobě, činit návrhy a podávat žádosti. Cítí-li se obviněný poškozen na svých právech, může žádat o přezkum postupu orgánu činného v trestním řízení nebo podávat v případech stanovených zákonem opravné prostředky proti rozhodnutí orgánů činných v trestním řízení. Obviněný má právo zúčastnit se projednání své věci v hlavním líčení i veřejném zasedání konaném o odvolání. Zde má právo vyjádřit se ke každému provedenému důkazu a pronést závěrečnou řeč, vč. posledního slova. Obviněný má právo vypovídat ve svém mateřském jazyce, resp. jazyce, který ovládá. Neovládá-li obviněný český jazyk, přibere se tlumočník.</w:t>
      </w:r>
    </w:p>
    <w:p w:rsidR="00DC7FBA" w:rsidRDefault="00EF6C12" w:rsidP="00DC7FBA">
      <w:pPr>
        <w:pStyle w:val="SingleTxtG"/>
      </w:pPr>
      <w:r>
        <w:t>1</w:t>
      </w:r>
      <w:r w:rsidR="000E2402">
        <w:t>4</w:t>
      </w:r>
      <w:r w:rsidR="00A3724D">
        <w:t>3</w:t>
      </w:r>
      <w:r>
        <w:t>.</w:t>
      </w:r>
      <w:r w:rsidR="00DC7FBA">
        <w:tab/>
        <w:t>Obviněný má právo radit se s obhájcem i během úkonů prováděných orgánem činným v trestním řízení. Obviněný má rovněž právo žádat, aby byl vyslýchán za účasti svého obhájce a aby se obhájce účastnil i jiných úkonů přípravného řízení. Je-li obviněný ve vazbě nebo ve výkonu trestu odnětí svobody, může s obhájcem mluvit bez přítomnosti třetí osoby.</w:t>
      </w:r>
    </w:p>
    <w:p w:rsidR="00A431D2" w:rsidRPr="00524DAA" w:rsidRDefault="00EF6C12" w:rsidP="00DC7FBA">
      <w:pPr>
        <w:pStyle w:val="SingleTxtG"/>
      </w:pPr>
      <w:r>
        <w:t>1</w:t>
      </w:r>
      <w:r w:rsidR="000E2402">
        <w:t>4</w:t>
      </w:r>
      <w:r w:rsidR="00A3724D">
        <w:t>4</w:t>
      </w:r>
      <w:r>
        <w:t>.</w:t>
      </w:r>
      <w:r w:rsidR="00DC7FBA">
        <w:tab/>
      </w:r>
      <w:r w:rsidR="00A21DA7" w:rsidRPr="00A21DA7">
        <w:t xml:space="preserve">K zajištění toho, aby osoby se </w:t>
      </w:r>
      <w:r w:rsidR="00A21DA7">
        <w:t xml:space="preserve">ZP </w:t>
      </w:r>
      <w:r w:rsidR="00A21DA7" w:rsidRPr="00A21DA7">
        <w:t>měly v rámci systému trestního soudnictví právo na stejné procesní zacházení, ochranu a záruky stanovené pro všechny</w:t>
      </w:r>
      <w:r w:rsidR="00A21DA7">
        <w:t>, d</w:t>
      </w:r>
      <w:r w:rsidR="00DC7FBA">
        <w:t xml:space="preserve">ále </w:t>
      </w:r>
      <w:r w:rsidR="00FE4FFF">
        <w:t xml:space="preserve">též </w:t>
      </w:r>
      <w:r w:rsidR="00DC7FBA">
        <w:t>viz výše odpovědi na otázky 11 a) a 11 b).</w:t>
      </w:r>
    </w:p>
    <w:p w:rsidR="00A431D2" w:rsidRPr="00524DAA" w:rsidRDefault="00A431D2" w:rsidP="001D4EF8">
      <w:pPr>
        <w:pStyle w:val="SingleTxtG"/>
      </w:pPr>
    </w:p>
    <w:p w:rsidR="00A431D2" w:rsidRPr="00F472FC" w:rsidRDefault="00A431D2" w:rsidP="00A431D2">
      <w:pPr>
        <w:pStyle w:val="H1G"/>
      </w:pPr>
      <w:r w:rsidRPr="00524DAA">
        <w:tab/>
      </w:r>
      <w:r w:rsidRPr="00524DAA">
        <w:tab/>
      </w:r>
      <w:r w:rsidR="006A2243">
        <w:t xml:space="preserve"> </w:t>
      </w:r>
      <w:r w:rsidRPr="00524DAA">
        <w:t>Odpověď na otázku č. 12 c)</w:t>
      </w:r>
    </w:p>
    <w:p w:rsidR="00A431D2" w:rsidRPr="00524DAA" w:rsidRDefault="00202F9F" w:rsidP="001D4EF8">
      <w:pPr>
        <w:pStyle w:val="SingleTxtG"/>
      </w:pPr>
      <w:r>
        <w:t>14</w:t>
      </w:r>
      <w:r w:rsidR="00780B8E">
        <w:t>5</w:t>
      </w:r>
      <w:r>
        <w:t>.</w:t>
      </w:r>
      <w:r>
        <w:tab/>
      </w:r>
      <w:r w:rsidR="0068312B">
        <w:t xml:space="preserve">K </w:t>
      </w:r>
      <w:r w:rsidR="0068312B" w:rsidRPr="0068312B">
        <w:t xml:space="preserve">zajištění toho, aby osoby se </w:t>
      </w:r>
      <w:r w:rsidR="0068312B">
        <w:t xml:space="preserve">ZP </w:t>
      </w:r>
      <w:r w:rsidR="0068312B" w:rsidRPr="0068312B">
        <w:t xml:space="preserve">měly právo na svobodu a osobní bezpečnost na rovnoprávném základě s ostatními, a </w:t>
      </w:r>
      <w:r w:rsidR="0068312B">
        <w:t xml:space="preserve">k </w:t>
      </w:r>
      <w:r w:rsidR="0068312B" w:rsidRPr="0068312B">
        <w:t>opatření</w:t>
      </w:r>
      <w:r w:rsidR="0068312B">
        <w:t>m</w:t>
      </w:r>
      <w:r w:rsidR="0068312B" w:rsidRPr="0068312B">
        <w:t xml:space="preserve"> přijatý</w:t>
      </w:r>
      <w:r w:rsidR="0068312B">
        <w:t>m</w:t>
      </w:r>
      <w:r w:rsidR="0068312B" w:rsidRPr="0068312B">
        <w:t xml:space="preserve"> k přezkumu a poskytnutí údajů o</w:t>
      </w:r>
      <w:r w:rsidR="00780B8E">
        <w:t> </w:t>
      </w:r>
      <w:r w:rsidR="0068312B" w:rsidRPr="0068312B">
        <w:t xml:space="preserve">všech případech, kdy byly osoby se </w:t>
      </w:r>
      <w:r w:rsidR="0068312B">
        <w:t xml:space="preserve">ZP </w:t>
      </w:r>
      <w:r w:rsidR="0068312B" w:rsidRPr="0068312B">
        <w:t>zbaveny svobody v zařízeních pro duševně nemocné, m</w:t>
      </w:r>
      <w:r w:rsidR="0068312B">
        <w:t xml:space="preserve">j. </w:t>
      </w:r>
      <w:r w:rsidR="0068312B" w:rsidRPr="0068312B">
        <w:t>i s ohledem na možnost odvolání</w:t>
      </w:r>
      <w:r w:rsidR="0068312B">
        <w:t>, k tomu v</w:t>
      </w:r>
      <w:r w:rsidR="006A2243" w:rsidRPr="006A2243">
        <w:t>iz výše odpověď na otázku 12 a)</w:t>
      </w:r>
      <w:r>
        <w:t>.</w:t>
      </w:r>
    </w:p>
    <w:p w:rsidR="00A431D2" w:rsidRPr="00524DAA" w:rsidRDefault="00A431D2" w:rsidP="001D4EF8">
      <w:pPr>
        <w:pStyle w:val="SingleTxtG"/>
      </w:pPr>
    </w:p>
    <w:p w:rsidR="00141DBD" w:rsidRPr="00F472FC" w:rsidRDefault="00141DBD" w:rsidP="00141DBD">
      <w:pPr>
        <w:pStyle w:val="H1G"/>
      </w:pPr>
      <w:r w:rsidRPr="00524DAA">
        <w:tab/>
      </w:r>
      <w:r w:rsidRPr="00524DAA">
        <w:tab/>
        <w:t>Odpověď na otázku č. 13 a)</w:t>
      </w:r>
    </w:p>
    <w:p w:rsidR="00CC0C42" w:rsidRDefault="00271E5A" w:rsidP="00CC0C42">
      <w:pPr>
        <w:pStyle w:val="SingleTxtG"/>
      </w:pPr>
      <w:r>
        <w:t>14</w:t>
      </w:r>
      <w:r w:rsidR="001D48B9">
        <w:t>6</w:t>
      </w:r>
      <w:r>
        <w:t>.</w:t>
      </w:r>
      <w:r w:rsidR="00613661">
        <w:tab/>
      </w:r>
      <w:r w:rsidR="00341C5A">
        <w:t xml:space="preserve">Podle </w:t>
      </w:r>
      <w:r w:rsidR="00CC0C42">
        <w:t>§ 89 z</w:t>
      </w:r>
      <w:r w:rsidR="00613661">
        <w:t>ákon</w:t>
      </w:r>
      <w:r w:rsidR="00CC0C42">
        <w:t>a</w:t>
      </w:r>
      <w:r w:rsidR="00613661">
        <w:t xml:space="preserve"> </w:t>
      </w:r>
      <w:r w:rsidR="00CC0C42">
        <w:t>o sociálních službách nelze při poskytování sociálních služeb používat opatření omezující pohyb osob, jimž jsou sociální služby poskytovány. Výjimku tvoří pouze případy přímého ohrožení jejich zdraví a života nebo zdraví a života jiných fyzických osob, a</w:t>
      </w:r>
      <w:r w:rsidR="00FD22E6">
        <w:t xml:space="preserve">však </w:t>
      </w:r>
      <w:r w:rsidR="00CC0C42">
        <w:t>jen za zákonem stanovených podmínek a pouze po dobu nezbytně nutnou, která postačuje k odstranění přímého ohrožení jejich zdraví a života a života jiných fyzických osob.</w:t>
      </w:r>
    </w:p>
    <w:p w:rsidR="00CC0C42" w:rsidRDefault="00271E5A" w:rsidP="00CC0C42">
      <w:pPr>
        <w:pStyle w:val="SingleTxtG"/>
      </w:pPr>
      <w:r>
        <w:t>1</w:t>
      </w:r>
      <w:r w:rsidR="00262E17">
        <w:t>4</w:t>
      </w:r>
      <w:r w:rsidR="006838C4">
        <w:t>7</w:t>
      </w:r>
      <w:r>
        <w:t>.</w:t>
      </w:r>
      <w:r w:rsidR="00D5124A">
        <w:tab/>
        <w:t>O</w:t>
      </w:r>
      <w:r w:rsidR="00CC0C42">
        <w:t>patření omezující pohyb osob lze použít pouze tehdy, pokud byla neúspěšně použita jiná opatření pro zabránění takového jednání os</w:t>
      </w:r>
      <w:r w:rsidR="006A5128">
        <w:t>oby, které ohrožuje její zdraví</w:t>
      </w:r>
      <w:r w:rsidR="006A5128">
        <w:br/>
      </w:r>
      <w:r w:rsidR="00CC0C42">
        <w:t>a život nebo zdraví a život jiných fyzických osob. Poskytovatel sociálních služeb je proto povinen podle konkrétní situace nejdříve využít možnosti slovního zklidnění situace a jiné způsoby pro zklidnění situace, např</w:t>
      </w:r>
      <w:r w:rsidR="00D5124A">
        <w:t>.</w:t>
      </w:r>
      <w:r w:rsidR="00CC0C42">
        <w:t xml:space="preserve"> odvrácení pozornosti, rozptýlení, aktivní naslouchání. Osoba musí být vhodným způsobem informována</w:t>
      </w:r>
      <w:r w:rsidR="00AF58AE">
        <w:t xml:space="preserve"> o tom</w:t>
      </w:r>
      <w:r w:rsidR="00CC0C42">
        <w:t xml:space="preserve">, že může být vůči ní použito opatření omezující její pohyb. Poskytovatel sociálních služeb je </w:t>
      </w:r>
      <w:r w:rsidR="00E56F5D">
        <w:t xml:space="preserve">při </w:t>
      </w:r>
      <w:r w:rsidR="00CC0C42">
        <w:t xml:space="preserve">použití opatření omezujících pohyb osob </w:t>
      </w:r>
      <w:r w:rsidR="00E56F5D">
        <w:t xml:space="preserve">povinen </w:t>
      </w:r>
      <w:r w:rsidR="00CC0C42">
        <w:t>zvolit vždy nejmírnější opatření. Zasáhnout lze nejdříve pomocí fyzických úchopů, poté umístěním osoby do místnosti zřízené k bezpečnému pobytu, popř</w:t>
      </w:r>
      <w:r w:rsidR="00E56F5D">
        <w:t>.</w:t>
      </w:r>
      <w:r w:rsidR="00CC0C42">
        <w:t xml:space="preserve"> lze na základě ordinace přivolaného lékaře a za jeho přít</w:t>
      </w:r>
      <w:r w:rsidR="00D43055">
        <w:t xml:space="preserve">omnosti podat </w:t>
      </w:r>
      <w:r w:rsidR="00AF58AE">
        <w:t xml:space="preserve">osobě </w:t>
      </w:r>
      <w:r w:rsidR="00D43055">
        <w:t>léčivé přípravky.</w:t>
      </w:r>
    </w:p>
    <w:p w:rsidR="00CC0C42" w:rsidRDefault="00271E5A" w:rsidP="00CC0C42">
      <w:pPr>
        <w:pStyle w:val="SingleTxtG"/>
      </w:pPr>
      <w:r>
        <w:t>1</w:t>
      </w:r>
      <w:r w:rsidR="00262E17">
        <w:t>4</w:t>
      </w:r>
      <w:r w:rsidR="006838C4">
        <w:t>8</w:t>
      </w:r>
      <w:r>
        <w:t>.</w:t>
      </w:r>
      <w:r w:rsidR="00CC0C42">
        <w:tab/>
        <w:t xml:space="preserve">Poskytovatel sociálních služeb je povinen poskytovat sociální služby tak, aby metody poskytování těchto služeb předcházely situacím, ve kterých je nezbytné použít opatření omezující pohyb osob. </w:t>
      </w:r>
      <w:r w:rsidR="00E56F5D">
        <w:t>O</w:t>
      </w:r>
      <w:r w:rsidR="00CC0C42">
        <w:t xml:space="preserve"> použití opatření omezujícího pohyb osob </w:t>
      </w:r>
      <w:r w:rsidR="00E56F5D">
        <w:t xml:space="preserve">je poskytovatel sociálních služeb povinen </w:t>
      </w:r>
      <w:r w:rsidR="00CC0C42">
        <w:t>informovat bez zbytečného odkladu zákonného zástupce nebo opatrovníka osoby, které jsou poskytovány sociální služby, nebo jde-li o nezletilou osobu, která byla svěřena na základě rozhodnutí příslušného orgánu do péče jiné osoby, tuto osobu, anebo fyzickou osobu, kterou osoba, které jsou poskytovány sociální služby, s j</w:t>
      </w:r>
      <w:r w:rsidR="00E56F5D">
        <w:t>ejím předchozím souhlasem určí.</w:t>
      </w:r>
    </w:p>
    <w:p w:rsidR="00CC0C42" w:rsidRDefault="00271E5A" w:rsidP="00CC0C42">
      <w:pPr>
        <w:pStyle w:val="SingleTxtG"/>
      </w:pPr>
      <w:r>
        <w:t>1</w:t>
      </w:r>
      <w:r w:rsidR="006838C4">
        <w:t>49</w:t>
      </w:r>
      <w:r>
        <w:t>.</w:t>
      </w:r>
      <w:r w:rsidR="00CC0C42">
        <w:tab/>
        <w:t>Poskytovatel sociálních služeb je povinen vést evidenci případů použití opatření omezujících pohyb osob v</w:t>
      </w:r>
      <w:r w:rsidR="00D43055">
        <w:t> </w:t>
      </w:r>
      <w:r w:rsidR="00CC0C42">
        <w:t>rozsahu</w:t>
      </w:r>
      <w:r w:rsidR="00D43055">
        <w:t>:</w:t>
      </w:r>
    </w:p>
    <w:p w:rsidR="00CC0C42" w:rsidRDefault="00CC0C42" w:rsidP="0087275C">
      <w:pPr>
        <w:pStyle w:val="SingleTxtG"/>
        <w:numPr>
          <w:ilvl w:val="0"/>
          <w:numId w:val="6"/>
        </w:numPr>
      </w:pPr>
      <w:r>
        <w:t>jméno, popř</w:t>
      </w:r>
      <w:r w:rsidR="00677FBA">
        <w:t>.</w:t>
      </w:r>
      <w:r>
        <w:t xml:space="preserve"> jména, p</w:t>
      </w:r>
      <w:r w:rsidR="00D43055">
        <w:t>říjmení a datum narození osoby,</w:t>
      </w:r>
    </w:p>
    <w:p w:rsidR="00CC0C42" w:rsidRDefault="00CC0C42" w:rsidP="0087275C">
      <w:pPr>
        <w:pStyle w:val="SingleTxtG"/>
        <w:numPr>
          <w:ilvl w:val="0"/>
          <w:numId w:val="6"/>
        </w:numPr>
      </w:pPr>
      <w:r>
        <w:t>datum, čas počátku a místo použití opatření omezujícího poh</w:t>
      </w:r>
      <w:r w:rsidR="00D43055">
        <w:t>yb osob a druh tohoto opatření,</w:t>
      </w:r>
    </w:p>
    <w:p w:rsidR="00CC0C42" w:rsidRDefault="00CC0C42" w:rsidP="0087275C">
      <w:pPr>
        <w:pStyle w:val="SingleTxtG"/>
        <w:numPr>
          <w:ilvl w:val="0"/>
          <w:numId w:val="6"/>
        </w:numPr>
      </w:pPr>
      <w:r>
        <w:t>důvod použití o</w:t>
      </w:r>
      <w:r w:rsidR="00D43055">
        <w:t>patření omezujícího pohyb osob,</w:t>
      </w:r>
    </w:p>
    <w:p w:rsidR="00CC0C42" w:rsidRDefault="00CC0C42" w:rsidP="0087275C">
      <w:pPr>
        <w:pStyle w:val="SingleTxtG"/>
        <w:numPr>
          <w:ilvl w:val="0"/>
          <w:numId w:val="6"/>
        </w:numPr>
      </w:pPr>
      <w:r>
        <w:t>jméno, popř</w:t>
      </w:r>
      <w:r w:rsidR="00D43055">
        <w:t>.</w:t>
      </w:r>
      <w:r>
        <w:t xml:space="preserve"> jména, a příjmení osoby, která opatření </w:t>
      </w:r>
      <w:r w:rsidR="00D43055">
        <w:t>omezujícího pohyb osob použila,</w:t>
      </w:r>
    </w:p>
    <w:p w:rsidR="00CC0C42" w:rsidRDefault="00CC0C42" w:rsidP="0087275C">
      <w:pPr>
        <w:pStyle w:val="SingleTxtG"/>
        <w:numPr>
          <w:ilvl w:val="0"/>
          <w:numId w:val="6"/>
        </w:numPr>
      </w:pPr>
      <w:r>
        <w:t>podání léčivého přípravku jako op</w:t>
      </w:r>
      <w:r w:rsidR="00D43055">
        <w:t>atření omezujícího pohyb osoby,</w:t>
      </w:r>
    </w:p>
    <w:p w:rsidR="00CC0C42" w:rsidRDefault="00CC0C42" w:rsidP="0087275C">
      <w:pPr>
        <w:pStyle w:val="SingleTxtG"/>
        <w:numPr>
          <w:ilvl w:val="0"/>
          <w:numId w:val="6"/>
        </w:numPr>
      </w:pPr>
      <w:r>
        <w:t>datum a čas ukončení použití opatření omez</w:t>
      </w:r>
      <w:r w:rsidR="00D43055">
        <w:t>ujícího pohyb osob,</w:t>
      </w:r>
    </w:p>
    <w:p w:rsidR="00CC0C42" w:rsidRDefault="00CC0C42" w:rsidP="0087275C">
      <w:pPr>
        <w:pStyle w:val="SingleTxtG"/>
        <w:numPr>
          <w:ilvl w:val="0"/>
          <w:numId w:val="6"/>
        </w:numPr>
      </w:pPr>
      <w:r>
        <w:t>popis bezprostředně předcházející situace před použitím opatření omezujícího pohyb osob, popis průběhu situace při použití tohoto opatření a její zhodnocení a popis bez</w:t>
      </w:r>
      <w:r w:rsidR="00D43055">
        <w:t>prostředně následující situace,</w:t>
      </w:r>
    </w:p>
    <w:p w:rsidR="00CC0C42" w:rsidRDefault="00CC0C42" w:rsidP="0087275C">
      <w:pPr>
        <w:pStyle w:val="SingleTxtG"/>
        <w:numPr>
          <w:ilvl w:val="0"/>
          <w:numId w:val="6"/>
        </w:numPr>
      </w:pPr>
      <w:r>
        <w:t>záznam o splnění povinnosti</w:t>
      </w:r>
      <w:r w:rsidR="00571A28">
        <w:t xml:space="preserve"> informovat </w:t>
      </w:r>
      <w:r w:rsidR="00941544">
        <w:t xml:space="preserve">zákonného zástupce, popř. jiné uvedené </w:t>
      </w:r>
      <w:r w:rsidR="00C57DE5">
        <w:t>osoby</w:t>
      </w:r>
      <w:r w:rsidR="00571A28">
        <w:t>,</w:t>
      </w:r>
    </w:p>
    <w:p w:rsidR="00CC0C42" w:rsidRDefault="00CC0C42" w:rsidP="0087275C">
      <w:pPr>
        <w:pStyle w:val="SingleTxtG"/>
        <w:numPr>
          <w:ilvl w:val="0"/>
          <w:numId w:val="6"/>
        </w:numPr>
      </w:pPr>
      <w:r>
        <w:lastRenderedPageBreak/>
        <w:t>popis případných poranění osob, ke kterým došlo při použití o</w:t>
      </w:r>
      <w:r w:rsidR="00941544">
        <w:t>patření omezujícího pohyb osob,</w:t>
      </w:r>
    </w:p>
    <w:p w:rsidR="00CC0C42" w:rsidRDefault="00CC0C42" w:rsidP="0087275C">
      <w:pPr>
        <w:pStyle w:val="SingleTxtG"/>
        <w:numPr>
          <w:ilvl w:val="0"/>
          <w:numId w:val="6"/>
        </w:numPr>
      </w:pPr>
      <w:r>
        <w:t xml:space="preserve">popis způsobu informování osoby </w:t>
      </w:r>
      <w:r w:rsidR="00941544">
        <w:t>o možnosti použití opatření omezujícího pohyb</w:t>
      </w:r>
      <w:r w:rsidR="00DF6BA8">
        <w:t>,</w:t>
      </w:r>
    </w:p>
    <w:p w:rsidR="00CC0C42" w:rsidRDefault="00CC0C42" w:rsidP="00CC0C42">
      <w:pPr>
        <w:pStyle w:val="SingleTxtG"/>
      </w:pPr>
      <w:r>
        <w:t>a umožnit nahlížení do této evidence osobě, u níž bylo použito opatření omezující pohyb osob, fyzické osobě, kterou osoba s jejím předchozím souhlasem určí, zákonnému zástupci nebo opatrovníkovi osoby nebo osobě jí blízké nebo fyzické osobě, které byla nezletilá osoba svěřena rozhodnutím příslušného orgánu do péče, zřizovateli zařízení, lékaři, členům inspekčního týmu při provádění inspekce poskytování sociálních sl</w:t>
      </w:r>
      <w:r w:rsidR="00DF6BA8">
        <w:t>užeb a ochránci.</w:t>
      </w:r>
    </w:p>
    <w:p w:rsidR="00613661" w:rsidRDefault="00271E5A" w:rsidP="0056059F">
      <w:pPr>
        <w:pStyle w:val="SingleTxtG"/>
      </w:pPr>
      <w:r>
        <w:t>1</w:t>
      </w:r>
      <w:r w:rsidR="00EF6C12">
        <w:t>5</w:t>
      </w:r>
      <w:r w:rsidR="006838C4">
        <w:t>0</w:t>
      </w:r>
      <w:r>
        <w:t>.</w:t>
      </w:r>
      <w:r w:rsidR="00BD6209">
        <w:tab/>
        <w:t>S účinností od 1</w:t>
      </w:r>
      <w:r w:rsidR="00575E3F">
        <w:t>7</w:t>
      </w:r>
      <w:r w:rsidR="00BD6209">
        <w:t xml:space="preserve">. </w:t>
      </w:r>
      <w:r w:rsidR="00575E3F">
        <w:t xml:space="preserve">prosince </w:t>
      </w:r>
      <w:r w:rsidR="00BD6209">
        <w:t>201</w:t>
      </w:r>
      <w:r w:rsidR="00575E3F">
        <w:t>8</w:t>
      </w:r>
      <w:r w:rsidR="00BD6209">
        <w:t xml:space="preserve"> vydalo k</w:t>
      </w:r>
      <w:r w:rsidR="00575E3F">
        <w:t xml:space="preserve"> uvedené </w:t>
      </w:r>
      <w:r w:rsidR="00BD6209">
        <w:t xml:space="preserve">problematice </w:t>
      </w:r>
      <w:r w:rsidR="00575E3F">
        <w:t xml:space="preserve">MPSV </w:t>
      </w:r>
      <w:r w:rsidR="0056059F">
        <w:t xml:space="preserve">aktualizovaný </w:t>
      </w:r>
      <w:r w:rsidR="00575E3F">
        <w:t xml:space="preserve">Doporučený </w:t>
      </w:r>
      <w:r w:rsidR="00BD6209">
        <w:t xml:space="preserve">postup č. </w:t>
      </w:r>
      <w:r w:rsidR="00E24DD9">
        <w:t>06/18</w:t>
      </w:r>
      <w:r w:rsidR="00575E3F">
        <w:t xml:space="preserve"> </w:t>
      </w:r>
      <w:r w:rsidR="006E7519">
        <w:t xml:space="preserve">pro </w:t>
      </w:r>
      <w:r w:rsidR="00575E3F">
        <w:t>používání opatření omezujících pohyb osob</w:t>
      </w:r>
      <w:r w:rsidR="00E24DD9">
        <w:t xml:space="preserve">, </w:t>
      </w:r>
      <w:r w:rsidR="00575E3F">
        <w:t>určený pro poskytovatele sociálních služeb, zadavatele a zřizovatele sociálních služeb, opatrovníky a další osoby.</w:t>
      </w:r>
      <w:r w:rsidR="0056059F">
        <w:t xml:space="preserve"> Cílem tohoto Doporučeného postupu je aktualizovat dosavadní Doporučený postup M</w:t>
      </w:r>
      <w:r w:rsidR="00AF58AE">
        <w:t xml:space="preserve">PSV </w:t>
      </w:r>
      <w:r w:rsidR="0056059F">
        <w:t>pro používání opatření omezující pohyb osob uveřejněný na webových</w:t>
      </w:r>
      <w:r w:rsidR="00AF58AE">
        <w:t xml:space="preserve"> </w:t>
      </w:r>
      <w:r w:rsidR="0056059F">
        <w:t>stránkách MPSV, vymezit pojmy a kontext pojmů, které Zákon používá</w:t>
      </w:r>
      <w:r w:rsidR="00C3794D">
        <w:t>, p</w:t>
      </w:r>
      <w:r w:rsidR="0056059F">
        <w:t xml:space="preserve">omoci Poskytovatelům při ochraně práv a důstojnosti </w:t>
      </w:r>
      <w:r w:rsidR="00C3794D">
        <w:t>o</w:t>
      </w:r>
      <w:r w:rsidR="0056059F">
        <w:t xml:space="preserve">soby i </w:t>
      </w:r>
      <w:r w:rsidR="00C3794D">
        <w:t xml:space="preserve">tehdy, </w:t>
      </w:r>
      <w:r w:rsidR="0056059F">
        <w:t>kdy je nutné omezit její pohyb z důvodu ochrany jejího vlastního zdraví</w:t>
      </w:r>
      <w:r w:rsidR="00C3794D">
        <w:t xml:space="preserve"> </w:t>
      </w:r>
      <w:r w:rsidR="0056059F">
        <w:t xml:space="preserve">a života nebo ochrany zdraví </w:t>
      </w:r>
      <w:r w:rsidR="00C3794D">
        <w:t xml:space="preserve">a života jiných fyzických osob </w:t>
      </w:r>
      <w:r w:rsidR="00AF58AE">
        <w:t xml:space="preserve">a nabídnout </w:t>
      </w:r>
      <w:r w:rsidR="0056059F">
        <w:t xml:space="preserve">Poskytovatelům metodickou pomoc při naplňování ustanovení </w:t>
      </w:r>
      <w:r w:rsidR="00AF58AE">
        <w:t>z</w:t>
      </w:r>
      <w:r w:rsidR="0056059F">
        <w:t>ákona týkajících se oblasti opatření omezujících pohyb osob.</w:t>
      </w:r>
    </w:p>
    <w:p w:rsidR="008F6BAC" w:rsidRDefault="00271E5A" w:rsidP="00554FF1">
      <w:pPr>
        <w:pStyle w:val="SingleTxtG"/>
      </w:pPr>
      <w:r>
        <w:t>1</w:t>
      </w:r>
      <w:r w:rsidR="000E2402">
        <w:t>5</w:t>
      </w:r>
      <w:r w:rsidR="006838C4">
        <w:t>1</w:t>
      </w:r>
      <w:r>
        <w:t>.</w:t>
      </w:r>
      <w:r w:rsidR="008F6BAC">
        <w:tab/>
        <w:t xml:space="preserve">MPSV </w:t>
      </w:r>
      <w:r w:rsidR="008F6BAC" w:rsidRPr="008F6BAC">
        <w:t>vede evidenc</w:t>
      </w:r>
      <w:r w:rsidR="008F6BAC">
        <w:t>i</w:t>
      </w:r>
      <w:r w:rsidR="008F6BAC" w:rsidRPr="008F6BAC">
        <w:t xml:space="preserve"> užití opatření omezujících pohyb, </w:t>
      </w:r>
      <w:r w:rsidR="008F6BAC">
        <w:t>ú</w:t>
      </w:r>
      <w:r w:rsidR="008F6BAC" w:rsidRPr="008F6BAC">
        <w:t>daje o užití opatření jsou uvedeny v následující tabulce:</w:t>
      </w:r>
    </w:p>
    <w:p w:rsidR="006A5128" w:rsidRDefault="006A5128" w:rsidP="00554FF1">
      <w:pPr>
        <w:pStyle w:val="SingleTxtG"/>
      </w:pPr>
    </w:p>
    <w:tbl>
      <w:tblPr>
        <w:tblW w:w="9414" w:type="dxa"/>
        <w:tblInd w:w="-10" w:type="dxa"/>
        <w:tblCellMar>
          <w:left w:w="70" w:type="dxa"/>
          <w:right w:w="70" w:type="dxa"/>
        </w:tblCellMar>
        <w:tblLook w:val="04A0" w:firstRow="1" w:lastRow="0" w:firstColumn="1" w:lastColumn="0" w:noHBand="0" w:noVBand="1"/>
      </w:tblPr>
      <w:tblGrid>
        <w:gridCol w:w="1843"/>
        <w:gridCol w:w="1260"/>
        <w:gridCol w:w="2000"/>
        <w:gridCol w:w="2500"/>
        <w:gridCol w:w="860"/>
        <w:gridCol w:w="940"/>
        <w:gridCol w:w="11"/>
      </w:tblGrid>
      <w:tr w:rsidR="003F25F4" w:rsidTr="003F25F4">
        <w:trPr>
          <w:trHeight w:val="400"/>
        </w:trPr>
        <w:tc>
          <w:tcPr>
            <w:tcW w:w="9414" w:type="dxa"/>
            <w:gridSpan w:val="7"/>
            <w:tcBorders>
              <w:top w:val="single" w:sz="8" w:space="0" w:color="auto"/>
              <w:left w:val="single" w:sz="8" w:space="0" w:color="auto"/>
              <w:bottom w:val="single" w:sz="8" w:space="0" w:color="auto"/>
              <w:right w:val="single" w:sz="8" w:space="0" w:color="000000"/>
            </w:tcBorders>
            <w:vAlign w:val="center"/>
            <w:hideMark/>
          </w:tcPr>
          <w:p w:rsidR="003F25F4" w:rsidRDefault="003F25F4">
            <w:pPr>
              <w:spacing w:line="240" w:lineRule="auto"/>
              <w:jc w:val="center"/>
              <w:rPr>
                <w:color w:val="000000"/>
                <w:lang w:eastAsia="cs-CZ"/>
              </w:rPr>
            </w:pPr>
            <w:r>
              <w:rPr>
                <w:color w:val="000000"/>
                <w:lang w:eastAsia="cs-CZ"/>
              </w:rPr>
              <w:t>Počty využití opatření omezujících pohyb v rámci sociálních služeb v letech 2013-2018</w:t>
            </w:r>
          </w:p>
        </w:tc>
      </w:tr>
      <w:tr w:rsidR="003F25F4" w:rsidTr="003F25F4">
        <w:trPr>
          <w:gridAfter w:val="1"/>
          <w:wAfter w:w="11" w:type="dxa"/>
          <w:trHeight w:val="870"/>
        </w:trPr>
        <w:tc>
          <w:tcPr>
            <w:tcW w:w="1843" w:type="dxa"/>
            <w:tcBorders>
              <w:top w:val="nil"/>
              <w:left w:val="single" w:sz="8" w:space="0" w:color="auto"/>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ROK/typ opatření</w:t>
            </w:r>
          </w:p>
        </w:tc>
        <w:tc>
          <w:tcPr>
            <w:tcW w:w="12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val="fr-FR" w:eastAsia="cs-CZ"/>
              </w:rPr>
              <w:t>Fyzické úchopy</w:t>
            </w:r>
          </w:p>
        </w:tc>
        <w:tc>
          <w:tcPr>
            <w:tcW w:w="20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val="fr-FR" w:eastAsia="cs-CZ"/>
              </w:rPr>
              <w:t>Umístění osoby do místnosti zřízené k bezpečnému pobytu</w:t>
            </w:r>
          </w:p>
        </w:tc>
        <w:tc>
          <w:tcPr>
            <w:tcW w:w="25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val="fr-FR" w:eastAsia="cs-CZ"/>
              </w:rPr>
              <w:t>Podání léků na základě ordinace přivolaného lékaře a za jeho přítomnosti</w:t>
            </w:r>
          </w:p>
        </w:tc>
        <w:tc>
          <w:tcPr>
            <w:tcW w:w="8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val="fr-FR" w:eastAsia="cs-CZ"/>
              </w:rPr>
              <w:t>Jiná opatření</w:t>
            </w:r>
          </w:p>
        </w:tc>
        <w:tc>
          <w:tcPr>
            <w:tcW w:w="940" w:type="dxa"/>
            <w:tcBorders>
              <w:top w:val="nil"/>
              <w:left w:val="nil"/>
              <w:bottom w:val="single" w:sz="8" w:space="0" w:color="auto"/>
              <w:right w:val="single" w:sz="8" w:space="0" w:color="auto"/>
            </w:tcBorders>
            <w:vAlign w:val="center"/>
            <w:hideMark/>
          </w:tcPr>
          <w:p w:rsidR="003F25F4" w:rsidRDefault="003F25F4">
            <w:pPr>
              <w:spacing w:line="240" w:lineRule="auto"/>
              <w:jc w:val="center"/>
              <w:rPr>
                <w:b/>
                <w:color w:val="000000"/>
                <w:lang w:eastAsia="cs-CZ"/>
              </w:rPr>
            </w:pPr>
            <w:r>
              <w:rPr>
                <w:b/>
                <w:color w:val="000000"/>
                <w:lang w:val="fr-FR" w:eastAsia="cs-CZ"/>
              </w:rPr>
              <w:t>Celkem</w:t>
            </w:r>
          </w:p>
        </w:tc>
      </w:tr>
      <w:tr w:rsidR="003F25F4" w:rsidTr="003F25F4">
        <w:trPr>
          <w:gridAfter w:val="1"/>
          <w:wAfter w:w="11" w:type="dxa"/>
          <w:trHeight w:val="300"/>
        </w:trPr>
        <w:tc>
          <w:tcPr>
            <w:tcW w:w="1843" w:type="dxa"/>
            <w:tcBorders>
              <w:top w:val="nil"/>
              <w:left w:val="single" w:sz="8" w:space="0" w:color="auto"/>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2013</w:t>
            </w:r>
          </w:p>
        </w:tc>
        <w:tc>
          <w:tcPr>
            <w:tcW w:w="12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1 006</w:t>
            </w:r>
          </w:p>
        </w:tc>
        <w:tc>
          <w:tcPr>
            <w:tcW w:w="20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438</w:t>
            </w:r>
          </w:p>
        </w:tc>
        <w:tc>
          <w:tcPr>
            <w:tcW w:w="25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983</w:t>
            </w:r>
          </w:p>
        </w:tc>
        <w:tc>
          <w:tcPr>
            <w:tcW w:w="8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1 724</w:t>
            </w:r>
          </w:p>
        </w:tc>
        <w:tc>
          <w:tcPr>
            <w:tcW w:w="940" w:type="dxa"/>
            <w:tcBorders>
              <w:top w:val="nil"/>
              <w:left w:val="nil"/>
              <w:bottom w:val="single" w:sz="8" w:space="0" w:color="auto"/>
              <w:right w:val="single" w:sz="8" w:space="0" w:color="auto"/>
            </w:tcBorders>
            <w:vAlign w:val="center"/>
            <w:hideMark/>
          </w:tcPr>
          <w:p w:rsidR="003F25F4" w:rsidRDefault="003F25F4">
            <w:pPr>
              <w:spacing w:line="240" w:lineRule="auto"/>
              <w:jc w:val="center"/>
              <w:rPr>
                <w:b/>
                <w:color w:val="000000"/>
                <w:lang w:eastAsia="cs-CZ"/>
              </w:rPr>
            </w:pPr>
            <w:r>
              <w:rPr>
                <w:b/>
                <w:color w:val="000000"/>
                <w:lang w:eastAsia="cs-CZ"/>
              </w:rPr>
              <w:t>4 151</w:t>
            </w:r>
          </w:p>
        </w:tc>
      </w:tr>
      <w:tr w:rsidR="003F25F4" w:rsidTr="003F25F4">
        <w:trPr>
          <w:gridAfter w:val="1"/>
          <w:wAfter w:w="11" w:type="dxa"/>
          <w:trHeight w:val="300"/>
        </w:trPr>
        <w:tc>
          <w:tcPr>
            <w:tcW w:w="1843" w:type="dxa"/>
            <w:tcBorders>
              <w:top w:val="nil"/>
              <w:left w:val="single" w:sz="8" w:space="0" w:color="auto"/>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2014</w:t>
            </w:r>
          </w:p>
        </w:tc>
        <w:tc>
          <w:tcPr>
            <w:tcW w:w="12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783</w:t>
            </w:r>
          </w:p>
        </w:tc>
        <w:tc>
          <w:tcPr>
            <w:tcW w:w="20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295</w:t>
            </w:r>
          </w:p>
        </w:tc>
        <w:tc>
          <w:tcPr>
            <w:tcW w:w="25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850</w:t>
            </w:r>
          </w:p>
        </w:tc>
        <w:tc>
          <w:tcPr>
            <w:tcW w:w="8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1 219</w:t>
            </w:r>
          </w:p>
        </w:tc>
        <w:tc>
          <w:tcPr>
            <w:tcW w:w="940" w:type="dxa"/>
            <w:tcBorders>
              <w:top w:val="nil"/>
              <w:left w:val="nil"/>
              <w:bottom w:val="single" w:sz="8" w:space="0" w:color="auto"/>
              <w:right w:val="single" w:sz="8" w:space="0" w:color="auto"/>
            </w:tcBorders>
            <w:vAlign w:val="center"/>
            <w:hideMark/>
          </w:tcPr>
          <w:p w:rsidR="003F25F4" w:rsidRDefault="003F25F4">
            <w:pPr>
              <w:spacing w:line="240" w:lineRule="auto"/>
              <w:jc w:val="center"/>
              <w:rPr>
                <w:b/>
                <w:color w:val="000000"/>
                <w:lang w:eastAsia="cs-CZ"/>
              </w:rPr>
            </w:pPr>
            <w:r>
              <w:rPr>
                <w:b/>
                <w:color w:val="000000"/>
                <w:lang w:eastAsia="cs-CZ"/>
              </w:rPr>
              <w:t>3 147</w:t>
            </w:r>
          </w:p>
        </w:tc>
      </w:tr>
      <w:tr w:rsidR="003F25F4" w:rsidTr="003F25F4">
        <w:trPr>
          <w:gridAfter w:val="1"/>
          <w:wAfter w:w="11" w:type="dxa"/>
          <w:trHeight w:val="300"/>
        </w:trPr>
        <w:tc>
          <w:tcPr>
            <w:tcW w:w="1843" w:type="dxa"/>
            <w:tcBorders>
              <w:top w:val="nil"/>
              <w:left w:val="single" w:sz="8" w:space="0" w:color="auto"/>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2015</w:t>
            </w:r>
          </w:p>
        </w:tc>
        <w:tc>
          <w:tcPr>
            <w:tcW w:w="12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931</w:t>
            </w:r>
          </w:p>
        </w:tc>
        <w:tc>
          <w:tcPr>
            <w:tcW w:w="20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203</w:t>
            </w:r>
          </w:p>
        </w:tc>
        <w:tc>
          <w:tcPr>
            <w:tcW w:w="25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468</w:t>
            </w:r>
          </w:p>
        </w:tc>
        <w:tc>
          <w:tcPr>
            <w:tcW w:w="8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1 409</w:t>
            </w:r>
          </w:p>
        </w:tc>
        <w:tc>
          <w:tcPr>
            <w:tcW w:w="940" w:type="dxa"/>
            <w:tcBorders>
              <w:top w:val="nil"/>
              <w:left w:val="nil"/>
              <w:bottom w:val="single" w:sz="8" w:space="0" w:color="auto"/>
              <w:right w:val="single" w:sz="8" w:space="0" w:color="auto"/>
            </w:tcBorders>
            <w:vAlign w:val="center"/>
            <w:hideMark/>
          </w:tcPr>
          <w:p w:rsidR="003F25F4" w:rsidRDefault="003F25F4">
            <w:pPr>
              <w:spacing w:line="240" w:lineRule="auto"/>
              <w:jc w:val="center"/>
              <w:rPr>
                <w:b/>
                <w:color w:val="000000"/>
                <w:lang w:eastAsia="cs-CZ"/>
              </w:rPr>
            </w:pPr>
            <w:r>
              <w:rPr>
                <w:b/>
                <w:color w:val="000000"/>
                <w:lang w:eastAsia="cs-CZ"/>
              </w:rPr>
              <w:t>3 011</w:t>
            </w:r>
          </w:p>
        </w:tc>
      </w:tr>
      <w:tr w:rsidR="003F25F4" w:rsidTr="003F25F4">
        <w:trPr>
          <w:gridAfter w:val="1"/>
          <w:wAfter w:w="11" w:type="dxa"/>
          <w:trHeight w:val="300"/>
        </w:trPr>
        <w:tc>
          <w:tcPr>
            <w:tcW w:w="1843" w:type="dxa"/>
            <w:tcBorders>
              <w:top w:val="nil"/>
              <w:left w:val="single" w:sz="8" w:space="0" w:color="auto"/>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2016</w:t>
            </w:r>
          </w:p>
        </w:tc>
        <w:tc>
          <w:tcPr>
            <w:tcW w:w="12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957</w:t>
            </w:r>
          </w:p>
        </w:tc>
        <w:tc>
          <w:tcPr>
            <w:tcW w:w="20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186</w:t>
            </w:r>
          </w:p>
        </w:tc>
        <w:tc>
          <w:tcPr>
            <w:tcW w:w="25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592</w:t>
            </w:r>
          </w:p>
        </w:tc>
        <w:tc>
          <w:tcPr>
            <w:tcW w:w="8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1 371</w:t>
            </w:r>
          </w:p>
        </w:tc>
        <w:tc>
          <w:tcPr>
            <w:tcW w:w="940" w:type="dxa"/>
            <w:tcBorders>
              <w:top w:val="nil"/>
              <w:left w:val="nil"/>
              <w:bottom w:val="single" w:sz="8" w:space="0" w:color="auto"/>
              <w:right w:val="single" w:sz="8" w:space="0" w:color="auto"/>
            </w:tcBorders>
            <w:vAlign w:val="center"/>
            <w:hideMark/>
          </w:tcPr>
          <w:p w:rsidR="003F25F4" w:rsidRDefault="003F25F4">
            <w:pPr>
              <w:spacing w:line="240" w:lineRule="auto"/>
              <w:jc w:val="center"/>
              <w:rPr>
                <w:b/>
                <w:color w:val="000000"/>
                <w:lang w:eastAsia="cs-CZ"/>
              </w:rPr>
            </w:pPr>
            <w:r>
              <w:rPr>
                <w:b/>
                <w:color w:val="000000"/>
                <w:lang w:eastAsia="cs-CZ"/>
              </w:rPr>
              <w:t>3 106</w:t>
            </w:r>
          </w:p>
        </w:tc>
      </w:tr>
      <w:tr w:rsidR="003F25F4" w:rsidTr="003F25F4">
        <w:trPr>
          <w:gridAfter w:val="1"/>
          <w:wAfter w:w="11" w:type="dxa"/>
          <w:trHeight w:val="300"/>
        </w:trPr>
        <w:tc>
          <w:tcPr>
            <w:tcW w:w="1843" w:type="dxa"/>
            <w:tcBorders>
              <w:top w:val="nil"/>
              <w:left w:val="single" w:sz="8" w:space="0" w:color="auto"/>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2017</w:t>
            </w:r>
          </w:p>
        </w:tc>
        <w:tc>
          <w:tcPr>
            <w:tcW w:w="12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val="fr-FR" w:eastAsia="cs-CZ"/>
              </w:rPr>
              <w:t>1 190</w:t>
            </w:r>
          </w:p>
        </w:tc>
        <w:tc>
          <w:tcPr>
            <w:tcW w:w="20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val="fr-FR" w:eastAsia="cs-CZ"/>
              </w:rPr>
              <w:t>309</w:t>
            </w:r>
          </w:p>
        </w:tc>
        <w:tc>
          <w:tcPr>
            <w:tcW w:w="25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val="fr-FR" w:eastAsia="cs-CZ"/>
              </w:rPr>
              <w:t>176</w:t>
            </w:r>
          </w:p>
        </w:tc>
        <w:tc>
          <w:tcPr>
            <w:tcW w:w="8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val="fr-FR" w:eastAsia="cs-CZ"/>
              </w:rPr>
              <w:t>1 488</w:t>
            </w:r>
          </w:p>
        </w:tc>
        <w:tc>
          <w:tcPr>
            <w:tcW w:w="940" w:type="dxa"/>
            <w:tcBorders>
              <w:top w:val="nil"/>
              <w:left w:val="nil"/>
              <w:bottom w:val="single" w:sz="8" w:space="0" w:color="auto"/>
              <w:right w:val="single" w:sz="8" w:space="0" w:color="auto"/>
            </w:tcBorders>
            <w:vAlign w:val="center"/>
            <w:hideMark/>
          </w:tcPr>
          <w:p w:rsidR="003F25F4" w:rsidRDefault="003F25F4">
            <w:pPr>
              <w:spacing w:line="240" w:lineRule="auto"/>
              <w:jc w:val="center"/>
              <w:rPr>
                <w:b/>
                <w:color w:val="000000"/>
                <w:lang w:eastAsia="cs-CZ"/>
              </w:rPr>
            </w:pPr>
            <w:r>
              <w:rPr>
                <w:b/>
                <w:color w:val="000000"/>
                <w:lang w:val="fr-FR" w:eastAsia="cs-CZ"/>
              </w:rPr>
              <w:t>3 163</w:t>
            </w:r>
          </w:p>
        </w:tc>
      </w:tr>
      <w:tr w:rsidR="003F25F4" w:rsidTr="003F25F4">
        <w:trPr>
          <w:gridAfter w:val="1"/>
          <w:wAfter w:w="11" w:type="dxa"/>
          <w:trHeight w:val="300"/>
        </w:trPr>
        <w:tc>
          <w:tcPr>
            <w:tcW w:w="1843" w:type="dxa"/>
            <w:tcBorders>
              <w:top w:val="nil"/>
              <w:left w:val="single" w:sz="8" w:space="0" w:color="auto"/>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2018</w:t>
            </w:r>
          </w:p>
        </w:tc>
        <w:tc>
          <w:tcPr>
            <w:tcW w:w="12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757</w:t>
            </w:r>
          </w:p>
        </w:tc>
        <w:tc>
          <w:tcPr>
            <w:tcW w:w="20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305</w:t>
            </w:r>
          </w:p>
        </w:tc>
        <w:tc>
          <w:tcPr>
            <w:tcW w:w="250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328</w:t>
            </w:r>
          </w:p>
        </w:tc>
        <w:tc>
          <w:tcPr>
            <w:tcW w:w="860" w:type="dxa"/>
            <w:tcBorders>
              <w:top w:val="nil"/>
              <w:left w:val="nil"/>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eastAsia="cs-CZ"/>
              </w:rPr>
              <w:t>1 714</w:t>
            </w:r>
          </w:p>
        </w:tc>
        <w:tc>
          <w:tcPr>
            <w:tcW w:w="940" w:type="dxa"/>
            <w:tcBorders>
              <w:top w:val="nil"/>
              <w:left w:val="nil"/>
              <w:bottom w:val="single" w:sz="8" w:space="0" w:color="auto"/>
              <w:right w:val="single" w:sz="8" w:space="0" w:color="auto"/>
            </w:tcBorders>
            <w:vAlign w:val="center"/>
            <w:hideMark/>
          </w:tcPr>
          <w:p w:rsidR="003F25F4" w:rsidRDefault="003F25F4">
            <w:pPr>
              <w:spacing w:line="240" w:lineRule="auto"/>
              <w:jc w:val="center"/>
              <w:rPr>
                <w:b/>
                <w:color w:val="000000"/>
                <w:lang w:eastAsia="cs-CZ"/>
              </w:rPr>
            </w:pPr>
            <w:r>
              <w:rPr>
                <w:b/>
                <w:color w:val="000000"/>
                <w:lang w:eastAsia="cs-CZ"/>
              </w:rPr>
              <w:t>3 104</w:t>
            </w:r>
          </w:p>
        </w:tc>
      </w:tr>
    </w:tbl>
    <w:p w:rsidR="008F6BAC" w:rsidRDefault="003949E0" w:rsidP="00554FF1">
      <w:pPr>
        <w:pStyle w:val="SingleTxtG"/>
      </w:pPr>
      <w:r>
        <w:t>* Zdroj: MPSV</w:t>
      </w:r>
    </w:p>
    <w:p w:rsidR="003949E0" w:rsidRDefault="003949E0" w:rsidP="00554FF1">
      <w:pPr>
        <w:pStyle w:val="SingleTxtG"/>
      </w:pPr>
    </w:p>
    <w:p w:rsidR="00554FF1" w:rsidRPr="00524DAA" w:rsidRDefault="00271E5A" w:rsidP="00554FF1">
      <w:pPr>
        <w:pStyle w:val="SingleTxtG"/>
      </w:pPr>
      <w:r>
        <w:t>1</w:t>
      </w:r>
      <w:r w:rsidR="000E2402">
        <w:t>5</w:t>
      </w:r>
      <w:r w:rsidR="006838C4">
        <w:t>2</w:t>
      </w:r>
      <w:r>
        <w:t>.</w:t>
      </w:r>
      <w:r w:rsidR="00554FF1" w:rsidRPr="00524DAA">
        <w:tab/>
        <w:t>Zákon o zdravotních službách vymezuje jednotlivé typy omezovacích prostředků a</w:t>
      </w:r>
      <w:r w:rsidR="00465EAE">
        <w:t> </w:t>
      </w:r>
      <w:r w:rsidR="00554FF1" w:rsidRPr="00524DAA">
        <w:t>stanovuje podmínky pro jejich použití. Omezovací prostředky lze použít pouze k</w:t>
      </w:r>
      <w:r w:rsidR="00465EAE">
        <w:t> </w:t>
      </w:r>
      <w:r w:rsidR="00554FF1" w:rsidRPr="00524DAA">
        <w:t>odvrácení bezprostředního ohrožení života, zdraví nebo bezpečnosti pacienta nebo jiných osob, po nezbytně nutnou dobu a po neúspěšném použití mírnějšího postupu. Vždy musí být zvolen ten nejméně omezující prostředek. Uvedené prvky byly v zákoně posíleny novelou z roku 2017. Použití omezovacího prostředku</w:t>
      </w:r>
      <w:r w:rsidR="00640201">
        <w:t xml:space="preserve"> musí vždy nařídit lékař. Pouze</w:t>
      </w:r>
      <w:r w:rsidR="00640201">
        <w:br/>
      </w:r>
      <w:r w:rsidR="00554FF1" w:rsidRPr="00524DAA">
        <w:t xml:space="preserve">v neodkladných případech může jeho použití nařídit i jiný zdravotnický pracovník, ale musí </w:t>
      </w:r>
      <w:r w:rsidR="001E4D4B">
        <w:t xml:space="preserve">o tom </w:t>
      </w:r>
      <w:r w:rsidR="00554FF1" w:rsidRPr="00524DAA">
        <w:t xml:space="preserve">neprodleně informovat lékaře, který odůvodněnost omezení potvrdí. </w:t>
      </w:r>
    </w:p>
    <w:p w:rsidR="00A431D2" w:rsidRPr="00524DAA" w:rsidRDefault="00271E5A" w:rsidP="00554FF1">
      <w:pPr>
        <w:pStyle w:val="SingleTxtG"/>
      </w:pPr>
      <w:r>
        <w:t>1</w:t>
      </w:r>
      <w:r w:rsidR="000E2402">
        <w:t>5</w:t>
      </w:r>
      <w:r w:rsidR="006838C4">
        <w:t>3</w:t>
      </w:r>
      <w:r>
        <w:t>.</w:t>
      </w:r>
      <w:r w:rsidR="00554FF1" w:rsidRPr="00524DAA">
        <w:tab/>
        <w:t>V roce 2018 vydalo MZ nové metodické doporučení k používání omezovacích prostředků ve zdravotnických zařízeních, které rozvádí a upřesňuje zákonná ustanovení. Zakazuje používat omezení jako prevenci či trest anebo systémové opatření při nedostatku personálu apod. Metodické doporučení vychází zejména z norem a doporučení Evropského výboru pro zabránění mučení a nelidskému či ponižujícímu zacházení nebo trestání. To dále specifikuje povinnosti vyplývající ze zákona. Je závazné pro všechny přímo</w:t>
      </w:r>
      <w:r w:rsidR="00375679" w:rsidRPr="00524DAA">
        <w:t xml:space="preserve"> </w:t>
      </w:r>
      <w:r w:rsidR="00554FF1" w:rsidRPr="00524DAA">
        <w:t>řízené nemocnice MZ a slouží jako doporučený a sjednocující postup pro zbývající zdravotnická zařízení. Dále posiluje subsidiaritu používání omezovacích prostředků jakožto ultima ratio, přičemž musí být vybrány nejméně omezující prostředky odpovídající účelu jeho použití. Snižuje také časové limity pro používání určitých om</w:t>
      </w:r>
      <w:r w:rsidR="00640201">
        <w:t>ezovacích prostředků, pokud jde</w:t>
      </w:r>
      <w:r w:rsidR="00640201">
        <w:br/>
      </w:r>
      <w:r w:rsidR="00554FF1" w:rsidRPr="00524DAA">
        <w:lastRenderedPageBreak/>
        <w:t>o síťová lůžka a ochranné místnosti – z 24 hodin na 12 hodin, s neustálým dohledem zdravotnického personálu, nebo na 3 hodiny, pokud jde o ochranné pásy nebo vesty. Doporučuje např. vypracovávat plán zvládání rizika u pacientů, maximální doby pro použití jednotlivých prostředků, adekvátní péči a důstojný přístup k pacientovi při omezení, vypracování vlastních vnitřních předpisů a kontinuální vzdělávání.</w:t>
      </w:r>
    </w:p>
    <w:p w:rsidR="00141DBD" w:rsidRPr="00524DAA" w:rsidRDefault="00141DBD" w:rsidP="001D4EF8">
      <w:pPr>
        <w:pStyle w:val="SingleTxtG"/>
      </w:pPr>
    </w:p>
    <w:p w:rsidR="00141DBD" w:rsidRPr="00F472FC" w:rsidRDefault="00141DBD" w:rsidP="00141DBD">
      <w:pPr>
        <w:pStyle w:val="H1G"/>
      </w:pPr>
      <w:r w:rsidRPr="00524DAA">
        <w:tab/>
      </w:r>
      <w:r w:rsidRPr="00524DAA">
        <w:tab/>
        <w:t>Odpověď na otázku č. 13 b)</w:t>
      </w:r>
    </w:p>
    <w:p w:rsidR="007826A9" w:rsidRDefault="007826A9" w:rsidP="007826A9">
      <w:pPr>
        <w:pStyle w:val="SingleTxtG"/>
      </w:pPr>
      <w:r>
        <w:t>154.</w:t>
      </w:r>
      <w:r>
        <w:tab/>
        <w:t>Dne 1. srpna 2016 nabyla účinnosti novela zákona o sociálních službách, jejímž cílem bylo vytvoření podmínek a zavedení pravidel a limitů pro poskytování sociálních služeb bez souhlasu klienta pobytové sociální služby. V návaznosti na to byla upravena vybraná ustanovení zákona o zvláštních řízeních soudních, která upravují řízení o vyslovení nepřípustnosti držení osoby v zařízení sociálních služeb.</w:t>
      </w:r>
    </w:p>
    <w:p w:rsidR="007826A9" w:rsidRDefault="007826A9" w:rsidP="007826A9">
      <w:pPr>
        <w:pStyle w:val="SingleTxtG"/>
      </w:pPr>
      <w:r>
        <w:t>1</w:t>
      </w:r>
      <w:r w:rsidR="00203593">
        <w:t>5</w:t>
      </w:r>
      <w:r>
        <w:t>5.</w:t>
      </w:r>
      <w:r>
        <w:tab/>
        <w:t>Uvedenou novelou zákona o sociálních službách byla stanovena povinnost poskytovatele sociální služby oznámit ve lhůtě 24 hodin soudu skutečnost, že osoba, která není schopna vypovědět smlouvu o poskytování pobytové sociální služby (protože za ni uzavřel smlouvu opatrovník nebo obecní úřad obce s rozšířenou působností podle § 91 odst. 6 zákona o sociálních službách), projeví vážně míněný nesouhlas s poskytováním pobytové sociální služby. Poskytovatel sociálních služeb má dále povinnost vést evidenci o osobách, kterým poskytuje pobytovou sociální službu na základě takto uzavřené smlouvy a dále o případech, kdy osoba vysloví vážně míněný nesouhlas s poskytováním pobytové sociální služby. Evidence mj. obsahuje:</w:t>
      </w:r>
    </w:p>
    <w:p w:rsidR="007826A9" w:rsidRDefault="007826A9" w:rsidP="007826A9">
      <w:pPr>
        <w:pStyle w:val="Bullet1G"/>
        <w:numPr>
          <w:ilvl w:val="0"/>
          <w:numId w:val="34"/>
        </w:numPr>
      </w:pPr>
      <w:r>
        <w:t>datum a četnost projevených vážně míněných nesouhlasů osoby s poskytováním pobytové sociální služby, vč. popisu situace,</w:t>
      </w:r>
    </w:p>
    <w:p w:rsidR="007826A9" w:rsidRDefault="007826A9" w:rsidP="007826A9">
      <w:pPr>
        <w:pStyle w:val="Bullet1G"/>
        <w:numPr>
          <w:ilvl w:val="0"/>
          <w:numId w:val="34"/>
        </w:numPr>
      </w:pPr>
      <w:r>
        <w:t>záznam o splnění povinnosti oznámit soudu podle § 91b odst. 1 zákona o sociálních službách skutečnost, že osoba projevila vážně míněný nesouhlas s poskytováním pobytové sociální služby,</w:t>
      </w:r>
    </w:p>
    <w:p w:rsidR="007826A9" w:rsidRDefault="007826A9" w:rsidP="007826A9">
      <w:pPr>
        <w:pStyle w:val="Bullet1G"/>
        <w:numPr>
          <w:ilvl w:val="0"/>
          <w:numId w:val="34"/>
        </w:numPr>
      </w:pPr>
      <w:r>
        <w:t>popis vyřešení situace.</w:t>
      </w:r>
    </w:p>
    <w:p w:rsidR="007826A9" w:rsidRDefault="007826A9" w:rsidP="007826A9">
      <w:pPr>
        <w:pStyle w:val="SingleTxtG"/>
      </w:pPr>
      <w:r>
        <w:t>1</w:t>
      </w:r>
      <w:r w:rsidR="00203593">
        <w:t>5</w:t>
      </w:r>
      <w:r>
        <w:t>6.</w:t>
      </w:r>
      <w:r>
        <w:tab/>
        <w:t>V návaznosti na shora uvedenou úpravu vydalo MPSV aktualizovaný doporučený postup č. 5/2018, k detencím v zařízení sociálních služeb, jehož účelem bylo poskytnout podporu a pomoc poskytovatelům sociálních služeb a pracovníkům obecních úřadů obcí s rozšířenou působností a opatrovníkům při řešení uvedených situací. Uvedený doporučený postup obsahuje mj. postup při uzavírání smlouvy, postup poskytovatele při projevení vážně míněného nesouhlasu, oznamovací povinnost poskytovatele, vedení evidence podle § 91c zákona o sociálních službách, roli inspekce poskytování sociálních služeb (sankce při neplnění povinnosti evidence, podmínky soudní ochrany, vč. zastupování a další podpory umístěného člověka, jakož i 2 přílohy: doporučený vzor Oznámení o držení a Doporučený vzor lékařského posudku.</w:t>
      </w:r>
    </w:p>
    <w:p w:rsidR="007826A9" w:rsidRDefault="007826A9" w:rsidP="007826A9">
      <w:pPr>
        <w:pStyle w:val="SingleTxtG"/>
      </w:pPr>
      <w:r>
        <w:t>1</w:t>
      </w:r>
      <w:r w:rsidR="00203593">
        <w:t>5</w:t>
      </w:r>
      <w:r>
        <w:t>7.</w:t>
      </w:r>
      <w:r>
        <w:tab/>
        <w:t>V zákoně o zvláštních řízeních soudních je stanovena lhůta pro rozhodnutí soudu o nepřípustnosti držení v sociálních službách (45 dnů ode dne zahájení řízení). Dále je doplněno, že rozhodne-li soud o nepřípustnosti držení v sociálních službách, je zařízení povinno člověka propustit. Vyslovil-li soud, že držení člověka v zařízení sociálních služeb je přípustné, může být řízení ze stejných důvodů zahájeno až po uplynutí 30 dnů od právní moci tohoto rozhodnutí.</w:t>
      </w:r>
    </w:p>
    <w:p w:rsidR="007826A9" w:rsidRDefault="007826A9" w:rsidP="007826A9">
      <w:pPr>
        <w:pStyle w:val="SingleTxtG"/>
      </w:pPr>
      <w:r>
        <w:t>1</w:t>
      </w:r>
      <w:r w:rsidR="00203593">
        <w:t>5</w:t>
      </w:r>
      <w:r>
        <w:t>8.</w:t>
      </w:r>
      <w:r>
        <w:tab/>
        <w:t>V souladu s § 8 odst. 1 písm. g) zákona o zvláštních řízeních soudních může státní zastupitelství vstoupit do zahájeného řízení ve věcech vyslovení přípustnosti převzetí nebo držení ve zdravotním ústavu nebo vyslovení nepřípustnosti držení v zařízení sociálních služeb. V uvedeném řízení může státní zastupitelství podat návrh na zahájení řízení. Pro účely zjištění podmínek k podání návrhu soudu na vyslovení nepřípustnosti držení v zařízení sociálních služeb je státní zastupitelství oprávněno:</w:t>
      </w:r>
    </w:p>
    <w:p w:rsidR="007826A9" w:rsidRDefault="007826A9" w:rsidP="007826A9">
      <w:pPr>
        <w:pStyle w:val="SingleTxtG"/>
        <w:numPr>
          <w:ilvl w:val="0"/>
          <w:numId w:val="35"/>
        </w:numPr>
      </w:pPr>
      <w:r>
        <w:t>vstupovat v kteroukoliv dobu do zařízení sociálních služeb,</w:t>
      </w:r>
    </w:p>
    <w:p w:rsidR="007826A9" w:rsidRDefault="007826A9" w:rsidP="007826A9">
      <w:pPr>
        <w:pStyle w:val="SingleTxtG"/>
        <w:numPr>
          <w:ilvl w:val="0"/>
          <w:numId w:val="35"/>
        </w:numPr>
      </w:pPr>
      <w:r>
        <w:t>nahlížet do dokumentace vedené zařízením sociálních služeb,</w:t>
      </w:r>
    </w:p>
    <w:p w:rsidR="007826A9" w:rsidRDefault="007826A9" w:rsidP="007826A9">
      <w:pPr>
        <w:pStyle w:val="SingleTxtG"/>
        <w:numPr>
          <w:ilvl w:val="0"/>
          <w:numId w:val="35"/>
        </w:numPr>
      </w:pPr>
      <w:r>
        <w:lastRenderedPageBreak/>
        <w:t>hovořit s osobami, kterým jsou v zařízení sociálních služeb poskytovány pobytové sociální služby, bez přítomnosti jiných osob,</w:t>
      </w:r>
    </w:p>
    <w:p w:rsidR="007826A9" w:rsidRDefault="007826A9" w:rsidP="007826A9">
      <w:pPr>
        <w:pStyle w:val="SingleTxtG"/>
        <w:numPr>
          <w:ilvl w:val="0"/>
          <w:numId w:val="35"/>
        </w:numPr>
      </w:pPr>
      <w:r>
        <w:t>požadovat od zaměstnanců poskytovatele sociálních služeb a dalších osob podílejících se na péči o osoby, kterým jsou v zařízení sociálních služeb poskytovány pobytové sociální služby, potřebná vysvětlení.</w:t>
      </w:r>
    </w:p>
    <w:p w:rsidR="007826A9" w:rsidRDefault="007826A9" w:rsidP="007826A9">
      <w:pPr>
        <w:pStyle w:val="SingleTxtG"/>
      </w:pPr>
      <w:r>
        <w:t>1</w:t>
      </w:r>
      <w:r w:rsidR="00E13AEE">
        <w:t>59</w:t>
      </w:r>
      <w:r>
        <w:t>.</w:t>
      </w:r>
      <w:r>
        <w:tab/>
        <w:t>Působnost v oblasti dohledu nad poskytováním sociálních služeb vykonává i ochránce, a to jako nezávislá instituce na ochranu a podporu lidských práv. Působnost a pravomoci ochránce jsou upraveny zákonem o Veřejném ochránci práv. Jeho úkolem je dbát na výkon státní správy v souladu se zákonem a s principy dobré správy, čímž přispívá k ochraně základních práv a svobod. Ochránce koná nezávislá šetření, dává doporučení</w:t>
      </w:r>
      <w:r>
        <w:br/>
        <w:t>k nápravě nedostatků a vyžaduje od úřadů jejich plnění. Stěžovateli může doporučit kroky</w:t>
      </w:r>
      <w:r>
        <w:br/>
        <w:t>k ochraně jeho práv. Úřady mají povinnost s ochráncem spolupracovat a činit opatření k nápravě, jinak ochránce informuje nadřízené úřady, vládu nebo veřejnost.</w:t>
      </w:r>
    </w:p>
    <w:p w:rsidR="007826A9" w:rsidRDefault="007826A9" w:rsidP="007826A9">
      <w:pPr>
        <w:pStyle w:val="SingleTxtG"/>
      </w:pPr>
      <w:r>
        <w:t>1</w:t>
      </w:r>
      <w:r w:rsidR="00E13AEE">
        <w:t>60</w:t>
      </w:r>
      <w:r>
        <w:t>.</w:t>
      </w:r>
      <w:r>
        <w:tab/>
        <w:t>Ochránce provádí systematické návštěvy míst, kde se nacházejí nebo mohou nacházet osoby omezené na svobodě veřejnou mocí nebo v důsledku závislosti na poskytované péči, s cílem posílit ochranu těchto osob před mučením, krutým, nelidským, ponižujícím zacházením nebo trestáním a jiným špatným zacházením. Za taková místa se považují i místa, kde se nacházejí nebo mohou nacházet osoby omezené na svobodě v důsledku závislosti na poskytované péči, zejména zařízení sociálních služeb a jiná zařízení poskytující obdobnou péči, zdravotnická zařízení a zařízení SPOD.</w:t>
      </w:r>
    </w:p>
    <w:p w:rsidR="007826A9" w:rsidRDefault="007826A9" w:rsidP="005200CB">
      <w:pPr>
        <w:pStyle w:val="SingleTxtG"/>
      </w:pPr>
    </w:p>
    <w:p w:rsidR="00AA357A" w:rsidRPr="00524DAA" w:rsidRDefault="00271E5A" w:rsidP="005200CB">
      <w:pPr>
        <w:pStyle w:val="SingleTxtG"/>
      </w:pPr>
      <w:r>
        <w:t>1</w:t>
      </w:r>
      <w:r w:rsidR="00846F61">
        <w:t>61</w:t>
      </w:r>
      <w:r>
        <w:t>.</w:t>
      </w:r>
      <w:r w:rsidR="005200CB" w:rsidRPr="00524DAA">
        <w:tab/>
        <w:t>Zákon č. 273/2008 Sb., o Policii České republiky (zákon o policii) obsahuje základní právní záruky pro všechny osoby zbavené osobní svobody, tedy i pro osoby se ZP.</w:t>
      </w:r>
    </w:p>
    <w:p w:rsidR="005200CB" w:rsidRPr="00524DAA" w:rsidRDefault="00271E5A" w:rsidP="005200CB">
      <w:pPr>
        <w:pStyle w:val="SingleTxtG"/>
      </w:pPr>
      <w:r>
        <w:t>1</w:t>
      </w:r>
      <w:r w:rsidR="00846F61">
        <w:t>62</w:t>
      </w:r>
      <w:r>
        <w:t>.</w:t>
      </w:r>
      <w:r w:rsidR="00AA357A" w:rsidRPr="00524DAA">
        <w:tab/>
      </w:r>
      <w:r w:rsidR="005200CB" w:rsidRPr="00524DAA">
        <w:t>Ustanovení § 11 cit. zákona zakotvuje pro postupy policie povinnost dodržovat zásadu přiměřenosti, která znamená, že policista a zaměstnanec policie jsou povinni dbát, aby žádné osobě v důsledku jejich postupu nevznikla bezdůvodná újma, aby jejich rozhodnutím neprovést úkon nevznikla osobám, jejichž bezpečnost je ohrožena, bezdůvodná újma a postupovat tak, aby případný zásah do práv a svobod osob, vůči nimž směřuje úkon, nebo osob nezúčastněných nepřekročil míru nezbytnou k dosažení účelu sledovaného úkonem. § 24 zákona o policii dále stanoví, že osoba omezená na svobodě policistou nesmí být podrobena mučení nebo krutému, nelidskému anebo ponižujícímu zacházení a nesmí s ní být zacházeno takovým způsobem, který nerespektuje lidskou důstojnost. Policista, který se stane svědkem takového zacházení, má povinnost přijmout opatření k zamezení takovému zacházení a oznámit je bezodkladně svému nadřízenému. Policisté jsou již od počátku svého služebního poměru průběžně proškolováni/y v otázkách zacházení s osobami omezenými na osobní svobodě, uplatňování práv těchto osob a také přiměřenosti postupu vůči takovým osobám, vč. použití donucovacích prostředků a jasného zákazu jakékoli formy špatného zacházení (fyzického, verbálního či psychického). V těchto opatřeních bude policie nadále pokračovat, a to jak na úrovni základní odborné přípravy, určené pro začínající policisty, tak v rámci pravidelných školení pro již sloužící policisty. Podle § 97 zákona o policii pak může každý upozornit na nedostatky v činnosti policejního útvaru, policisty nebo zaměstnance policie, nebo na skutečnost, že se policista nebo zaměstnanec policie dopustil jednání, které naplňuje znaky trestného činu, přestupku nebo kázeňského přestupku. Policista nebo útvar policie musí upozornění přijmout a do 30 dnů ode dne přijetí upozornění vyrozumí toho, kdo jej učinil</w:t>
      </w:r>
      <w:r w:rsidR="00640201">
        <w:t>, o přijatých opatřeních, pokud</w:t>
      </w:r>
      <w:r w:rsidR="00640201">
        <w:br/>
      </w:r>
      <w:r w:rsidR="005200CB" w:rsidRPr="00524DAA">
        <w:t xml:space="preserve">o toto vyrozumění osoba požádá. </w:t>
      </w:r>
    </w:p>
    <w:p w:rsidR="005200CB" w:rsidRPr="00524DAA" w:rsidRDefault="00271E5A" w:rsidP="005200CB">
      <w:pPr>
        <w:pStyle w:val="SingleTxtG"/>
      </w:pPr>
      <w:r>
        <w:t>1</w:t>
      </w:r>
      <w:r w:rsidR="00846F61">
        <w:t>63</w:t>
      </w:r>
      <w:r>
        <w:t>.</w:t>
      </w:r>
      <w:r w:rsidR="00AA357A" w:rsidRPr="00524DAA">
        <w:tab/>
      </w:r>
      <w:r w:rsidR="005200CB" w:rsidRPr="00524DAA">
        <w:t xml:space="preserve">V souladu s § 175 správního řádu lze také na postup policie či policisty podat stížnost. Stížnost je třeba podat u útvaru policie, proti jehož příslušníkovi nebo zaměstnanci směřuje. Za správné vyřízení stížnosti odpovídá ředitel konkrétního útvaru policie. Pokud stěžovatel má za to, že jeho stížnost nebyla řádně vyřízena, může požádat nadřízený útvar policie, aby přešetřil způsob vyřízení stížnosti. Stížnost, která nebyla vyřízena ihned, musí být vyřízena do 60 dnů ode dne jejího doručení útvaru policie příslušnému k jejímu vyřízení. O vyřízení stížnosti musí být stěžovatel v této lhůtě vyrozuměn. Stanovenou lhůtu lze překročit jen tehdy, nelze-li v jejím průběhu zajistit podklady potřebné pro vyřízení stížnosti. </w:t>
      </w:r>
    </w:p>
    <w:p w:rsidR="00141DBD" w:rsidRPr="00524DAA" w:rsidRDefault="00271E5A" w:rsidP="005200CB">
      <w:pPr>
        <w:pStyle w:val="SingleTxtG"/>
      </w:pPr>
      <w:r>
        <w:lastRenderedPageBreak/>
        <w:t>1</w:t>
      </w:r>
      <w:r w:rsidR="00846F61">
        <w:t>64</w:t>
      </w:r>
      <w:r>
        <w:t>.</w:t>
      </w:r>
      <w:r w:rsidR="00AA357A" w:rsidRPr="00524DAA">
        <w:tab/>
      </w:r>
      <w:r w:rsidR="005200CB" w:rsidRPr="00524DAA">
        <w:t>Osoby omezené na osobní svobodě Policií Č</w:t>
      </w:r>
      <w:r w:rsidR="00640201">
        <w:t>R, které chtějí učinit oznámení</w:t>
      </w:r>
      <w:r w:rsidR="00640201">
        <w:br/>
      </w:r>
      <w:r w:rsidR="005200CB" w:rsidRPr="00524DAA">
        <w:t>o špatném zacházení ze strany policistů, se mohou obrátit na policejní orgán Generální inspekce bezpečnostních sborů, která je zcela instituc</w:t>
      </w:r>
      <w:r w:rsidR="00640201">
        <w:t>ionálně nezávislá na Policii ČR</w:t>
      </w:r>
      <w:r w:rsidR="00640201">
        <w:br/>
      </w:r>
      <w:r w:rsidR="005200CB" w:rsidRPr="00524DAA">
        <w:t xml:space="preserve">a skýtá tak záruky definované judikaturou Evropského soudu pro lidská práva ohledně účinného vyšetřování (např. rozsudek ve věci </w:t>
      </w:r>
      <w:proofErr w:type="spellStart"/>
      <w:r w:rsidR="005200CB" w:rsidRPr="00524DAA">
        <w:t>Kummer</w:t>
      </w:r>
      <w:proofErr w:type="spellEnd"/>
      <w:r w:rsidR="005200CB" w:rsidRPr="00524DAA">
        <w:t xml:space="preserve"> proti České republice, č. 32133/11). V případě, že se osoby omezené na osobní svobodě obrátí na vnitřní kontrolní útvar Policie ČR, přičemž oznámení o možném špatném zacházení má charakter tzv. hájitelného tvrzení, je toto oznámení postoupeno Generální inspekci bezpečnostních sborů.</w:t>
      </w:r>
    </w:p>
    <w:p w:rsidR="00141DBD" w:rsidRPr="00524DAA" w:rsidRDefault="00141DBD" w:rsidP="001D4EF8">
      <w:pPr>
        <w:pStyle w:val="SingleTxtG"/>
      </w:pPr>
    </w:p>
    <w:p w:rsidR="00141DBD" w:rsidRPr="00F472FC" w:rsidRDefault="00141DBD" w:rsidP="00141DBD">
      <w:pPr>
        <w:pStyle w:val="H1G"/>
      </w:pPr>
      <w:r w:rsidRPr="00524DAA">
        <w:tab/>
      </w:r>
      <w:r w:rsidRPr="00524DAA">
        <w:tab/>
        <w:t>Odpověď na otázku č. 13 c)</w:t>
      </w:r>
    </w:p>
    <w:p w:rsidR="00E92F20" w:rsidRPr="00524DAA" w:rsidRDefault="00271E5A" w:rsidP="00E92F20">
      <w:pPr>
        <w:pStyle w:val="SingleTxtG"/>
      </w:pPr>
      <w:r>
        <w:t>1</w:t>
      </w:r>
      <w:r w:rsidR="00846F61">
        <w:t>65</w:t>
      </w:r>
      <w:r>
        <w:t>.</w:t>
      </w:r>
      <w:r w:rsidR="00E92F20" w:rsidRPr="00524DAA">
        <w:tab/>
      </w:r>
      <w:r w:rsidR="000541EC">
        <w:t xml:space="preserve">ČR </w:t>
      </w:r>
      <w:r w:rsidR="00E92F20" w:rsidRPr="00524DAA">
        <w:t>striktně odmítá tvrzení, že by se v domov</w:t>
      </w:r>
      <w:r w:rsidR="00640201">
        <w:t>ech a zařízeních neústavní péče</w:t>
      </w:r>
      <w:r w:rsidR="00640201">
        <w:br/>
      </w:r>
      <w:r w:rsidR="00E92F20" w:rsidRPr="00524DAA">
        <w:t>a pečovatelských službách u dětí používaly jako výchovný prostředek tělesné tresty.</w:t>
      </w:r>
      <w:r w:rsidR="00937A10">
        <w:t xml:space="preserve"> Z</w:t>
      </w:r>
      <w:r w:rsidR="00937A10" w:rsidRPr="00937A10">
        <w:t xml:space="preserve">ákaz </w:t>
      </w:r>
      <w:r w:rsidR="00937A10">
        <w:t xml:space="preserve">používání </w:t>
      </w:r>
      <w:r w:rsidR="00937A10" w:rsidRPr="00937A10">
        <w:t xml:space="preserve">tělesných trestů </w:t>
      </w:r>
      <w:r w:rsidR="00937A10">
        <w:t>u</w:t>
      </w:r>
      <w:r w:rsidR="00937A10" w:rsidRPr="00937A10">
        <w:t xml:space="preserve"> dět</w:t>
      </w:r>
      <w:r w:rsidR="00937A10">
        <w:t>í</w:t>
      </w:r>
      <w:r w:rsidR="00937A10" w:rsidRPr="00937A10">
        <w:t xml:space="preserve"> je povinnou součástí interních předpisů </w:t>
      </w:r>
      <w:r w:rsidR="00953506">
        <w:t>v</w:t>
      </w:r>
      <w:r w:rsidR="003F144C">
        <w:t>šech</w:t>
      </w:r>
      <w:r w:rsidR="00953506">
        <w:t xml:space="preserve"> </w:t>
      </w:r>
      <w:r w:rsidR="00937A10" w:rsidRPr="00937A10">
        <w:t>zařízení, v</w:t>
      </w:r>
      <w:r w:rsidR="00953506">
        <w:t> </w:t>
      </w:r>
      <w:r w:rsidR="00937A10" w:rsidRPr="00937A10">
        <w:t>nichž se nacházejí</w:t>
      </w:r>
      <w:r w:rsidR="0014550A">
        <w:t xml:space="preserve"> děti</w:t>
      </w:r>
      <w:r w:rsidR="00937A10" w:rsidRPr="00937A10">
        <w:t>.</w:t>
      </w:r>
    </w:p>
    <w:p w:rsidR="00141DBD" w:rsidRPr="00524DAA" w:rsidRDefault="00271E5A" w:rsidP="00E92F20">
      <w:pPr>
        <w:pStyle w:val="SingleTxtG"/>
      </w:pPr>
      <w:r>
        <w:t>1</w:t>
      </w:r>
      <w:r w:rsidR="00DA4DB1">
        <w:t>6</w:t>
      </w:r>
      <w:r w:rsidR="00846F61">
        <w:t>6</w:t>
      </w:r>
      <w:r>
        <w:t>.</w:t>
      </w:r>
      <w:r w:rsidR="00E92F20" w:rsidRPr="00524DAA">
        <w:tab/>
        <w:t xml:space="preserve">Tělesné tresty jako takové nejsou </w:t>
      </w:r>
      <w:r w:rsidR="00CD6CED">
        <w:t xml:space="preserve">sice </w:t>
      </w:r>
      <w:r w:rsidR="00E92F20" w:rsidRPr="00524DAA">
        <w:t>v ČR legislativou zakázány, a</w:t>
      </w:r>
      <w:r w:rsidR="00CD6CED">
        <w:t>však</w:t>
      </w:r>
      <w:r w:rsidR="00E92F20" w:rsidRPr="00524DAA">
        <w:t xml:space="preserve"> § 884 odst.</w:t>
      </w:r>
      <w:r w:rsidR="00CD6CED">
        <w:t> </w:t>
      </w:r>
      <w:r w:rsidR="00E92F20" w:rsidRPr="00524DAA">
        <w:t>2 občansk</w:t>
      </w:r>
      <w:r w:rsidR="00465F93">
        <w:t>ého</w:t>
      </w:r>
      <w:r w:rsidR="00E92F20" w:rsidRPr="00524DAA">
        <w:t xml:space="preserve"> zákoník</w:t>
      </w:r>
      <w:r w:rsidR="00465F93">
        <w:t>u</w:t>
      </w:r>
      <w:r w:rsidR="00E92F20" w:rsidRPr="00524DAA">
        <w:t xml:space="preserve"> upravuje výchovné prostředky. Výchovné prostředky lze použít pouze v podobě a míře, která je přiměřená okolnostem, neohrožuje zdraví dítěte ani jeho rozvoj a nedotýká se lidské důstojnosti dítěte.</w:t>
      </w:r>
    </w:p>
    <w:p w:rsidR="00A431D2" w:rsidRPr="00524DAA" w:rsidRDefault="00A431D2" w:rsidP="001D4EF8">
      <w:pPr>
        <w:pStyle w:val="SingleTxtG"/>
      </w:pPr>
    </w:p>
    <w:p w:rsidR="00543D8B" w:rsidRPr="00F472FC" w:rsidRDefault="00543D8B" w:rsidP="00543D8B">
      <w:pPr>
        <w:pStyle w:val="H1G"/>
      </w:pPr>
      <w:r w:rsidRPr="00524DAA">
        <w:tab/>
      </w:r>
      <w:r w:rsidRPr="00524DAA">
        <w:tab/>
        <w:t>Odpověď na otázku č. 14 a)</w:t>
      </w:r>
    </w:p>
    <w:p w:rsidR="00D11E42" w:rsidRPr="00524DAA" w:rsidRDefault="00271E5A" w:rsidP="00D11E42">
      <w:pPr>
        <w:pStyle w:val="SingleTxtG"/>
      </w:pPr>
      <w:r>
        <w:t>1</w:t>
      </w:r>
      <w:r w:rsidR="00263745">
        <w:t>6</w:t>
      </w:r>
      <w:r w:rsidR="006A701A">
        <w:t>7</w:t>
      </w:r>
      <w:r>
        <w:t>.</w:t>
      </w:r>
      <w:r w:rsidR="00D11E42" w:rsidRPr="00524DAA">
        <w:tab/>
        <w:t xml:space="preserve">Na dětské oběti násilí a zneužívání se soustředí systém veřejnoprávní ochrany dětí zajišťovaný OSPOD, který </w:t>
      </w:r>
      <w:r w:rsidR="000157FF">
        <w:t xml:space="preserve">zahrnuje </w:t>
      </w:r>
      <w:r w:rsidR="00D11E42" w:rsidRPr="00524DAA">
        <w:t>i dět</w:t>
      </w:r>
      <w:r w:rsidR="000157FF">
        <w:t>i</w:t>
      </w:r>
      <w:r w:rsidR="00D11E42" w:rsidRPr="00524DAA">
        <w:t xml:space="preserve"> se ZP, a to za předpokladu, že: </w:t>
      </w:r>
    </w:p>
    <w:p w:rsidR="00D11E42" w:rsidRPr="00524DAA" w:rsidRDefault="00D11E42" w:rsidP="008B52A4">
      <w:pPr>
        <w:pStyle w:val="Bullet1G"/>
      </w:pPr>
      <w:r w:rsidRPr="00524DAA">
        <w:t>byl na nich spáchán trestný čin ohrožující jejich život, zdraví, svobodu, jejich lidskou důstojnost, mravní vývoj nebo jmění, nebo je podezření ze spáchání takového činu;</w:t>
      </w:r>
    </w:p>
    <w:p w:rsidR="00D11E42" w:rsidRPr="00524DAA" w:rsidRDefault="00D11E42" w:rsidP="008B52A4">
      <w:pPr>
        <w:pStyle w:val="Bullet1G"/>
      </w:pPr>
      <w:r w:rsidRPr="00524DAA">
        <w:t>jsou ohrožovány násilím mezi rodiči nebo jinými osobami odpovědnými za výchovu dítěte, popř</w:t>
      </w:r>
      <w:r w:rsidR="008B52A4" w:rsidRPr="00524DAA">
        <w:t>.</w:t>
      </w:r>
      <w:r w:rsidRPr="00524DAA">
        <w:t xml:space="preserve"> násilím mezi dalšími fyzickými osobami;</w:t>
      </w:r>
    </w:p>
    <w:p w:rsidR="00141DBD" w:rsidRPr="00524DAA" w:rsidRDefault="00271E5A" w:rsidP="00D11E42">
      <w:pPr>
        <w:pStyle w:val="SingleTxtG"/>
      </w:pPr>
      <w:r>
        <w:t>1</w:t>
      </w:r>
      <w:r w:rsidR="00E14B65">
        <w:t>6</w:t>
      </w:r>
      <w:r w:rsidR="00263745">
        <w:t>8</w:t>
      </w:r>
      <w:r>
        <w:t>.</w:t>
      </w:r>
      <w:r w:rsidR="008B52A4" w:rsidRPr="00524DAA">
        <w:tab/>
      </w:r>
      <w:r w:rsidR="00D11E42" w:rsidRPr="00524DAA">
        <w:t>V rámci standardizace výkonu SPOD byla zavedena specializace pracovníků OSPOD na agendu ochrany týraných a zneužívaných dětí, kdy v týmu pracovníků vykonávajících veřejnoprávní ochranu dětí působí sociální pracovník, který se profesně specializuje na tuto oblast, a zabývá se případy děts</w:t>
      </w:r>
      <w:r w:rsidR="00670B12">
        <w:t>kých obětí násilí a zneužívání,</w:t>
      </w:r>
      <w:r w:rsidR="00670B12">
        <w:br/>
      </w:r>
      <w:r w:rsidR="00D11E42" w:rsidRPr="00524DAA">
        <w:t>vč</w:t>
      </w:r>
      <w:r w:rsidR="008B52A4" w:rsidRPr="00524DAA">
        <w:t>.</w:t>
      </w:r>
      <w:r w:rsidR="00D11E42" w:rsidRPr="00524DAA">
        <w:t xml:space="preserve"> komerčního zneužívání. Pracovníci OSPOD pak společně s dítětem, jemu blízkými osobami, s poskytovateli specializovaných služeb plánují, řídí a koordinují opatření na ochranu dítěte.</w:t>
      </w:r>
    </w:p>
    <w:p w:rsidR="00263745" w:rsidRDefault="00263745" w:rsidP="00263745">
      <w:pPr>
        <w:pStyle w:val="SingleTxtG"/>
      </w:pPr>
      <w:r>
        <w:t>169.</w:t>
      </w:r>
      <w:r>
        <w:tab/>
        <w:t>Skutkové podstaty trestných činů spadajících do kategorie vykořisťování, násilí</w:t>
      </w:r>
      <w:r>
        <w:br/>
        <w:t>a zneužívání jsou upraveny v trestním zákoníku, v němž jsou stanoveny i sankce za spáchání těchto trestných činů.</w:t>
      </w:r>
    </w:p>
    <w:p w:rsidR="00263745" w:rsidRDefault="00263745" w:rsidP="00263745">
      <w:pPr>
        <w:pStyle w:val="SingleTxtG"/>
      </w:pPr>
      <w:r>
        <w:t>170.</w:t>
      </w:r>
      <w:r>
        <w:tab/>
        <w:t>Na pomoc osobám, které se staly obětí trestných činů, se soustředí zákon o obětech trestných činů, jenž také vymezuje kategorie zvlášť zranitelných obětí trestných činů, do nichž jsou zahrnuty děti (oběti mladší 18 let) a osoby vysokého věku či osoby se ZP, pokud tyto skutečnosti mohou vzhledem k okolnostem případu a poměrům dané osoby bránit jejímu plnému a účelnému uplatnění ve společnosti ve srovnání s jejími ostatními členy. U těchto osob je navíc zohledněna jejich zranitelnost, a proto jim zákon garantuje zvlášť citlivé zacházení.</w:t>
      </w:r>
    </w:p>
    <w:p w:rsidR="00D11E42" w:rsidRDefault="00263745" w:rsidP="00263745">
      <w:pPr>
        <w:pStyle w:val="SingleTxtG"/>
      </w:pPr>
      <w:r>
        <w:t>171.</w:t>
      </w:r>
      <w:r>
        <w:tab/>
        <w:t xml:space="preserve">Oběti trestných činů mají na základě zákona o obětech trestných činů právo na informace, které se týkají věci, v níž se staly obětí trestného činu. Dále mají právo na odbornou pomoc, která zahrnuje psychologické služby, sociální poradenství, právní pomoc, poskytování právních informací a možnost účasti v tzv. restorativních programech, sloužících k obnově vztahů a nápravě vzniklé újmy. Oběti mají rovněž právo na ochranu soukromí, dále na ochranu před druhotnou újmou a právo na doprovod důvěrníkem, kterým </w:t>
      </w:r>
      <w:r>
        <w:lastRenderedPageBreak/>
        <w:t>může být fyzická osoba způsobilá k právním úkonům, kterou si oběť zvolí, kdy účelem je zejména poskytnutí podpory a psychické pomoci. Za podmínek stanovených zákonem o obětech trestných činů má oběť možnost získat také peněžitou pomoc. Zvlášť zranitelné oběti trestných činů mají nad rámec uvedeného nárok na bezplatnou odbornou pomoc, na učinění opatření k zabránění bezprostředního vizuálního kontaktu s pachatelem, na zvýšenou ochranu při výslechu či při podání vysvětlení (právo na obzvláště citlivý výslech, na provedení výslechu vyškolenou osobou v upravených nebo přizpůsobených prostorech aj.). Všechny kategorie zvlášť zranitelných obětí, vyjma obětí trestného činu zanedbání povinné výživy, mají s účinností od 1. dubna 2017 též právo na zastupování zmocněncem bezplatně bez splnění dalších podmínek; jde-li o zvlášť zranitelnou oběť, která je obětí trestného činu zanedbání povinné výživy, má právo na zastoupení zmocněncem bezplatně nebo za sníženou cenu, jsou-li naplněny další zákonné podmínky.“.</w:t>
      </w:r>
    </w:p>
    <w:p w:rsidR="00263745" w:rsidRPr="00524DAA" w:rsidRDefault="00263745" w:rsidP="00263745">
      <w:pPr>
        <w:pStyle w:val="SingleTxtG"/>
      </w:pPr>
    </w:p>
    <w:p w:rsidR="00543D8B" w:rsidRPr="00F472FC" w:rsidRDefault="00543D8B" w:rsidP="00543D8B">
      <w:pPr>
        <w:pStyle w:val="H1G"/>
      </w:pPr>
      <w:r w:rsidRPr="00524DAA">
        <w:tab/>
      </w:r>
      <w:r w:rsidRPr="00524DAA">
        <w:tab/>
        <w:t>Odpověď na otázku č. 14 b)</w:t>
      </w:r>
    </w:p>
    <w:p w:rsidR="00543D8B" w:rsidRDefault="00271E5A" w:rsidP="001D4EF8">
      <w:pPr>
        <w:pStyle w:val="SingleTxtG"/>
      </w:pPr>
      <w:r>
        <w:t>1</w:t>
      </w:r>
      <w:r w:rsidR="0095642D">
        <w:t>72</w:t>
      </w:r>
      <w:r>
        <w:t>.</w:t>
      </w:r>
      <w:r>
        <w:tab/>
      </w:r>
      <w:r w:rsidR="00E539EA">
        <w:t xml:space="preserve">Podle </w:t>
      </w:r>
      <w:r w:rsidR="001C2E53" w:rsidRPr="001C2E53">
        <w:t>zákon</w:t>
      </w:r>
      <w:r w:rsidR="00E539EA">
        <w:t>a</w:t>
      </w:r>
      <w:r w:rsidR="001C2E53" w:rsidRPr="001C2E53">
        <w:t xml:space="preserve"> o sociálních službách </w:t>
      </w:r>
      <w:r w:rsidR="00E539EA">
        <w:t xml:space="preserve">má oběť sexuálního a domácího násilí </w:t>
      </w:r>
      <w:r w:rsidR="001C2E53" w:rsidRPr="001C2E53">
        <w:t>k</w:t>
      </w:r>
      <w:r w:rsidR="00E539EA">
        <w:t> </w:t>
      </w:r>
      <w:r w:rsidR="001C2E53" w:rsidRPr="001C2E53">
        <w:t>dispozici řadu sociálních služeb, které může ve své obtížné životní situaci využívat. Jedná se především o intervenční centra, azylové domy a odborné sociální poradenství. Prostřednictvím intervenčního centra je osobě ohrožené násilným chováním jiné osoby bezplatně nabídnuta pomoc rychle následující po vykázání násilníka ze společného obydlí. Sociální služby v intervenčním centru jsou poskytovány jako služby ambulantní, terénní nebo pobytové. Azylové domy poskytují pobytové s</w:t>
      </w:r>
      <w:r w:rsidR="00670B12">
        <w:t>lužby na přechodnou dobu osobám</w:t>
      </w:r>
      <w:r w:rsidR="00670B12">
        <w:br/>
      </w:r>
      <w:r w:rsidR="001C2E53" w:rsidRPr="001C2E53">
        <w:t>v nepříznivé sociální situaci spojené se ztrátou bydlení. Azylové domy se mohou specializovat na cílovou skupinu osob ohrožených domácím násilím a mohou mít utajenou adresu. Odborné sociální poradenství pak může být poskytováno mimo jiné v poradnách pro oběti trestných činů a domácího násilí. Poradny poskytují především zprostředkování kontaktu se společenským prostředím, sociálně terapeutické činnosti a pomoc při uplatňování práv, oprávněných zájmů a při obstarávání osobních záležitostí.</w:t>
      </w:r>
    </w:p>
    <w:p w:rsidR="00813E4E" w:rsidRDefault="0087149C" w:rsidP="00813E4E">
      <w:pPr>
        <w:pStyle w:val="SingleTxtG"/>
      </w:pPr>
      <w:r>
        <w:t>1</w:t>
      </w:r>
      <w:r w:rsidR="00775823">
        <w:t>73</w:t>
      </w:r>
      <w:r>
        <w:t>.</w:t>
      </w:r>
      <w:r w:rsidR="00813E4E">
        <w:tab/>
        <w:t xml:space="preserve">Řešení problematiky násilí v sociálních službách je i součástí </w:t>
      </w:r>
      <w:r w:rsidR="00975481">
        <w:t xml:space="preserve">systémového </w:t>
      </w:r>
      <w:r w:rsidR="00813E4E">
        <w:t>projektu MPSV „Život jako každý jiný“ (2016–2020).</w:t>
      </w:r>
      <w:r w:rsidR="004E3225">
        <w:t xml:space="preserve"> Dne </w:t>
      </w:r>
      <w:r w:rsidR="00813E4E">
        <w:t xml:space="preserve">14. </w:t>
      </w:r>
      <w:r w:rsidR="004E3225">
        <w:t xml:space="preserve">června </w:t>
      </w:r>
      <w:r w:rsidR="00813E4E">
        <w:t xml:space="preserve">2017 se </w:t>
      </w:r>
      <w:r w:rsidR="00975481">
        <w:t xml:space="preserve">v rámci tohoto projektu </w:t>
      </w:r>
      <w:r w:rsidR="00813E4E">
        <w:t>konal kulatý stůl na téma násilí v sociálních službách</w:t>
      </w:r>
      <w:r w:rsidR="00975481">
        <w:t xml:space="preserve">, na kterém </w:t>
      </w:r>
      <w:r w:rsidR="00813E4E">
        <w:t>byla diskutována témata</w:t>
      </w:r>
      <w:r w:rsidR="00975481">
        <w:t xml:space="preserve"> jako</w:t>
      </w:r>
      <w:r w:rsidR="00813E4E">
        <w:t>: definice násilného jednání v sociálních službách</w:t>
      </w:r>
      <w:r w:rsidR="00975481">
        <w:t>,</w:t>
      </w:r>
      <w:r w:rsidR="00813E4E">
        <w:t xml:space="preserve"> </w:t>
      </w:r>
      <w:r w:rsidR="00975481">
        <w:t xml:space="preserve">vymezení </w:t>
      </w:r>
      <w:r w:rsidR="00813E4E">
        <w:t>zranitelných skupin o</w:t>
      </w:r>
      <w:r w:rsidR="00975481">
        <w:t>so</w:t>
      </w:r>
      <w:r w:rsidR="00813E4E">
        <w:t xml:space="preserve">b, </w:t>
      </w:r>
      <w:r w:rsidR="00975481">
        <w:t xml:space="preserve">identifikace nástrojů </w:t>
      </w:r>
      <w:r w:rsidR="00813E4E">
        <w:t>používan</w:t>
      </w:r>
      <w:r w:rsidR="00975481">
        <w:t>ých</w:t>
      </w:r>
      <w:r w:rsidR="00813E4E">
        <w:t xml:space="preserve"> pro zjišťování násilného jednání a jeho řešení v</w:t>
      </w:r>
      <w:r w:rsidR="00975481">
        <w:t xml:space="preserve"> působnosti </w:t>
      </w:r>
      <w:r w:rsidR="00813E4E">
        <w:t>různých resort</w:t>
      </w:r>
      <w:r w:rsidR="00975481">
        <w:t>ů</w:t>
      </w:r>
      <w:r w:rsidR="00813E4E">
        <w:t xml:space="preserve"> či návrhy na realizaci </w:t>
      </w:r>
      <w:r w:rsidR="00975481">
        <w:t xml:space="preserve">dostupných </w:t>
      </w:r>
      <w:r w:rsidR="00813E4E">
        <w:t xml:space="preserve">řešení. Výstupem kulatého stolu byl </w:t>
      </w:r>
      <w:r w:rsidR="00975481">
        <w:t xml:space="preserve">i </w:t>
      </w:r>
      <w:r w:rsidR="00813E4E">
        <w:t>podnět k</w:t>
      </w:r>
      <w:r w:rsidR="00975481">
        <w:t xml:space="preserve"> vypracování </w:t>
      </w:r>
      <w:r w:rsidR="00813E4E">
        <w:t xml:space="preserve">doporučeného postupu k násilí v sociálních službách. V návaznosti na </w:t>
      </w:r>
      <w:r w:rsidR="00975481">
        <w:t>to byla</w:t>
      </w:r>
      <w:r w:rsidR="00813E4E">
        <w:t xml:space="preserve"> </w:t>
      </w:r>
      <w:r w:rsidR="00975481">
        <w:t xml:space="preserve">zřízena </w:t>
      </w:r>
      <w:r w:rsidR="00813E4E">
        <w:t>pracovní skupina k násilí v sociálních službách</w:t>
      </w:r>
      <w:r w:rsidR="00975481">
        <w:t xml:space="preserve">, která v roce 2019 vypracovala návrh </w:t>
      </w:r>
      <w:r w:rsidR="00813E4E">
        <w:t>doporučen</w:t>
      </w:r>
      <w:r w:rsidR="00975481">
        <w:t>ého</w:t>
      </w:r>
      <w:r w:rsidR="00813E4E">
        <w:t xml:space="preserve"> postup</w:t>
      </w:r>
      <w:r w:rsidR="00975481">
        <w:t>u</w:t>
      </w:r>
      <w:r w:rsidR="00813E4E">
        <w:t xml:space="preserve"> pro řešení a prevenci násilného jednání v sociálních službách</w:t>
      </w:r>
      <w:r w:rsidR="00975481">
        <w:t xml:space="preserve">. </w:t>
      </w:r>
      <w:r w:rsidR="00813E4E">
        <w:t xml:space="preserve">V rámci projektu </w:t>
      </w:r>
      <w:r w:rsidR="00975481">
        <w:t xml:space="preserve">se dále realizuje </w:t>
      </w:r>
      <w:r w:rsidR="00813E4E">
        <w:t>analýza násilné</w:t>
      </w:r>
      <w:r w:rsidR="00975481">
        <w:t xml:space="preserve">ho </w:t>
      </w:r>
      <w:r w:rsidR="00813E4E">
        <w:t xml:space="preserve">jednání na osobách se </w:t>
      </w:r>
      <w:r w:rsidR="00975481">
        <w:t xml:space="preserve">ZP </w:t>
      </w:r>
      <w:r w:rsidR="00813E4E">
        <w:t xml:space="preserve">v rámci pobytových sociálních služeb. Analýza se zaměřuje na to, jak významným rizikem je </w:t>
      </w:r>
      <w:r w:rsidR="00EF4F23">
        <w:t xml:space="preserve">v rámci pobytových sociálních služeb </w:t>
      </w:r>
      <w:r w:rsidR="00813E4E">
        <w:t>násilí páchané na ženách a</w:t>
      </w:r>
      <w:r w:rsidR="00EF4F23">
        <w:t> </w:t>
      </w:r>
      <w:r w:rsidR="00813E4E">
        <w:t xml:space="preserve">mužích se </w:t>
      </w:r>
      <w:r w:rsidR="00975481">
        <w:t xml:space="preserve">ZP </w:t>
      </w:r>
      <w:r w:rsidR="00813E4E">
        <w:t xml:space="preserve">a </w:t>
      </w:r>
      <w:r w:rsidR="00EF4F23">
        <w:t xml:space="preserve">na </w:t>
      </w:r>
      <w:r w:rsidR="00813E4E">
        <w:t>vyhodnocení toho, jakým způsobem je problematik</w:t>
      </w:r>
      <w:r w:rsidR="00EF4F23">
        <w:t>a</w:t>
      </w:r>
      <w:r w:rsidR="00813E4E">
        <w:t xml:space="preserve"> </w:t>
      </w:r>
      <w:r w:rsidR="00EF4F23">
        <w:t xml:space="preserve">uvedeného </w:t>
      </w:r>
      <w:r w:rsidR="00813E4E">
        <w:t xml:space="preserve">násilí </w:t>
      </w:r>
      <w:r w:rsidR="00EF4F23">
        <w:t>řešena</w:t>
      </w:r>
      <w:r w:rsidR="00813E4E">
        <w:t>, tj. řešení případů násilného jednání a jejich prevence se zohledněním genderové dimenze. Ohrožení násilím je vnímáno jako jeden z</w:t>
      </w:r>
      <w:r w:rsidR="00EF4F23">
        <w:t xml:space="preserve"> významných </w:t>
      </w:r>
      <w:r w:rsidR="00813E4E">
        <w:t xml:space="preserve">faktorů ovlivňujících kvalitu života </w:t>
      </w:r>
      <w:r w:rsidR="00EF4F23">
        <w:t xml:space="preserve">osob </w:t>
      </w:r>
      <w:r w:rsidR="00813E4E">
        <w:t>využívajících pobytové sociální služby.</w:t>
      </w:r>
    </w:p>
    <w:p w:rsidR="00813E4E" w:rsidRDefault="0087149C" w:rsidP="00813E4E">
      <w:pPr>
        <w:pStyle w:val="SingleTxtG"/>
      </w:pPr>
      <w:r>
        <w:t>1</w:t>
      </w:r>
      <w:r w:rsidR="00775823">
        <w:t>74</w:t>
      </w:r>
      <w:r>
        <w:t>.</w:t>
      </w:r>
      <w:r w:rsidR="00EF4F23">
        <w:tab/>
      </w:r>
      <w:r w:rsidR="00813E4E">
        <w:t xml:space="preserve">V rámci </w:t>
      </w:r>
      <w:r w:rsidR="00EF4F23">
        <w:t xml:space="preserve">dalšího </w:t>
      </w:r>
      <w:r w:rsidR="00813E4E">
        <w:t>projektu MPSV „Rozvoj systému sociálních služeb“ vznik</w:t>
      </w:r>
      <w:r w:rsidR="00F875E2">
        <w:t>á</w:t>
      </w:r>
      <w:r w:rsidR="00813E4E">
        <w:t xml:space="preserve"> analýza k dostupnosti specializovaných sociálních služeb pro osoby ohrožené domácím a</w:t>
      </w:r>
      <w:r w:rsidR="00EF4F23">
        <w:t> </w:t>
      </w:r>
      <w:r w:rsidR="00813E4E">
        <w:t>genderově podmíněným násilím v ČR. Hlavním cílem této analýzy je zjistit, jaká je situace z hlediska kvality a dostupnosti v poskytování specializovaných služeb pro osoby ohrožené domácím násilím a genderově podmíněným násilím v</w:t>
      </w:r>
      <w:r w:rsidR="00EF4F23">
        <w:t> </w:t>
      </w:r>
      <w:r w:rsidR="00813E4E">
        <w:t>ČR</w:t>
      </w:r>
      <w:r w:rsidR="00EF4F23">
        <w:t>,</w:t>
      </w:r>
      <w:r w:rsidR="00813E4E">
        <w:t xml:space="preserve"> vč</w:t>
      </w:r>
      <w:r w:rsidR="00EF4F23">
        <w:t>.</w:t>
      </w:r>
      <w:r w:rsidR="00813E4E">
        <w:t xml:space="preserve"> s</w:t>
      </w:r>
      <w:r w:rsidR="00670B12">
        <w:t>lužeb pro děti ohrožené násilím</w:t>
      </w:r>
      <w:r w:rsidR="00670B12">
        <w:br/>
      </w:r>
      <w:r w:rsidR="00813E4E">
        <w:t>v rodině, a jakým způsobem je v českém systému sociálních služeb naplněn požadavek, který vychází z Usnesení Evropského parlamentu ze dne 25.</w:t>
      </w:r>
      <w:r w:rsidR="00E33671">
        <w:t> </w:t>
      </w:r>
      <w:r w:rsidR="00813E4E">
        <w:t>února</w:t>
      </w:r>
      <w:r w:rsidR="00E33671">
        <w:t> </w:t>
      </w:r>
      <w:r w:rsidR="00813E4E">
        <w:t>2014, obsahující doporučení Komise o boj</w:t>
      </w:r>
      <w:r w:rsidR="00E33671">
        <w:t>i</w:t>
      </w:r>
      <w:r w:rsidR="00813E4E">
        <w:t xml:space="preserve"> proti násilí páchanému na ženách (2013/2004(INL).</w:t>
      </w:r>
    </w:p>
    <w:p w:rsidR="00032D5F" w:rsidRDefault="002B6138" w:rsidP="00813E4E">
      <w:pPr>
        <w:pStyle w:val="SingleTxtG"/>
      </w:pPr>
      <w:r>
        <w:t>175.</w:t>
      </w:r>
      <w:r>
        <w:tab/>
        <w:t>K</w:t>
      </w:r>
      <w:r w:rsidR="000A1BD1">
        <w:t xml:space="preserve"> zajištění </w:t>
      </w:r>
      <w:r>
        <w:t xml:space="preserve">toho, </w:t>
      </w:r>
      <w:r w:rsidRPr="002B6138">
        <w:t xml:space="preserve">že osoby se </w:t>
      </w:r>
      <w:r>
        <w:t>ZP</w:t>
      </w:r>
      <w:r w:rsidRPr="002B6138">
        <w:t>, vč</w:t>
      </w:r>
      <w:r>
        <w:t>.</w:t>
      </w:r>
      <w:r w:rsidRPr="002B6138">
        <w:t xml:space="preserve"> dětí se </w:t>
      </w:r>
      <w:r>
        <w:t xml:space="preserve">ZP </w:t>
      </w:r>
      <w:r w:rsidRPr="002B6138">
        <w:t xml:space="preserve">nadále žijící v ústavech </w:t>
      </w:r>
      <w:r>
        <w:t xml:space="preserve">mají </w:t>
      </w:r>
      <w:r w:rsidRPr="002B6138">
        <w:t>k dispozici mechanismy pro podávání oznámení a</w:t>
      </w:r>
      <w:r>
        <w:t xml:space="preserve"> stížností i opravné prostředky viz </w:t>
      </w:r>
      <w:r w:rsidR="000A1BD1">
        <w:t xml:space="preserve">výše </w:t>
      </w:r>
      <w:r>
        <w:t xml:space="preserve">odpověď na otázku č. </w:t>
      </w:r>
      <w:r w:rsidR="0008696A">
        <w:t>12 a) a 13 b).</w:t>
      </w:r>
    </w:p>
    <w:p w:rsidR="002B6138" w:rsidRDefault="002B6138" w:rsidP="00813E4E">
      <w:pPr>
        <w:pStyle w:val="SingleTxtG"/>
      </w:pPr>
    </w:p>
    <w:p w:rsidR="00543D8B" w:rsidRPr="00F472FC" w:rsidRDefault="0071475E" w:rsidP="00543D8B">
      <w:pPr>
        <w:pStyle w:val="H1G"/>
      </w:pPr>
      <w:r>
        <w:tab/>
      </w:r>
      <w:r w:rsidR="00543D8B" w:rsidRPr="00524DAA">
        <w:tab/>
        <w:t>Odpověď na otázku č. 14 c)</w:t>
      </w:r>
    </w:p>
    <w:p w:rsidR="00543D8B" w:rsidRPr="00524DAA" w:rsidRDefault="00D25A05" w:rsidP="001D4EF8">
      <w:pPr>
        <w:pStyle w:val="SingleTxtG"/>
      </w:pPr>
      <w:r>
        <w:t>1</w:t>
      </w:r>
      <w:r w:rsidR="004B1C5E">
        <w:t>7</w:t>
      </w:r>
      <w:r w:rsidR="00B003A8">
        <w:t>6</w:t>
      </w:r>
      <w:r>
        <w:t>.</w:t>
      </w:r>
      <w:r w:rsidR="00A5739A" w:rsidRPr="00524DAA">
        <w:tab/>
        <w:t>MPSV vyhodnocuje každoročně statistické ukaz</w:t>
      </w:r>
      <w:r w:rsidR="00670B12">
        <w:t>atele týkající se dětí vedených</w:t>
      </w:r>
      <w:r w:rsidR="00670B12">
        <w:br/>
      </w:r>
      <w:r w:rsidR="00A5739A" w:rsidRPr="00524DAA">
        <w:t>v evidenci OSPOD. Tato data jsou zveřejněna v Ročním výkazu o výkonu SPOD na webových stránkách MPSV, na odkaze https://www.mpsv.cz/cs/7260. Ve výkazu jsou uvedeny i počty dětí, jejichž situaci řešil OSPOD, u nichž b</w:t>
      </w:r>
      <w:r w:rsidR="00670B12">
        <w:t>ylo zjištěno týrání, zneužívání</w:t>
      </w:r>
      <w:r w:rsidR="00670B12">
        <w:br/>
      </w:r>
      <w:r w:rsidR="00A5739A" w:rsidRPr="00524DAA">
        <w:t>a zanedbávání dítěte. V rámci těchto statistik jsou specificky sledovány i údaje o počtech dětí se ZP. Níže v tabulkách jsou uvedeny údaje za léta 2011 – 2018.</w:t>
      </w:r>
    </w:p>
    <w:p w:rsidR="004C4128" w:rsidRPr="00524DAA" w:rsidRDefault="004C4128" w:rsidP="001D4EF8">
      <w:pPr>
        <w:pStyle w:val="SingleTxtG"/>
      </w:pPr>
    </w:p>
    <w:p w:rsidR="00543D8B" w:rsidRPr="00524DAA" w:rsidRDefault="004C4128" w:rsidP="001D4EF8">
      <w:pPr>
        <w:pStyle w:val="SingleTxtG"/>
      </w:pPr>
      <w:r w:rsidRPr="00524DAA">
        <w:t>Počet dětí evidovaných OSPOD, u nichž bylo zjištěno tělesné a psychické týrání a sexuální zneužívání</w:t>
      </w:r>
    </w:p>
    <w:tbl>
      <w:tblPr>
        <w:tblStyle w:val="Mkatabulky"/>
        <w:tblW w:w="0" w:type="auto"/>
        <w:tblLayout w:type="fixed"/>
        <w:tblLook w:val="04A0" w:firstRow="1" w:lastRow="0" w:firstColumn="1" w:lastColumn="0" w:noHBand="0" w:noVBand="1"/>
      </w:tblPr>
      <w:tblGrid>
        <w:gridCol w:w="672"/>
        <w:gridCol w:w="1024"/>
        <w:gridCol w:w="1098"/>
        <w:gridCol w:w="912"/>
        <w:gridCol w:w="1109"/>
        <w:gridCol w:w="992"/>
        <w:gridCol w:w="1134"/>
        <w:gridCol w:w="992"/>
        <w:gridCol w:w="1129"/>
      </w:tblGrid>
      <w:tr w:rsidR="002857E7" w:rsidRPr="00524DAA" w:rsidTr="002857E7">
        <w:tc>
          <w:tcPr>
            <w:tcW w:w="67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57E7" w:rsidRPr="00524DAA" w:rsidRDefault="002857E7">
            <w:pPr>
              <w:spacing w:line="240" w:lineRule="auto"/>
              <w:jc w:val="both"/>
              <w:rPr>
                <w:rFonts w:cstheme="minorHAnsi"/>
                <w:b/>
                <w:szCs w:val="21"/>
              </w:rPr>
            </w:pPr>
            <w:r w:rsidRPr="00524DAA">
              <w:rPr>
                <w:rFonts w:cstheme="minorHAnsi"/>
                <w:b/>
                <w:szCs w:val="21"/>
              </w:rPr>
              <w:t xml:space="preserve">Rok </w:t>
            </w:r>
          </w:p>
        </w:tc>
        <w:tc>
          <w:tcPr>
            <w:tcW w:w="21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57E7" w:rsidRPr="00524DAA" w:rsidRDefault="002857E7">
            <w:pPr>
              <w:spacing w:line="240" w:lineRule="auto"/>
              <w:jc w:val="center"/>
              <w:rPr>
                <w:rFonts w:cstheme="minorHAnsi"/>
                <w:b/>
                <w:szCs w:val="21"/>
              </w:rPr>
            </w:pPr>
            <w:r w:rsidRPr="00524DAA">
              <w:rPr>
                <w:rFonts w:cstheme="minorHAnsi"/>
                <w:b/>
                <w:szCs w:val="21"/>
              </w:rPr>
              <w:t>Tělesné týrání</w:t>
            </w:r>
          </w:p>
        </w:tc>
        <w:tc>
          <w:tcPr>
            <w:tcW w:w="20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57E7" w:rsidRPr="00524DAA" w:rsidRDefault="002857E7">
            <w:pPr>
              <w:spacing w:line="240" w:lineRule="auto"/>
              <w:jc w:val="center"/>
              <w:rPr>
                <w:rFonts w:cstheme="minorHAnsi"/>
                <w:b/>
                <w:szCs w:val="21"/>
              </w:rPr>
            </w:pPr>
            <w:r w:rsidRPr="00524DAA">
              <w:rPr>
                <w:rFonts w:cstheme="minorHAnsi"/>
                <w:b/>
                <w:szCs w:val="21"/>
              </w:rPr>
              <w:t>Psychické týrání</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57E7" w:rsidRPr="00524DAA" w:rsidRDefault="002857E7">
            <w:pPr>
              <w:spacing w:line="240" w:lineRule="auto"/>
              <w:jc w:val="center"/>
              <w:rPr>
                <w:rFonts w:cstheme="minorHAnsi"/>
                <w:b/>
                <w:szCs w:val="21"/>
              </w:rPr>
            </w:pPr>
            <w:r w:rsidRPr="00524DAA">
              <w:rPr>
                <w:rFonts w:cstheme="minorHAnsi"/>
                <w:b/>
                <w:szCs w:val="21"/>
              </w:rPr>
              <w:t>Sexuální zneužívání</w:t>
            </w:r>
          </w:p>
        </w:tc>
        <w:tc>
          <w:tcPr>
            <w:tcW w:w="21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57E7" w:rsidRPr="00524DAA" w:rsidRDefault="002857E7">
            <w:pPr>
              <w:spacing w:line="240" w:lineRule="auto"/>
              <w:jc w:val="center"/>
              <w:rPr>
                <w:rFonts w:cstheme="minorHAnsi"/>
                <w:b/>
                <w:szCs w:val="21"/>
              </w:rPr>
            </w:pPr>
            <w:r w:rsidRPr="00524DAA">
              <w:rPr>
                <w:rFonts w:cstheme="minorHAnsi"/>
                <w:b/>
                <w:szCs w:val="21"/>
              </w:rPr>
              <w:t>Zanedbávání</w:t>
            </w:r>
          </w:p>
        </w:tc>
      </w:tr>
      <w:tr w:rsidR="002857E7" w:rsidRPr="00524DAA" w:rsidTr="002857E7">
        <w:tc>
          <w:tcPr>
            <w:tcW w:w="672" w:type="dxa"/>
            <w:vMerge/>
            <w:tcBorders>
              <w:top w:val="single" w:sz="4" w:space="0" w:color="auto"/>
              <w:left w:val="single" w:sz="4" w:space="0" w:color="auto"/>
              <w:bottom w:val="single" w:sz="4" w:space="0" w:color="auto"/>
              <w:right w:val="single" w:sz="4" w:space="0" w:color="auto"/>
            </w:tcBorders>
            <w:vAlign w:val="center"/>
            <w:hideMark/>
          </w:tcPr>
          <w:p w:rsidR="002857E7" w:rsidRPr="00524DAA" w:rsidRDefault="002857E7">
            <w:pPr>
              <w:spacing w:line="240" w:lineRule="auto"/>
              <w:rPr>
                <w:rFonts w:cstheme="minorHAnsi"/>
                <w:b/>
                <w:szCs w:val="21"/>
              </w:rPr>
            </w:pP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57E7" w:rsidRPr="00524DAA" w:rsidRDefault="002857E7">
            <w:pPr>
              <w:spacing w:line="240" w:lineRule="auto"/>
              <w:rPr>
                <w:rFonts w:cstheme="minorHAnsi"/>
                <w:b/>
                <w:szCs w:val="21"/>
              </w:rPr>
            </w:pPr>
            <w:r w:rsidRPr="00524DAA">
              <w:rPr>
                <w:rFonts w:cstheme="minorHAnsi"/>
                <w:b/>
                <w:szCs w:val="21"/>
              </w:rPr>
              <w:t>Celkem</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57E7" w:rsidRPr="00524DAA" w:rsidRDefault="002857E7">
            <w:pPr>
              <w:spacing w:line="240" w:lineRule="auto"/>
              <w:rPr>
                <w:rFonts w:cstheme="minorHAnsi"/>
                <w:b/>
                <w:szCs w:val="21"/>
              </w:rPr>
            </w:pPr>
            <w:r w:rsidRPr="00524DAA">
              <w:rPr>
                <w:rFonts w:cstheme="minorHAnsi"/>
                <w:b/>
                <w:szCs w:val="21"/>
              </w:rPr>
              <w:t>z toho děti se ZP</w:t>
            </w:r>
          </w:p>
        </w:tc>
        <w:tc>
          <w:tcPr>
            <w:tcW w:w="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57E7" w:rsidRPr="00524DAA" w:rsidRDefault="002857E7">
            <w:pPr>
              <w:spacing w:line="240" w:lineRule="auto"/>
              <w:rPr>
                <w:rFonts w:cstheme="minorHAnsi"/>
                <w:b/>
                <w:szCs w:val="21"/>
              </w:rPr>
            </w:pPr>
            <w:r w:rsidRPr="00524DAA">
              <w:rPr>
                <w:rFonts w:cstheme="minorHAnsi"/>
                <w:b/>
                <w:szCs w:val="21"/>
              </w:rPr>
              <w:t>Celkem</w:t>
            </w:r>
          </w:p>
        </w:tc>
        <w:tc>
          <w:tcPr>
            <w:tcW w:w="1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57E7" w:rsidRPr="00524DAA" w:rsidRDefault="002857E7">
            <w:pPr>
              <w:spacing w:line="240" w:lineRule="auto"/>
              <w:rPr>
                <w:rFonts w:cstheme="minorHAnsi"/>
                <w:b/>
                <w:szCs w:val="21"/>
              </w:rPr>
            </w:pPr>
            <w:r w:rsidRPr="00524DAA">
              <w:rPr>
                <w:rFonts w:cstheme="minorHAnsi"/>
                <w:b/>
                <w:szCs w:val="21"/>
              </w:rPr>
              <w:t>z toho děti se ZP</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57E7" w:rsidRPr="00524DAA" w:rsidRDefault="002857E7">
            <w:pPr>
              <w:spacing w:line="240" w:lineRule="auto"/>
              <w:rPr>
                <w:rFonts w:cstheme="minorHAnsi"/>
                <w:b/>
                <w:szCs w:val="21"/>
              </w:rPr>
            </w:pPr>
            <w:r w:rsidRPr="00524DAA">
              <w:rPr>
                <w:rFonts w:cstheme="minorHAnsi"/>
                <w:b/>
                <w:szCs w:val="21"/>
              </w:rPr>
              <w:t>Celkem</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57E7" w:rsidRPr="00524DAA" w:rsidRDefault="002857E7">
            <w:pPr>
              <w:spacing w:line="240" w:lineRule="auto"/>
              <w:rPr>
                <w:rFonts w:cstheme="minorHAnsi"/>
                <w:b/>
                <w:szCs w:val="21"/>
              </w:rPr>
            </w:pPr>
            <w:r w:rsidRPr="00524DAA">
              <w:rPr>
                <w:rFonts w:cstheme="minorHAnsi"/>
                <w:b/>
                <w:szCs w:val="21"/>
              </w:rPr>
              <w:t>z toho děti se ZP</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57E7" w:rsidRPr="00524DAA" w:rsidRDefault="002857E7">
            <w:pPr>
              <w:spacing w:line="240" w:lineRule="auto"/>
              <w:rPr>
                <w:rFonts w:cstheme="minorHAnsi"/>
                <w:b/>
                <w:szCs w:val="21"/>
              </w:rPr>
            </w:pPr>
            <w:r w:rsidRPr="00524DAA">
              <w:rPr>
                <w:rFonts w:cstheme="minorHAnsi"/>
                <w:b/>
                <w:szCs w:val="21"/>
              </w:rPr>
              <w:t>Celkem</w:t>
            </w:r>
          </w:p>
        </w:tc>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57E7" w:rsidRPr="00524DAA" w:rsidRDefault="002857E7">
            <w:pPr>
              <w:spacing w:line="240" w:lineRule="auto"/>
              <w:rPr>
                <w:rFonts w:cstheme="minorHAnsi"/>
                <w:b/>
                <w:szCs w:val="21"/>
              </w:rPr>
            </w:pPr>
            <w:r w:rsidRPr="00524DAA">
              <w:rPr>
                <w:rFonts w:cstheme="minorHAnsi"/>
                <w:b/>
                <w:szCs w:val="21"/>
              </w:rPr>
              <w:t>z toho děti se ZP</w:t>
            </w:r>
          </w:p>
        </w:tc>
      </w:tr>
      <w:tr w:rsidR="002857E7" w:rsidRPr="00524DAA" w:rsidTr="002857E7">
        <w:tc>
          <w:tcPr>
            <w:tcW w:w="67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2011</w:t>
            </w:r>
          </w:p>
        </w:tc>
        <w:tc>
          <w:tcPr>
            <w:tcW w:w="102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738</w:t>
            </w:r>
          </w:p>
        </w:tc>
        <w:tc>
          <w:tcPr>
            <w:tcW w:w="1098"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10</w:t>
            </w:r>
          </w:p>
        </w:tc>
        <w:tc>
          <w:tcPr>
            <w:tcW w:w="91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953</w:t>
            </w:r>
          </w:p>
        </w:tc>
        <w:tc>
          <w:tcPr>
            <w:tcW w:w="110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13</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806</w:t>
            </w:r>
          </w:p>
        </w:tc>
        <w:tc>
          <w:tcPr>
            <w:tcW w:w="113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12</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4103</w:t>
            </w:r>
          </w:p>
        </w:tc>
        <w:tc>
          <w:tcPr>
            <w:tcW w:w="112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36</w:t>
            </w:r>
          </w:p>
        </w:tc>
      </w:tr>
      <w:tr w:rsidR="002857E7" w:rsidRPr="00524DAA" w:rsidTr="002857E7">
        <w:tc>
          <w:tcPr>
            <w:tcW w:w="67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2012</w:t>
            </w:r>
          </w:p>
        </w:tc>
        <w:tc>
          <w:tcPr>
            <w:tcW w:w="102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836</w:t>
            </w:r>
          </w:p>
        </w:tc>
        <w:tc>
          <w:tcPr>
            <w:tcW w:w="1098"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9</w:t>
            </w:r>
          </w:p>
        </w:tc>
        <w:tc>
          <w:tcPr>
            <w:tcW w:w="91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952</w:t>
            </w:r>
          </w:p>
        </w:tc>
        <w:tc>
          <w:tcPr>
            <w:tcW w:w="110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5</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813</w:t>
            </w:r>
          </w:p>
        </w:tc>
        <w:tc>
          <w:tcPr>
            <w:tcW w:w="113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7</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4869</w:t>
            </w:r>
          </w:p>
        </w:tc>
        <w:tc>
          <w:tcPr>
            <w:tcW w:w="112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68</w:t>
            </w:r>
          </w:p>
        </w:tc>
      </w:tr>
      <w:tr w:rsidR="002857E7" w:rsidRPr="00524DAA" w:rsidTr="002857E7">
        <w:tc>
          <w:tcPr>
            <w:tcW w:w="67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2013</w:t>
            </w:r>
          </w:p>
        </w:tc>
        <w:tc>
          <w:tcPr>
            <w:tcW w:w="102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859</w:t>
            </w:r>
          </w:p>
        </w:tc>
        <w:tc>
          <w:tcPr>
            <w:tcW w:w="1098"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7</w:t>
            </w:r>
          </w:p>
        </w:tc>
        <w:tc>
          <w:tcPr>
            <w:tcW w:w="91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1067</w:t>
            </w:r>
          </w:p>
        </w:tc>
        <w:tc>
          <w:tcPr>
            <w:tcW w:w="110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4</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888</w:t>
            </w:r>
          </w:p>
        </w:tc>
        <w:tc>
          <w:tcPr>
            <w:tcW w:w="113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17</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4663</w:t>
            </w:r>
          </w:p>
        </w:tc>
        <w:tc>
          <w:tcPr>
            <w:tcW w:w="112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96</w:t>
            </w:r>
          </w:p>
        </w:tc>
      </w:tr>
      <w:tr w:rsidR="002857E7" w:rsidRPr="00524DAA" w:rsidTr="002857E7">
        <w:tc>
          <w:tcPr>
            <w:tcW w:w="67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2014</w:t>
            </w:r>
          </w:p>
        </w:tc>
        <w:tc>
          <w:tcPr>
            <w:tcW w:w="102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787</w:t>
            </w:r>
          </w:p>
        </w:tc>
        <w:tc>
          <w:tcPr>
            <w:tcW w:w="1098"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16</w:t>
            </w:r>
          </w:p>
        </w:tc>
        <w:tc>
          <w:tcPr>
            <w:tcW w:w="91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1171</w:t>
            </w:r>
          </w:p>
        </w:tc>
        <w:tc>
          <w:tcPr>
            <w:tcW w:w="110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7</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932</w:t>
            </w:r>
          </w:p>
        </w:tc>
        <w:tc>
          <w:tcPr>
            <w:tcW w:w="113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14</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5484</w:t>
            </w:r>
          </w:p>
        </w:tc>
        <w:tc>
          <w:tcPr>
            <w:tcW w:w="112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52</w:t>
            </w:r>
          </w:p>
        </w:tc>
      </w:tr>
      <w:tr w:rsidR="002857E7" w:rsidRPr="00524DAA" w:rsidTr="002857E7">
        <w:tc>
          <w:tcPr>
            <w:tcW w:w="67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2015</w:t>
            </w:r>
          </w:p>
        </w:tc>
        <w:tc>
          <w:tcPr>
            <w:tcW w:w="102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686</w:t>
            </w:r>
          </w:p>
        </w:tc>
        <w:tc>
          <w:tcPr>
            <w:tcW w:w="1098"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19</w:t>
            </w:r>
          </w:p>
        </w:tc>
        <w:tc>
          <w:tcPr>
            <w:tcW w:w="91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1068</w:t>
            </w:r>
          </w:p>
        </w:tc>
        <w:tc>
          <w:tcPr>
            <w:tcW w:w="110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15</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745</w:t>
            </w:r>
          </w:p>
        </w:tc>
        <w:tc>
          <w:tcPr>
            <w:tcW w:w="113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9</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6862</w:t>
            </w:r>
          </w:p>
        </w:tc>
        <w:tc>
          <w:tcPr>
            <w:tcW w:w="112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55</w:t>
            </w:r>
          </w:p>
        </w:tc>
      </w:tr>
      <w:tr w:rsidR="002857E7" w:rsidRPr="00524DAA" w:rsidTr="002857E7">
        <w:tc>
          <w:tcPr>
            <w:tcW w:w="67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2016</w:t>
            </w:r>
          </w:p>
        </w:tc>
        <w:tc>
          <w:tcPr>
            <w:tcW w:w="102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626</w:t>
            </w:r>
          </w:p>
        </w:tc>
        <w:tc>
          <w:tcPr>
            <w:tcW w:w="1098"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9</w:t>
            </w:r>
          </w:p>
        </w:tc>
        <w:tc>
          <w:tcPr>
            <w:tcW w:w="91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987</w:t>
            </w:r>
          </w:p>
        </w:tc>
        <w:tc>
          <w:tcPr>
            <w:tcW w:w="110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10</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780</w:t>
            </w:r>
          </w:p>
        </w:tc>
        <w:tc>
          <w:tcPr>
            <w:tcW w:w="113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14</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6934</w:t>
            </w:r>
          </w:p>
        </w:tc>
        <w:tc>
          <w:tcPr>
            <w:tcW w:w="112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44</w:t>
            </w:r>
          </w:p>
        </w:tc>
      </w:tr>
      <w:tr w:rsidR="002857E7" w:rsidRPr="00524DAA" w:rsidTr="002857E7">
        <w:tc>
          <w:tcPr>
            <w:tcW w:w="67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2017</w:t>
            </w:r>
          </w:p>
        </w:tc>
        <w:tc>
          <w:tcPr>
            <w:tcW w:w="102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635</w:t>
            </w:r>
          </w:p>
        </w:tc>
        <w:tc>
          <w:tcPr>
            <w:tcW w:w="1098"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13</w:t>
            </w:r>
          </w:p>
        </w:tc>
        <w:tc>
          <w:tcPr>
            <w:tcW w:w="91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909</w:t>
            </w:r>
          </w:p>
        </w:tc>
        <w:tc>
          <w:tcPr>
            <w:tcW w:w="110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10</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729</w:t>
            </w:r>
          </w:p>
        </w:tc>
        <w:tc>
          <w:tcPr>
            <w:tcW w:w="113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2</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6528</w:t>
            </w:r>
          </w:p>
        </w:tc>
        <w:tc>
          <w:tcPr>
            <w:tcW w:w="112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64</w:t>
            </w:r>
          </w:p>
        </w:tc>
      </w:tr>
      <w:tr w:rsidR="002857E7" w:rsidRPr="00524DAA" w:rsidTr="002857E7">
        <w:tc>
          <w:tcPr>
            <w:tcW w:w="67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2018</w:t>
            </w:r>
          </w:p>
        </w:tc>
        <w:tc>
          <w:tcPr>
            <w:tcW w:w="102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531</w:t>
            </w:r>
          </w:p>
        </w:tc>
        <w:tc>
          <w:tcPr>
            <w:tcW w:w="1098"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8</w:t>
            </w:r>
          </w:p>
        </w:tc>
        <w:tc>
          <w:tcPr>
            <w:tcW w:w="91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966</w:t>
            </w:r>
          </w:p>
        </w:tc>
        <w:tc>
          <w:tcPr>
            <w:tcW w:w="110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16</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720</w:t>
            </w:r>
          </w:p>
        </w:tc>
        <w:tc>
          <w:tcPr>
            <w:tcW w:w="1134"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8</w:t>
            </w:r>
          </w:p>
        </w:tc>
        <w:tc>
          <w:tcPr>
            <w:tcW w:w="992"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6808</w:t>
            </w:r>
          </w:p>
        </w:tc>
        <w:tc>
          <w:tcPr>
            <w:tcW w:w="1129" w:type="dxa"/>
            <w:tcBorders>
              <w:top w:val="single" w:sz="4" w:space="0" w:color="auto"/>
              <w:left w:val="single" w:sz="4" w:space="0" w:color="auto"/>
              <w:bottom w:val="single" w:sz="4" w:space="0" w:color="auto"/>
              <w:right w:val="single" w:sz="4" w:space="0" w:color="auto"/>
            </w:tcBorders>
            <w:hideMark/>
          </w:tcPr>
          <w:p w:rsidR="002857E7" w:rsidRPr="00524DAA" w:rsidRDefault="002857E7">
            <w:pPr>
              <w:spacing w:line="240" w:lineRule="auto"/>
              <w:jc w:val="both"/>
              <w:rPr>
                <w:rFonts w:cstheme="minorHAnsi"/>
                <w:szCs w:val="21"/>
              </w:rPr>
            </w:pPr>
            <w:r w:rsidRPr="00524DAA">
              <w:rPr>
                <w:rFonts w:cstheme="minorHAnsi"/>
                <w:szCs w:val="21"/>
              </w:rPr>
              <w:t>68</w:t>
            </w:r>
          </w:p>
        </w:tc>
      </w:tr>
      <w:tr w:rsidR="00B33B6F" w:rsidRPr="00524DAA" w:rsidTr="00B33B6F">
        <w:tc>
          <w:tcPr>
            <w:tcW w:w="672" w:type="dxa"/>
          </w:tcPr>
          <w:p w:rsidR="00B33B6F" w:rsidRPr="00524DAA" w:rsidRDefault="00B33B6F" w:rsidP="00B403B0">
            <w:pPr>
              <w:spacing w:line="240" w:lineRule="auto"/>
              <w:jc w:val="both"/>
              <w:rPr>
                <w:rFonts w:cstheme="minorHAnsi"/>
                <w:szCs w:val="21"/>
              </w:rPr>
            </w:pPr>
            <w:r>
              <w:rPr>
                <w:rFonts w:cstheme="minorHAnsi"/>
                <w:szCs w:val="21"/>
              </w:rPr>
              <w:t>2019</w:t>
            </w:r>
          </w:p>
        </w:tc>
        <w:tc>
          <w:tcPr>
            <w:tcW w:w="1024" w:type="dxa"/>
          </w:tcPr>
          <w:p w:rsidR="00B33B6F" w:rsidRPr="00524DAA" w:rsidRDefault="00B33B6F" w:rsidP="00B403B0">
            <w:pPr>
              <w:spacing w:line="240" w:lineRule="auto"/>
              <w:jc w:val="both"/>
              <w:rPr>
                <w:rFonts w:cstheme="minorHAnsi"/>
                <w:szCs w:val="21"/>
              </w:rPr>
            </w:pPr>
            <w:r>
              <w:rPr>
                <w:rFonts w:cstheme="minorHAnsi"/>
                <w:szCs w:val="21"/>
              </w:rPr>
              <w:t>573</w:t>
            </w:r>
          </w:p>
        </w:tc>
        <w:tc>
          <w:tcPr>
            <w:tcW w:w="1098" w:type="dxa"/>
          </w:tcPr>
          <w:p w:rsidR="00B33B6F" w:rsidRPr="00524DAA" w:rsidRDefault="00B33B6F" w:rsidP="00B403B0">
            <w:pPr>
              <w:spacing w:line="240" w:lineRule="auto"/>
              <w:jc w:val="both"/>
              <w:rPr>
                <w:rFonts w:cstheme="minorHAnsi"/>
                <w:szCs w:val="21"/>
              </w:rPr>
            </w:pPr>
            <w:r>
              <w:rPr>
                <w:rFonts w:cstheme="minorHAnsi"/>
                <w:szCs w:val="21"/>
              </w:rPr>
              <w:t>16</w:t>
            </w:r>
          </w:p>
        </w:tc>
        <w:tc>
          <w:tcPr>
            <w:tcW w:w="912" w:type="dxa"/>
          </w:tcPr>
          <w:p w:rsidR="00B33B6F" w:rsidRPr="00524DAA" w:rsidRDefault="00B33B6F" w:rsidP="00B403B0">
            <w:pPr>
              <w:spacing w:line="240" w:lineRule="auto"/>
              <w:jc w:val="both"/>
              <w:rPr>
                <w:rFonts w:cstheme="minorHAnsi"/>
                <w:szCs w:val="21"/>
              </w:rPr>
            </w:pPr>
            <w:r>
              <w:rPr>
                <w:rFonts w:cstheme="minorHAnsi"/>
                <w:szCs w:val="21"/>
              </w:rPr>
              <w:t>897</w:t>
            </w:r>
          </w:p>
        </w:tc>
        <w:tc>
          <w:tcPr>
            <w:tcW w:w="1109" w:type="dxa"/>
          </w:tcPr>
          <w:p w:rsidR="00B33B6F" w:rsidRPr="00524DAA" w:rsidRDefault="00B33B6F" w:rsidP="00B403B0">
            <w:pPr>
              <w:spacing w:line="240" w:lineRule="auto"/>
              <w:jc w:val="both"/>
              <w:rPr>
                <w:rFonts w:cstheme="minorHAnsi"/>
                <w:szCs w:val="21"/>
              </w:rPr>
            </w:pPr>
            <w:r>
              <w:rPr>
                <w:rFonts w:cstheme="minorHAnsi"/>
                <w:szCs w:val="21"/>
              </w:rPr>
              <w:t>11</w:t>
            </w:r>
          </w:p>
        </w:tc>
        <w:tc>
          <w:tcPr>
            <w:tcW w:w="992" w:type="dxa"/>
          </w:tcPr>
          <w:p w:rsidR="00B33B6F" w:rsidRPr="00524DAA" w:rsidRDefault="00B33B6F" w:rsidP="00B403B0">
            <w:pPr>
              <w:spacing w:line="240" w:lineRule="auto"/>
              <w:jc w:val="both"/>
              <w:rPr>
                <w:rFonts w:cstheme="minorHAnsi"/>
                <w:szCs w:val="21"/>
              </w:rPr>
            </w:pPr>
            <w:r>
              <w:rPr>
                <w:rFonts w:cstheme="minorHAnsi"/>
                <w:szCs w:val="21"/>
              </w:rPr>
              <w:t>751</w:t>
            </w:r>
          </w:p>
        </w:tc>
        <w:tc>
          <w:tcPr>
            <w:tcW w:w="1134" w:type="dxa"/>
          </w:tcPr>
          <w:p w:rsidR="00B33B6F" w:rsidRPr="00524DAA" w:rsidRDefault="00B33B6F" w:rsidP="00B403B0">
            <w:pPr>
              <w:spacing w:line="240" w:lineRule="auto"/>
              <w:jc w:val="both"/>
              <w:rPr>
                <w:rFonts w:cstheme="minorHAnsi"/>
                <w:szCs w:val="21"/>
              </w:rPr>
            </w:pPr>
            <w:r>
              <w:rPr>
                <w:rFonts w:cstheme="minorHAnsi"/>
                <w:szCs w:val="21"/>
              </w:rPr>
              <w:t>14</w:t>
            </w:r>
          </w:p>
        </w:tc>
        <w:tc>
          <w:tcPr>
            <w:tcW w:w="992" w:type="dxa"/>
          </w:tcPr>
          <w:p w:rsidR="00B33B6F" w:rsidRPr="00524DAA" w:rsidRDefault="00B33B6F" w:rsidP="00B403B0">
            <w:pPr>
              <w:spacing w:line="240" w:lineRule="auto"/>
              <w:jc w:val="both"/>
              <w:rPr>
                <w:rFonts w:cstheme="minorHAnsi"/>
                <w:szCs w:val="21"/>
              </w:rPr>
            </w:pPr>
            <w:r>
              <w:rPr>
                <w:rFonts w:cstheme="minorHAnsi"/>
                <w:szCs w:val="21"/>
              </w:rPr>
              <w:t>6910</w:t>
            </w:r>
          </w:p>
        </w:tc>
        <w:tc>
          <w:tcPr>
            <w:tcW w:w="1129" w:type="dxa"/>
          </w:tcPr>
          <w:p w:rsidR="00B33B6F" w:rsidRPr="00524DAA" w:rsidRDefault="00B33B6F" w:rsidP="00B403B0">
            <w:pPr>
              <w:spacing w:line="240" w:lineRule="auto"/>
              <w:jc w:val="both"/>
              <w:rPr>
                <w:rFonts w:cstheme="minorHAnsi"/>
                <w:szCs w:val="21"/>
              </w:rPr>
            </w:pPr>
            <w:r>
              <w:rPr>
                <w:rFonts w:cstheme="minorHAnsi"/>
                <w:szCs w:val="21"/>
              </w:rPr>
              <w:t>85</w:t>
            </w:r>
          </w:p>
        </w:tc>
      </w:tr>
    </w:tbl>
    <w:p w:rsidR="00543D8B" w:rsidRDefault="003949E0" w:rsidP="001D4EF8">
      <w:pPr>
        <w:pStyle w:val="SingleTxtG"/>
      </w:pPr>
      <w:r>
        <w:t>* Zdroj: MPSV</w:t>
      </w:r>
    </w:p>
    <w:p w:rsidR="003949E0" w:rsidRPr="00524DAA" w:rsidRDefault="003949E0" w:rsidP="001D4EF8">
      <w:pPr>
        <w:pStyle w:val="SingleTxtG"/>
      </w:pPr>
    </w:p>
    <w:p w:rsidR="004C4128" w:rsidRPr="00524DAA" w:rsidRDefault="00ED29F2" w:rsidP="001D4EF8">
      <w:pPr>
        <w:pStyle w:val="SingleTxtG"/>
      </w:pPr>
      <w:r w:rsidRPr="00524DAA">
        <w:t>Počet dětí evidovaných OSPOD, u nichž bylo zjištěno komerční zneužívání ve formě dětské pornografie a prostituce</w:t>
      </w:r>
    </w:p>
    <w:tbl>
      <w:tblPr>
        <w:tblStyle w:val="Mkatabulky"/>
        <w:tblW w:w="0" w:type="auto"/>
        <w:tblLayout w:type="fixed"/>
        <w:tblLook w:val="04A0" w:firstRow="1" w:lastRow="0" w:firstColumn="1" w:lastColumn="0" w:noHBand="0" w:noVBand="1"/>
      </w:tblPr>
      <w:tblGrid>
        <w:gridCol w:w="672"/>
        <w:gridCol w:w="1024"/>
        <w:gridCol w:w="1701"/>
        <w:gridCol w:w="993"/>
        <w:gridCol w:w="1701"/>
      </w:tblGrid>
      <w:tr w:rsidR="00AE15D8" w:rsidRPr="00524DAA" w:rsidTr="00AE15D8">
        <w:tc>
          <w:tcPr>
            <w:tcW w:w="67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E15D8" w:rsidRPr="00524DAA" w:rsidRDefault="00AE15D8">
            <w:pPr>
              <w:spacing w:line="240" w:lineRule="auto"/>
              <w:jc w:val="both"/>
              <w:rPr>
                <w:rFonts w:cstheme="minorHAnsi"/>
                <w:b/>
                <w:szCs w:val="21"/>
              </w:rPr>
            </w:pPr>
            <w:r w:rsidRPr="00524DAA">
              <w:rPr>
                <w:rFonts w:cstheme="minorHAnsi"/>
                <w:b/>
                <w:szCs w:val="21"/>
              </w:rPr>
              <w:t xml:space="preserve">Rok </w:t>
            </w:r>
          </w:p>
        </w:tc>
        <w:tc>
          <w:tcPr>
            <w:tcW w:w="2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E15D8" w:rsidRPr="00524DAA" w:rsidRDefault="00AE15D8">
            <w:pPr>
              <w:spacing w:line="240" w:lineRule="auto"/>
              <w:jc w:val="center"/>
              <w:rPr>
                <w:rFonts w:cstheme="minorHAnsi"/>
                <w:b/>
                <w:szCs w:val="21"/>
              </w:rPr>
            </w:pPr>
            <w:r w:rsidRPr="00524DAA">
              <w:rPr>
                <w:rFonts w:cstheme="minorHAnsi"/>
                <w:b/>
                <w:szCs w:val="21"/>
              </w:rPr>
              <w:t>Dětská pornografie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E15D8" w:rsidRPr="00524DAA" w:rsidRDefault="00AE15D8">
            <w:pPr>
              <w:spacing w:line="240" w:lineRule="auto"/>
              <w:jc w:val="center"/>
              <w:rPr>
                <w:rFonts w:cstheme="minorHAnsi"/>
                <w:b/>
                <w:szCs w:val="21"/>
              </w:rPr>
            </w:pPr>
            <w:r w:rsidRPr="00524DAA">
              <w:rPr>
                <w:rFonts w:cstheme="minorHAnsi"/>
                <w:b/>
                <w:szCs w:val="21"/>
              </w:rPr>
              <w:t xml:space="preserve">Dětská prostituce </w:t>
            </w:r>
          </w:p>
        </w:tc>
      </w:tr>
      <w:tr w:rsidR="00AE15D8" w:rsidRPr="00524DAA" w:rsidTr="00AE15D8">
        <w:tc>
          <w:tcPr>
            <w:tcW w:w="672" w:type="dxa"/>
            <w:vMerge/>
            <w:tcBorders>
              <w:top w:val="single" w:sz="4" w:space="0" w:color="auto"/>
              <w:left w:val="single" w:sz="4" w:space="0" w:color="auto"/>
              <w:bottom w:val="single" w:sz="4" w:space="0" w:color="auto"/>
              <w:right w:val="single" w:sz="4" w:space="0" w:color="auto"/>
            </w:tcBorders>
            <w:vAlign w:val="center"/>
            <w:hideMark/>
          </w:tcPr>
          <w:p w:rsidR="00AE15D8" w:rsidRPr="00524DAA" w:rsidRDefault="00AE15D8">
            <w:pPr>
              <w:spacing w:line="240" w:lineRule="auto"/>
              <w:rPr>
                <w:rFonts w:cstheme="minorHAnsi"/>
                <w:b/>
                <w:szCs w:val="21"/>
              </w:rPr>
            </w:pPr>
          </w:p>
        </w:tc>
        <w:tc>
          <w:tcPr>
            <w:tcW w:w="10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E15D8" w:rsidRPr="00524DAA" w:rsidRDefault="00AE15D8">
            <w:pPr>
              <w:spacing w:line="240" w:lineRule="auto"/>
              <w:rPr>
                <w:rFonts w:cstheme="minorHAnsi"/>
                <w:b/>
                <w:szCs w:val="21"/>
              </w:rPr>
            </w:pPr>
            <w:r w:rsidRPr="00524DAA">
              <w:rPr>
                <w:rFonts w:cstheme="minorHAnsi"/>
                <w:b/>
                <w:szCs w:val="21"/>
              </w:rPr>
              <w:t>Celkem</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E15D8" w:rsidRPr="00524DAA" w:rsidRDefault="00AE15D8">
            <w:pPr>
              <w:spacing w:line="240" w:lineRule="auto"/>
              <w:rPr>
                <w:rFonts w:cstheme="minorHAnsi"/>
                <w:b/>
                <w:szCs w:val="21"/>
              </w:rPr>
            </w:pPr>
            <w:r w:rsidRPr="00524DAA">
              <w:rPr>
                <w:rFonts w:cstheme="minorHAnsi"/>
                <w:b/>
                <w:szCs w:val="21"/>
              </w:rPr>
              <w:t>z toho děti se ZP</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E15D8" w:rsidRPr="00524DAA" w:rsidRDefault="00AE15D8">
            <w:pPr>
              <w:spacing w:line="240" w:lineRule="auto"/>
              <w:rPr>
                <w:rFonts w:cstheme="minorHAnsi"/>
                <w:b/>
                <w:szCs w:val="21"/>
              </w:rPr>
            </w:pPr>
            <w:r w:rsidRPr="00524DAA">
              <w:rPr>
                <w:rFonts w:cstheme="minorHAnsi"/>
                <w:b/>
                <w:szCs w:val="21"/>
              </w:rPr>
              <w:t>Celkem</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E15D8" w:rsidRPr="00524DAA" w:rsidRDefault="00AE15D8">
            <w:pPr>
              <w:spacing w:line="240" w:lineRule="auto"/>
              <w:rPr>
                <w:rFonts w:cstheme="minorHAnsi"/>
                <w:b/>
                <w:szCs w:val="21"/>
              </w:rPr>
            </w:pPr>
            <w:r w:rsidRPr="00524DAA">
              <w:rPr>
                <w:rFonts w:cstheme="minorHAnsi"/>
                <w:b/>
                <w:szCs w:val="21"/>
              </w:rPr>
              <w:t>z toho děti se ZP</w:t>
            </w:r>
          </w:p>
        </w:tc>
      </w:tr>
      <w:tr w:rsidR="00AE15D8" w:rsidRPr="00524DAA" w:rsidTr="00AE15D8">
        <w:tc>
          <w:tcPr>
            <w:tcW w:w="672"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2011</w:t>
            </w:r>
          </w:p>
        </w:tc>
        <w:tc>
          <w:tcPr>
            <w:tcW w:w="1024"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33</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0</w:t>
            </w:r>
          </w:p>
        </w:tc>
        <w:tc>
          <w:tcPr>
            <w:tcW w:w="993"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9</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0</w:t>
            </w:r>
          </w:p>
        </w:tc>
      </w:tr>
      <w:tr w:rsidR="00AE15D8" w:rsidRPr="00524DAA" w:rsidTr="00AE15D8">
        <w:tc>
          <w:tcPr>
            <w:tcW w:w="672"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2012</w:t>
            </w:r>
          </w:p>
        </w:tc>
        <w:tc>
          <w:tcPr>
            <w:tcW w:w="1024"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33</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0</w:t>
            </w:r>
          </w:p>
        </w:tc>
        <w:tc>
          <w:tcPr>
            <w:tcW w:w="993"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22</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0</w:t>
            </w:r>
          </w:p>
        </w:tc>
      </w:tr>
      <w:tr w:rsidR="00AE15D8" w:rsidRPr="00524DAA" w:rsidTr="00AE15D8">
        <w:tc>
          <w:tcPr>
            <w:tcW w:w="672"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2013</w:t>
            </w:r>
          </w:p>
        </w:tc>
        <w:tc>
          <w:tcPr>
            <w:tcW w:w="1024"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33</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0</w:t>
            </w:r>
          </w:p>
        </w:tc>
        <w:tc>
          <w:tcPr>
            <w:tcW w:w="993"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17</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0</w:t>
            </w:r>
          </w:p>
        </w:tc>
      </w:tr>
      <w:tr w:rsidR="00AE15D8" w:rsidRPr="00524DAA" w:rsidTr="00AE15D8">
        <w:tc>
          <w:tcPr>
            <w:tcW w:w="672"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2014</w:t>
            </w:r>
          </w:p>
        </w:tc>
        <w:tc>
          <w:tcPr>
            <w:tcW w:w="1024"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87</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w:t>
            </w:r>
          </w:p>
        </w:tc>
        <w:tc>
          <w:tcPr>
            <w:tcW w:w="993"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17</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1</w:t>
            </w:r>
          </w:p>
        </w:tc>
      </w:tr>
      <w:tr w:rsidR="00AE15D8" w:rsidRPr="00524DAA" w:rsidTr="00AE15D8">
        <w:tc>
          <w:tcPr>
            <w:tcW w:w="672"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2015</w:t>
            </w:r>
          </w:p>
        </w:tc>
        <w:tc>
          <w:tcPr>
            <w:tcW w:w="1024"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57</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w:t>
            </w:r>
          </w:p>
        </w:tc>
        <w:tc>
          <w:tcPr>
            <w:tcW w:w="993"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15</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0</w:t>
            </w:r>
          </w:p>
        </w:tc>
      </w:tr>
      <w:tr w:rsidR="00AE15D8" w:rsidRPr="00524DAA" w:rsidTr="00AE15D8">
        <w:tc>
          <w:tcPr>
            <w:tcW w:w="672"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2016</w:t>
            </w:r>
          </w:p>
        </w:tc>
        <w:tc>
          <w:tcPr>
            <w:tcW w:w="1024"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66</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0</w:t>
            </w:r>
          </w:p>
        </w:tc>
        <w:tc>
          <w:tcPr>
            <w:tcW w:w="993"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23</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1</w:t>
            </w:r>
          </w:p>
        </w:tc>
      </w:tr>
      <w:tr w:rsidR="00AE15D8" w:rsidRPr="00524DAA" w:rsidTr="00AE15D8">
        <w:tc>
          <w:tcPr>
            <w:tcW w:w="672"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2017</w:t>
            </w:r>
          </w:p>
        </w:tc>
        <w:tc>
          <w:tcPr>
            <w:tcW w:w="1024"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119</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1</w:t>
            </w:r>
          </w:p>
        </w:tc>
        <w:tc>
          <w:tcPr>
            <w:tcW w:w="993"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9</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0</w:t>
            </w:r>
          </w:p>
        </w:tc>
      </w:tr>
      <w:tr w:rsidR="00AE15D8" w:rsidRPr="00524DAA" w:rsidTr="00AE15D8">
        <w:tc>
          <w:tcPr>
            <w:tcW w:w="672"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2018</w:t>
            </w:r>
          </w:p>
        </w:tc>
        <w:tc>
          <w:tcPr>
            <w:tcW w:w="1024"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151</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w:t>
            </w:r>
          </w:p>
        </w:tc>
        <w:tc>
          <w:tcPr>
            <w:tcW w:w="993"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2</w:t>
            </w:r>
          </w:p>
        </w:tc>
        <w:tc>
          <w:tcPr>
            <w:tcW w:w="1701" w:type="dxa"/>
            <w:tcBorders>
              <w:top w:val="single" w:sz="4" w:space="0" w:color="auto"/>
              <w:left w:val="single" w:sz="4" w:space="0" w:color="auto"/>
              <w:bottom w:val="single" w:sz="4" w:space="0" w:color="auto"/>
              <w:right w:val="single" w:sz="4" w:space="0" w:color="auto"/>
            </w:tcBorders>
            <w:hideMark/>
          </w:tcPr>
          <w:p w:rsidR="00AE15D8" w:rsidRPr="00524DAA" w:rsidRDefault="00AE15D8">
            <w:pPr>
              <w:spacing w:line="240" w:lineRule="auto"/>
              <w:jc w:val="both"/>
              <w:rPr>
                <w:rFonts w:cstheme="minorHAnsi"/>
                <w:szCs w:val="21"/>
              </w:rPr>
            </w:pPr>
            <w:r w:rsidRPr="00524DAA">
              <w:rPr>
                <w:rFonts w:cstheme="minorHAnsi"/>
                <w:szCs w:val="21"/>
              </w:rPr>
              <w:t>0</w:t>
            </w:r>
          </w:p>
        </w:tc>
      </w:tr>
      <w:tr w:rsidR="00B33B6F" w:rsidRPr="00524DAA" w:rsidTr="00B33B6F">
        <w:tc>
          <w:tcPr>
            <w:tcW w:w="672" w:type="dxa"/>
          </w:tcPr>
          <w:p w:rsidR="00B33B6F" w:rsidRPr="00524DAA" w:rsidRDefault="00B33B6F" w:rsidP="00B403B0">
            <w:pPr>
              <w:spacing w:line="240" w:lineRule="auto"/>
              <w:jc w:val="both"/>
              <w:rPr>
                <w:rFonts w:cstheme="minorHAnsi"/>
                <w:szCs w:val="21"/>
              </w:rPr>
            </w:pPr>
            <w:r>
              <w:rPr>
                <w:rFonts w:cstheme="minorHAnsi"/>
                <w:szCs w:val="21"/>
              </w:rPr>
              <w:t>2019</w:t>
            </w:r>
          </w:p>
        </w:tc>
        <w:tc>
          <w:tcPr>
            <w:tcW w:w="1024" w:type="dxa"/>
          </w:tcPr>
          <w:p w:rsidR="00B33B6F" w:rsidRPr="00524DAA" w:rsidRDefault="00B33B6F" w:rsidP="00B403B0">
            <w:pPr>
              <w:spacing w:line="240" w:lineRule="auto"/>
              <w:jc w:val="both"/>
              <w:rPr>
                <w:rFonts w:cstheme="minorHAnsi"/>
                <w:szCs w:val="21"/>
              </w:rPr>
            </w:pPr>
            <w:r>
              <w:rPr>
                <w:rFonts w:cstheme="minorHAnsi"/>
                <w:szCs w:val="21"/>
              </w:rPr>
              <w:t>114</w:t>
            </w:r>
          </w:p>
        </w:tc>
        <w:tc>
          <w:tcPr>
            <w:tcW w:w="1701" w:type="dxa"/>
          </w:tcPr>
          <w:p w:rsidR="00B33B6F" w:rsidRPr="00524DAA" w:rsidRDefault="00B33B6F" w:rsidP="00B403B0">
            <w:pPr>
              <w:spacing w:line="240" w:lineRule="auto"/>
              <w:jc w:val="both"/>
              <w:rPr>
                <w:rFonts w:cstheme="minorHAnsi"/>
                <w:szCs w:val="21"/>
              </w:rPr>
            </w:pPr>
            <w:r>
              <w:rPr>
                <w:rFonts w:cstheme="minorHAnsi"/>
                <w:szCs w:val="21"/>
              </w:rPr>
              <w:t>0</w:t>
            </w:r>
          </w:p>
        </w:tc>
        <w:tc>
          <w:tcPr>
            <w:tcW w:w="993" w:type="dxa"/>
          </w:tcPr>
          <w:p w:rsidR="00B33B6F" w:rsidRPr="00524DAA" w:rsidRDefault="00B33B6F" w:rsidP="00B403B0">
            <w:pPr>
              <w:spacing w:line="240" w:lineRule="auto"/>
              <w:jc w:val="both"/>
              <w:rPr>
                <w:rFonts w:cstheme="minorHAnsi"/>
                <w:szCs w:val="21"/>
              </w:rPr>
            </w:pPr>
            <w:r>
              <w:rPr>
                <w:rFonts w:cstheme="minorHAnsi"/>
                <w:szCs w:val="21"/>
              </w:rPr>
              <w:t>7</w:t>
            </w:r>
          </w:p>
        </w:tc>
        <w:tc>
          <w:tcPr>
            <w:tcW w:w="1701" w:type="dxa"/>
          </w:tcPr>
          <w:p w:rsidR="00B33B6F" w:rsidRPr="00524DAA" w:rsidRDefault="00B33B6F" w:rsidP="00B403B0">
            <w:pPr>
              <w:spacing w:line="240" w:lineRule="auto"/>
              <w:jc w:val="both"/>
              <w:rPr>
                <w:rFonts w:cstheme="minorHAnsi"/>
                <w:szCs w:val="21"/>
              </w:rPr>
            </w:pPr>
            <w:r>
              <w:rPr>
                <w:rFonts w:cstheme="minorHAnsi"/>
                <w:szCs w:val="21"/>
              </w:rPr>
              <w:t>0</w:t>
            </w:r>
          </w:p>
        </w:tc>
      </w:tr>
    </w:tbl>
    <w:p w:rsidR="00A5739A" w:rsidRDefault="003949E0" w:rsidP="001D4EF8">
      <w:pPr>
        <w:pStyle w:val="SingleTxtG"/>
      </w:pPr>
      <w:r>
        <w:t>* Zdroj: MPSV</w:t>
      </w:r>
    </w:p>
    <w:p w:rsidR="003949E0" w:rsidRPr="00524DAA" w:rsidRDefault="003949E0" w:rsidP="001D4EF8">
      <w:pPr>
        <w:pStyle w:val="SingleTxtG"/>
      </w:pPr>
    </w:p>
    <w:p w:rsidR="00A5739A" w:rsidRPr="00524DAA" w:rsidRDefault="00872DEF" w:rsidP="00876DCE">
      <w:pPr>
        <w:pStyle w:val="SingleTxtG"/>
      </w:pPr>
      <w:r>
        <w:t>U</w:t>
      </w:r>
      <w:r w:rsidR="00876DCE" w:rsidRPr="00524DAA">
        <w:t xml:space="preserve"> obou </w:t>
      </w:r>
      <w:r w:rsidR="00E43DCB" w:rsidRPr="00524DAA">
        <w:t xml:space="preserve">uvedených </w:t>
      </w:r>
      <w:r w:rsidR="00876DCE" w:rsidRPr="00524DAA">
        <w:t xml:space="preserve">tabulek je třeba zdůraznit, že se jedná o počty dětí evidovaných OSPOD, u nichž bylo týrání, zneužívání a zanedbávání zjištěno. Jedná se </w:t>
      </w:r>
      <w:r w:rsidR="00E43DCB" w:rsidRPr="00524DAA">
        <w:t xml:space="preserve">totiž </w:t>
      </w:r>
      <w:r w:rsidR="00876DCE" w:rsidRPr="00524DAA">
        <w:t xml:space="preserve">o latentní jevy, jejichž výskyt ve společnosti je </w:t>
      </w:r>
      <w:r w:rsidR="00E43DCB" w:rsidRPr="00524DAA">
        <w:t xml:space="preserve">nejspíše </w:t>
      </w:r>
      <w:r w:rsidR="00876DCE" w:rsidRPr="00524DAA">
        <w:t xml:space="preserve">vyšší, </w:t>
      </w:r>
      <w:r w:rsidR="00E43DCB" w:rsidRPr="00524DAA">
        <w:t xml:space="preserve">avšak </w:t>
      </w:r>
      <w:r w:rsidR="00876DCE" w:rsidRPr="00524DAA">
        <w:t xml:space="preserve">všechny případy dětí </w:t>
      </w:r>
      <w:r w:rsidR="00E43DCB" w:rsidRPr="00524DAA">
        <w:t xml:space="preserve">se vždy nedaří </w:t>
      </w:r>
      <w:r w:rsidR="00876DCE" w:rsidRPr="00524DAA">
        <w:t>včas odhalit. Nárůst počtu dětí vyplývající z uvedených dat také nemusí nutně znamenat, že by se zvyšoval i výskyt daného druhu týrání či zneužívání. Vliv na nárůst má i skutečnost, že se daří tento skrytý jev více odhalovat.</w:t>
      </w:r>
    </w:p>
    <w:p w:rsidR="00A5739A" w:rsidRPr="00524DAA" w:rsidRDefault="00A5739A" w:rsidP="001D4EF8">
      <w:pPr>
        <w:pStyle w:val="SingleTxtG"/>
      </w:pPr>
    </w:p>
    <w:p w:rsidR="00543D8B" w:rsidRPr="00F472FC" w:rsidRDefault="00543D8B" w:rsidP="00543D8B">
      <w:pPr>
        <w:pStyle w:val="H1G"/>
      </w:pPr>
      <w:r w:rsidRPr="00524DAA">
        <w:lastRenderedPageBreak/>
        <w:tab/>
      </w:r>
      <w:r w:rsidRPr="00524DAA">
        <w:tab/>
        <w:t>Odpověď na otázku č. 14 d)</w:t>
      </w:r>
    </w:p>
    <w:p w:rsidR="008736E1" w:rsidRDefault="00D25A05" w:rsidP="008736E1">
      <w:pPr>
        <w:pStyle w:val="SingleTxtG"/>
      </w:pPr>
      <w:r>
        <w:t>1</w:t>
      </w:r>
      <w:r w:rsidR="004B1C5E">
        <w:t>7</w:t>
      </w:r>
      <w:r w:rsidR="00B003A8">
        <w:t>7</w:t>
      </w:r>
      <w:r>
        <w:t>.</w:t>
      </w:r>
      <w:r>
        <w:tab/>
      </w:r>
      <w:r w:rsidR="008736E1">
        <w:t>Usnesením vlády ČR ze dne 6. května 2019 č. 318 byl schválen Akční plán prevence domácího a genderově podmíněného násilí na léta 2019-2022 (dále jen „Akční plán“), který navazuje na Akční plán pro prevenci domácího a genderově podmí</w:t>
      </w:r>
      <w:r w:rsidR="00670B12">
        <w:t>něného násilí na léta 2015–2018</w:t>
      </w:r>
      <w:r w:rsidR="008736E1">
        <w:t>), schválený usnesením vlády ČR ze dne 23. února 2015 č. 126. Akční plán navazuje i na Vládní strategii pro rovnost žen a mužů v České republice na léta 2014-2020, schválenou usnesením vlády ČR ze dne 12. listopadu 2014 č. 931.</w:t>
      </w:r>
    </w:p>
    <w:p w:rsidR="008736E1" w:rsidRDefault="00CA6214" w:rsidP="008736E1">
      <w:pPr>
        <w:pStyle w:val="SingleTxtG"/>
      </w:pPr>
      <w:r>
        <w:t>1</w:t>
      </w:r>
      <w:r w:rsidR="00AC58F5">
        <w:t>7</w:t>
      </w:r>
      <w:r w:rsidR="00507A60">
        <w:t>8</w:t>
      </w:r>
      <w:r>
        <w:t>.</w:t>
      </w:r>
      <w:r w:rsidR="008736E1">
        <w:tab/>
        <w:t>Kromě domácího násilí se Akční plán zaměřuje i na oblast ostatních forem genderově podmíněného násilí tak, jak jsou běžně definovány příslušnými mezinárodními standardy. Dle dostupných statistických údajů se v kontextu ČR jedná zejména o znásilnění, sexuální zneužívání či nebezpečné pronásledování. Akční plán obsahuje celkem 24 opatření a je rozdělen do 3 strategických oblastí:</w:t>
      </w:r>
    </w:p>
    <w:p w:rsidR="008736E1" w:rsidRDefault="008736E1" w:rsidP="008736E1">
      <w:pPr>
        <w:pStyle w:val="SingleTxtG"/>
        <w:numPr>
          <w:ilvl w:val="0"/>
          <w:numId w:val="19"/>
        </w:numPr>
      </w:pPr>
      <w:r>
        <w:t>Prevence domácího a genderově podmíněného násilí,</w:t>
      </w:r>
    </w:p>
    <w:p w:rsidR="008736E1" w:rsidRDefault="008736E1" w:rsidP="008736E1">
      <w:pPr>
        <w:pStyle w:val="SingleTxtG"/>
        <w:numPr>
          <w:ilvl w:val="0"/>
          <w:numId w:val="19"/>
        </w:numPr>
      </w:pPr>
      <w:r>
        <w:t>Ochrana a podpora osob ohrožených domácím a genderově podmíněným násilím (vč. dětí),</w:t>
      </w:r>
    </w:p>
    <w:p w:rsidR="008736E1" w:rsidRDefault="008736E1" w:rsidP="008736E1">
      <w:pPr>
        <w:pStyle w:val="SingleTxtG"/>
        <w:numPr>
          <w:ilvl w:val="0"/>
          <w:numId w:val="19"/>
        </w:numPr>
      </w:pPr>
      <w:r>
        <w:t>Zajištění přístupu ke spravedlnosti pro všechny osoby ohrožené domácím a genderově podmíněným násilím.</w:t>
      </w:r>
    </w:p>
    <w:p w:rsidR="008736E1" w:rsidRDefault="008736E1" w:rsidP="008736E1">
      <w:pPr>
        <w:pStyle w:val="SingleTxtG"/>
      </w:pPr>
      <w:r>
        <w:t>K hlavním opatřením Akčního plánu patří zajištění dostupnosti specializovaných služeb pro osoby ohrožené domácím a genderově podmíněným násilím a jejich děti (utajené azylové domy, krizová lůžka, telefonická krizová pomoc, ad.), zajištění dostupnosti programů pro práci s původci a původkyněmi tohoto násilí, zřízení pilotní specializované služby pro oběti sexuálního násilí či vzdělávání profesí, které nejčastěji přicházejí do kontaktu s osobami ohroženými. Při realizaci jednotlivých opatření Akčního plánu je zohledňováno postavení osob čelících vícečetné diskriminaci, a to zejména osob se ZP, seniorů, cizinců, osob bez domova, Romů a dalších zranitelných skupin osob.</w:t>
      </w:r>
    </w:p>
    <w:p w:rsidR="008736E1" w:rsidRPr="00524DAA" w:rsidRDefault="008736E1" w:rsidP="001D4EF8">
      <w:pPr>
        <w:pStyle w:val="SingleTxtG"/>
      </w:pPr>
    </w:p>
    <w:p w:rsidR="00F97C87" w:rsidRPr="00F472FC" w:rsidRDefault="00F97C87" w:rsidP="00F97C87">
      <w:pPr>
        <w:pStyle w:val="H1G"/>
      </w:pPr>
      <w:r w:rsidRPr="00524DAA">
        <w:tab/>
      </w:r>
      <w:r w:rsidRPr="00524DAA">
        <w:tab/>
        <w:t>Odpověď na otázku č. 15</w:t>
      </w:r>
    </w:p>
    <w:p w:rsidR="00543D8B" w:rsidRDefault="00AC58F5" w:rsidP="001D4EF8">
      <w:pPr>
        <w:pStyle w:val="SingleTxtG"/>
      </w:pPr>
      <w:r>
        <w:t>17</w:t>
      </w:r>
      <w:r w:rsidR="00507A60">
        <w:t>9</w:t>
      </w:r>
      <w:r w:rsidR="00BC0975">
        <w:t>.</w:t>
      </w:r>
      <w:r w:rsidR="00F70D30" w:rsidRPr="00524DAA">
        <w:tab/>
        <w:t xml:space="preserve">Podmínky provádění sterilizace upravují § 12 až </w:t>
      </w:r>
      <w:r w:rsidR="00755572">
        <w:t xml:space="preserve">§ </w:t>
      </w:r>
      <w:r w:rsidR="00F70D30" w:rsidRPr="00524DAA">
        <w:t>16 zákon</w:t>
      </w:r>
      <w:r w:rsidR="00670B12">
        <w:t>a č. 373/2011 Sb.,</w:t>
      </w:r>
      <w:r w:rsidR="00670B12">
        <w:br/>
      </w:r>
      <w:r w:rsidR="00F70D30" w:rsidRPr="00524DAA">
        <w:t>o specifických zdravotních službách, ve znění pozdějších předpisů</w:t>
      </w:r>
      <w:r w:rsidR="003564D5">
        <w:t xml:space="preserve"> (dále jen „zákon o specifických zdravotních službách“)</w:t>
      </w:r>
      <w:r w:rsidR="00F70D30" w:rsidRPr="00524DAA">
        <w:t>, k</w:t>
      </w:r>
      <w:r w:rsidR="003564D5">
        <w:t xml:space="preserve">teré vymezují </w:t>
      </w:r>
      <w:r w:rsidR="00F70D30" w:rsidRPr="00524DAA">
        <w:t>sterilizac</w:t>
      </w:r>
      <w:r w:rsidR="003564D5">
        <w:t>i</w:t>
      </w:r>
      <w:r w:rsidR="00F70D30" w:rsidRPr="00524DAA">
        <w:t xml:space="preserve"> a jednoznačně nastav</w:t>
      </w:r>
      <w:r w:rsidR="003564D5">
        <w:t xml:space="preserve">ují </w:t>
      </w:r>
      <w:r w:rsidR="00F70D30" w:rsidRPr="00524DAA">
        <w:t xml:space="preserve">podmínky pro její provedení, tedy i právo na svobodný a informovaný souhlas. V ČR </w:t>
      </w:r>
      <w:r w:rsidR="004304A9">
        <w:t xml:space="preserve">nelze </w:t>
      </w:r>
      <w:r w:rsidR="00F70D30" w:rsidRPr="00524DAA">
        <w:t>sterilizac</w:t>
      </w:r>
      <w:r w:rsidR="004304A9">
        <w:t>i</w:t>
      </w:r>
      <w:r w:rsidR="00F70D30" w:rsidRPr="00524DAA">
        <w:t xml:space="preserve"> bez informovaného souhlasu prov</w:t>
      </w:r>
      <w:r w:rsidR="004304A9">
        <w:t>ést</w:t>
      </w:r>
      <w:r w:rsidR="00F70D30" w:rsidRPr="00524DAA">
        <w:t>. Osoby, které žádají o provedení sterilizace (vč</w:t>
      </w:r>
      <w:r w:rsidR="00C5226E" w:rsidRPr="00524DAA">
        <w:t>.</w:t>
      </w:r>
      <w:r w:rsidR="00F70D30" w:rsidRPr="00524DAA">
        <w:t xml:space="preserve"> osob se </w:t>
      </w:r>
      <w:r w:rsidR="00C5226E" w:rsidRPr="00524DAA">
        <w:t>ZP</w:t>
      </w:r>
      <w:r w:rsidR="00F70D30" w:rsidRPr="00524DAA">
        <w:t>, a to ze zdravotních nebo jiných než zdravotních důvodů), jsou vždy plně informovány o povaze zdravotního výkonu, jeho trvalých následcích a možných rizicích v souladu s</w:t>
      </w:r>
      <w:r w:rsidR="00BA1FC5">
        <w:t xml:space="preserve"> citovaným </w:t>
      </w:r>
      <w:r w:rsidR="00670B12">
        <w:t>zákonem</w:t>
      </w:r>
      <w:r w:rsidR="00393B25">
        <w:t xml:space="preserve"> </w:t>
      </w:r>
      <w:r w:rsidR="00F70D30" w:rsidRPr="00524DAA">
        <w:t>o specifických zdravotních službách. Podepisují tzv. plně informovaný souhlas a je dodržována doba od informování k udělení souhlasu stanovená zákonem.</w:t>
      </w:r>
    </w:p>
    <w:p w:rsidR="003F5C08" w:rsidRPr="00524DAA" w:rsidRDefault="00802FE7" w:rsidP="001D4EF8">
      <w:pPr>
        <w:pStyle w:val="SingleTxtG"/>
      </w:pPr>
      <w:r>
        <w:t>1</w:t>
      </w:r>
      <w:r w:rsidR="00E3674E">
        <w:t>80</w:t>
      </w:r>
      <w:r>
        <w:t>.</w:t>
      </w:r>
      <w:r w:rsidR="003F5C08">
        <w:tab/>
      </w:r>
      <w:r w:rsidR="003F5C08" w:rsidRPr="003F5C08">
        <w:t xml:space="preserve">Výbor OSN pro odstranění diskriminace žen (CEDAW) ve svém rozhodnutí ze dne 16. července 2019 ve věci J. D. a ostatní proti České republice (CEDAW/C/73/D/102/2016) dospěl k závěru, že oznámení týkající se sterilizace šesti romských žen mezi lety 1982 až 2001 je nepřijatelné pro nevyčerpání vnitrostátních prostředků nápravy. Vláda </w:t>
      </w:r>
      <w:r w:rsidR="003F5C08">
        <w:t xml:space="preserve">ČR </w:t>
      </w:r>
      <w:r w:rsidR="003F5C08" w:rsidRPr="003F5C08">
        <w:t xml:space="preserve">si je nicméně vědoma skutečnosti, že se CEDAW v rámci přezkumu těchto individuálních oznámení omezil na posouzení jejich přijatelnosti, a tedy, že závěrečná doporučení vydávaná v rámci administrativní kontroly dodržování závazků podle Úmluvy tímto rozhodnutím nejsou dotčena. V této souvislosti byl </w:t>
      </w:r>
      <w:r w:rsidR="003F5C08">
        <w:t xml:space="preserve">skupinou poslanců Parlamentu </w:t>
      </w:r>
      <w:r w:rsidR="0075304D">
        <w:t>Č</w:t>
      </w:r>
      <w:r w:rsidR="003F5C08">
        <w:t xml:space="preserve">R </w:t>
      </w:r>
      <w:r w:rsidR="003F5C08" w:rsidRPr="003F5C08">
        <w:t>dne 27. září 2019 předložen návrh zákona o poskytnutí jednorázové peněžní částky sterilizovaným osobám (sněmovní tisk č. 603).</w:t>
      </w:r>
    </w:p>
    <w:p w:rsidR="00F97C87" w:rsidRPr="00524DAA" w:rsidRDefault="00F97C87" w:rsidP="001D4EF8">
      <w:pPr>
        <w:pStyle w:val="SingleTxtG"/>
      </w:pPr>
    </w:p>
    <w:p w:rsidR="00B3568B" w:rsidRPr="00F472FC" w:rsidRDefault="00B3568B" w:rsidP="00B3568B">
      <w:pPr>
        <w:pStyle w:val="H1G"/>
      </w:pPr>
      <w:r w:rsidRPr="00524DAA">
        <w:lastRenderedPageBreak/>
        <w:tab/>
      </w:r>
      <w:r w:rsidRPr="00524DAA">
        <w:tab/>
        <w:t>Odpověď na otázku č. 16 a)</w:t>
      </w:r>
    </w:p>
    <w:p w:rsidR="00604CF2" w:rsidRDefault="00BC0975" w:rsidP="008202F2">
      <w:pPr>
        <w:pStyle w:val="SingleTxtG"/>
      </w:pPr>
      <w:r>
        <w:t>1</w:t>
      </w:r>
      <w:r w:rsidR="00CA6214">
        <w:t>8</w:t>
      </w:r>
      <w:r w:rsidR="00E3674E">
        <w:t>1</w:t>
      </w:r>
      <w:r>
        <w:t>.</w:t>
      </w:r>
      <w:r w:rsidR="00A465A1">
        <w:tab/>
      </w:r>
      <w:r w:rsidR="008202F2">
        <w:t xml:space="preserve">Základním </w:t>
      </w:r>
      <w:r w:rsidR="00A465A1">
        <w:t xml:space="preserve">dokumentem, který </w:t>
      </w:r>
      <w:r w:rsidR="008202F2">
        <w:t xml:space="preserve">pro oblast sociálních služeb </w:t>
      </w:r>
      <w:r w:rsidR="00A465A1">
        <w:t xml:space="preserve">stanoví </w:t>
      </w:r>
      <w:r w:rsidR="00FD0DA2">
        <w:t xml:space="preserve">v ČR </w:t>
      </w:r>
      <w:r w:rsidR="008202F2">
        <w:t>cíle, priority a opatření je Národní strategie rozvoje sociálních služeb na období 2016–2025“, který schválila vláda ČR svým usnesením ze dne 21. března 2016 č. 245. Jako první cíl vymezuje strategie Strategický cíl A: Zajistit přechod o</w:t>
      </w:r>
      <w:r w:rsidR="00670B12">
        <w:t>d institucionálního modelu péče</w:t>
      </w:r>
      <w:r w:rsidR="00670B12">
        <w:br/>
      </w:r>
      <w:r w:rsidR="008202F2">
        <w:t>o osoby se ZP k podpoře osob v přirozeném prostředí</w:t>
      </w:r>
      <w:r w:rsidR="00670B12">
        <w:t xml:space="preserve"> a Specifický cíl A.1: Vytvořit</w:t>
      </w:r>
      <w:r w:rsidR="00670B12">
        <w:br/>
      </w:r>
      <w:r w:rsidR="008202F2">
        <w:t>a realizovat plán přechodu od ústavní péče k podpoře v komunitě s pomocí terénních, ambulantních a pobytových sociálních služeb komunitního typu.</w:t>
      </w:r>
      <w:r w:rsidR="00292B4B">
        <w:t xml:space="preserve"> </w:t>
      </w:r>
      <w:r w:rsidR="008202F2">
        <w:t xml:space="preserve">V rámci realizace plánu přechodu od ústavní péče k podpoře v přirozeném prostředí </w:t>
      </w:r>
      <w:r w:rsidR="00292B4B">
        <w:t xml:space="preserve">byla v rámci projektu </w:t>
      </w:r>
      <w:r w:rsidR="00632DC8">
        <w:t>„</w:t>
      </w:r>
      <w:r w:rsidR="00292B4B">
        <w:t>Život jako každý jiný</w:t>
      </w:r>
      <w:r w:rsidR="00632DC8">
        <w:t>“</w:t>
      </w:r>
      <w:r w:rsidR="00292B4B">
        <w:t xml:space="preserve"> zřízena </w:t>
      </w:r>
      <w:r w:rsidR="008202F2">
        <w:t>Meziresortní skupin</w:t>
      </w:r>
      <w:r w:rsidR="00292B4B">
        <w:t>a</w:t>
      </w:r>
      <w:r w:rsidR="00670B12">
        <w:t xml:space="preserve"> pro </w:t>
      </w:r>
      <w:r w:rsidR="008202F2">
        <w:t>deinstitucionalizaci sociálních služeb</w:t>
      </w:r>
      <w:r w:rsidR="00292B4B">
        <w:t xml:space="preserve">. </w:t>
      </w:r>
      <w:r w:rsidR="00E5053D">
        <w:t>Hlavním úkole</w:t>
      </w:r>
      <w:r w:rsidR="00F472FC">
        <w:t>m</w:t>
      </w:r>
      <w:r w:rsidR="00E5053D">
        <w:t xml:space="preserve"> této</w:t>
      </w:r>
      <w:r w:rsidR="008202F2">
        <w:t xml:space="preserve"> pracovní skupin</w:t>
      </w:r>
      <w:r w:rsidR="00E5053D">
        <w:t>y</w:t>
      </w:r>
      <w:r w:rsidR="008202F2">
        <w:t xml:space="preserve"> </w:t>
      </w:r>
      <w:r w:rsidR="00E5053D">
        <w:t xml:space="preserve">bylo vypracování </w:t>
      </w:r>
      <w:r w:rsidR="008202F2">
        <w:t>Akční</w:t>
      </w:r>
      <w:r w:rsidR="007E1A64">
        <w:t>ho</w:t>
      </w:r>
      <w:r w:rsidR="008202F2">
        <w:t xml:space="preserve"> plán</w:t>
      </w:r>
      <w:r w:rsidR="007E1A64">
        <w:t>u</w:t>
      </w:r>
      <w:r w:rsidR="008202F2">
        <w:t xml:space="preserve"> pro deinstitucionalizaci pro období 2020–2022). Návrh </w:t>
      </w:r>
      <w:r w:rsidR="00604CF2">
        <w:t>a</w:t>
      </w:r>
      <w:r w:rsidR="008202F2">
        <w:t xml:space="preserve">kčního plánu byl na konci roku 2019 </w:t>
      </w:r>
      <w:r w:rsidR="00604CF2">
        <w:t>dokončen.</w:t>
      </w:r>
    </w:p>
    <w:p w:rsidR="003938C2" w:rsidRDefault="00BC0975" w:rsidP="008202F2">
      <w:pPr>
        <w:pStyle w:val="SingleTxtG"/>
      </w:pPr>
      <w:r>
        <w:t>1</w:t>
      </w:r>
      <w:r w:rsidR="00CA6214">
        <w:t>8</w:t>
      </w:r>
      <w:r w:rsidR="00195028">
        <w:t>2</w:t>
      </w:r>
      <w:r>
        <w:t>.</w:t>
      </w:r>
      <w:r w:rsidR="00604CF2">
        <w:tab/>
      </w:r>
      <w:r w:rsidR="008202F2">
        <w:t xml:space="preserve">Hlavními cíli </w:t>
      </w:r>
      <w:r w:rsidR="00604CF2">
        <w:t xml:space="preserve">Akčního plánu </w:t>
      </w:r>
      <w:r w:rsidR="0008726B">
        <w:t xml:space="preserve">pro deinstitucionalizaci pro období </w:t>
      </w:r>
      <w:r w:rsidR="00604CF2">
        <w:t xml:space="preserve">2020-2022 </w:t>
      </w:r>
      <w:r w:rsidR="008202F2">
        <w:t>jsou:</w:t>
      </w:r>
      <w:r w:rsidR="003938C2">
        <w:t xml:space="preserve"> </w:t>
      </w:r>
      <w:r w:rsidR="008202F2">
        <w:t>sniž</w:t>
      </w:r>
      <w:r w:rsidR="008E281C">
        <w:t xml:space="preserve">ování </w:t>
      </w:r>
      <w:r w:rsidR="008202F2">
        <w:t>počt</w:t>
      </w:r>
      <w:r w:rsidR="008E281C">
        <w:t>u</w:t>
      </w:r>
      <w:r w:rsidR="008202F2">
        <w:t xml:space="preserve"> osob žijících v ústavních zařízeních,</w:t>
      </w:r>
      <w:r w:rsidR="003938C2">
        <w:t xml:space="preserve"> </w:t>
      </w:r>
      <w:r w:rsidR="008202F2">
        <w:t>transformace ústavních sociálních služeb</w:t>
      </w:r>
      <w:r w:rsidR="002140B7">
        <w:t xml:space="preserve"> na služby komunitního charakteru</w:t>
      </w:r>
      <w:r w:rsidR="008202F2">
        <w:t>,</w:t>
      </w:r>
      <w:r w:rsidR="003938C2">
        <w:t xml:space="preserve"> </w:t>
      </w:r>
      <w:r w:rsidR="008202F2">
        <w:t>podpora komunitních služeb tak, aby lidé mohli zůst</w:t>
      </w:r>
      <w:r w:rsidR="003938C2">
        <w:t xml:space="preserve">at ve svém přirozeném prostředí a </w:t>
      </w:r>
      <w:r w:rsidR="00472166">
        <w:t xml:space="preserve">podpora </w:t>
      </w:r>
      <w:r w:rsidR="008202F2">
        <w:t>reformy psychiatrické péče, kter</w:t>
      </w:r>
      <w:r w:rsidR="00632DC8">
        <w:t>é</w:t>
      </w:r>
      <w:r w:rsidR="008202F2">
        <w:t xml:space="preserve"> </w:t>
      </w:r>
      <w:r w:rsidR="00472166">
        <w:t>m</w:t>
      </w:r>
      <w:r w:rsidR="008E281C">
        <w:t>ají</w:t>
      </w:r>
      <w:r w:rsidR="00472166">
        <w:t xml:space="preserve"> </w:t>
      </w:r>
      <w:r w:rsidR="008202F2">
        <w:t>výrazn</w:t>
      </w:r>
      <w:r w:rsidR="00472166">
        <w:t>ý</w:t>
      </w:r>
      <w:r w:rsidR="008202F2">
        <w:t xml:space="preserve"> dopad </w:t>
      </w:r>
      <w:r w:rsidR="008E281C">
        <w:t xml:space="preserve">do oblasti </w:t>
      </w:r>
      <w:r w:rsidR="008202F2">
        <w:t>sociální</w:t>
      </w:r>
      <w:r w:rsidR="008E281C">
        <w:t>ch</w:t>
      </w:r>
      <w:r w:rsidR="008202F2">
        <w:t xml:space="preserve"> služ</w:t>
      </w:r>
      <w:r w:rsidR="008E281C">
        <w:t>e</w:t>
      </w:r>
      <w:r w:rsidR="008202F2">
        <w:t>b.</w:t>
      </w:r>
      <w:r w:rsidR="003938C2">
        <w:t xml:space="preserve"> Akční plán má </w:t>
      </w:r>
      <w:r w:rsidR="003938C2" w:rsidRPr="003938C2">
        <w:t xml:space="preserve">nastavit podmínky pro přechod od institucionálního modelu péče a umožnit proces deinstitucionalizace a transformace monitorovat. Celý proces </w:t>
      </w:r>
      <w:r w:rsidR="003938C2">
        <w:t xml:space="preserve">transformace pobytových sociálních služeb </w:t>
      </w:r>
      <w:r w:rsidR="003938C2" w:rsidRPr="003938C2">
        <w:t xml:space="preserve">je </w:t>
      </w:r>
      <w:r w:rsidR="003938C2">
        <w:t xml:space="preserve">však </w:t>
      </w:r>
      <w:r w:rsidR="003938C2" w:rsidRPr="003938C2">
        <w:t xml:space="preserve">odvislý od možností </w:t>
      </w:r>
      <w:r w:rsidR="002140B7">
        <w:t xml:space="preserve">jak </w:t>
      </w:r>
      <w:r w:rsidR="003938C2" w:rsidRPr="003938C2">
        <w:t>státního rozpočt</w:t>
      </w:r>
      <w:r w:rsidR="002140B7">
        <w:t xml:space="preserve">u, tak i </w:t>
      </w:r>
      <w:r w:rsidR="003938C2" w:rsidRPr="003938C2">
        <w:t>rozpočt</w:t>
      </w:r>
      <w:r w:rsidR="003938C2">
        <w:t>ů</w:t>
      </w:r>
      <w:r w:rsidR="003938C2" w:rsidRPr="003938C2">
        <w:t xml:space="preserve"> samosprávných celků. </w:t>
      </w:r>
      <w:r w:rsidR="003938C2">
        <w:t xml:space="preserve">V danou chvíli tedy nelze </w:t>
      </w:r>
      <w:r w:rsidR="003938C2" w:rsidRPr="003938C2">
        <w:t>stanovit přesn</w:t>
      </w:r>
      <w:r w:rsidR="003938C2">
        <w:t>é datum, ke kterému bude proces transformace ústa</w:t>
      </w:r>
      <w:r w:rsidR="00AF1808">
        <w:t>v</w:t>
      </w:r>
      <w:r w:rsidR="003938C2">
        <w:t xml:space="preserve">ních zařízení </w:t>
      </w:r>
      <w:r w:rsidR="002140B7">
        <w:t xml:space="preserve">v ČR zcela </w:t>
      </w:r>
      <w:r w:rsidR="003938C2">
        <w:t>dokončen.</w:t>
      </w:r>
    </w:p>
    <w:p w:rsidR="00017F17" w:rsidRDefault="00BC0975" w:rsidP="00017F17">
      <w:pPr>
        <w:pStyle w:val="SingleTxtG"/>
      </w:pPr>
      <w:r>
        <w:t>1</w:t>
      </w:r>
      <w:r w:rsidR="00CA6214">
        <w:t>8</w:t>
      </w:r>
      <w:r w:rsidR="00195028">
        <w:t>3</w:t>
      </w:r>
      <w:r>
        <w:t>.</w:t>
      </w:r>
      <w:r w:rsidR="00017F17">
        <w:tab/>
        <w:t xml:space="preserve">V rámci podpory transformace sociálních služeb realizuje MPSV neinvestiční projekty, jejichž cílem je podpořit transformaci čili přechod z ústavního zařízení do komunitní služby. Projektu </w:t>
      </w:r>
      <w:r w:rsidR="0091573C">
        <w:t>„</w:t>
      </w:r>
      <w:r w:rsidR="00017F17">
        <w:t>Podpora transformace sociálních služeb</w:t>
      </w:r>
      <w:r w:rsidR="0091573C">
        <w:t>“</w:t>
      </w:r>
      <w:r w:rsidR="00017F17">
        <w:t xml:space="preserve"> (2009–2013) se zúčastnilo 32 zařízení z celé ČR, která poskytují služby cca 3 800 lidem se ZP. Na projektu spolupracovaly všechny kraje Č</w:t>
      </w:r>
      <w:r w:rsidR="00B32813">
        <w:t xml:space="preserve">R </w:t>
      </w:r>
      <w:r w:rsidR="00017F17">
        <w:t xml:space="preserve">(Hlavní město Praha se vzhledem k podmínkám Operačního programu Lidské zdroje a zaměstnanost účastnilo </w:t>
      </w:r>
      <w:r w:rsidR="00B32813">
        <w:t xml:space="preserve">jen </w:t>
      </w:r>
      <w:r w:rsidR="00017F17">
        <w:t>vybraných aktivit).</w:t>
      </w:r>
      <w:r w:rsidR="00B32813">
        <w:t xml:space="preserve"> </w:t>
      </w:r>
      <w:r w:rsidR="00017F17">
        <w:t xml:space="preserve">Do navazujícího projektu MPSV </w:t>
      </w:r>
      <w:r w:rsidR="0091573C">
        <w:t>„</w:t>
      </w:r>
      <w:r w:rsidR="00017F17">
        <w:t>Transformace sociálních služeb</w:t>
      </w:r>
      <w:r w:rsidR="0091573C">
        <w:t>“</w:t>
      </w:r>
      <w:r w:rsidR="00017F17">
        <w:t xml:space="preserve"> </w:t>
      </w:r>
      <w:r w:rsidR="0091573C">
        <w:t>(</w:t>
      </w:r>
      <w:r w:rsidR="00017F17">
        <w:t xml:space="preserve">2013–2015) se zapojilo 40 zařízení z celé ČR. Z toho </w:t>
      </w:r>
      <w:r w:rsidR="00B32813">
        <w:t xml:space="preserve">se jich </w:t>
      </w:r>
      <w:r w:rsidR="00017F17">
        <w:t xml:space="preserve">27 zúčastnilo </w:t>
      </w:r>
      <w:r w:rsidR="00B32813">
        <w:t xml:space="preserve">i </w:t>
      </w:r>
      <w:r w:rsidR="00017F17">
        <w:t xml:space="preserve">předchozího projektu </w:t>
      </w:r>
      <w:r w:rsidR="004C3245">
        <w:t>„</w:t>
      </w:r>
      <w:r w:rsidR="00017F17">
        <w:t>Podpora transformace sociálních služeb</w:t>
      </w:r>
      <w:r w:rsidR="004C3245">
        <w:t>“</w:t>
      </w:r>
      <w:r w:rsidR="00017F17">
        <w:t>. Celk</w:t>
      </w:r>
      <w:r w:rsidR="00B32813">
        <w:t>em</w:t>
      </w:r>
      <w:r w:rsidR="00017F17">
        <w:t xml:space="preserve"> bylo v obou projektech podpořeno 47 zařízení sociálních služeb, z nichž </w:t>
      </w:r>
      <w:r w:rsidR="00B32813">
        <w:t xml:space="preserve">bylo </w:t>
      </w:r>
      <w:r w:rsidR="00017F17">
        <w:t>10 ke konci roku 2015 zcela uzavřeno, a služby jsou jejich uživatelů</w:t>
      </w:r>
      <w:r w:rsidR="00DE2D2D">
        <w:t>m</w:t>
      </w:r>
      <w:r w:rsidR="00017F17">
        <w:t xml:space="preserve"> v souladu s jejich přáními a potřebami poskytovány v sociálních službách komunitního charakteru.</w:t>
      </w:r>
      <w:r w:rsidR="005024B6">
        <w:t xml:space="preserve"> </w:t>
      </w:r>
      <w:r w:rsidR="00017F17">
        <w:t xml:space="preserve">V současné době realizuje </w:t>
      </w:r>
      <w:r w:rsidR="005024B6">
        <w:t xml:space="preserve">MPSV </w:t>
      </w:r>
      <w:r w:rsidR="00017F17">
        <w:t xml:space="preserve">projekt </w:t>
      </w:r>
      <w:r w:rsidR="004C3245">
        <w:t>„</w:t>
      </w:r>
      <w:r w:rsidR="00017F17">
        <w:t>Život jako každý jiný</w:t>
      </w:r>
      <w:r w:rsidR="004C3245">
        <w:t>“</w:t>
      </w:r>
      <w:r w:rsidR="00017F17">
        <w:t xml:space="preserve"> (2016–2020), jehož hlavním cílem je podpořit</w:t>
      </w:r>
      <w:r w:rsidR="008C7161">
        <w:t xml:space="preserve"> nabídku kvalitních, dostupných</w:t>
      </w:r>
      <w:r w:rsidR="008C7161">
        <w:br/>
      </w:r>
      <w:r w:rsidR="00017F17">
        <w:t>a</w:t>
      </w:r>
      <w:r w:rsidR="004C3245">
        <w:t> </w:t>
      </w:r>
      <w:r w:rsidR="00017F17">
        <w:t xml:space="preserve">udržitelných komunitních sociálních služeb pro osoby se </w:t>
      </w:r>
      <w:r w:rsidR="005024B6">
        <w:t>ZP</w:t>
      </w:r>
      <w:r w:rsidR="00017F17">
        <w:t>, a to zejména prostřednictvím transformace systému ústavních sociálních služeb na služby poskytované komuni</w:t>
      </w:r>
      <w:r w:rsidR="005024B6">
        <w:t>tním způsobem</w:t>
      </w:r>
      <w:r w:rsidR="00017F17">
        <w:t xml:space="preserve">. </w:t>
      </w:r>
      <w:r w:rsidR="005024B6">
        <w:t>V rámci projektu probíhaly v letech 2017 až 2019 metodické dny, diskuzní setkání a semináře, jejichž účastníky byli</w:t>
      </w:r>
      <w:r w:rsidR="008C7161">
        <w:t xml:space="preserve"> především pracovníci krajských</w:t>
      </w:r>
      <w:r w:rsidR="008C7161">
        <w:br/>
      </w:r>
      <w:r w:rsidR="005024B6">
        <w:t xml:space="preserve">a obecních úřadů, sociální pracovníci, pracovníci v sociálních službách i lidé se ZP. </w:t>
      </w:r>
      <w:r w:rsidR="00017F17">
        <w:t>Informace o těchto projektech jsou dostupné na http://www.trass.cz a na Facebooku (https://www.facebook.com/trass.cz)</w:t>
      </w:r>
      <w:r w:rsidR="005024B6">
        <w:t>.</w:t>
      </w:r>
    </w:p>
    <w:p w:rsidR="00B900AA" w:rsidRDefault="00BC0975" w:rsidP="008C7161">
      <w:pPr>
        <w:pStyle w:val="SingleTxtG"/>
        <w:spacing w:after="0"/>
      </w:pPr>
      <w:r>
        <w:t>1</w:t>
      </w:r>
      <w:r w:rsidR="00CA6214">
        <w:t>8</w:t>
      </w:r>
      <w:r w:rsidR="00195028">
        <w:t>4</w:t>
      </w:r>
      <w:r>
        <w:t>.</w:t>
      </w:r>
      <w:r w:rsidR="00602FBA">
        <w:tab/>
      </w:r>
      <w:r w:rsidR="00602FBA" w:rsidRPr="00602FBA">
        <w:t xml:space="preserve">Počet nově vzniklých sociálních služeb komunitního typu a tedy i počet klientů, kteří prošli transformací je ze strany MPSV </w:t>
      </w:r>
      <w:r w:rsidR="00602FBA">
        <w:t xml:space="preserve">sice </w:t>
      </w:r>
      <w:r w:rsidR="00602FBA" w:rsidRPr="00602FBA">
        <w:t>dlouhodobě monitorován</w:t>
      </w:r>
      <w:r w:rsidR="008C7161">
        <w:t>, avšak teprve</w:t>
      </w:r>
      <w:r w:rsidR="008C7161">
        <w:br/>
      </w:r>
      <w:r w:rsidR="00602FBA" w:rsidRPr="00602FBA">
        <w:t xml:space="preserve">v roce 2015 se tento monitoring </w:t>
      </w:r>
      <w:r w:rsidR="00602FBA">
        <w:t xml:space="preserve">stal součástí </w:t>
      </w:r>
      <w:r w:rsidR="00602FBA" w:rsidRPr="00602FBA">
        <w:t>oficiálního režimu sledovaných statistických dat. Od roku 2015 do roku 2018 odešlo z</w:t>
      </w:r>
      <w:r w:rsidR="007B159D">
        <w:t xml:space="preserve"> pobytové </w:t>
      </w:r>
      <w:r w:rsidR="00602FBA" w:rsidRPr="00602FBA">
        <w:t xml:space="preserve">služby do přirozeného prostředí celkem 929 klientů a do pobytové sociální služby komunitního typu </w:t>
      </w:r>
      <w:r w:rsidR="007B159D">
        <w:t xml:space="preserve">odešlo </w:t>
      </w:r>
      <w:r w:rsidR="00602FBA" w:rsidRPr="00602FBA">
        <w:t>za stejné období celkem 700 klientů.</w:t>
      </w:r>
    </w:p>
    <w:p w:rsidR="003C4616" w:rsidRDefault="003C4616" w:rsidP="008C7161">
      <w:pPr>
        <w:pStyle w:val="SingleTxtG"/>
        <w:spacing w:after="0"/>
      </w:pPr>
    </w:p>
    <w:p w:rsidR="00C95010" w:rsidRDefault="00C95010">
      <w:pPr>
        <w:suppressAutoHyphens w:val="0"/>
        <w:spacing w:line="240" w:lineRule="auto"/>
      </w:pPr>
      <w:r>
        <w:br w:type="page"/>
      </w:r>
    </w:p>
    <w:p w:rsidR="00D352BD" w:rsidRDefault="00D352BD" w:rsidP="00CF367B">
      <w:pPr>
        <w:pStyle w:val="SingleTxtG"/>
      </w:pPr>
      <w:r w:rsidRPr="00D352BD">
        <w:lastRenderedPageBreak/>
        <w:t>Počet</w:t>
      </w:r>
      <w:r w:rsidR="003D320B">
        <w:t xml:space="preserve"> </w:t>
      </w:r>
      <w:r w:rsidRPr="00D352BD">
        <w:t xml:space="preserve">klientů </w:t>
      </w:r>
      <w:r>
        <w:t xml:space="preserve">odešlých </w:t>
      </w:r>
      <w:r w:rsidRPr="00D352BD">
        <w:t>z pobytových sociálních služeb pro osoby se ZP</w:t>
      </w:r>
    </w:p>
    <w:tbl>
      <w:tblPr>
        <w:tblStyle w:val="Svtlmkatabulky"/>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891"/>
        <w:gridCol w:w="895"/>
        <w:gridCol w:w="892"/>
        <w:gridCol w:w="892"/>
        <w:gridCol w:w="892"/>
        <w:gridCol w:w="892"/>
        <w:gridCol w:w="892"/>
        <w:gridCol w:w="890"/>
        <w:gridCol w:w="888"/>
        <w:gridCol w:w="880"/>
      </w:tblGrid>
      <w:tr w:rsidR="00BD20DF" w:rsidTr="001B3B63">
        <w:trPr>
          <w:trHeight w:val="420"/>
        </w:trPr>
        <w:tc>
          <w:tcPr>
            <w:tcW w:w="377" w:type="pct"/>
            <w:vMerge w:val="restart"/>
            <w:shd w:val="clear" w:color="auto" w:fill="A6A6A6" w:themeFill="background1" w:themeFillShade="A6"/>
            <w:hideMark/>
          </w:tcPr>
          <w:p w:rsidR="00BD20DF" w:rsidRPr="0069334B" w:rsidRDefault="00BD20DF" w:rsidP="0069334B">
            <w:pPr>
              <w:spacing w:line="240" w:lineRule="auto"/>
              <w:jc w:val="both"/>
              <w:rPr>
                <w:rFonts w:cstheme="minorHAnsi"/>
                <w:b/>
                <w:szCs w:val="21"/>
              </w:rPr>
            </w:pPr>
            <w:r w:rsidRPr="0069334B">
              <w:rPr>
                <w:rFonts w:cstheme="minorHAnsi"/>
                <w:b/>
                <w:szCs w:val="21"/>
              </w:rPr>
              <w:t>Druh zařízení</w:t>
            </w:r>
          </w:p>
        </w:tc>
        <w:tc>
          <w:tcPr>
            <w:tcW w:w="928" w:type="pct"/>
            <w:gridSpan w:val="2"/>
            <w:shd w:val="clear" w:color="auto" w:fill="A6A6A6" w:themeFill="background1" w:themeFillShade="A6"/>
            <w:hideMark/>
          </w:tcPr>
          <w:p w:rsidR="00BD20DF" w:rsidRPr="0069334B" w:rsidRDefault="00BD20DF" w:rsidP="0069334B">
            <w:pPr>
              <w:spacing w:line="240" w:lineRule="auto"/>
              <w:jc w:val="both"/>
              <w:rPr>
                <w:rFonts w:cstheme="minorHAnsi"/>
                <w:b/>
                <w:szCs w:val="21"/>
              </w:rPr>
            </w:pPr>
            <w:r w:rsidRPr="0069334B">
              <w:rPr>
                <w:rFonts w:cstheme="minorHAnsi"/>
                <w:b/>
                <w:szCs w:val="21"/>
              </w:rPr>
              <w:t>2015</w:t>
            </w:r>
          </w:p>
        </w:tc>
        <w:tc>
          <w:tcPr>
            <w:tcW w:w="925" w:type="pct"/>
            <w:gridSpan w:val="2"/>
            <w:shd w:val="clear" w:color="auto" w:fill="A6A6A6" w:themeFill="background1" w:themeFillShade="A6"/>
            <w:hideMark/>
          </w:tcPr>
          <w:p w:rsidR="00BD20DF" w:rsidRPr="0069334B" w:rsidRDefault="00BD20DF" w:rsidP="0069334B">
            <w:pPr>
              <w:spacing w:line="240" w:lineRule="auto"/>
              <w:jc w:val="both"/>
              <w:rPr>
                <w:rFonts w:cstheme="minorHAnsi"/>
                <w:b/>
                <w:szCs w:val="21"/>
              </w:rPr>
            </w:pPr>
            <w:r w:rsidRPr="0069334B">
              <w:rPr>
                <w:rFonts w:cstheme="minorHAnsi"/>
                <w:b/>
                <w:szCs w:val="21"/>
              </w:rPr>
              <w:t>2016</w:t>
            </w:r>
          </w:p>
        </w:tc>
        <w:tc>
          <w:tcPr>
            <w:tcW w:w="925" w:type="pct"/>
            <w:gridSpan w:val="2"/>
            <w:shd w:val="clear" w:color="auto" w:fill="A6A6A6" w:themeFill="background1" w:themeFillShade="A6"/>
            <w:hideMark/>
          </w:tcPr>
          <w:p w:rsidR="00BD20DF" w:rsidRPr="0069334B" w:rsidRDefault="00BD20DF" w:rsidP="0069334B">
            <w:pPr>
              <w:spacing w:line="240" w:lineRule="auto"/>
              <w:jc w:val="both"/>
              <w:rPr>
                <w:rFonts w:cstheme="minorHAnsi"/>
                <w:b/>
                <w:szCs w:val="21"/>
              </w:rPr>
            </w:pPr>
            <w:r w:rsidRPr="0069334B">
              <w:rPr>
                <w:rFonts w:cstheme="minorHAnsi"/>
                <w:b/>
                <w:szCs w:val="21"/>
              </w:rPr>
              <w:t>2017</w:t>
            </w:r>
          </w:p>
        </w:tc>
        <w:tc>
          <w:tcPr>
            <w:tcW w:w="925" w:type="pct"/>
            <w:gridSpan w:val="2"/>
            <w:shd w:val="clear" w:color="auto" w:fill="A6A6A6" w:themeFill="background1" w:themeFillShade="A6"/>
            <w:hideMark/>
          </w:tcPr>
          <w:p w:rsidR="00BD20DF" w:rsidRPr="0069334B" w:rsidRDefault="00BD20DF" w:rsidP="0069334B">
            <w:pPr>
              <w:spacing w:line="240" w:lineRule="auto"/>
              <w:jc w:val="both"/>
              <w:rPr>
                <w:rFonts w:cstheme="minorHAnsi"/>
                <w:b/>
                <w:szCs w:val="21"/>
              </w:rPr>
            </w:pPr>
            <w:r w:rsidRPr="0069334B">
              <w:rPr>
                <w:rFonts w:cstheme="minorHAnsi"/>
                <w:b/>
                <w:szCs w:val="21"/>
              </w:rPr>
              <w:t>2018</w:t>
            </w:r>
          </w:p>
        </w:tc>
        <w:tc>
          <w:tcPr>
            <w:tcW w:w="919" w:type="pct"/>
            <w:gridSpan w:val="2"/>
            <w:shd w:val="clear" w:color="auto" w:fill="A6A6A6" w:themeFill="background1" w:themeFillShade="A6"/>
          </w:tcPr>
          <w:p w:rsidR="00BD20DF" w:rsidRPr="0069334B" w:rsidRDefault="00BD20DF" w:rsidP="0069334B">
            <w:pPr>
              <w:spacing w:line="240" w:lineRule="auto"/>
              <w:jc w:val="both"/>
              <w:rPr>
                <w:rFonts w:cstheme="minorHAnsi"/>
                <w:b/>
                <w:szCs w:val="21"/>
              </w:rPr>
            </w:pPr>
            <w:r w:rsidRPr="0069334B">
              <w:rPr>
                <w:rFonts w:cstheme="minorHAnsi"/>
                <w:b/>
                <w:szCs w:val="21"/>
              </w:rPr>
              <w:t>2019</w:t>
            </w:r>
          </w:p>
        </w:tc>
      </w:tr>
      <w:tr w:rsidR="00BD20DF" w:rsidTr="001B3B63">
        <w:trPr>
          <w:trHeight w:val="1524"/>
        </w:trPr>
        <w:tc>
          <w:tcPr>
            <w:tcW w:w="377" w:type="pct"/>
            <w:vMerge/>
            <w:hideMark/>
          </w:tcPr>
          <w:p w:rsidR="00BD20DF" w:rsidRDefault="00BD20DF" w:rsidP="00BD20DF">
            <w:pPr>
              <w:rPr>
                <w:rFonts w:ascii="Calibri" w:hAnsi="Calibri" w:cs="Calibri"/>
                <w:sz w:val="22"/>
                <w:szCs w:val="22"/>
              </w:rPr>
            </w:pPr>
          </w:p>
        </w:tc>
        <w:tc>
          <w:tcPr>
            <w:tcW w:w="463" w:type="pct"/>
            <w:hideMark/>
          </w:tcPr>
          <w:p w:rsidR="00BD20DF" w:rsidRDefault="00BD20DF" w:rsidP="00BD20DF">
            <w:pPr>
              <w:spacing w:after="160" w:line="252" w:lineRule="auto"/>
              <w:rPr>
                <w:rFonts w:ascii="Calibri" w:hAnsi="Calibri" w:cs="Calibri"/>
                <w:sz w:val="22"/>
                <w:szCs w:val="22"/>
              </w:rPr>
            </w:pPr>
            <w:r>
              <w:t>Do přirozeného sociálního prostředí</w:t>
            </w:r>
          </w:p>
        </w:tc>
        <w:tc>
          <w:tcPr>
            <w:tcW w:w="465" w:type="pct"/>
            <w:hideMark/>
          </w:tcPr>
          <w:p w:rsidR="00BD20DF" w:rsidRDefault="00BD20DF" w:rsidP="00BD20DF">
            <w:pPr>
              <w:spacing w:after="160" w:line="252" w:lineRule="auto"/>
              <w:rPr>
                <w:rFonts w:ascii="Calibri" w:hAnsi="Calibri" w:cs="Calibri"/>
                <w:sz w:val="22"/>
                <w:szCs w:val="22"/>
              </w:rPr>
            </w:pPr>
            <w:r>
              <w:t>Do pobytové sociální služby Komunitního typu</w:t>
            </w:r>
          </w:p>
        </w:tc>
        <w:tc>
          <w:tcPr>
            <w:tcW w:w="463" w:type="pct"/>
            <w:hideMark/>
          </w:tcPr>
          <w:p w:rsidR="00BD20DF" w:rsidRDefault="00BD20DF" w:rsidP="00BD20DF">
            <w:pPr>
              <w:spacing w:after="160" w:line="252" w:lineRule="auto"/>
              <w:rPr>
                <w:rFonts w:ascii="Calibri" w:hAnsi="Calibri" w:cs="Calibri"/>
                <w:sz w:val="22"/>
                <w:szCs w:val="22"/>
              </w:rPr>
            </w:pPr>
            <w:r>
              <w:t>Do přirozeného sociálního prostředí</w:t>
            </w:r>
          </w:p>
        </w:tc>
        <w:tc>
          <w:tcPr>
            <w:tcW w:w="463" w:type="pct"/>
            <w:hideMark/>
          </w:tcPr>
          <w:p w:rsidR="00BD20DF" w:rsidRDefault="00BD20DF" w:rsidP="00BD20DF">
            <w:pPr>
              <w:spacing w:after="160" w:line="252" w:lineRule="auto"/>
              <w:rPr>
                <w:rFonts w:ascii="Calibri" w:hAnsi="Calibri" w:cs="Calibri"/>
                <w:sz w:val="22"/>
                <w:szCs w:val="22"/>
              </w:rPr>
            </w:pPr>
            <w:r>
              <w:t>Do pobytové sociální služby komunitního typu</w:t>
            </w:r>
          </w:p>
        </w:tc>
        <w:tc>
          <w:tcPr>
            <w:tcW w:w="463" w:type="pct"/>
            <w:hideMark/>
          </w:tcPr>
          <w:p w:rsidR="00BD20DF" w:rsidRDefault="00BD20DF" w:rsidP="00BD20DF">
            <w:pPr>
              <w:spacing w:after="160" w:line="252" w:lineRule="auto"/>
              <w:rPr>
                <w:rFonts w:ascii="Calibri" w:hAnsi="Calibri" w:cs="Calibri"/>
                <w:sz w:val="22"/>
                <w:szCs w:val="22"/>
              </w:rPr>
            </w:pPr>
            <w:r>
              <w:t>Do přirozeného sociálního prostředí</w:t>
            </w:r>
          </w:p>
        </w:tc>
        <w:tc>
          <w:tcPr>
            <w:tcW w:w="463" w:type="pct"/>
            <w:hideMark/>
          </w:tcPr>
          <w:p w:rsidR="00BD20DF" w:rsidRDefault="00BD20DF" w:rsidP="00BD20DF">
            <w:pPr>
              <w:spacing w:after="160" w:line="252" w:lineRule="auto"/>
              <w:rPr>
                <w:rFonts w:ascii="Calibri" w:hAnsi="Calibri" w:cs="Calibri"/>
                <w:sz w:val="22"/>
                <w:szCs w:val="22"/>
              </w:rPr>
            </w:pPr>
            <w:r>
              <w:t>Do pobytové komunitní sociální služby</w:t>
            </w:r>
          </w:p>
        </w:tc>
        <w:tc>
          <w:tcPr>
            <w:tcW w:w="463" w:type="pct"/>
            <w:hideMark/>
          </w:tcPr>
          <w:p w:rsidR="00BD20DF" w:rsidRDefault="00BD20DF" w:rsidP="00BD20DF">
            <w:pPr>
              <w:spacing w:after="160" w:line="252" w:lineRule="auto"/>
              <w:rPr>
                <w:rFonts w:ascii="Calibri" w:hAnsi="Calibri" w:cs="Calibri"/>
                <w:sz w:val="22"/>
                <w:szCs w:val="22"/>
              </w:rPr>
            </w:pPr>
            <w:r>
              <w:t>Do přirozeného sociálního prostředí</w:t>
            </w:r>
          </w:p>
        </w:tc>
        <w:tc>
          <w:tcPr>
            <w:tcW w:w="462" w:type="pct"/>
            <w:hideMark/>
          </w:tcPr>
          <w:p w:rsidR="00BD20DF" w:rsidRDefault="00BD20DF" w:rsidP="00BD20DF">
            <w:pPr>
              <w:spacing w:after="160" w:line="252" w:lineRule="auto"/>
              <w:rPr>
                <w:rFonts w:ascii="Calibri" w:hAnsi="Calibri" w:cs="Calibri"/>
                <w:sz w:val="22"/>
                <w:szCs w:val="22"/>
              </w:rPr>
            </w:pPr>
            <w:r>
              <w:t>Do pobytové sociální služby Komunitního typu</w:t>
            </w:r>
          </w:p>
        </w:tc>
        <w:tc>
          <w:tcPr>
            <w:tcW w:w="461" w:type="pct"/>
          </w:tcPr>
          <w:p w:rsidR="00BD20DF" w:rsidRDefault="00BD20DF" w:rsidP="00BD20DF">
            <w:pPr>
              <w:spacing w:after="160" w:line="252" w:lineRule="auto"/>
              <w:rPr>
                <w:rFonts w:ascii="Calibri" w:hAnsi="Calibri" w:cs="Calibri"/>
                <w:sz w:val="22"/>
                <w:szCs w:val="22"/>
              </w:rPr>
            </w:pPr>
            <w:r>
              <w:t>Do přirozeného sociálního prostředí</w:t>
            </w:r>
          </w:p>
        </w:tc>
        <w:tc>
          <w:tcPr>
            <w:tcW w:w="458" w:type="pct"/>
          </w:tcPr>
          <w:p w:rsidR="00BD20DF" w:rsidRDefault="00BD20DF" w:rsidP="00BD20DF">
            <w:pPr>
              <w:spacing w:after="160" w:line="252" w:lineRule="auto"/>
              <w:rPr>
                <w:rFonts w:ascii="Calibri" w:hAnsi="Calibri" w:cs="Calibri"/>
                <w:sz w:val="22"/>
                <w:szCs w:val="22"/>
              </w:rPr>
            </w:pPr>
            <w:r>
              <w:t>Do pobytové sociální služby Komunitního typu</w:t>
            </w:r>
          </w:p>
        </w:tc>
      </w:tr>
      <w:tr w:rsidR="00BD20DF" w:rsidTr="001B3B63">
        <w:trPr>
          <w:trHeight w:val="1224"/>
        </w:trPr>
        <w:tc>
          <w:tcPr>
            <w:tcW w:w="377" w:type="pct"/>
            <w:hideMark/>
          </w:tcPr>
          <w:p w:rsidR="00BD20DF" w:rsidRPr="0069334B" w:rsidRDefault="00BD20DF" w:rsidP="0069334B">
            <w:pPr>
              <w:spacing w:line="256" w:lineRule="auto"/>
              <w:rPr>
                <w:szCs w:val="24"/>
              </w:rPr>
            </w:pPr>
            <w:r w:rsidRPr="0069334B">
              <w:rPr>
                <w:szCs w:val="24"/>
              </w:rPr>
              <w:t>Domovy pro osoby se ZP</w:t>
            </w:r>
          </w:p>
        </w:tc>
        <w:tc>
          <w:tcPr>
            <w:tcW w:w="463" w:type="pct"/>
          </w:tcPr>
          <w:p w:rsidR="00BD20DF" w:rsidRPr="001B3B63" w:rsidRDefault="00BD20DF" w:rsidP="00BD20DF">
            <w:pPr>
              <w:spacing w:after="160" w:line="252" w:lineRule="auto"/>
              <w:jc w:val="center"/>
              <w:rPr>
                <w:rFonts w:ascii="Calibri" w:hAnsi="Calibri" w:cs="Calibri"/>
                <w:bCs/>
              </w:rPr>
            </w:pPr>
            <w:r w:rsidRPr="001B3B63">
              <w:rPr>
                <w:bCs/>
              </w:rPr>
              <w:t>157</w:t>
            </w:r>
          </w:p>
        </w:tc>
        <w:tc>
          <w:tcPr>
            <w:tcW w:w="465" w:type="pct"/>
          </w:tcPr>
          <w:p w:rsidR="00BD20DF" w:rsidRPr="001B3B63" w:rsidRDefault="00BD20DF" w:rsidP="00BD20DF">
            <w:pPr>
              <w:spacing w:after="160" w:line="252" w:lineRule="auto"/>
              <w:jc w:val="center"/>
              <w:rPr>
                <w:rFonts w:ascii="Calibri" w:hAnsi="Calibri" w:cs="Calibri"/>
                <w:bCs/>
              </w:rPr>
            </w:pPr>
            <w:r w:rsidRPr="001B3B63">
              <w:rPr>
                <w:bCs/>
              </w:rPr>
              <w:t>330</w:t>
            </w:r>
          </w:p>
        </w:tc>
        <w:tc>
          <w:tcPr>
            <w:tcW w:w="463" w:type="pct"/>
          </w:tcPr>
          <w:p w:rsidR="00BD20DF" w:rsidRPr="001B3B63" w:rsidRDefault="00BD20DF" w:rsidP="00BD20DF">
            <w:pPr>
              <w:spacing w:after="160" w:line="252" w:lineRule="auto"/>
              <w:jc w:val="center"/>
              <w:rPr>
                <w:rFonts w:ascii="Calibri" w:hAnsi="Calibri" w:cs="Calibri"/>
                <w:bCs/>
              </w:rPr>
            </w:pPr>
            <w:r w:rsidRPr="001B3B63">
              <w:rPr>
                <w:bCs/>
              </w:rPr>
              <w:t>569</w:t>
            </w:r>
          </w:p>
        </w:tc>
        <w:tc>
          <w:tcPr>
            <w:tcW w:w="463" w:type="pct"/>
          </w:tcPr>
          <w:p w:rsidR="00BD20DF" w:rsidRPr="001B3B63" w:rsidRDefault="00BD20DF" w:rsidP="00BD20DF">
            <w:pPr>
              <w:spacing w:after="160" w:line="252" w:lineRule="auto"/>
              <w:jc w:val="center"/>
              <w:rPr>
                <w:rFonts w:ascii="Calibri" w:hAnsi="Calibri" w:cs="Calibri"/>
                <w:bCs/>
              </w:rPr>
            </w:pPr>
            <w:r w:rsidRPr="001B3B63">
              <w:rPr>
                <w:bCs/>
              </w:rPr>
              <w:t>159</w:t>
            </w:r>
          </w:p>
        </w:tc>
        <w:tc>
          <w:tcPr>
            <w:tcW w:w="463" w:type="pct"/>
          </w:tcPr>
          <w:p w:rsidR="00BD20DF" w:rsidRPr="001B3B63" w:rsidRDefault="00BD20DF" w:rsidP="00BD20DF">
            <w:pPr>
              <w:spacing w:after="160" w:line="252" w:lineRule="auto"/>
              <w:jc w:val="center"/>
              <w:rPr>
                <w:rFonts w:ascii="Calibri" w:hAnsi="Calibri" w:cs="Calibri"/>
                <w:bCs/>
              </w:rPr>
            </w:pPr>
            <w:r w:rsidRPr="001B3B63">
              <w:rPr>
                <w:bCs/>
              </w:rPr>
              <w:t>113</w:t>
            </w:r>
          </w:p>
        </w:tc>
        <w:tc>
          <w:tcPr>
            <w:tcW w:w="463" w:type="pct"/>
          </w:tcPr>
          <w:p w:rsidR="00BD20DF" w:rsidRPr="001B3B63" w:rsidRDefault="00BD20DF" w:rsidP="00BD20DF">
            <w:pPr>
              <w:spacing w:after="160" w:line="252" w:lineRule="auto"/>
              <w:jc w:val="center"/>
              <w:rPr>
                <w:rFonts w:ascii="Calibri" w:hAnsi="Calibri" w:cs="Calibri"/>
                <w:bCs/>
              </w:rPr>
            </w:pPr>
            <w:r w:rsidRPr="001B3B63">
              <w:rPr>
                <w:bCs/>
              </w:rPr>
              <w:t>98</w:t>
            </w:r>
          </w:p>
        </w:tc>
        <w:tc>
          <w:tcPr>
            <w:tcW w:w="463" w:type="pct"/>
          </w:tcPr>
          <w:p w:rsidR="00BD20DF" w:rsidRPr="001B3B63" w:rsidRDefault="00BD20DF" w:rsidP="00BD20DF">
            <w:pPr>
              <w:spacing w:after="160" w:line="252" w:lineRule="auto"/>
              <w:jc w:val="center"/>
              <w:rPr>
                <w:rFonts w:ascii="Calibri" w:hAnsi="Calibri" w:cs="Calibri"/>
                <w:bCs/>
              </w:rPr>
            </w:pPr>
            <w:r w:rsidRPr="001B3B63">
              <w:rPr>
                <w:bCs/>
              </w:rPr>
              <w:t>90</w:t>
            </w:r>
          </w:p>
        </w:tc>
        <w:tc>
          <w:tcPr>
            <w:tcW w:w="462" w:type="pct"/>
          </w:tcPr>
          <w:p w:rsidR="00BD20DF" w:rsidRPr="001B3B63" w:rsidRDefault="00BD20DF" w:rsidP="00BD20DF">
            <w:pPr>
              <w:spacing w:after="160" w:line="252" w:lineRule="auto"/>
              <w:jc w:val="center"/>
              <w:rPr>
                <w:rFonts w:ascii="Calibri" w:hAnsi="Calibri" w:cs="Calibri"/>
                <w:bCs/>
              </w:rPr>
            </w:pPr>
            <w:r w:rsidRPr="001B3B63">
              <w:rPr>
                <w:bCs/>
              </w:rPr>
              <w:t>113</w:t>
            </w:r>
          </w:p>
        </w:tc>
        <w:tc>
          <w:tcPr>
            <w:tcW w:w="460" w:type="pct"/>
          </w:tcPr>
          <w:p w:rsidR="00BD20DF" w:rsidRPr="001B3B63" w:rsidRDefault="00BD20DF" w:rsidP="00BD20DF">
            <w:pPr>
              <w:spacing w:after="160" w:line="252" w:lineRule="auto"/>
              <w:jc w:val="center"/>
              <w:rPr>
                <w:bCs/>
              </w:rPr>
            </w:pPr>
            <w:r w:rsidRPr="001B3B63">
              <w:rPr>
                <w:bCs/>
              </w:rPr>
              <w:t>165</w:t>
            </w:r>
          </w:p>
        </w:tc>
        <w:tc>
          <w:tcPr>
            <w:tcW w:w="460" w:type="pct"/>
          </w:tcPr>
          <w:p w:rsidR="00BD20DF" w:rsidRPr="001B3B63" w:rsidRDefault="00BD20DF" w:rsidP="00BD20DF">
            <w:pPr>
              <w:spacing w:after="160" w:line="252" w:lineRule="auto"/>
              <w:jc w:val="center"/>
              <w:rPr>
                <w:bCs/>
              </w:rPr>
            </w:pPr>
            <w:r w:rsidRPr="001B3B63">
              <w:rPr>
                <w:bCs/>
              </w:rPr>
              <w:t>102</w:t>
            </w:r>
          </w:p>
        </w:tc>
      </w:tr>
    </w:tbl>
    <w:p w:rsidR="0017388A" w:rsidRDefault="0017388A" w:rsidP="008C7161">
      <w:pPr>
        <w:pStyle w:val="SingleTxtG"/>
        <w:spacing w:after="0"/>
      </w:pPr>
      <w:r>
        <w:t>* Zdroj: MPSV</w:t>
      </w:r>
    </w:p>
    <w:p w:rsidR="0017388A" w:rsidRDefault="0017388A" w:rsidP="007F14E4">
      <w:pPr>
        <w:pStyle w:val="SingleTxtG"/>
      </w:pPr>
    </w:p>
    <w:p w:rsidR="003C4616" w:rsidRDefault="00A53CDB" w:rsidP="0017388A">
      <w:pPr>
        <w:pStyle w:val="SingleTxtG"/>
        <w:spacing w:after="0"/>
      </w:pPr>
      <w:r w:rsidRPr="00A53CDB">
        <w:t>Od roku 2015 do roku 2018 odešlo ze služby domovy pro seniory do pobytové komunitní sociální služby celkem 266 klientů a do přirozeného domácího prostředí celkem 1 803 klientů. Za stejné období odešlo ze služby domovy se zvláštním režimem do pobytové komunitní sociální služby 272 klientů a do přirozeného sociálního prostředí 1 316 klientů.</w:t>
      </w:r>
    </w:p>
    <w:p w:rsidR="001B3B63" w:rsidRDefault="001B3B63" w:rsidP="007F14E4">
      <w:pPr>
        <w:pStyle w:val="SingleTxtG"/>
      </w:pPr>
      <w:bookmarkStart w:id="1" w:name="_GoBack"/>
    </w:p>
    <w:bookmarkEnd w:id="1"/>
    <w:p w:rsidR="00A53CDB" w:rsidRDefault="000346B7" w:rsidP="00CF367B">
      <w:pPr>
        <w:pStyle w:val="SingleTxtG"/>
      </w:pPr>
      <w:r w:rsidRPr="000346B7">
        <w:t xml:space="preserve">Počet klientů (seniorů) </w:t>
      </w:r>
      <w:r>
        <w:t xml:space="preserve">odešlých </w:t>
      </w:r>
      <w:r w:rsidRPr="000346B7">
        <w:t>z pobytových sociálních služeb</w:t>
      </w:r>
    </w:p>
    <w:tbl>
      <w:tblPr>
        <w:tblStyle w:val="Svtlmkatabulky"/>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871"/>
        <w:gridCol w:w="77"/>
        <w:gridCol w:w="795"/>
        <w:gridCol w:w="44"/>
        <w:gridCol w:w="828"/>
        <w:gridCol w:w="119"/>
        <w:gridCol w:w="753"/>
        <w:gridCol w:w="87"/>
        <w:gridCol w:w="784"/>
        <w:gridCol w:w="164"/>
        <w:gridCol w:w="709"/>
        <w:gridCol w:w="131"/>
        <w:gridCol w:w="741"/>
        <w:gridCol w:w="48"/>
        <w:gridCol w:w="824"/>
        <w:gridCol w:w="870"/>
        <w:gridCol w:w="872"/>
      </w:tblGrid>
      <w:tr w:rsidR="00BD20DF" w:rsidRPr="000346B7" w:rsidTr="001B3B63">
        <w:trPr>
          <w:trHeight w:val="265"/>
        </w:trPr>
        <w:tc>
          <w:tcPr>
            <w:tcW w:w="473" w:type="pct"/>
            <w:vMerge w:val="restart"/>
            <w:shd w:val="clear" w:color="auto" w:fill="A6A6A6" w:themeFill="background1" w:themeFillShade="A6"/>
            <w:hideMark/>
          </w:tcPr>
          <w:p w:rsidR="00BD20DF" w:rsidRPr="001B3B63" w:rsidRDefault="00BD20DF">
            <w:pPr>
              <w:spacing w:line="256" w:lineRule="auto"/>
              <w:rPr>
                <w:b/>
                <w:bCs/>
              </w:rPr>
            </w:pPr>
            <w:r w:rsidRPr="001B3B63">
              <w:rPr>
                <w:b/>
                <w:bCs/>
              </w:rPr>
              <w:t>Druh zařízení</w:t>
            </w:r>
          </w:p>
        </w:tc>
        <w:tc>
          <w:tcPr>
            <w:tcW w:w="905" w:type="pct"/>
            <w:gridSpan w:val="3"/>
            <w:shd w:val="clear" w:color="auto" w:fill="A6A6A6" w:themeFill="background1" w:themeFillShade="A6"/>
            <w:hideMark/>
          </w:tcPr>
          <w:p w:rsidR="00BD20DF" w:rsidRPr="001B3B63" w:rsidRDefault="00BD20DF">
            <w:pPr>
              <w:spacing w:line="256" w:lineRule="auto"/>
              <w:jc w:val="center"/>
              <w:rPr>
                <w:b/>
                <w:bCs/>
              </w:rPr>
            </w:pPr>
            <w:r w:rsidRPr="001B3B63">
              <w:rPr>
                <w:b/>
                <w:bCs/>
              </w:rPr>
              <w:t>2015</w:t>
            </w:r>
          </w:p>
        </w:tc>
        <w:tc>
          <w:tcPr>
            <w:tcW w:w="906" w:type="pct"/>
            <w:gridSpan w:val="4"/>
            <w:shd w:val="clear" w:color="auto" w:fill="A6A6A6" w:themeFill="background1" w:themeFillShade="A6"/>
            <w:hideMark/>
          </w:tcPr>
          <w:p w:rsidR="00BD20DF" w:rsidRPr="001B3B63" w:rsidRDefault="00BD20DF">
            <w:pPr>
              <w:spacing w:line="256" w:lineRule="auto"/>
              <w:jc w:val="center"/>
              <w:rPr>
                <w:b/>
                <w:bCs/>
              </w:rPr>
            </w:pPr>
            <w:r w:rsidRPr="001B3B63">
              <w:rPr>
                <w:b/>
                <w:bCs/>
              </w:rPr>
              <w:t>2016</w:t>
            </w:r>
          </w:p>
        </w:tc>
        <w:tc>
          <w:tcPr>
            <w:tcW w:w="905" w:type="pct"/>
            <w:gridSpan w:val="4"/>
            <w:shd w:val="clear" w:color="auto" w:fill="A6A6A6" w:themeFill="background1" w:themeFillShade="A6"/>
            <w:hideMark/>
          </w:tcPr>
          <w:p w:rsidR="00BD20DF" w:rsidRPr="001B3B63" w:rsidRDefault="00BD20DF">
            <w:pPr>
              <w:spacing w:line="256" w:lineRule="auto"/>
              <w:jc w:val="center"/>
              <w:rPr>
                <w:b/>
                <w:bCs/>
              </w:rPr>
            </w:pPr>
            <w:r w:rsidRPr="001B3B63">
              <w:rPr>
                <w:b/>
                <w:bCs/>
              </w:rPr>
              <w:t>2017</w:t>
            </w:r>
          </w:p>
        </w:tc>
        <w:tc>
          <w:tcPr>
            <w:tcW w:w="906" w:type="pct"/>
            <w:gridSpan w:val="4"/>
            <w:shd w:val="clear" w:color="auto" w:fill="A6A6A6" w:themeFill="background1" w:themeFillShade="A6"/>
            <w:hideMark/>
          </w:tcPr>
          <w:p w:rsidR="00BD20DF" w:rsidRPr="001B3B63" w:rsidRDefault="00BD20DF">
            <w:pPr>
              <w:spacing w:line="256" w:lineRule="auto"/>
              <w:jc w:val="center"/>
              <w:rPr>
                <w:b/>
                <w:bCs/>
              </w:rPr>
            </w:pPr>
            <w:r w:rsidRPr="001B3B63">
              <w:rPr>
                <w:b/>
                <w:bCs/>
              </w:rPr>
              <w:t>2018</w:t>
            </w:r>
          </w:p>
        </w:tc>
        <w:tc>
          <w:tcPr>
            <w:tcW w:w="905" w:type="pct"/>
            <w:gridSpan w:val="2"/>
            <w:shd w:val="clear" w:color="auto" w:fill="A6A6A6" w:themeFill="background1" w:themeFillShade="A6"/>
          </w:tcPr>
          <w:p w:rsidR="00BD20DF" w:rsidRPr="001B3B63" w:rsidRDefault="00BD20DF">
            <w:pPr>
              <w:spacing w:line="256" w:lineRule="auto"/>
              <w:jc w:val="center"/>
              <w:rPr>
                <w:b/>
                <w:bCs/>
              </w:rPr>
            </w:pPr>
            <w:r w:rsidRPr="001B3B63">
              <w:rPr>
                <w:b/>
                <w:bCs/>
              </w:rPr>
              <w:t>2019</w:t>
            </w:r>
          </w:p>
        </w:tc>
      </w:tr>
      <w:tr w:rsidR="00CB5F3E" w:rsidRPr="000346B7" w:rsidTr="001B3B63">
        <w:trPr>
          <w:trHeight w:val="830"/>
        </w:trPr>
        <w:tc>
          <w:tcPr>
            <w:tcW w:w="473" w:type="pct"/>
            <w:vMerge/>
            <w:shd w:val="clear" w:color="auto" w:fill="A6A6A6" w:themeFill="background1" w:themeFillShade="A6"/>
            <w:hideMark/>
          </w:tcPr>
          <w:p w:rsidR="00CB5F3E" w:rsidRPr="001B3B63" w:rsidRDefault="00CB5F3E" w:rsidP="00CB5F3E"/>
        </w:tc>
        <w:tc>
          <w:tcPr>
            <w:tcW w:w="452" w:type="pct"/>
            <w:hideMark/>
          </w:tcPr>
          <w:p w:rsidR="00CB5F3E" w:rsidRPr="001B3B63" w:rsidRDefault="00CB5F3E" w:rsidP="00CB5F3E">
            <w:pPr>
              <w:spacing w:line="256" w:lineRule="auto"/>
            </w:pPr>
            <w:r w:rsidRPr="001B3B63">
              <w:t>Do přirozeného sociálního prostředí</w:t>
            </w:r>
          </w:p>
        </w:tc>
        <w:tc>
          <w:tcPr>
            <w:tcW w:w="453" w:type="pct"/>
            <w:gridSpan w:val="2"/>
            <w:hideMark/>
          </w:tcPr>
          <w:p w:rsidR="00CB5F3E" w:rsidRPr="001B3B63" w:rsidRDefault="00CB5F3E" w:rsidP="00CB5F3E">
            <w:pPr>
              <w:spacing w:line="256" w:lineRule="auto"/>
            </w:pPr>
            <w:r w:rsidRPr="001B3B63">
              <w:t>Do pobytové komunitní sociální služby</w:t>
            </w:r>
          </w:p>
        </w:tc>
        <w:tc>
          <w:tcPr>
            <w:tcW w:w="453" w:type="pct"/>
            <w:gridSpan w:val="2"/>
            <w:hideMark/>
          </w:tcPr>
          <w:p w:rsidR="00CB5F3E" w:rsidRPr="001B3B63" w:rsidRDefault="00CB5F3E" w:rsidP="00CB5F3E">
            <w:pPr>
              <w:spacing w:line="256" w:lineRule="auto"/>
            </w:pPr>
            <w:r w:rsidRPr="001B3B63">
              <w:t>Do přirozeného sociálního prostředí</w:t>
            </w:r>
          </w:p>
        </w:tc>
        <w:tc>
          <w:tcPr>
            <w:tcW w:w="453" w:type="pct"/>
            <w:gridSpan w:val="2"/>
            <w:hideMark/>
          </w:tcPr>
          <w:p w:rsidR="00CB5F3E" w:rsidRPr="001B3B63" w:rsidRDefault="00CB5F3E" w:rsidP="00CB5F3E">
            <w:pPr>
              <w:spacing w:line="256" w:lineRule="auto"/>
            </w:pPr>
            <w:r w:rsidRPr="001B3B63">
              <w:t>Do pobytové komunitní sociální služby</w:t>
            </w:r>
          </w:p>
        </w:tc>
        <w:tc>
          <w:tcPr>
            <w:tcW w:w="452" w:type="pct"/>
            <w:gridSpan w:val="2"/>
            <w:hideMark/>
          </w:tcPr>
          <w:p w:rsidR="00CB5F3E" w:rsidRPr="001B3B63" w:rsidRDefault="00CB5F3E" w:rsidP="00CB5F3E">
            <w:pPr>
              <w:spacing w:line="256" w:lineRule="auto"/>
            </w:pPr>
            <w:r w:rsidRPr="001B3B63">
              <w:t>Do přirozeného sociálního prostředí</w:t>
            </w:r>
          </w:p>
        </w:tc>
        <w:tc>
          <w:tcPr>
            <w:tcW w:w="453" w:type="pct"/>
            <w:gridSpan w:val="2"/>
            <w:hideMark/>
          </w:tcPr>
          <w:p w:rsidR="00CB5F3E" w:rsidRPr="001B3B63" w:rsidRDefault="00CB5F3E" w:rsidP="00CB5F3E">
            <w:pPr>
              <w:spacing w:line="256" w:lineRule="auto"/>
            </w:pPr>
            <w:r w:rsidRPr="001B3B63">
              <w:t>Do pobytové komunitní sociální služby</w:t>
            </w:r>
          </w:p>
        </w:tc>
        <w:tc>
          <w:tcPr>
            <w:tcW w:w="453" w:type="pct"/>
            <w:gridSpan w:val="2"/>
            <w:hideMark/>
          </w:tcPr>
          <w:p w:rsidR="00CB5F3E" w:rsidRPr="001B3B63" w:rsidRDefault="00CB5F3E" w:rsidP="00CB5F3E">
            <w:pPr>
              <w:spacing w:line="256" w:lineRule="auto"/>
            </w:pPr>
            <w:r w:rsidRPr="001B3B63">
              <w:t>Do přirozeného sociálního prostředí</w:t>
            </w:r>
          </w:p>
        </w:tc>
        <w:tc>
          <w:tcPr>
            <w:tcW w:w="453" w:type="pct"/>
            <w:gridSpan w:val="2"/>
            <w:hideMark/>
          </w:tcPr>
          <w:p w:rsidR="00CB5F3E" w:rsidRPr="001B3B63" w:rsidRDefault="00CB5F3E" w:rsidP="00CB5F3E">
            <w:pPr>
              <w:spacing w:line="256" w:lineRule="auto"/>
            </w:pPr>
            <w:r w:rsidRPr="001B3B63">
              <w:t>Do pobytové komunitní sociální služby</w:t>
            </w:r>
          </w:p>
        </w:tc>
        <w:tc>
          <w:tcPr>
            <w:tcW w:w="452" w:type="pct"/>
          </w:tcPr>
          <w:p w:rsidR="00CB5F3E" w:rsidRPr="001B3B63" w:rsidRDefault="00CB5F3E" w:rsidP="00CB5F3E">
            <w:pPr>
              <w:spacing w:line="256" w:lineRule="auto"/>
            </w:pPr>
            <w:r w:rsidRPr="001B3B63">
              <w:t>Do přirozeného sociálního prostředí</w:t>
            </w:r>
          </w:p>
        </w:tc>
        <w:tc>
          <w:tcPr>
            <w:tcW w:w="453" w:type="pct"/>
          </w:tcPr>
          <w:p w:rsidR="00CB5F3E" w:rsidRPr="001B3B63" w:rsidRDefault="00CB5F3E" w:rsidP="00CB5F3E">
            <w:pPr>
              <w:spacing w:line="256" w:lineRule="auto"/>
            </w:pPr>
            <w:r w:rsidRPr="001B3B63">
              <w:t>Do pobytové komunitní sociální služby</w:t>
            </w:r>
          </w:p>
        </w:tc>
      </w:tr>
      <w:tr w:rsidR="00BD20DF" w:rsidRPr="000346B7" w:rsidTr="001B3B63">
        <w:trPr>
          <w:trHeight w:val="530"/>
        </w:trPr>
        <w:tc>
          <w:tcPr>
            <w:tcW w:w="473" w:type="pct"/>
            <w:hideMark/>
          </w:tcPr>
          <w:p w:rsidR="00BD20DF" w:rsidRPr="001B3B63" w:rsidRDefault="00BD20DF" w:rsidP="00BD20DF">
            <w:pPr>
              <w:spacing w:line="256" w:lineRule="auto"/>
            </w:pPr>
            <w:r w:rsidRPr="001B3B63">
              <w:t>Domovy pro seniory</w:t>
            </w:r>
          </w:p>
        </w:tc>
        <w:tc>
          <w:tcPr>
            <w:tcW w:w="492" w:type="pct"/>
            <w:gridSpan w:val="2"/>
            <w:hideMark/>
          </w:tcPr>
          <w:p w:rsidR="00BD20DF" w:rsidRPr="001B3B63" w:rsidRDefault="00BD20DF" w:rsidP="00BD20DF">
            <w:pPr>
              <w:spacing w:line="256" w:lineRule="auto"/>
            </w:pPr>
            <w:r w:rsidRPr="001B3B63">
              <w:t>455</w:t>
            </w:r>
          </w:p>
        </w:tc>
        <w:tc>
          <w:tcPr>
            <w:tcW w:w="436" w:type="pct"/>
            <w:gridSpan w:val="2"/>
            <w:hideMark/>
          </w:tcPr>
          <w:p w:rsidR="00BD20DF" w:rsidRPr="001B3B63" w:rsidRDefault="00BD20DF" w:rsidP="00BD20DF">
            <w:pPr>
              <w:spacing w:line="256" w:lineRule="auto"/>
            </w:pPr>
            <w:r w:rsidRPr="001B3B63">
              <w:t>52</w:t>
            </w:r>
          </w:p>
        </w:tc>
        <w:tc>
          <w:tcPr>
            <w:tcW w:w="492" w:type="pct"/>
            <w:gridSpan w:val="2"/>
            <w:hideMark/>
          </w:tcPr>
          <w:p w:rsidR="00BD20DF" w:rsidRPr="001B3B63" w:rsidRDefault="00BD20DF" w:rsidP="00BD20DF">
            <w:pPr>
              <w:spacing w:line="256" w:lineRule="auto"/>
            </w:pPr>
            <w:r w:rsidRPr="001B3B63">
              <w:t>483</w:t>
            </w:r>
          </w:p>
        </w:tc>
        <w:tc>
          <w:tcPr>
            <w:tcW w:w="436" w:type="pct"/>
            <w:gridSpan w:val="2"/>
            <w:hideMark/>
          </w:tcPr>
          <w:p w:rsidR="00BD20DF" w:rsidRPr="001B3B63" w:rsidRDefault="00BD20DF" w:rsidP="00BD20DF">
            <w:pPr>
              <w:spacing w:line="256" w:lineRule="auto"/>
            </w:pPr>
            <w:r w:rsidRPr="001B3B63">
              <w:t>50</w:t>
            </w:r>
          </w:p>
        </w:tc>
        <w:tc>
          <w:tcPr>
            <w:tcW w:w="492" w:type="pct"/>
            <w:gridSpan w:val="2"/>
            <w:hideMark/>
          </w:tcPr>
          <w:p w:rsidR="00BD20DF" w:rsidRPr="001B3B63" w:rsidRDefault="00BD20DF" w:rsidP="00BD20DF">
            <w:pPr>
              <w:spacing w:line="256" w:lineRule="auto"/>
            </w:pPr>
            <w:r w:rsidRPr="001B3B63">
              <w:t>433</w:t>
            </w:r>
          </w:p>
        </w:tc>
        <w:tc>
          <w:tcPr>
            <w:tcW w:w="436" w:type="pct"/>
            <w:gridSpan w:val="2"/>
            <w:hideMark/>
          </w:tcPr>
          <w:p w:rsidR="00BD20DF" w:rsidRPr="001B3B63" w:rsidRDefault="00BD20DF" w:rsidP="00BD20DF">
            <w:pPr>
              <w:spacing w:line="256" w:lineRule="auto"/>
            </w:pPr>
            <w:r w:rsidRPr="001B3B63">
              <w:t>100</w:t>
            </w:r>
          </w:p>
        </w:tc>
        <w:tc>
          <w:tcPr>
            <w:tcW w:w="410" w:type="pct"/>
            <w:gridSpan w:val="2"/>
            <w:hideMark/>
          </w:tcPr>
          <w:p w:rsidR="00BD20DF" w:rsidRPr="001B3B63" w:rsidRDefault="00BD20DF" w:rsidP="00BD20DF">
            <w:pPr>
              <w:spacing w:line="256" w:lineRule="auto"/>
            </w:pPr>
            <w:r w:rsidRPr="001B3B63">
              <w:t>432</w:t>
            </w:r>
          </w:p>
        </w:tc>
        <w:tc>
          <w:tcPr>
            <w:tcW w:w="428" w:type="pct"/>
            <w:hideMark/>
          </w:tcPr>
          <w:p w:rsidR="00BD20DF" w:rsidRPr="001B3B63" w:rsidRDefault="00BD20DF" w:rsidP="00BD20DF">
            <w:pPr>
              <w:spacing w:line="256" w:lineRule="auto"/>
            </w:pPr>
            <w:r w:rsidRPr="001B3B63">
              <w:t>64</w:t>
            </w:r>
          </w:p>
        </w:tc>
        <w:tc>
          <w:tcPr>
            <w:tcW w:w="452" w:type="pct"/>
          </w:tcPr>
          <w:p w:rsidR="00BD20DF" w:rsidRPr="001B3B63" w:rsidRDefault="00CB5F3E" w:rsidP="00CB5F3E">
            <w:pPr>
              <w:spacing w:line="256" w:lineRule="auto"/>
              <w:jc w:val="center"/>
            </w:pPr>
            <w:r w:rsidRPr="001B3B63">
              <w:t>402</w:t>
            </w:r>
          </w:p>
        </w:tc>
        <w:tc>
          <w:tcPr>
            <w:tcW w:w="453" w:type="pct"/>
          </w:tcPr>
          <w:p w:rsidR="00BD20DF" w:rsidRPr="001B3B63" w:rsidRDefault="00CB5F3E" w:rsidP="00CB5F3E">
            <w:pPr>
              <w:spacing w:line="256" w:lineRule="auto"/>
              <w:jc w:val="center"/>
            </w:pPr>
            <w:r w:rsidRPr="001B3B63">
              <w:t>39</w:t>
            </w:r>
          </w:p>
        </w:tc>
      </w:tr>
      <w:tr w:rsidR="00BD20DF" w:rsidRPr="000346B7" w:rsidTr="001B3B63">
        <w:trPr>
          <w:trHeight w:val="807"/>
        </w:trPr>
        <w:tc>
          <w:tcPr>
            <w:tcW w:w="473" w:type="pct"/>
            <w:hideMark/>
          </w:tcPr>
          <w:p w:rsidR="00BD20DF" w:rsidRPr="001B3B63" w:rsidRDefault="00BD20DF" w:rsidP="00BD20DF">
            <w:pPr>
              <w:spacing w:line="256" w:lineRule="auto"/>
            </w:pPr>
            <w:r w:rsidRPr="001B3B63">
              <w:t>Domovy se zvláštním režimem</w:t>
            </w:r>
          </w:p>
        </w:tc>
        <w:tc>
          <w:tcPr>
            <w:tcW w:w="492" w:type="pct"/>
            <w:gridSpan w:val="2"/>
            <w:hideMark/>
          </w:tcPr>
          <w:p w:rsidR="00BD20DF" w:rsidRPr="001B3B63" w:rsidRDefault="00BD20DF" w:rsidP="00BD20DF">
            <w:pPr>
              <w:spacing w:line="256" w:lineRule="auto"/>
            </w:pPr>
            <w:r w:rsidRPr="001B3B63">
              <w:t>293</w:t>
            </w:r>
          </w:p>
        </w:tc>
        <w:tc>
          <w:tcPr>
            <w:tcW w:w="436" w:type="pct"/>
            <w:gridSpan w:val="2"/>
            <w:hideMark/>
          </w:tcPr>
          <w:p w:rsidR="00BD20DF" w:rsidRPr="001B3B63" w:rsidRDefault="00BD20DF" w:rsidP="00BD20DF">
            <w:pPr>
              <w:spacing w:line="256" w:lineRule="auto"/>
              <w:jc w:val="both"/>
            </w:pPr>
            <w:r w:rsidRPr="001B3B63">
              <w:t>69</w:t>
            </w:r>
          </w:p>
        </w:tc>
        <w:tc>
          <w:tcPr>
            <w:tcW w:w="492" w:type="pct"/>
            <w:gridSpan w:val="2"/>
            <w:hideMark/>
          </w:tcPr>
          <w:p w:rsidR="00BD20DF" w:rsidRPr="001B3B63" w:rsidRDefault="00BD20DF" w:rsidP="00BD20DF">
            <w:pPr>
              <w:spacing w:line="256" w:lineRule="auto"/>
            </w:pPr>
            <w:r w:rsidRPr="001B3B63">
              <w:t>355</w:t>
            </w:r>
          </w:p>
        </w:tc>
        <w:tc>
          <w:tcPr>
            <w:tcW w:w="436" w:type="pct"/>
            <w:gridSpan w:val="2"/>
            <w:hideMark/>
          </w:tcPr>
          <w:p w:rsidR="00BD20DF" w:rsidRPr="001B3B63" w:rsidRDefault="00BD20DF" w:rsidP="00BD20DF">
            <w:pPr>
              <w:spacing w:line="256" w:lineRule="auto"/>
            </w:pPr>
            <w:r w:rsidRPr="001B3B63">
              <w:t>67</w:t>
            </w:r>
          </w:p>
        </w:tc>
        <w:tc>
          <w:tcPr>
            <w:tcW w:w="492" w:type="pct"/>
            <w:gridSpan w:val="2"/>
            <w:hideMark/>
          </w:tcPr>
          <w:p w:rsidR="00BD20DF" w:rsidRPr="001B3B63" w:rsidRDefault="00BD20DF" w:rsidP="00BD20DF">
            <w:pPr>
              <w:spacing w:line="256" w:lineRule="auto"/>
            </w:pPr>
            <w:r w:rsidRPr="001B3B63">
              <w:t>323</w:t>
            </w:r>
          </w:p>
        </w:tc>
        <w:tc>
          <w:tcPr>
            <w:tcW w:w="436" w:type="pct"/>
            <w:gridSpan w:val="2"/>
            <w:hideMark/>
          </w:tcPr>
          <w:p w:rsidR="00BD20DF" w:rsidRPr="001B3B63" w:rsidRDefault="00BD20DF" w:rsidP="00BD20DF">
            <w:pPr>
              <w:spacing w:line="256" w:lineRule="auto"/>
            </w:pPr>
            <w:r w:rsidRPr="001B3B63">
              <w:t>58</w:t>
            </w:r>
          </w:p>
        </w:tc>
        <w:tc>
          <w:tcPr>
            <w:tcW w:w="410" w:type="pct"/>
            <w:gridSpan w:val="2"/>
            <w:hideMark/>
          </w:tcPr>
          <w:p w:rsidR="00BD20DF" w:rsidRPr="001B3B63" w:rsidRDefault="00BD20DF" w:rsidP="00BD20DF">
            <w:pPr>
              <w:spacing w:line="256" w:lineRule="auto"/>
            </w:pPr>
            <w:r w:rsidRPr="001B3B63">
              <w:t>345</w:t>
            </w:r>
          </w:p>
        </w:tc>
        <w:tc>
          <w:tcPr>
            <w:tcW w:w="428" w:type="pct"/>
            <w:hideMark/>
          </w:tcPr>
          <w:p w:rsidR="00BD20DF" w:rsidRPr="001B3B63" w:rsidRDefault="00BD20DF" w:rsidP="00BD20DF">
            <w:pPr>
              <w:spacing w:line="256" w:lineRule="auto"/>
            </w:pPr>
            <w:r w:rsidRPr="001B3B63">
              <w:t>78</w:t>
            </w:r>
          </w:p>
        </w:tc>
        <w:tc>
          <w:tcPr>
            <w:tcW w:w="452" w:type="pct"/>
          </w:tcPr>
          <w:p w:rsidR="00BD20DF" w:rsidRPr="001B3B63" w:rsidRDefault="00CB5F3E" w:rsidP="00CB5F3E">
            <w:pPr>
              <w:spacing w:line="256" w:lineRule="auto"/>
              <w:jc w:val="center"/>
            </w:pPr>
            <w:r w:rsidRPr="001B3B63">
              <w:t>417</w:t>
            </w:r>
          </w:p>
        </w:tc>
        <w:tc>
          <w:tcPr>
            <w:tcW w:w="453" w:type="pct"/>
          </w:tcPr>
          <w:p w:rsidR="00BD20DF" w:rsidRPr="001B3B63" w:rsidRDefault="00CB5F3E" w:rsidP="00CB5F3E">
            <w:pPr>
              <w:spacing w:line="256" w:lineRule="auto"/>
              <w:jc w:val="center"/>
            </w:pPr>
            <w:r w:rsidRPr="001B3B63">
              <w:t>82</w:t>
            </w:r>
          </w:p>
        </w:tc>
      </w:tr>
      <w:tr w:rsidR="00BD20DF" w:rsidRPr="000346B7" w:rsidTr="001B3B63">
        <w:trPr>
          <w:trHeight w:val="530"/>
        </w:trPr>
        <w:tc>
          <w:tcPr>
            <w:tcW w:w="473" w:type="pct"/>
            <w:hideMark/>
          </w:tcPr>
          <w:p w:rsidR="00BD20DF" w:rsidRPr="001B3B63" w:rsidRDefault="00BD20DF" w:rsidP="00BD20DF">
            <w:pPr>
              <w:spacing w:line="256" w:lineRule="auto"/>
            </w:pPr>
            <w:r w:rsidRPr="001B3B63">
              <w:t>Týdenní stacionáře*</w:t>
            </w:r>
            <w:r w:rsidR="0017388A">
              <w:t>*</w:t>
            </w:r>
          </w:p>
        </w:tc>
        <w:tc>
          <w:tcPr>
            <w:tcW w:w="492" w:type="pct"/>
            <w:gridSpan w:val="2"/>
            <w:hideMark/>
          </w:tcPr>
          <w:p w:rsidR="00BD20DF" w:rsidRPr="001B3B63" w:rsidRDefault="00BD20DF" w:rsidP="00BD20DF">
            <w:pPr>
              <w:spacing w:line="256" w:lineRule="auto"/>
            </w:pPr>
            <w:r w:rsidRPr="001B3B63">
              <w:t>81</w:t>
            </w:r>
          </w:p>
        </w:tc>
        <w:tc>
          <w:tcPr>
            <w:tcW w:w="436" w:type="pct"/>
            <w:gridSpan w:val="2"/>
            <w:hideMark/>
          </w:tcPr>
          <w:p w:rsidR="00BD20DF" w:rsidRPr="001B3B63" w:rsidRDefault="00BD20DF" w:rsidP="00BD20DF">
            <w:pPr>
              <w:spacing w:line="256" w:lineRule="auto"/>
            </w:pPr>
            <w:r w:rsidRPr="001B3B63">
              <w:t>20</w:t>
            </w:r>
          </w:p>
        </w:tc>
        <w:tc>
          <w:tcPr>
            <w:tcW w:w="492" w:type="pct"/>
            <w:gridSpan w:val="2"/>
            <w:hideMark/>
          </w:tcPr>
          <w:p w:rsidR="00BD20DF" w:rsidRPr="001B3B63" w:rsidRDefault="00BD20DF" w:rsidP="00BD20DF">
            <w:pPr>
              <w:spacing w:line="256" w:lineRule="auto"/>
            </w:pPr>
            <w:r w:rsidRPr="001B3B63">
              <w:t>88</w:t>
            </w:r>
          </w:p>
        </w:tc>
        <w:tc>
          <w:tcPr>
            <w:tcW w:w="436" w:type="pct"/>
            <w:gridSpan w:val="2"/>
            <w:hideMark/>
          </w:tcPr>
          <w:p w:rsidR="00BD20DF" w:rsidRPr="001B3B63" w:rsidRDefault="00BD20DF" w:rsidP="00BD20DF">
            <w:pPr>
              <w:spacing w:line="256" w:lineRule="auto"/>
            </w:pPr>
            <w:r w:rsidRPr="001B3B63">
              <w:t>34</w:t>
            </w:r>
          </w:p>
        </w:tc>
        <w:tc>
          <w:tcPr>
            <w:tcW w:w="492" w:type="pct"/>
            <w:gridSpan w:val="2"/>
            <w:hideMark/>
          </w:tcPr>
          <w:p w:rsidR="00BD20DF" w:rsidRPr="001B3B63" w:rsidRDefault="00BD20DF" w:rsidP="00BD20DF">
            <w:pPr>
              <w:spacing w:line="256" w:lineRule="auto"/>
            </w:pPr>
            <w:r w:rsidRPr="001B3B63">
              <w:t>91</w:t>
            </w:r>
          </w:p>
        </w:tc>
        <w:tc>
          <w:tcPr>
            <w:tcW w:w="436" w:type="pct"/>
            <w:gridSpan w:val="2"/>
            <w:hideMark/>
          </w:tcPr>
          <w:p w:rsidR="00BD20DF" w:rsidRPr="001B3B63" w:rsidRDefault="00BD20DF" w:rsidP="00BD20DF">
            <w:pPr>
              <w:spacing w:line="256" w:lineRule="auto"/>
            </w:pPr>
            <w:r w:rsidRPr="001B3B63">
              <w:t>19</w:t>
            </w:r>
          </w:p>
        </w:tc>
        <w:tc>
          <w:tcPr>
            <w:tcW w:w="410" w:type="pct"/>
            <w:gridSpan w:val="2"/>
            <w:hideMark/>
          </w:tcPr>
          <w:p w:rsidR="00BD20DF" w:rsidRPr="001B3B63" w:rsidRDefault="00BD20DF" w:rsidP="00BD20DF">
            <w:pPr>
              <w:spacing w:line="256" w:lineRule="auto"/>
            </w:pPr>
            <w:r w:rsidRPr="001B3B63">
              <w:t>66</w:t>
            </w:r>
          </w:p>
        </w:tc>
        <w:tc>
          <w:tcPr>
            <w:tcW w:w="428" w:type="pct"/>
            <w:hideMark/>
          </w:tcPr>
          <w:p w:rsidR="00BD20DF" w:rsidRPr="001B3B63" w:rsidRDefault="00BD20DF" w:rsidP="00BD20DF">
            <w:pPr>
              <w:spacing w:line="256" w:lineRule="auto"/>
            </w:pPr>
            <w:r w:rsidRPr="001B3B63">
              <w:t>20</w:t>
            </w:r>
          </w:p>
        </w:tc>
        <w:tc>
          <w:tcPr>
            <w:tcW w:w="452" w:type="pct"/>
          </w:tcPr>
          <w:p w:rsidR="00BD20DF" w:rsidRPr="001B3B63" w:rsidRDefault="00CB5F3E" w:rsidP="00CB5F3E">
            <w:pPr>
              <w:spacing w:line="256" w:lineRule="auto"/>
              <w:jc w:val="center"/>
            </w:pPr>
            <w:r w:rsidRPr="001B3B63">
              <w:t>86</w:t>
            </w:r>
          </w:p>
        </w:tc>
        <w:tc>
          <w:tcPr>
            <w:tcW w:w="453" w:type="pct"/>
          </w:tcPr>
          <w:p w:rsidR="00BD20DF" w:rsidRPr="001B3B63" w:rsidRDefault="00CB5F3E" w:rsidP="00CB5F3E">
            <w:pPr>
              <w:spacing w:line="256" w:lineRule="auto"/>
              <w:jc w:val="center"/>
            </w:pPr>
            <w:r w:rsidRPr="001B3B63">
              <w:t>16</w:t>
            </w:r>
          </w:p>
        </w:tc>
      </w:tr>
      <w:tr w:rsidR="00BD20DF" w:rsidRPr="000346B7" w:rsidTr="001B3B63">
        <w:trPr>
          <w:trHeight w:val="265"/>
        </w:trPr>
        <w:tc>
          <w:tcPr>
            <w:tcW w:w="473" w:type="pct"/>
            <w:hideMark/>
          </w:tcPr>
          <w:p w:rsidR="00BD20DF" w:rsidRPr="001B3B63" w:rsidRDefault="00BD20DF" w:rsidP="00BD20DF">
            <w:pPr>
              <w:spacing w:line="256" w:lineRule="auto"/>
            </w:pPr>
            <w:r w:rsidRPr="001B3B63">
              <w:t>Celkem</w:t>
            </w:r>
          </w:p>
        </w:tc>
        <w:tc>
          <w:tcPr>
            <w:tcW w:w="492" w:type="pct"/>
            <w:gridSpan w:val="2"/>
            <w:hideMark/>
          </w:tcPr>
          <w:p w:rsidR="00BD20DF" w:rsidRPr="001B3B63" w:rsidRDefault="00BD20DF" w:rsidP="00BD20DF">
            <w:pPr>
              <w:spacing w:line="256" w:lineRule="auto"/>
            </w:pPr>
            <w:r w:rsidRPr="001B3B63">
              <w:t>829</w:t>
            </w:r>
          </w:p>
        </w:tc>
        <w:tc>
          <w:tcPr>
            <w:tcW w:w="436" w:type="pct"/>
            <w:gridSpan w:val="2"/>
            <w:hideMark/>
          </w:tcPr>
          <w:p w:rsidR="00BD20DF" w:rsidRPr="001B3B63" w:rsidRDefault="00BD20DF" w:rsidP="00BD20DF">
            <w:pPr>
              <w:spacing w:line="256" w:lineRule="auto"/>
            </w:pPr>
            <w:r w:rsidRPr="001B3B63">
              <w:t>141</w:t>
            </w:r>
          </w:p>
        </w:tc>
        <w:tc>
          <w:tcPr>
            <w:tcW w:w="492" w:type="pct"/>
            <w:gridSpan w:val="2"/>
            <w:hideMark/>
          </w:tcPr>
          <w:p w:rsidR="00BD20DF" w:rsidRPr="001B3B63" w:rsidRDefault="00BD20DF" w:rsidP="00BD20DF">
            <w:pPr>
              <w:spacing w:line="256" w:lineRule="auto"/>
            </w:pPr>
            <w:r w:rsidRPr="001B3B63">
              <w:t>926</w:t>
            </w:r>
          </w:p>
        </w:tc>
        <w:tc>
          <w:tcPr>
            <w:tcW w:w="436" w:type="pct"/>
            <w:gridSpan w:val="2"/>
            <w:hideMark/>
          </w:tcPr>
          <w:p w:rsidR="00BD20DF" w:rsidRPr="001B3B63" w:rsidRDefault="00BD20DF" w:rsidP="00BD20DF">
            <w:pPr>
              <w:spacing w:line="256" w:lineRule="auto"/>
            </w:pPr>
            <w:r w:rsidRPr="001B3B63">
              <w:t>151</w:t>
            </w:r>
          </w:p>
        </w:tc>
        <w:tc>
          <w:tcPr>
            <w:tcW w:w="492" w:type="pct"/>
            <w:gridSpan w:val="2"/>
            <w:hideMark/>
          </w:tcPr>
          <w:p w:rsidR="00BD20DF" w:rsidRPr="001B3B63" w:rsidRDefault="00BD20DF" w:rsidP="00BD20DF">
            <w:pPr>
              <w:spacing w:line="256" w:lineRule="auto"/>
            </w:pPr>
            <w:r w:rsidRPr="001B3B63">
              <w:t>847</w:t>
            </w:r>
          </w:p>
        </w:tc>
        <w:tc>
          <w:tcPr>
            <w:tcW w:w="436" w:type="pct"/>
            <w:gridSpan w:val="2"/>
            <w:hideMark/>
          </w:tcPr>
          <w:p w:rsidR="00BD20DF" w:rsidRPr="001B3B63" w:rsidRDefault="00BD20DF" w:rsidP="00BD20DF">
            <w:pPr>
              <w:spacing w:line="256" w:lineRule="auto"/>
            </w:pPr>
            <w:r w:rsidRPr="001B3B63">
              <w:t>177</w:t>
            </w:r>
          </w:p>
        </w:tc>
        <w:tc>
          <w:tcPr>
            <w:tcW w:w="410" w:type="pct"/>
            <w:gridSpan w:val="2"/>
            <w:hideMark/>
          </w:tcPr>
          <w:p w:rsidR="00BD20DF" w:rsidRPr="001B3B63" w:rsidRDefault="00BD20DF" w:rsidP="00BD20DF">
            <w:pPr>
              <w:spacing w:line="256" w:lineRule="auto"/>
            </w:pPr>
            <w:r w:rsidRPr="001B3B63">
              <w:t>843</w:t>
            </w:r>
          </w:p>
        </w:tc>
        <w:tc>
          <w:tcPr>
            <w:tcW w:w="428" w:type="pct"/>
            <w:hideMark/>
          </w:tcPr>
          <w:p w:rsidR="00BD20DF" w:rsidRPr="001B3B63" w:rsidRDefault="00BD20DF" w:rsidP="00BD20DF">
            <w:pPr>
              <w:spacing w:line="256" w:lineRule="auto"/>
            </w:pPr>
            <w:r w:rsidRPr="001B3B63">
              <w:t>162</w:t>
            </w:r>
          </w:p>
        </w:tc>
        <w:tc>
          <w:tcPr>
            <w:tcW w:w="452" w:type="pct"/>
          </w:tcPr>
          <w:p w:rsidR="00BD20DF" w:rsidRPr="001B3B63" w:rsidRDefault="00CB5F3E" w:rsidP="00CB5F3E">
            <w:pPr>
              <w:spacing w:line="256" w:lineRule="auto"/>
              <w:jc w:val="center"/>
            </w:pPr>
            <w:r w:rsidRPr="001B3B63">
              <w:t>905</w:t>
            </w:r>
          </w:p>
        </w:tc>
        <w:tc>
          <w:tcPr>
            <w:tcW w:w="453" w:type="pct"/>
          </w:tcPr>
          <w:p w:rsidR="00BD20DF" w:rsidRPr="001B3B63" w:rsidRDefault="00CB5F3E" w:rsidP="00CB5F3E">
            <w:pPr>
              <w:spacing w:line="256" w:lineRule="auto"/>
              <w:jc w:val="center"/>
            </w:pPr>
            <w:r w:rsidRPr="001B3B63">
              <w:t>137</w:t>
            </w:r>
          </w:p>
        </w:tc>
      </w:tr>
    </w:tbl>
    <w:p w:rsidR="0017388A" w:rsidRDefault="0017388A" w:rsidP="00CF367B">
      <w:pPr>
        <w:pStyle w:val="SingleTxtG"/>
      </w:pPr>
      <w:r>
        <w:t>* Zdroj: MPSV</w:t>
      </w:r>
    </w:p>
    <w:p w:rsidR="000346B7" w:rsidRDefault="009C3DCA" w:rsidP="00CF367B">
      <w:pPr>
        <w:pStyle w:val="SingleTxtG"/>
      </w:pPr>
      <w:r>
        <w:t>*</w:t>
      </w:r>
      <w:r w:rsidR="0017388A">
        <w:t>*</w:t>
      </w:r>
      <w:r w:rsidR="00C31707">
        <w:t> </w:t>
      </w:r>
      <w:r w:rsidRPr="009C3DCA">
        <w:t>U služby týdenní stacionář, která je uv</w:t>
      </w:r>
      <w:r w:rsidR="00DA2373">
        <w:t>e</w:t>
      </w:r>
      <w:r w:rsidRPr="009C3DCA">
        <w:t>d</w:t>
      </w:r>
      <w:r w:rsidR="00DA2373">
        <w:t>e</w:t>
      </w:r>
      <w:r w:rsidRPr="009C3DCA">
        <w:t>n</w:t>
      </w:r>
      <w:r w:rsidR="00DA2373">
        <w:t>a</w:t>
      </w:r>
      <w:r w:rsidRPr="009C3DCA">
        <w:t xml:space="preserve"> v tabul</w:t>
      </w:r>
      <w:r>
        <w:t>ce</w:t>
      </w:r>
      <w:r w:rsidRPr="009C3DCA">
        <w:t>, nelze odlišit, v kolika případech se jedná o služby pro seniory a v kolika případech jd</w:t>
      </w:r>
      <w:r w:rsidR="00DA2373">
        <w:t>e</w:t>
      </w:r>
      <w:r w:rsidRPr="009C3DCA">
        <w:t xml:space="preserve"> o jin</w:t>
      </w:r>
      <w:r>
        <w:t>ou</w:t>
      </w:r>
      <w:r w:rsidRPr="009C3DCA">
        <w:t xml:space="preserve"> cílov</w:t>
      </w:r>
      <w:r>
        <w:t>ou</w:t>
      </w:r>
      <w:r w:rsidRPr="009C3DCA">
        <w:t xml:space="preserve"> skupin</w:t>
      </w:r>
      <w:r>
        <w:t>u</w:t>
      </w:r>
      <w:r w:rsidRPr="009C3DCA">
        <w:t>.</w:t>
      </w:r>
    </w:p>
    <w:p w:rsidR="00F472FC" w:rsidRDefault="00F472FC" w:rsidP="00CF367B">
      <w:pPr>
        <w:pStyle w:val="SingleTxtG"/>
      </w:pPr>
    </w:p>
    <w:p w:rsidR="000346B7" w:rsidRDefault="00BC0975" w:rsidP="00CF367B">
      <w:pPr>
        <w:pStyle w:val="SingleTxtG"/>
      </w:pPr>
      <w:r>
        <w:t>1</w:t>
      </w:r>
      <w:r w:rsidR="00802FE7">
        <w:t>8</w:t>
      </w:r>
      <w:r w:rsidR="00407340">
        <w:t>5</w:t>
      </w:r>
      <w:r>
        <w:t>.</w:t>
      </w:r>
      <w:r w:rsidR="005F7737">
        <w:tab/>
      </w:r>
      <w:r w:rsidR="005F7737" w:rsidRPr="005F7737">
        <w:t xml:space="preserve">Důležitou součástí transformace je </w:t>
      </w:r>
      <w:r w:rsidR="005F7737">
        <w:t xml:space="preserve">podpora a </w:t>
      </w:r>
      <w:r w:rsidR="005F7737" w:rsidRPr="005F7737">
        <w:t xml:space="preserve">vznik </w:t>
      </w:r>
      <w:r w:rsidR="005F7737">
        <w:t xml:space="preserve">sociálních služeb </w:t>
      </w:r>
      <w:r w:rsidR="005F7737" w:rsidRPr="005F7737">
        <w:t>chráněné</w:t>
      </w:r>
      <w:r w:rsidR="005F7737">
        <w:t>ho</w:t>
      </w:r>
      <w:r w:rsidR="005F7737" w:rsidRPr="005F7737">
        <w:t xml:space="preserve"> bydlení, t</w:t>
      </w:r>
      <w:r w:rsidR="005F7737">
        <w:t xml:space="preserve">j. </w:t>
      </w:r>
      <w:r w:rsidR="005F7737" w:rsidRPr="005F7737">
        <w:t>byt</w:t>
      </w:r>
      <w:r w:rsidR="005F7737">
        <w:t>ů</w:t>
      </w:r>
      <w:r w:rsidR="005F7737" w:rsidRPr="005F7737">
        <w:t xml:space="preserve">, </w:t>
      </w:r>
      <w:r w:rsidR="005F7737">
        <w:t xml:space="preserve">do nichž </w:t>
      </w:r>
      <w:r w:rsidR="005F7737" w:rsidRPr="005F7737">
        <w:t>se mohou stěhovat osoby z ústavních zařízení</w:t>
      </w:r>
      <w:r w:rsidR="005F7737">
        <w:t xml:space="preserve">, přičemž </w:t>
      </w:r>
      <w:r w:rsidR="005F7737" w:rsidRPr="005F7737">
        <w:t xml:space="preserve">tyto </w:t>
      </w:r>
      <w:r w:rsidR="005F7737">
        <w:t xml:space="preserve">byty </w:t>
      </w:r>
      <w:r w:rsidR="005F7737" w:rsidRPr="005F7737">
        <w:t>odpovídají běžnému životu.</w:t>
      </w:r>
      <w:r w:rsidR="005F7737">
        <w:t xml:space="preserve"> </w:t>
      </w:r>
      <w:r w:rsidR="005F7737" w:rsidRPr="005F7737">
        <w:t xml:space="preserve">Počet sociálních služeb chráněného bydlení a jejich kapacita se od roku 2015 neustále zvyšuje. Zatímco v roce 2015 </w:t>
      </w:r>
      <w:r w:rsidR="005F7737">
        <w:t xml:space="preserve">existovalo </w:t>
      </w:r>
      <w:r w:rsidR="005F7737" w:rsidRPr="005F7737">
        <w:t>19</w:t>
      </w:r>
      <w:r w:rsidR="009322BF">
        <w:t>6</w:t>
      </w:r>
      <w:r w:rsidR="005F7737" w:rsidRPr="005F7737">
        <w:t xml:space="preserve"> služeb chráněného bydlení s celkovou kapacitou </w:t>
      </w:r>
      <w:r w:rsidR="009322BF">
        <w:t>cca 3,6 tis.</w:t>
      </w:r>
      <w:r w:rsidR="005F7737" w:rsidRPr="005F7737">
        <w:t xml:space="preserve"> míst, v roce 2019 </w:t>
      </w:r>
      <w:r w:rsidR="005F7737">
        <w:t xml:space="preserve">to </w:t>
      </w:r>
      <w:r w:rsidR="005F7737" w:rsidRPr="005F7737">
        <w:t xml:space="preserve">už bylo </w:t>
      </w:r>
      <w:r w:rsidR="005F7737">
        <w:t xml:space="preserve">celkem </w:t>
      </w:r>
      <w:r w:rsidR="008C7161">
        <w:t>21</w:t>
      </w:r>
      <w:r w:rsidR="009322BF">
        <w:t>0</w:t>
      </w:r>
      <w:r w:rsidR="008C7161">
        <w:t xml:space="preserve"> služeb</w:t>
      </w:r>
      <w:r w:rsidR="008C7161">
        <w:br/>
      </w:r>
      <w:r w:rsidR="005F7737" w:rsidRPr="005F7737">
        <w:lastRenderedPageBreak/>
        <w:t xml:space="preserve">s kapacitou </w:t>
      </w:r>
      <w:r w:rsidR="009322BF">
        <w:t>cca 4,1 tis.</w:t>
      </w:r>
      <w:r w:rsidR="005F7737" w:rsidRPr="005F7737">
        <w:t xml:space="preserve"> míst. Za čtyři roky jsme tedy zaznamenali nárůst o </w:t>
      </w:r>
      <w:r w:rsidR="009322BF">
        <w:t>14</w:t>
      </w:r>
      <w:r w:rsidR="005F7737" w:rsidRPr="005F7737">
        <w:t xml:space="preserve"> služeb chráněného bydlení s</w:t>
      </w:r>
      <w:r w:rsidR="005F7737">
        <w:t xml:space="preserve"> celkovou </w:t>
      </w:r>
      <w:r w:rsidR="005F7737" w:rsidRPr="005F7737">
        <w:t>kapacit</w:t>
      </w:r>
      <w:r w:rsidR="005F7737">
        <w:t>ou</w:t>
      </w:r>
      <w:r w:rsidR="005F7737" w:rsidRPr="005F7737">
        <w:t xml:space="preserve"> </w:t>
      </w:r>
      <w:r w:rsidR="009322BF">
        <w:t>přes 500</w:t>
      </w:r>
      <w:r w:rsidR="005F7737" w:rsidRPr="005F7737">
        <w:t xml:space="preserve"> míst.</w:t>
      </w:r>
    </w:p>
    <w:p w:rsidR="000346B7" w:rsidRDefault="000346B7" w:rsidP="00CF367B">
      <w:pPr>
        <w:pStyle w:val="SingleTxtG"/>
      </w:pPr>
    </w:p>
    <w:tbl>
      <w:tblPr>
        <w:tblStyle w:val="Svtlmkatabulky"/>
        <w:tblW w:w="5000" w:type="pct"/>
        <w:tblLook w:val="04A0" w:firstRow="1" w:lastRow="0" w:firstColumn="1" w:lastColumn="0" w:noHBand="0" w:noVBand="1"/>
      </w:tblPr>
      <w:tblGrid>
        <w:gridCol w:w="1254"/>
        <w:gridCol w:w="730"/>
        <w:gridCol w:w="945"/>
        <w:gridCol w:w="730"/>
        <w:gridCol w:w="945"/>
        <w:gridCol w:w="730"/>
        <w:gridCol w:w="945"/>
        <w:gridCol w:w="730"/>
        <w:gridCol w:w="945"/>
        <w:gridCol w:w="730"/>
        <w:gridCol w:w="945"/>
      </w:tblGrid>
      <w:tr w:rsidR="004B4750" w:rsidRPr="002C61C8" w:rsidTr="00C95010">
        <w:trPr>
          <w:trHeight w:val="371"/>
        </w:trPr>
        <w:tc>
          <w:tcPr>
            <w:tcW w:w="651" w:type="pct"/>
            <w:vMerge w:val="restart"/>
            <w:shd w:val="clear" w:color="auto" w:fill="A6A6A6" w:themeFill="background1" w:themeFillShade="A6"/>
            <w:noWrap/>
            <w:hideMark/>
          </w:tcPr>
          <w:p w:rsidR="004B4750" w:rsidRPr="0017388A" w:rsidRDefault="004B4750">
            <w:pPr>
              <w:rPr>
                <w:rFonts w:cs="Calibri"/>
                <w:b/>
                <w:bCs/>
                <w:color w:val="000000"/>
              </w:rPr>
            </w:pPr>
            <w:r w:rsidRPr="0017388A">
              <w:rPr>
                <w:b/>
                <w:bCs/>
                <w:color w:val="000000"/>
              </w:rPr>
              <w:t>Druhy sociálních služeb</w:t>
            </w:r>
          </w:p>
        </w:tc>
        <w:tc>
          <w:tcPr>
            <w:tcW w:w="870" w:type="pct"/>
            <w:gridSpan w:val="2"/>
            <w:shd w:val="clear" w:color="auto" w:fill="A6A6A6" w:themeFill="background1" w:themeFillShade="A6"/>
            <w:noWrap/>
            <w:hideMark/>
          </w:tcPr>
          <w:p w:rsidR="004B4750" w:rsidRPr="0017388A" w:rsidRDefault="004B4750">
            <w:pPr>
              <w:jc w:val="center"/>
              <w:rPr>
                <w:rFonts w:cs="Calibri"/>
                <w:b/>
                <w:bCs/>
                <w:color w:val="000000"/>
              </w:rPr>
            </w:pPr>
            <w:r w:rsidRPr="0017388A">
              <w:rPr>
                <w:b/>
                <w:bCs/>
                <w:color w:val="000000"/>
              </w:rPr>
              <w:t>2015</w:t>
            </w:r>
          </w:p>
        </w:tc>
        <w:tc>
          <w:tcPr>
            <w:tcW w:w="870" w:type="pct"/>
            <w:gridSpan w:val="2"/>
            <w:shd w:val="clear" w:color="auto" w:fill="A6A6A6" w:themeFill="background1" w:themeFillShade="A6"/>
            <w:noWrap/>
            <w:hideMark/>
          </w:tcPr>
          <w:p w:rsidR="004B4750" w:rsidRPr="0017388A" w:rsidRDefault="004B4750">
            <w:pPr>
              <w:jc w:val="center"/>
              <w:rPr>
                <w:rFonts w:cs="Calibri"/>
                <w:b/>
                <w:bCs/>
                <w:color w:val="000000"/>
              </w:rPr>
            </w:pPr>
            <w:r w:rsidRPr="0017388A">
              <w:rPr>
                <w:b/>
                <w:bCs/>
                <w:color w:val="000000"/>
              </w:rPr>
              <w:t>2016</w:t>
            </w:r>
          </w:p>
        </w:tc>
        <w:tc>
          <w:tcPr>
            <w:tcW w:w="870" w:type="pct"/>
            <w:gridSpan w:val="2"/>
            <w:shd w:val="clear" w:color="auto" w:fill="A6A6A6" w:themeFill="background1" w:themeFillShade="A6"/>
            <w:noWrap/>
            <w:hideMark/>
          </w:tcPr>
          <w:p w:rsidR="004B4750" w:rsidRPr="0017388A" w:rsidRDefault="004B4750">
            <w:pPr>
              <w:jc w:val="center"/>
              <w:rPr>
                <w:rFonts w:cs="Calibri"/>
                <w:b/>
                <w:bCs/>
                <w:color w:val="000000"/>
              </w:rPr>
            </w:pPr>
            <w:r w:rsidRPr="0017388A">
              <w:rPr>
                <w:b/>
                <w:bCs/>
                <w:color w:val="000000"/>
              </w:rPr>
              <w:t>2017</w:t>
            </w:r>
          </w:p>
        </w:tc>
        <w:tc>
          <w:tcPr>
            <w:tcW w:w="870" w:type="pct"/>
            <w:gridSpan w:val="2"/>
            <w:shd w:val="clear" w:color="auto" w:fill="A6A6A6" w:themeFill="background1" w:themeFillShade="A6"/>
            <w:noWrap/>
            <w:hideMark/>
          </w:tcPr>
          <w:p w:rsidR="004B4750" w:rsidRPr="0017388A" w:rsidRDefault="004B4750">
            <w:pPr>
              <w:jc w:val="center"/>
              <w:rPr>
                <w:rFonts w:cs="Calibri"/>
                <w:b/>
                <w:bCs/>
                <w:color w:val="000000"/>
              </w:rPr>
            </w:pPr>
            <w:r w:rsidRPr="0017388A">
              <w:rPr>
                <w:b/>
                <w:bCs/>
                <w:color w:val="000000"/>
              </w:rPr>
              <w:t>2018</w:t>
            </w:r>
          </w:p>
        </w:tc>
        <w:tc>
          <w:tcPr>
            <w:tcW w:w="870" w:type="pct"/>
            <w:gridSpan w:val="2"/>
            <w:shd w:val="clear" w:color="auto" w:fill="A6A6A6" w:themeFill="background1" w:themeFillShade="A6"/>
            <w:noWrap/>
            <w:hideMark/>
          </w:tcPr>
          <w:p w:rsidR="004B4750" w:rsidRPr="0017388A" w:rsidRDefault="004B4750">
            <w:pPr>
              <w:jc w:val="center"/>
              <w:rPr>
                <w:rFonts w:cs="Calibri"/>
                <w:b/>
                <w:bCs/>
                <w:color w:val="000000"/>
              </w:rPr>
            </w:pPr>
            <w:r w:rsidRPr="0017388A">
              <w:rPr>
                <w:b/>
                <w:bCs/>
                <w:color w:val="000000"/>
              </w:rPr>
              <w:t>2019</w:t>
            </w:r>
          </w:p>
        </w:tc>
      </w:tr>
      <w:tr w:rsidR="002C61C8" w:rsidRPr="002C61C8" w:rsidTr="00C95010">
        <w:trPr>
          <w:trHeight w:val="858"/>
        </w:trPr>
        <w:tc>
          <w:tcPr>
            <w:tcW w:w="0" w:type="auto"/>
            <w:vMerge/>
            <w:hideMark/>
          </w:tcPr>
          <w:p w:rsidR="004B4750" w:rsidRPr="002C61C8" w:rsidRDefault="004B4750">
            <w:pPr>
              <w:rPr>
                <w:rFonts w:cs="Calibri"/>
                <w:color w:val="000000"/>
              </w:rPr>
            </w:pPr>
          </w:p>
        </w:tc>
        <w:tc>
          <w:tcPr>
            <w:tcW w:w="379" w:type="pct"/>
            <w:noWrap/>
            <w:hideMark/>
          </w:tcPr>
          <w:p w:rsidR="004B4750" w:rsidRPr="0017388A" w:rsidRDefault="004B4750" w:rsidP="0017388A">
            <w:pPr>
              <w:spacing w:line="256" w:lineRule="auto"/>
            </w:pPr>
            <w:r w:rsidRPr="0017388A">
              <w:t>Počet služeb</w:t>
            </w:r>
          </w:p>
        </w:tc>
        <w:tc>
          <w:tcPr>
            <w:tcW w:w="491" w:type="pct"/>
            <w:noWrap/>
            <w:hideMark/>
          </w:tcPr>
          <w:p w:rsidR="004B4750" w:rsidRPr="0017388A" w:rsidRDefault="004B4750" w:rsidP="0017388A">
            <w:pPr>
              <w:spacing w:line="256" w:lineRule="auto"/>
            </w:pPr>
            <w:r w:rsidRPr="0017388A">
              <w:t>Celková Kapacita</w:t>
            </w:r>
          </w:p>
        </w:tc>
        <w:tc>
          <w:tcPr>
            <w:tcW w:w="379" w:type="pct"/>
            <w:noWrap/>
            <w:hideMark/>
          </w:tcPr>
          <w:p w:rsidR="004B4750" w:rsidRPr="0017388A" w:rsidRDefault="004B4750" w:rsidP="0017388A">
            <w:pPr>
              <w:spacing w:line="256" w:lineRule="auto"/>
            </w:pPr>
            <w:r w:rsidRPr="0017388A">
              <w:t>Počet služeb</w:t>
            </w:r>
          </w:p>
        </w:tc>
        <w:tc>
          <w:tcPr>
            <w:tcW w:w="491" w:type="pct"/>
            <w:noWrap/>
            <w:hideMark/>
          </w:tcPr>
          <w:p w:rsidR="004B4750" w:rsidRPr="0017388A" w:rsidRDefault="004B4750" w:rsidP="0017388A">
            <w:pPr>
              <w:spacing w:line="256" w:lineRule="auto"/>
            </w:pPr>
            <w:r w:rsidRPr="0017388A">
              <w:t>Celková Kapacita</w:t>
            </w:r>
          </w:p>
        </w:tc>
        <w:tc>
          <w:tcPr>
            <w:tcW w:w="379" w:type="pct"/>
            <w:noWrap/>
            <w:hideMark/>
          </w:tcPr>
          <w:p w:rsidR="004B4750" w:rsidRPr="0017388A" w:rsidRDefault="004B4750" w:rsidP="0017388A">
            <w:pPr>
              <w:spacing w:line="256" w:lineRule="auto"/>
            </w:pPr>
            <w:r w:rsidRPr="0017388A">
              <w:t>Počet služeb</w:t>
            </w:r>
          </w:p>
        </w:tc>
        <w:tc>
          <w:tcPr>
            <w:tcW w:w="491" w:type="pct"/>
            <w:noWrap/>
            <w:hideMark/>
          </w:tcPr>
          <w:p w:rsidR="004B4750" w:rsidRPr="0017388A" w:rsidRDefault="004B4750" w:rsidP="0017388A">
            <w:pPr>
              <w:spacing w:line="256" w:lineRule="auto"/>
            </w:pPr>
            <w:r w:rsidRPr="0017388A">
              <w:t>Celková Kapacita</w:t>
            </w:r>
          </w:p>
        </w:tc>
        <w:tc>
          <w:tcPr>
            <w:tcW w:w="379" w:type="pct"/>
            <w:noWrap/>
            <w:hideMark/>
          </w:tcPr>
          <w:p w:rsidR="004B4750" w:rsidRPr="0017388A" w:rsidRDefault="004B4750" w:rsidP="0017388A">
            <w:pPr>
              <w:spacing w:line="256" w:lineRule="auto"/>
            </w:pPr>
            <w:r w:rsidRPr="0017388A">
              <w:t>Počet služeb</w:t>
            </w:r>
          </w:p>
        </w:tc>
        <w:tc>
          <w:tcPr>
            <w:tcW w:w="491" w:type="pct"/>
            <w:noWrap/>
            <w:hideMark/>
          </w:tcPr>
          <w:p w:rsidR="004B4750" w:rsidRPr="0017388A" w:rsidRDefault="004B4750" w:rsidP="0017388A">
            <w:pPr>
              <w:spacing w:line="256" w:lineRule="auto"/>
            </w:pPr>
            <w:r w:rsidRPr="0017388A">
              <w:t>Celková Kapacita</w:t>
            </w:r>
          </w:p>
        </w:tc>
        <w:tc>
          <w:tcPr>
            <w:tcW w:w="379" w:type="pct"/>
            <w:noWrap/>
            <w:hideMark/>
          </w:tcPr>
          <w:p w:rsidR="004B4750" w:rsidRPr="0017388A" w:rsidRDefault="004B4750" w:rsidP="0017388A">
            <w:pPr>
              <w:spacing w:line="256" w:lineRule="auto"/>
            </w:pPr>
            <w:r w:rsidRPr="0017388A">
              <w:t>Počet služeb</w:t>
            </w:r>
          </w:p>
        </w:tc>
        <w:tc>
          <w:tcPr>
            <w:tcW w:w="491" w:type="pct"/>
            <w:noWrap/>
            <w:hideMark/>
          </w:tcPr>
          <w:p w:rsidR="004B4750" w:rsidRPr="0017388A" w:rsidRDefault="004B4750" w:rsidP="0017388A">
            <w:pPr>
              <w:spacing w:line="256" w:lineRule="auto"/>
            </w:pPr>
            <w:r w:rsidRPr="0017388A">
              <w:t>Celková Kapacita</w:t>
            </w:r>
          </w:p>
        </w:tc>
      </w:tr>
      <w:tr w:rsidR="002C61C8" w:rsidRPr="002C61C8" w:rsidTr="00C95010">
        <w:trPr>
          <w:trHeight w:val="548"/>
        </w:trPr>
        <w:tc>
          <w:tcPr>
            <w:tcW w:w="651" w:type="pct"/>
            <w:noWrap/>
            <w:hideMark/>
          </w:tcPr>
          <w:p w:rsidR="004B4750" w:rsidRPr="002C61C8" w:rsidRDefault="004B4750">
            <w:pPr>
              <w:rPr>
                <w:rFonts w:cs="Calibri"/>
                <w:color w:val="000000"/>
              </w:rPr>
            </w:pPr>
            <w:r w:rsidRPr="002C61C8">
              <w:rPr>
                <w:color w:val="000000"/>
              </w:rPr>
              <w:t>Chráněné bydlení</w:t>
            </w:r>
          </w:p>
        </w:tc>
        <w:tc>
          <w:tcPr>
            <w:tcW w:w="379" w:type="pct"/>
            <w:noWrap/>
          </w:tcPr>
          <w:p w:rsidR="004B4750" w:rsidRPr="0017388A" w:rsidRDefault="00236B64" w:rsidP="0017388A">
            <w:pPr>
              <w:spacing w:line="256" w:lineRule="auto"/>
            </w:pPr>
            <w:r w:rsidRPr="0017388A">
              <w:t>196</w:t>
            </w:r>
          </w:p>
        </w:tc>
        <w:tc>
          <w:tcPr>
            <w:tcW w:w="491" w:type="pct"/>
            <w:noWrap/>
          </w:tcPr>
          <w:p w:rsidR="004B4750" w:rsidRPr="0017388A" w:rsidRDefault="00236B64" w:rsidP="0017388A">
            <w:pPr>
              <w:spacing w:line="256" w:lineRule="auto"/>
            </w:pPr>
            <w:r w:rsidRPr="0017388A">
              <w:t>3556</w:t>
            </w:r>
          </w:p>
        </w:tc>
        <w:tc>
          <w:tcPr>
            <w:tcW w:w="379" w:type="pct"/>
            <w:noWrap/>
          </w:tcPr>
          <w:p w:rsidR="004B4750" w:rsidRPr="0017388A" w:rsidRDefault="00236B64" w:rsidP="0017388A">
            <w:pPr>
              <w:spacing w:line="256" w:lineRule="auto"/>
            </w:pPr>
            <w:r w:rsidRPr="0017388A">
              <w:t>205</w:t>
            </w:r>
          </w:p>
        </w:tc>
        <w:tc>
          <w:tcPr>
            <w:tcW w:w="491" w:type="pct"/>
            <w:noWrap/>
          </w:tcPr>
          <w:p w:rsidR="004B4750" w:rsidRPr="0017388A" w:rsidRDefault="00236B64" w:rsidP="0017388A">
            <w:pPr>
              <w:spacing w:line="256" w:lineRule="auto"/>
            </w:pPr>
            <w:r w:rsidRPr="0017388A">
              <w:t>3898</w:t>
            </w:r>
          </w:p>
        </w:tc>
        <w:tc>
          <w:tcPr>
            <w:tcW w:w="379" w:type="pct"/>
            <w:noWrap/>
          </w:tcPr>
          <w:p w:rsidR="004B4750" w:rsidRPr="0017388A" w:rsidRDefault="00236B64" w:rsidP="0017388A">
            <w:pPr>
              <w:spacing w:line="256" w:lineRule="auto"/>
            </w:pPr>
            <w:r w:rsidRPr="0017388A">
              <w:t>207</w:t>
            </w:r>
          </w:p>
        </w:tc>
        <w:tc>
          <w:tcPr>
            <w:tcW w:w="491" w:type="pct"/>
            <w:noWrap/>
          </w:tcPr>
          <w:p w:rsidR="004B4750" w:rsidRPr="0017388A" w:rsidRDefault="00236B64" w:rsidP="0017388A">
            <w:pPr>
              <w:spacing w:line="256" w:lineRule="auto"/>
            </w:pPr>
            <w:r w:rsidRPr="0017388A">
              <w:t>4014</w:t>
            </w:r>
          </w:p>
        </w:tc>
        <w:tc>
          <w:tcPr>
            <w:tcW w:w="379" w:type="pct"/>
            <w:noWrap/>
          </w:tcPr>
          <w:p w:rsidR="004B4750" w:rsidRPr="0017388A" w:rsidRDefault="00236B64" w:rsidP="0017388A">
            <w:pPr>
              <w:spacing w:line="256" w:lineRule="auto"/>
            </w:pPr>
            <w:r w:rsidRPr="0017388A">
              <w:t>210</w:t>
            </w:r>
          </w:p>
        </w:tc>
        <w:tc>
          <w:tcPr>
            <w:tcW w:w="491" w:type="pct"/>
            <w:noWrap/>
          </w:tcPr>
          <w:p w:rsidR="004B4750" w:rsidRPr="0017388A" w:rsidRDefault="00236B64" w:rsidP="0017388A">
            <w:pPr>
              <w:spacing w:line="256" w:lineRule="auto"/>
            </w:pPr>
            <w:r w:rsidRPr="0017388A">
              <w:t>4104</w:t>
            </w:r>
          </w:p>
        </w:tc>
        <w:tc>
          <w:tcPr>
            <w:tcW w:w="379" w:type="pct"/>
            <w:noWrap/>
          </w:tcPr>
          <w:p w:rsidR="004B4750" w:rsidRPr="0017388A" w:rsidRDefault="00236B64" w:rsidP="0017388A">
            <w:pPr>
              <w:spacing w:line="256" w:lineRule="auto"/>
            </w:pPr>
            <w:r w:rsidRPr="0017388A">
              <w:t>210</w:t>
            </w:r>
          </w:p>
        </w:tc>
        <w:tc>
          <w:tcPr>
            <w:tcW w:w="491" w:type="pct"/>
            <w:noWrap/>
          </w:tcPr>
          <w:p w:rsidR="004B4750" w:rsidRPr="0017388A" w:rsidRDefault="00236B64" w:rsidP="0017388A">
            <w:pPr>
              <w:spacing w:line="256" w:lineRule="auto"/>
            </w:pPr>
            <w:r w:rsidRPr="0017388A">
              <w:t>4063</w:t>
            </w:r>
          </w:p>
        </w:tc>
      </w:tr>
    </w:tbl>
    <w:p w:rsidR="00CB5F3E" w:rsidRDefault="0017388A" w:rsidP="00CF367B">
      <w:pPr>
        <w:pStyle w:val="SingleTxtG"/>
      </w:pPr>
      <w:r>
        <w:t>* Zdroj: MPSV</w:t>
      </w:r>
    </w:p>
    <w:p w:rsidR="00E15EFB" w:rsidRDefault="00E15EFB" w:rsidP="00CF367B">
      <w:pPr>
        <w:pStyle w:val="SingleTxtG"/>
      </w:pPr>
    </w:p>
    <w:p w:rsidR="007E2943" w:rsidRPr="00524DAA" w:rsidRDefault="00BC0975" w:rsidP="00CF367B">
      <w:pPr>
        <w:pStyle w:val="SingleTxtG"/>
      </w:pPr>
      <w:r>
        <w:t>1</w:t>
      </w:r>
      <w:r w:rsidR="0060129D">
        <w:t>8</w:t>
      </w:r>
      <w:r w:rsidR="00407340">
        <w:t>6</w:t>
      </w:r>
      <w:r>
        <w:t>.</w:t>
      </w:r>
      <w:r w:rsidR="001827C7" w:rsidRPr="00524DAA">
        <w:tab/>
        <w:t xml:space="preserve">Na děti se ZP se zaměřují v ČR zejména dva typy pobytových služeb, a to dětské domovy pro děti do 3 let, které jsou zdravotnickým zařízením v gesci MZ (soustředí se na děti od narození do předškolního věku), dále domovy pro osoby se </w:t>
      </w:r>
      <w:r w:rsidR="00B9594E">
        <w:t xml:space="preserve">ZP </w:t>
      </w:r>
      <w:r w:rsidR="001827C7" w:rsidRPr="00524DAA">
        <w:t>(dále jen „DOZP“), které jsou sociální službou v gesci MPSV (do těchto z</w:t>
      </w:r>
      <w:r w:rsidR="00B9594E">
        <w:t>a</w:t>
      </w:r>
      <w:r w:rsidR="001827C7" w:rsidRPr="00524DAA">
        <w:t xml:space="preserve">řízení plynule přecházejí děti </w:t>
      </w:r>
      <w:r w:rsidR="00B9594E">
        <w:t>z </w:t>
      </w:r>
      <w:r w:rsidR="001827C7" w:rsidRPr="00524DAA">
        <w:t>dětských domovů pro děti do 3 let po dosažení školního věku). Údaje uvedené v tabulce níže reflektují vývoj celkového poč</w:t>
      </w:r>
      <w:r w:rsidR="008C7161">
        <w:t>tu dětí v pobytových zařízeních</w:t>
      </w:r>
      <w:r w:rsidR="008C7161">
        <w:br/>
      </w:r>
      <w:r w:rsidR="001827C7" w:rsidRPr="00524DAA">
        <w:t>v letech 2011-2018. Specificky je zde uveden i počet dětí ve zmíněných zařízeních. Z dat vyplývá, že se v ČR pozvolna počet dětí umístěných do institucionální péče snižuje.</w:t>
      </w:r>
    </w:p>
    <w:p w:rsidR="00CF367B" w:rsidRPr="00524DAA" w:rsidRDefault="00CF367B" w:rsidP="00CF367B">
      <w:pPr>
        <w:pStyle w:val="SingleTxtG"/>
      </w:pPr>
    </w:p>
    <w:p w:rsidR="00BD76D0" w:rsidRPr="00524DAA" w:rsidRDefault="00BD76D0" w:rsidP="00BD76D0">
      <w:pPr>
        <w:pStyle w:val="SingleTxtG"/>
        <w:keepNext/>
        <w:ind w:left="0"/>
      </w:pPr>
      <w:r w:rsidRPr="00524DAA">
        <w:t xml:space="preserve">Počet dětí umístěných v péči pobytových zařízení v letech </w:t>
      </w:r>
      <w:proofErr w:type="gramStart"/>
      <w:r w:rsidRPr="00524DAA">
        <w:t>2011 – 201</w:t>
      </w:r>
      <w:r>
        <w:t>9</w:t>
      </w:r>
      <w:proofErr w:type="gramEnd"/>
    </w:p>
    <w:tbl>
      <w:tblPr>
        <w:tblpPr w:leftFromText="141" w:rightFromText="141" w:bottomFromText="160" w:vertAnchor="text" w:horzAnchor="margin" w:tblpX="70" w:tblpY="109"/>
        <w:tblW w:w="9212" w:type="dxa"/>
        <w:tblCellMar>
          <w:left w:w="0" w:type="dxa"/>
          <w:right w:w="0" w:type="dxa"/>
        </w:tblCellMar>
        <w:tblLook w:val="04A0" w:firstRow="1" w:lastRow="0" w:firstColumn="1" w:lastColumn="0" w:noHBand="0" w:noVBand="1"/>
      </w:tblPr>
      <w:tblGrid>
        <w:gridCol w:w="587"/>
        <w:gridCol w:w="1610"/>
        <w:gridCol w:w="2126"/>
        <w:gridCol w:w="1843"/>
        <w:gridCol w:w="1650"/>
        <w:gridCol w:w="1396"/>
      </w:tblGrid>
      <w:tr w:rsidR="00BD76D0" w:rsidRPr="00524DAA" w:rsidTr="00B21D2A">
        <w:trPr>
          <w:trHeight w:val="925"/>
        </w:trPr>
        <w:tc>
          <w:tcPr>
            <w:tcW w:w="58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70" w:type="dxa"/>
              <w:bottom w:w="0" w:type="dxa"/>
              <w:right w:w="70" w:type="dxa"/>
            </w:tcMar>
            <w:hideMark/>
          </w:tcPr>
          <w:p w:rsidR="00BD76D0" w:rsidRPr="00524DAA" w:rsidRDefault="00BD76D0" w:rsidP="00BD76D0">
            <w:pPr>
              <w:spacing w:line="256" w:lineRule="auto"/>
              <w:rPr>
                <w:sz w:val="22"/>
                <w:szCs w:val="22"/>
              </w:rPr>
            </w:pPr>
          </w:p>
        </w:tc>
        <w:tc>
          <w:tcPr>
            <w:tcW w:w="16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hideMark/>
          </w:tcPr>
          <w:p w:rsidR="00BD76D0" w:rsidRPr="00524DAA" w:rsidRDefault="00BD76D0" w:rsidP="00BD76D0">
            <w:pPr>
              <w:spacing w:line="240" w:lineRule="auto"/>
              <w:jc w:val="center"/>
              <w:rPr>
                <w:rFonts w:eastAsia="Calibri" w:cs="Arial"/>
                <w:b/>
                <w:bCs/>
                <w:sz w:val="22"/>
                <w:szCs w:val="22"/>
              </w:rPr>
            </w:pPr>
            <w:r w:rsidRPr="00524DAA">
              <w:rPr>
                <w:rFonts w:eastAsia="Calibri" w:cs="Arial"/>
                <w:b/>
                <w:bCs/>
              </w:rPr>
              <w:t xml:space="preserve">Děti umístěné ve školských </w:t>
            </w:r>
            <w:proofErr w:type="gramStart"/>
            <w:r w:rsidRPr="00524DAA">
              <w:rPr>
                <w:rFonts w:eastAsia="Calibri" w:cs="Arial"/>
                <w:b/>
                <w:bCs/>
              </w:rPr>
              <w:t>zařízeních</w:t>
            </w:r>
            <w:r w:rsidRPr="00524DAA">
              <w:rPr>
                <w:rFonts w:eastAsia="Calibri" w:cs="Arial"/>
                <w:b/>
                <w:bCs/>
                <w:vertAlign w:val="superscript"/>
              </w:rPr>
              <w:footnoteReference w:customMarkFollows="1" w:id="2"/>
              <w:t>[</w:t>
            </w:r>
            <w:proofErr w:type="gramEnd"/>
            <w:r w:rsidRPr="00524DAA">
              <w:rPr>
                <w:rFonts w:eastAsia="Calibri" w:cs="Arial"/>
                <w:b/>
                <w:bCs/>
                <w:vertAlign w:val="superscript"/>
              </w:rPr>
              <w:t>1]</w:t>
            </w:r>
          </w:p>
        </w:tc>
        <w:tc>
          <w:tcPr>
            <w:tcW w:w="212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hideMark/>
          </w:tcPr>
          <w:p w:rsidR="00BD76D0" w:rsidRPr="00524DAA" w:rsidRDefault="00BD76D0" w:rsidP="00BD76D0">
            <w:pPr>
              <w:spacing w:line="240" w:lineRule="auto"/>
              <w:jc w:val="center"/>
              <w:rPr>
                <w:rFonts w:eastAsia="Calibri" w:cs="Arial"/>
                <w:b/>
                <w:bCs/>
                <w:sz w:val="22"/>
                <w:szCs w:val="22"/>
              </w:rPr>
            </w:pPr>
            <w:r w:rsidRPr="00524DAA">
              <w:rPr>
                <w:rFonts w:eastAsia="Calibri" w:cs="Arial"/>
                <w:b/>
                <w:bCs/>
              </w:rPr>
              <w:t xml:space="preserve">Děti umístěné </w:t>
            </w:r>
            <w:r w:rsidRPr="00524DAA">
              <w:rPr>
                <w:rFonts w:eastAsia="Calibri" w:cs="Arial"/>
                <w:b/>
                <w:bCs/>
              </w:rPr>
              <w:br/>
              <w:t xml:space="preserve">v dětských domovech pro děti do 3 let </w:t>
            </w:r>
            <w:proofErr w:type="gramStart"/>
            <w:r w:rsidRPr="00524DAA">
              <w:rPr>
                <w:rFonts w:eastAsia="Calibri" w:cs="Arial"/>
                <w:b/>
                <w:bCs/>
              </w:rPr>
              <w:t>věku</w:t>
            </w:r>
            <w:r w:rsidRPr="00524DAA">
              <w:rPr>
                <w:rFonts w:eastAsia="Calibri" w:cs="Arial"/>
                <w:b/>
                <w:bCs/>
                <w:vertAlign w:val="superscript"/>
              </w:rPr>
              <w:footnoteReference w:customMarkFollows="1" w:id="3"/>
              <w:t>[</w:t>
            </w:r>
            <w:proofErr w:type="gramEnd"/>
            <w:r w:rsidRPr="00524DAA">
              <w:rPr>
                <w:rFonts w:eastAsia="Calibri" w:cs="Arial"/>
                <w:b/>
                <w:bCs/>
                <w:vertAlign w:val="superscript"/>
              </w:rPr>
              <w:t>2]</w:t>
            </w:r>
          </w:p>
        </w:tc>
        <w:tc>
          <w:tcPr>
            <w:tcW w:w="184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hideMark/>
          </w:tcPr>
          <w:p w:rsidR="00BD76D0" w:rsidRPr="00524DAA" w:rsidRDefault="00BD76D0" w:rsidP="00BD76D0">
            <w:pPr>
              <w:spacing w:line="240" w:lineRule="auto"/>
              <w:jc w:val="center"/>
              <w:rPr>
                <w:rFonts w:eastAsia="Calibri" w:cs="Arial"/>
                <w:b/>
                <w:bCs/>
                <w:sz w:val="22"/>
                <w:szCs w:val="22"/>
              </w:rPr>
            </w:pPr>
            <w:r w:rsidRPr="00524DAA">
              <w:rPr>
                <w:rFonts w:eastAsia="Calibri" w:cs="Arial"/>
                <w:b/>
                <w:bCs/>
              </w:rPr>
              <w:t xml:space="preserve">Děti umístěné </w:t>
            </w:r>
            <w:r w:rsidRPr="00524DAA">
              <w:rPr>
                <w:rFonts w:eastAsia="Calibri" w:cs="Arial"/>
                <w:b/>
                <w:bCs/>
              </w:rPr>
              <w:br/>
              <w:t xml:space="preserve">v </w:t>
            </w:r>
            <w:proofErr w:type="gramStart"/>
            <w:r w:rsidRPr="00524DAA">
              <w:rPr>
                <w:rFonts w:eastAsia="Calibri" w:cs="Arial"/>
                <w:b/>
                <w:bCs/>
              </w:rPr>
              <w:t>DOZP</w:t>
            </w:r>
            <w:r w:rsidRPr="00524DAA">
              <w:rPr>
                <w:rFonts w:eastAsia="Calibri" w:cs="Arial"/>
                <w:b/>
                <w:bCs/>
                <w:vertAlign w:val="superscript"/>
              </w:rPr>
              <w:footnoteReference w:customMarkFollows="1" w:id="4"/>
              <w:t>[</w:t>
            </w:r>
            <w:proofErr w:type="gramEnd"/>
            <w:r w:rsidRPr="00524DAA">
              <w:rPr>
                <w:rFonts w:eastAsia="Calibri" w:cs="Arial"/>
                <w:b/>
                <w:bCs/>
                <w:vertAlign w:val="superscript"/>
              </w:rPr>
              <w:t>3]</w:t>
            </w:r>
          </w:p>
        </w:tc>
        <w:tc>
          <w:tcPr>
            <w:tcW w:w="16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hideMark/>
          </w:tcPr>
          <w:p w:rsidR="00BD76D0" w:rsidRPr="00524DAA" w:rsidRDefault="00BD76D0" w:rsidP="00BD76D0">
            <w:pPr>
              <w:spacing w:line="240" w:lineRule="auto"/>
              <w:jc w:val="center"/>
              <w:rPr>
                <w:rFonts w:eastAsia="Calibri" w:cs="Arial"/>
                <w:b/>
                <w:bCs/>
                <w:sz w:val="22"/>
                <w:szCs w:val="22"/>
              </w:rPr>
            </w:pPr>
            <w:r w:rsidRPr="00524DAA">
              <w:rPr>
                <w:rFonts w:eastAsia="Calibri" w:cs="Arial"/>
                <w:b/>
                <w:bCs/>
              </w:rPr>
              <w:t xml:space="preserve">Děti umístěné </w:t>
            </w:r>
            <w:r w:rsidRPr="00524DAA">
              <w:rPr>
                <w:rFonts w:eastAsia="Calibri" w:cs="Arial"/>
                <w:b/>
                <w:bCs/>
              </w:rPr>
              <w:br/>
              <w:t xml:space="preserve">ve </w:t>
            </w:r>
            <w:proofErr w:type="gramStart"/>
            <w:r w:rsidRPr="00524DAA">
              <w:rPr>
                <w:rFonts w:eastAsia="Calibri" w:cs="Arial"/>
                <w:b/>
                <w:bCs/>
              </w:rPr>
              <w:t>ZDVOP</w:t>
            </w:r>
            <w:r w:rsidRPr="00524DAA">
              <w:rPr>
                <w:rFonts w:eastAsia="Calibri" w:cs="Arial"/>
                <w:b/>
                <w:bCs/>
                <w:vertAlign w:val="superscript"/>
              </w:rPr>
              <w:footnoteReference w:customMarkFollows="1" w:id="5"/>
              <w:t>[</w:t>
            </w:r>
            <w:proofErr w:type="gramEnd"/>
            <w:r w:rsidRPr="00524DAA">
              <w:rPr>
                <w:rFonts w:eastAsia="Calibri" w:cs="Arial"/>
                <w:b/>
                <w:bCs/>
                <w:vertAlign w:val="superscript"/>
              </w:rPr>
              <w:t>4]</w:t>
            </w:r>
          </w:p>
        </w:tc>
        <w:tc>
          <w:tcPr>
            <w:tcW w:w="139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hideMark/>
          </w:tcPr>
          <w:p w:rsidR="00BD76D0" w:rsidRPr="00524DAA" w:rsidRDefault="00BD76D0" w:rsidP="00BD76D0">
            <w:pPr>
              <w:spacing w:line="240" w:lineRule="auto"/>
              <w:jc w:val="center"/>
              <w:rPr>
                <w:rFonts w:eastAsia="Calibri" w:cs="Arial"/>
                <w:b/>
                <w:bCs/>
                <w:sz w:val="22"/>
                <w:szCs w:val="22"/>
              </w:rPr>
            </w:pPr>
            <w:r w:rsidRPr="00524DAA">
              <w:rPr>
                <w:rFonts w:eastAsia="Calibri" w:cs="Arial"/>
                <w:b/>
                <w:bCs/>
              </w:rPr>
              <w:t>Celkem dětí</w:t>
            </w:r>
            <w:r w:rsidRPr="00524DAA">
              <w:rPr>
                <w:rFonts w:eastAsia="Calibri" w:cs="Arial"/>
                <w:b/>
                <w:bCs/>
              </w:rPr>
              <w:br/>
              <w:t>v ústavní péči</w:t>
            </w:r>
          </w:p>
        </w:tc>
      </w:tr>
      <w:tr w:rsidR="00BD76D0" w:rsidRPr="00524DAA" w:rsidTr="0017388A">
        <w:trPr>
          <w:trHeight w:val="298"/>
        </w:trPr>
        <w:tc>
          <w:tcPr>
            <w:tcW w:w="58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BD76D0" w:rsidRPr="00524DAA" w:rsidRDefault="00BD76D0" w:rsidP="00BD76D0">
            <w:pPr>
              <w:spacing w:line="240" w:lineRule="auto"/>
              <w:jc w:val="both"/>
              <w:rPr>
                <w:rFonts w:eastAsia="Calibri" w:cs="Arial"/>
                <w:b/>
                <w:bCs/>
                <w:sz w:val="22"/>
                <w:szCs w:val="22"/>
              </w:rPr>
            </w:pPr>
            <w:r w:rsidRPr="00524DAA">
              <w:rPr>
                <w:rFonts w:eastAsia="Calibri" w:cs="Arial"/>
                <w:b/>
                <w:bCs/>
              </w:rPr>
              <w:t>2011</w:t>
            </w:r>
          </w:p>
        </w:tc>
        <w:tc>
          <w:tcPr>
            <w:tcW w:w="16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7150</w:t>
            </w:r>
          </w:p>
        </w:tc>
        <w:tc>
          <w:tcPr>
            <w:tcW w:w="212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1428</w:t>
            </w:r>
          </w:p>
        </w:tc>
        <w:tc>
          <w:tcPr>
            <w:tcW w:w="18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834</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995</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b/>
                <w:bCs/>
                <w:sz w:val="22"/>
                <w:szCs w:val="22"/>
              </w:rPr>
            </w:pPr>
            <w:r w:rsidRPr="00524DAA">
              <w:rPr>
                <w:rFonts w:eastAsia="Calibri" w:cs="Arial"/>
                <w:b/>
                <w:bCs/>
              </w:rPr>
              <w:t>10407</w:t>
            </w:r>
          </w:p>
        </w:tc>
      </w:tr>
      <w:tr w:rsidR="00BD76D0" w:rsidRPr="00524DAA" w:rsidTr="0017388A">
        <w:trPr>
          <w:trHeight w:val="298"/>
        </w:trPr>
        <w:tc>
          <w:tcPr>
            <w:tcW w:w="58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BD76D0" w:rsidRPr="00524DAA" w:rsidRDefault="00BD76D0" w:rsidP="00BD76D0">
            <w:pPr>
              <w:spacing w:line="240" w:lineRule="auto"/>
              <w:jc w:val="both"/>
              <w:rPr>
                <w:rFonts w:eastAsia="Calibri" w:cs="Arial"/>
                <w:b/>
                <w:bCs/>
                <w:sz w:val="22"/>
                <w:szCs w:val="22"/>
              </w:rPr>
            </w:pPr>
            <w:r w:rsidRPr="00524DAA">
              <w:rPr>
                <w:rFonts w:eastAsia="Calibri" w:cs="Arial"/>
                <w:b/>
                <w:bCs/>
              </w:rPr>
              <w:t>2012</w:t>
            </w:r>
          </w:p>
        </w:tc>
        <w:tc>
          <w:tcPr>
            <w:tcW w:w="16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6941</w:t>
            </w:r>
          </w:p>
        </w:tc>
        <w:tc>
          <w:tcPr>
            <w:tcW w:w="212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1397</w:t>
            </w:r>
          </w:p>
        </w:tc>
        <w:tc>
          <w:tcPr>
            <w:tcW w:w="18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769</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1020</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b/>
                <w:bCs/>
                <w:sz w:val="22"/>
                <w:szCs w:val="22"/>
              </w:rPr>
            </w:pPr>
            <w:r w:rsidRPr="00524DAA">
              <w:rPr>
                <w:rFonts w:eastAsia="Calibri" w:cs="Arial"/>
                <w:b/>
                <w:bCs/>
              </w:rPr>
              <w:t>10127</w:t>
            </w:r>
          </w:p>
        </w:tc>
      </w:tr>
      <w:tr w:rsidR="00BD76D0" w:rsidRPr="00524DAA" w:rsidTr="0017388A">
        <w:trPr>
          <w:trHeight w:val="298"/>
        </w:trPr>
        <w:tc>
          <w:tcPr>
            <w:tcW w:w="58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BD76D0" w:rsidRPr="00524DAA" w:rsidRDefault="00BD76D0" w:rsidP="00BD76D0">
            <w:pPr>
              <w:spacing w:line="240" w:lineRule="auto"/>
              <w:jc w:val="both"/>
              <w:rPr>
                <w:rFonts w:eastAsia="Calibri" w:cs="Arial"/>
                <w:b/>
                <w:bCs/>
                <w:sz w:val="22"/>
                <w:szCs w:val="22"/>
              </w:rPr>
            </w:pPr>
            <w:r w:rsidRPr="00524DAA">
              <w:rPr>
                <w:rFonts w:eastAsia="Calibri" w:cs="Arial"/>
                <w:b/>
                <w:bCs/>
              </w:rPr>
              <w:t>2013</w:t>
            </w:r>
          </w:p>
        </w:tc>
        <w:tc>
          <w:tcPr>
            <w:tcW w:w="16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6549</w:t>
            </w:r>
          </w:p>
        </w:tc>
        <w:tc>
          <w:tcPr>
            <w:tcW w:w="212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1233</w:t>
            </w:r>
          </w:p>
        </w:tc>
        <w:tc>
          <w:tcPr>
            <w:tcW w:w="18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646</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1088</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b/>
                <w:bCs/>
                <w:sz w:val="22"/>
                <w:szCs w:val="22"/>
              </w:rPr>
            </w:pPr>
            <w:r w:rsidRPr="00524DAA">
              <w:rPr>
                <w:rFonts w:eastAsia="Calibri" w:cs="Arial"/>
                <w:b/>
                <w:bCs/>
              </w:rPr>
              <w:t>9516</w:t>
            </w:r>
          </w:p>
        </w:tc>
      </w:tr>
      <w:tr w:rsidR="00BD76D0" w:rsidRPr="00524DAA" w:rsidTr="0017388A">
        <w:trPr>
          <w:trHeight w:val="298"/>
        </w:trPr>
        <w:tc>
          <w:tcPr>
            <w:tcW w:w="58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BD76D0" w:rsidRPr="00524DAA" w:rsidRDefault="00BD76D0" w:rsidP="00BD76D0">
            <w:pPr>
              <w:spacing w:line="240" w:lineRule="auto"/>
              <w:jc w:val="both"/>
              <w:rPr>
                <w:rFonts w:eastAsia="Calibri" w:cs="Arial"/>
                <w:b/>
                <w:bCs/>
                <w:sz w:val="22"/>
                <w:szCs w:val="22"/>
              </w:rPr>
            </w:pPr>
            <w:r w:rsidRPr="00524DAA">
              <w:rPr>
                <w:rFonts w:eastAsia="Calibri" w:cs="Arial"/>
                <w:b/>
                <w:bCs/>
              </w:rPr>
              <w:t>2014</w:t>
            </w:r>
          </w:p>
        </w:tc>
        <w:tc>
          <w:tcPr>
            <w:tcW w:w="16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6495</w:t>
            </w:r>
          </w:p>
        </w:tc>
        <w:tc>
          <w:tcPr>
            <w:tcW w:w="212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1213</w:t>
            </w:r>
          </w:p>
        </w:tc>
        <w:tc>
          <w:tcPr>
            <w:tcW w:w="18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577</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1259</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b/>
                <w:bCs/>
                <w:sz w:val="22"/>
                <w:szCs w:val="22"/>
              </w:rPr>
            </w:pPr>
            <w:r w:rsidRPr="00524DAA">
              <w:rPr>
                <w:rFonts w:eastAsia="Calibri" w:cs="Arial"/>
                <w:b/>
                <w:bCs/>
              </w:rPr>
              <w:t>9544</w:t>
            </w:r>
          </w:p>
        </w:tc>
      </w:tr>
      <w:tr w:rsidR="00BD76D0" w:rsidRPr="00524DAA" w:rsidTr="0017388A">
        <w:trPr>
          <w:trHeight w:val="298"/>
        </w:trPr>
        <w:tc>
          <w:tcPr>
            <w:tcW w:w="58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BD76D0" w:rsidRPr="00524DAA" w:rsidRDefault="00BD76D0" w:rsidP="00BD76D0">
            <w:pPr>
              <w:spacing w:line="240" w:lineRule="auto"/>
              <w:jc w:val="both"/>
              <w:rPr>
                <w:rFonts w:eastAsia="Calibri" w:cs="Arial"/>
                <w:b/>
                <w:bCs/>
                <w:sz w:val="22"/>
                <w:szCs w:val="22"/>
              </w:rPr>
            </w:pPr>
            <w:r w:rsidRPr="00524DAA">
              <w:rPr>
                <w:rFonts w:eastAsia="Calibri" w:cs="Arial"/>
                <w:b/>
                <w:bCs/>
              </w:rPr>
              <w:t>2015</w:t>
            </w:r>
          </w:p>
        </w:tc>
        <w:tc>
          <w:tcPr>
            <w:tcW w:w="16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6482</w:t>
            </w:r>
          </w:p>
        </w:tc>
        <w:tc>
          <w:tcPr>
            <w:tcW w:w="212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1174</w:t>
            </w:r>
          </w:p>
        </w:tc>
        <w:tc>
          <w:tcPr>
            <w:tcW w:w="18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538</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778</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b/>
                <w:bCs/>
                <w:sz w:val="22"/>
                <w:szCs w:val="22"/>
              </w:rPr>
            </w:pPr>
            <w:r w:rsidRPr="00524DAA">
              <w:rPr>
                <w:rFonts w:eastAsia="Calibri" w:cs="Arial"/>
                <w:b/>
                <w:bCs/>
              </w:rPr>
              <w:t>8972</w:t>
            </w:r>
          </w:p>
        </w:tc>
      </w:tr>
      <w:tr w:rsidR="00BD76D0" w:rsidRPr="00524DAA" w:rsidTr="0017388A">
        <w:trPr>
          <w:trHeight w:val="298"/>
        </w:trPr>
        <w:tc>
          <w:tcPr>
            <w:tcW w:w="58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BD76D0" w:rsidRPr="00524DAA" w:rsidRDefault="00BD76D0" w:rsidP="00BD76D0">
            <w:pPr>
              <w:spacing w:line="240" w:lineRule="auto"/>
              <w:jc w:val="both"/>
              <w:rPr>
                <w:rFonts w:eastAsia="Calibri" w:cs="Arial"/>
                <w:b/>
                <w:bCs/>
                <w:sz w:val="22"/>
                <w:szCs w:val="22"/>
              </w:rPr>
            </w:pPr>
            <w:r w:rsidRPr="00524DAA">
              <w:rPr>
                <w:rFonts w:eastAsia="Calibri" w:cs="Arial"/>
                <w:b/>
                <w:bCs/>
              </w:rPr>
              <w:t>2016</w:t>
            </w:r>
          </w:p>
        </w:tc>
        <w:tc>
          <w:tcPr>
            <w:tcW w:w="16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6500</w:t>
            </w:r>
          </w:p>
        </w:tc>
        <w:tc>
          <w:tcPr>
            <w:tcW w:w="212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1037</w:t>
            </w:r>
          </w:p>
        </w:tc>
        <w:tc>
          <w:tcPr>
            <w:tcW w:w="184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Pr>
                <w:rFonts w:eastAsia="Calibri" w:cs="Arial"/>
              </w:rPr>
              <w:t>543</w:t>
            </w:r>
          </w:p>
        </w:tc>
        <w:tc>
          <w:tcPr>
            <w:tcW w:w="16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629</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b/>
                <w:bCs/>
                <w:sz w:val="22"/>
                <w:szCs w:val="22"/>
              </w:rPr>
            </w:pPr>
            <w:r>
              <w:rPr>
                <w:rFonts w:eastAsia="Calibri" w:cs="Arial"/>
                <w:b/>
                <w:bCs/>
              </w:rPr>
              <w:t xml:space="preserve"> 8709</w:t>
            </w:r>
          </w:p>
        </w:tc>
      </w:tr>
      <w:tr w:rsidR="00BD76D0" w:rsidRPr="00524DAA" w:rsidTr="0017388A">
        <w:trPr>
          <w:trHeight w:val="298"/>
        </w:trPr>
        <w:tc>
          <w:tcPr>
            <w:tcW w:w="587" w:type="dxa"/>
            <w:tcBorders>
              <w:top w:val="nil"/>
              <w:left w:val="single" w:sz="8" w:space="0" w:color="auto"/>
              <w:bottom w:val="single" w:sz="4"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rsidR="00BD76D0" w:rsidRPr="00524DAA" w:rsidRDefault="00BD76D0" w:rsidP="00BD76D0">
            <w:pPr>
              <w:spacing w:line="240" w:lineRule="auto"/>
              <w:jc w:val="both"/>
              <w:rPr>
                <w:rFonts w:eastAsia="Calibri" w:cs="Arial"/>
                <w:b/>
                <w:bCs/>
                <w:sz w:val="22"/>
                <w:szCs w:val="22"/>
              </w:rPr>
            </w:pPr>
            <w:r w:rsidRPr="00524DAA">
              <w:rPr>
                <w:rFonts w:eastAsia="Calibri" w:cs="Arial"/>
                <w:b/>
                <w:bCs/>
              </w:rPr>
              <w:t>2017</w:t>
            </w:r>
          </w:p>
        </w:tc>
        <w:tc>
          <w:tcPr>
            <w:tcW w:w="161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6345</w:t>
            </w:r>
          </w:p>
        </w:tc>
        <w:tc>
          <w:tcPr>
            <w:tcW w:w="2126"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 xml:space="preserve"> 922</w:t>
            </w:r>
          </w:p>
        </w:tc>
        <w:tc>
          <w:tcPr>
            <w:tcW w:w="1843"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Pr>
                <w:rFonts w:eastAsia="Calibri" w:cs="Arial"/>
              </w:rPr>
              <w:t>497</w:t>
            </w:r>
          </w:p>
        </w:tc>
        <w:tc>
          <w:tcPr>
            <w:tcW w:w="1650"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720</w:t>
            </w:r>
          </w:p>
        </w:tc>
        <w:tc>
          <w:tcPr>
            <w:tcW w:w="1396"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b/>
                <w:bCs/>
                <w:sz w:val="22"/>
                <w:szCs w:val="22"/>
              </w:rPr>
            </w:pPr>
            <w:r>
              <w:rPr>
                <w:rFonts w:eastAsia="Calibri" w:cs="Arial"/>
                <w:b/>
                <w:bCs/>
              </w:rPr>
              <w:t xml:space="preserve"> 8484</w:t>
            </w:r>
          </w:p>
        </w:tc>
      </w:tr>
      <w:tr w:rsidR="00BD76D0" w:rsidRPr="00524DAA" w:rsidTr="0017388A">
        <w:trPr>
          <w:trHeight w:val="298"/>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bottom"/>
            <w:hideMark/>
          </w:tcPr>
          <w:p w:rsidR="00BD76D0" w:rsidRPr="00524DAA" w:rsidRDefault="00BD76D0" w:rsidP="00BD76D0">
            <w:pPr>
              <w:spacing w:line="240" w:lineRule="auto"/>
              <w:jc w:val="both"/>
              <w:rPr>
                <w:rFonts w:eastAsia="Calibri" w:cs="Arial"/>
                <w:b/>
                <w:bCs/>
                <w:sz w:val="22"/>
                <w:szCs w:val="22"/>
              </w:rPr>
            </w:pPr>
            <w:r w:rsidRPr="00524DAA">
              <w:rPr>
                <w:rFonts w:eastAsia="Calibri" w:cs="Arial"/>
                <w:b/>
                <w:bCs/>
              </w:rPr>
              <w:t>2018</w:t>
            </w:r>
          </w:p>
        </w:tc>
        <w:tc>
          <w:tcPr>
            <w:tcW w:w="16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6394</w:t>
            </w: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881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Pr>
                <w:rFonts w:eastAsia="Calibri" w:cs="Arial"/>
              </w:rPr>
              <w:t>448</w:t>
            </w:r>
          </w:p>
        </w:tc>
        <w:tc>
          <w:tcPr>
            <w:tcW w:w="16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sz w:val="22"/>
                <w:szCs w:val="22"/>
              </w:rPr>
            </w:pPr>
            <w:r w:rsidRPr="00524DAA">
              <w:rPr>
                <w:rFonts w:eastAsia="Calibri" w:cs="Arial"/>
              </w:rPr>
              <w:t>504</w:t>
            </w:r>
          </w:p>
        </w:tc>
        <w:tc>
          <w:tcPr>
            <w:tcW w:w="139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BD76D0" w:rsidRPr="00524DAA" w:rsidRDefault="00BD76D0" w:rsidP="00BD76D0">
            <w:pPr>
              <w:spacing w:line="240" w:lineRule="auto"/>
              <w:jc w:val="center"/>
              <w:rPr>
                <w:rFonts w:eastAsia="Calibri" w:cs="Arial"/>
                <w:b/>
                <w:bCs/>
                <w:sz w:val="22"/>
                <w:szCs w:val="22"/>
              </w:rPr>
            </w:pPr>
            <w:r>
              <w:rPr>
                <w:rFonts w:eastAsia="Calibri" w:cs="Arial"/>
                <w:b/>
                <w:bCs/>
              </w:rPr>
              <w:t xml:space="preserve"> 8227</w:t>
            </w:r>
          </w:p>
        </w:tc>
      </w:tr>
      <w:tr w:rsidR="00BD76D0" w:rsidRPr="00524DAA" w:rsidTr="0017388A">
        <w:trPr>
          <w:trHeight w:val="298"/>
        </w:trPr>
        <w:tc>
          <w:tcPr>
            <w:tcW w:w="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70" w:type="dxa"/>
              <w:bottom w:w="0" w:type="dxa"/>
              <w:right w:w="70" w:type="dxa"/>
            </w:tcMar>
            <w:vAlign w:val="bottom"/>
          </w:tcPr>
          <w:p w:rsidR="00BD76D0" w:rsidRPr="00524DAA" w:rsidRDefault="00BD76D0" w:rsidP="00BD76D0">
            <w:pPr>
              <w:spacing w:line="240" w:lineRule="auto"/>
              <w:jc w:val="both"/>
              <w:rPr>
                <w:rFonts w:eastAsia="Calibri" w:cs="Arial"/>
                <w:b/>
                <w:bCs/>
              </w:rPr>
            </w:pPr>
            <w:r>
              <w:rPr>
                <w:rFonts w:eastAsia="Calibri" w:cs="Arial"/>
                <w:b/>
                <w:bCs/>
              </w:rPr>
              <w:t>2019</w:t>
            </w:r>
          </w:p>
        </w:tc>
        <w:tc>
          <w:tcPr>
            <w:tcW w:w="16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D76D0" w:rsidRPr="00524DAA" w:rsidRDefault="00BD76D0" w:rsidP="00BD76D0">
            <w:pPr>
              <w:spacing w:line="240" w:lineRule="auto"/>
              <w:jc w:val="center"/>
              <w:rPr>
                <w:rFonts w:eastAsia="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BD76D0" w:rsidRPr="00524DAA" w:rsidRDefault="00BD76D0" w:rsidP="00BD76D0">
            <w:pPr>
              <w:spacing w:line="240" w:lineRule="auto"/>
              <w:jc w:val="center"/>
              <w:rPr>
                <w:rFonts w:eastAsia="Calibri"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BD76D0" w:rsidRPr="00524DAA" w:rsidRDefault="00BD76D0" w:rsidP="00BD76D0">
            <w:pPr>
              <w:spacing w:line="240" w:lineRule="auto"/>
              <w:jc w:val="center"/>
              <w:rPr>
                <w:rFonts w:eastAsia="Calibri" w:cs="Arial"/>
              </w:rPr>
            </w:pPr>
            <w:r>
              <w:rPr>
                <w:rFonts w:eastAsia="Calibri" w:cs="Arial"/>
              </w:rPr>
              <w:t>438</w:t>
            </w:r>
          </w:p>
        </w:tc>
        <w:tc>
          <w:tcPr>
            <w:tcW w:w="16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D76D0" w:rsidRPr="00524DAA" w:rsidRDefault="00BD76D0" w:rsidP="00BD76D0">
            <w:pPr>
              <w:spacing w:line="240" w:lineRule="auto"/>
              <w:jc w:val="center"/>
              <w:rPr>
                <w:rFonts w:eastAsia="Calibri" w:cs="Arial"/>
              </w:rPr>
            </w:pPr>
            <w:r>
              <w:rPr>
                <w:rFonts w:eastAsia="Calibri" w:cs="Arial"/>
              </w:rPr>
              <w:t>523</w:t>
            </w:r>
          </w:p>
        </w:tc>
        <w:tc>
          <w:tcPr>
            <w:tcW w:w="139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D76D0" w:rsidRPr="00524DAA" w:rsidRDefault="00BD76D0" w:rsidP="00BD76D0">
            <w:pPr>
              <w:spacing w:line="240" w:lineRule="auto"/>
              <w:jc w:val="center"/>
              <w:rPr>
                <w:rFonts w:eastAsia="Calibri" w:cs="Arial"/>
                <w:b/>
                <w:bCs/>
              </w:rPr>
            </w:pPr>
          </w:p>
        </w:tc>
      </w:tr>
    </w:tbl>
    <w:p w:rsidR="00B3568B" w:rsidRDefault="00B3568B" w:rsidP="001D4EF8">
      <w:pPr>
        <w:pStyle w:val="SingleTxtG"/>
      </w:pPr>
    </w:p>
    <w:p w:rsidR="00B21D2A" w:rsidRPr="00524DAA" w:rsidRDefault="00BC0975" w:rsidP="001D4EF8">
      <w:pPr>
        <w:pStyle w:val="SingleTxtG"/>
      </w:pPr>
      <w:r>
        <w:t>1</w:t>
      </w:r>
      <w:r w:rsidR="0060129D">
        <w:t>8</w:t>
      </w:r>
      <w:r w:rsidR="00407340">
        <w:t>7</w:t>
      </w:r>
      <w:r>
        <w:t>.</w:t>
      </w:r>
      <w:r w:rsidR="00771B07" w:rsidRPr="00524DAA">
        <w:tab/>
        <w:t>ČR usiluje o snížení počtu dětí, které vyrůstají v institucionální péči, vč. dětí se ZP. Na dosažení tohoto cíle se soustředil vládní dokument Národní strategie ochrany práv dětí – právo na dětství (akční období 2012–2018), který obsahoval tři dílčí cíle, které zahrnovaly opatření na podporu deinstitucionalizace péče o ohrožené děti (viz níže uvedená tabulka).</w:t>
      </w:r>
    </w:p>
    <w:p w:rsidR="00C95010" w:rsidRDefault="00C95010">
      <w:pPr>
        <w:suppressAutoHyphens w:val="0"/>
        <w:spacing w:line="240" w:lineRule="auto"/>
      </w:pPr>
      <w:r>
        <w:br w:type="page"/>
      </w:r>
    </w:p>
    <w:p w:rsidR="00B3568B" w:rsidRPr="00524DAA" w:rsidRDefault="00B3568B" w:rsidP="001D4EF8">
      <w:pPr>
        <w:pStyle w:val="SingleTxtG"/>
      </w:pPr>
    </w:p>
    <w:p w:rsidR="00BD6AE4" w:rsidRPr="00524DAA" w:rsidRDefault="00BD6AE4" w:rsidP="00BD6AE4">
      <w:pPr>
        <w:pStyle w:val="SingleTxtG"/>
        <w:ind w:left="0"/>
      </w:pPr>
      <w:r w:rsidRPr="00524DAA">
        <w:t>Dílčí cíle Národní strategie ochrany práv dětí na podporu dětí se ZP</w:t>
      </w:r>
    </w:p>
    <w:tbl>
      <w:tblPr>
        <w:tblStyle w:val="Mkatabulky"/>
        <w:tblW w:w="0" w:type="auto"/>
        <w:tblLook w:val="04A0" w:firstRow="1" w:lastRow="0" w:firstColumn="1" w:lastColumn="0" w:noHBand="0" w:noVBand="1"/>
      </w:tblPr>
      <w:tblGrid>
        <w:gridCol w:w="704"/>
        <w:gridCol w:w="2268"/>
        <w:gridCol w:w="6090"/>
      </w:tblGrid>
      <w:tr w:rsidR="00E27D84" w:rsidRPr="00524DAA" w:rsidTr="00E27D84">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7D84" w:rsidRPr="00524DAA" w:rsidRDefault="00E27D84">
            <w:pPr>
              <w:spacing w:line="240" w:lineRule="auto"/>
              <w:jc w:val="both"/>
              <w:rPr>
                <w:b/>
                <w:sz w:val="22"/>
                <w:szCs w:val="22"/>
              </w:rPr>
            </w:pPr>
            <w:r w:rsidRPr="00524DAA">
              <w:rPr>
                <w:b/>
              </w:rPr>
              <w:t xml:space="preserve">Cíl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7D84" w:rsidRPr="00524DAA" w:rsidRDefault="00E27D84">
            <w:pPr>
              <w:spacing w:line="240" w:lineRule="auto"/>
              <w:jc w:val="both"/>
              <w:rPr>
                <w:b/>
                <w:sz w:val="22"/>
                <w:szCs w:val="22"/>
              </w:rPr>
            </w:pPr>
            <w:r w:rsidRPr="00524DAA">
              <w:rPr>
                <w:b/>
              </w:rPr>
              <w:t xml:space="preserve">Oblast podpory </w:t>
            </w:r>
          </w:p>
        </w:tc>
        <w:tc>
          <w:tcPr>
            <w:tcW w:w="6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7D84" w:rsidRPr="00524DAA" w:rsidRDefault="00E27D84">
            <w:pPr>
              <w:spacing w:line="240" w:lineRule="auto"/>
              <w:jc w:val="both"/>
              <w:rPr>
                <w:b/>
                <w:sz w:val="22"/>
                <w:szCs w:val="22"/>
              </w:rPr>
            </w:pPr>
            <w:r w:rsidRPr="00524DAA">
              <w:rPr>
                <w:b/>
              </w:rPr>
              <w:t xml:space="preserve">Popis opatření </w:t>
            </w:r>
          </w:p>
        </w:tc>
      </w:tr>
      <w:tr w:rsidR="00E27D84" w:rsidRPr="00524DAA" w:rsidTr="00E27D84">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D84" w:rsidRPr="00524DAA" w:rsidRDefault="00E27D84">
            <w:pPr>
              <w:spacing w:line="240" w:lineRule="auto"/>
              <w:jc w:val="both"/>
              <w:rPr>
                <w:b/>
                <w:sz w:val="22"/>
                <w:szCs w:val="22"/>
              </w:rPr>
            </w:pPr>
            <w:r w:rsidRPr="00524DAA">
              <w:rPr>
                <w:b/>
              </w:rPr>
              <w:t>Cíl 5</w:t>
            </w:r>
          </w:p>
        </w:tc>
        <w:tc>
          <w:tcPr>
            <w:tcW w:w="2268" w:type="dxa"/>
            <w:tcBorders>
              <w:top w:val="single" w:sz="4" w:space="0" w:color="auto"/>
              <w:left w:val="single" w:sz="4" w:space="0" w:color="auto"/>
              <w:bottom w:val="single" w:sz="4" w:space="0" w:color="auto"/>
              <w:right w:val="single" w:sz="4" w:space="0" w:color="auto"/>
            </w:tcBorders>
            <w:hideMark/>
          </w:tcPr>
          <w:p w:rsidR="00E27D84" w:rsidRPr="00524DAA" w:rsidRDefault="00E27D84" w:rsidP="00626F7B">
            <w:pPr>
              <w:spacing w:line="240" w:lineRule="auto"/>
              <w:rPr>
                <w:sz w:val="22"/>
                <w:szCs w:val="22"/>
              </w:rPr>
            </w:pPr>
            <w:r w:rsidRPr="00524DAA">
              <w:t xml:space="preserve">Vyrovnání příležitostí pro děti a mladé lidi se </w:t>
            </w:r>
            <w:r w:rsidR="00626F7B" w:rsidRPr="00524DAA">
              <w:t>ZP</w:t>
            </w:r>
          </w:p>
        </w:tc>
        <w:tc>
          <w:tcPr>
            <w:tcW w:w="6090" w:type="dxa"/>
            <w:tcBorders>
              <w:top w:val="single" w:sz="4" w:space="0" w:color="auto"/>
              <w:left w:val="single" w:sz="4" w:space="0" w:color="auto"/>
              <w:bottom w:val="single" w:sz="4" w:space="0" w:color="auto"/>
              <w:right w:val="single" w:sz="4" w:space="0" w:color="auto"/>
            </w:tcBorders>
            <w:hideMark/>
          </w:tcPr>
          <w:p w:rsidR="00E27D84" w:rsidRPr="00524DAA" w:rsidRDefault="00E27D84" w:rsidP="0087275C">
            <w:pPr>
              <w:pStyle w:val="Odstavecseseznamem"/>
              <w:numPr>
                <w:ilvl w:val="0"/>
                <w:numId w:val="5"/>
              </w:numPr>
              <w:spacing w:after="0" w:line="240" w:lineRule="auto"/>
              <w:ind w:left="326" w:hanging="284"/>
              <w:jc w:val="both"/>
              <w:rPr>
                <w:rFonts w:cstheme="minorBidi"/>
                <w:lang w:val="cs-CZ"/>
              </w:rPr>
            </w:pPr>
            <w:r w:rsidRPr="00524DAA">
              <w:rPr>
                <w:lang w:val="cs-CZ"/>
              </w:rPr>
              <w:t xml:space="preserve">vytvoření systému informací o dostupných službách a formách podpory pro rodiny s dětmi se </w:t>
            </w:r>
            <w:r w:rsidR="00626F7B" w:rsidRPr="00524DAA">
              <w:rPr>
                <w:lang w:val="cs-CZ"/>
              </w:rPr>
              <w:t>ZP</w:t>
            </w:r>
            <w:r w:rsidRPr="00524DAA">
              <w:rPr>
                <w:lang w:val="cs-CZ"/>
              </w:rPr>
              <w:t>;</w:t>
            </w:r>
          </w:p>
          <w:p w:rsidR="00E27D84" w:rsidRPr="00524DAA" w:rsidRDefault="00E27D84" w:rsidP="0087275C">
            <w:pPr>
              <w:pStyle w:val="Odstavecseseznamem"/>
              <w:numPr>
                <w:ilvl w:val="0"/>
                <w:numId w:val="5"/>
              </w:numPr>
              <w:spacing w:after="0" w:line="240" w:lineRule="auto"/>
              <w:ind w:left="326" w:hanging="284"/>
              <w:jc w:val="both"/>
              <w:rPr>
                <w:lang w:val="cs-CZ"/>
              </w:rPr>
            </w:pPr>
            <w:r w:rsidRPr="00524DAA">
              <w:rPr>
                <w:lang w:val="cs-CZ"/>
              </w:rPr>
              <w:t xml:space="preserve">definování a vytvoření sítě terénních a ambulantních sociálně-zdravotních služeb zajišťujících dětem se </w:t>
            </w:r>
            <w:r w:rsidR="00626F7B" w:rsidRPr="00524DAA">
              <w:rPr>
                <w:lang w:val="cs-CZ"/>
              </w:rPr>
              <w:t xml:space="preserve">ZP </w:t>
            </w:r>
            <w:r w:rsidR="0092607B">
              <w:rPr>
                <w:lang w:val="cs-CZ"/>
              </w:rPr>
              <w:t>péči v rodinném</w:t>
            </w:r>
            <w:r w:rsidR="0092607B">
              <w:rPr>
                <w:lang w:val="cs-CZ"/>
              </w:rPr>
              <w:br/>
            </w:r>
            <w:r w:rsidRPr="00524DAA">
              <w:rPr>
                <w:lang w:val="cs-CZ"/>
              </w:rPr>
              <w:t>a náhradním rodinném prostředí;</w:t>
            </w:r>
          </w:p>
          <w:p w:rsidR="00E27D84" w:rsidRPr="00524DAA" w:rsidRDefault="00E27D84" w:rsidP="0087275C">
            <w:pPr>
              <w:pStyle w:val="Odstavecseseznamem"/>
              <w:numPr>
                <w:ilvl w:val="0"/>
                <w:numId w:val="5"/>
              </w:numPr>
              <w:spacing w:after="0" w:line="240" w:lineRule="auto"/>
              <w:ind w:left="326" w:hanging="284"/>
              <w:jc w:val="both"/>
              <w:rPr>
                <w:lang w:val="cs-CZ"/>
              </w:rPr>
            </w:pPr>
            <w:r w:rsidRPr="00524DAA">
              <w:rPr>
                <w:lang w:val="cs-CZ"/>
              </w:rPr>
              <w:t>legislativní úpravu, na základě níž nesmí být dítě odděleno od rodinného prostředí z důvodu zdravotního postižení;</w:t>
            </w:r>
          </w:p>
          <w:p w:rsidR="00E27D84" w:rsidRPr="00524DAA" w:rsidRDefault="00E27D84" w:rsidP="0087275C">
            <w:pPr>
              <w:pStyle w:val="Odstavecseseznamem"/>
              <w:numPr>
                <w:ilvl w:val="0"/>
                <w:numId w:val="5"/>
              </w:numPr>
              <w:spacing w:after="0" w:line="240" w:lineRule="auto"/>
              <w:ind w:left="326" w:hanging="284"/>
              <w:jc w:val="both"/>
              <w:rPr>
                <w:lang w:val="cs-CZ" w:eastAsia="en-US"/>
              </w:rPr>
            </w:pPr>
            <w:r w:rsidRPr="00524DAA">
              <w:rPr>
                <w:lang w:val="cs-CZ"/>
              </w:rPr>
              <w:t xml:space="preserve">podpora náhradní rodinné péče pro případy, kdy rodiče či nejbližší příbuzní nejsou schopni pečovat o dítě se </w:t>
            </w:r>
            <w:r w:rsidR="00626F7B" w:rsidRPr="00524DAA">
              <w:rPr>
                <w:lang w:val="cs-CZ"/>
              </w:rPr>
              <w:t>ZP</w:t>
            </w:r>
            <w:r w:rsidRPr="00524DAA">
              <w:rPr>
                <w:lang w:val="cs-CZ"/>
              </w:rPr>
              <w:t>.</w:t>
            </w:r>
          </w:p>
        </w:tc>
      </w:tr>
      <w:tr w:rsidR="00E27D84" w:rsidRPr="00524DAA" w:rsidTr="00E27D84">
        <w:trPr>
          <w:trHeight w:val="1276"/>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D84" w:rsidRPr="00524DAA" w:rsidRDefault="00E27D84">
            <w:pPr>
              <w:spacing w:line="240" w:lineRule="auto"/>
              <w:jc w:val="both"/>
              <w:rPr>
                <w:b/>
                <w:sz w:val="22"/>
                <w:szCs w:val="22"/>
              </w:rPr>
            </w:pPr>
            <w:r w:rsidRPr="00524DAA">
              <w:rPr>
                <w:b/>
              </w:rPr>
              <w:t>Cíl 9</w:t>
            </w:r>
          </w:p>
        </w:tc>
        <w:tc>
          <w:tcPr>
            <w:tcW w:w="2268" w:type="dxa"/>
            <w:tcBorders>
              <w:top w:val="single" w:sz="4" w:space="0" w:color="auto"/>
              <w:left w:val="single" w:sz="4" w:space="0" w:color="auto"/>
              <w:bottom w:val="single" w:sz="4" w:space="0" w:color="auto"/>
              <w:right w:val="single" w:sz="4" w:space="0" w:color="auto"/>
            </w:tcBorders>
            <w:hideMark/>
          </w:tcPr>
          <w:p w:rsidR="00E27D84" w:rsidRPr="00524DAA" w:rsidRDefault="00E27D84">
            <w:pPr>
              <w:spacing w:line="240" w:lineRule="auto"/>
              <w:rPr>
                <w:sz w:val="22"/>
                <w:szCs w:val="22"/>
              </w:rPr>
            </w:pPr>
            <w:r w:rsidRPr="00524DAA">
              <w:t>Podpora náhradní rodinné péče</w:t>
            </w:r>
          </w:p>
        </w:tc>
        <w:tc>
          <w:tcPr>
            <w:tcW w:w="6090" w:type="dxa"/>
            <w:tcBorders>
              <w:top w:val="single" w:sz="4" w:space="0" w:color="auto"/>
              <w:left w:val="single" w:sz="4" w:space="0" w:color="auto"/>
              <w:bottom w:val="single" w:sz="4" w:space="0" w:color="auto"/>
              <w:right w:val="single" w:sz="4" w:space="0" w:color="auto"/>
            </w:tcBorders>
            <w:hideMark/>
          </w:tcPr>
          <w:p w:rsidR="00E27D84" w:rsidRPr="00524DAA" w:rsidRDefault="00E27D84" w:rsidP="0087275C">
            <w:pPr>
              <w:pStyle w:val="Odstavecseseznamem"/>
              <w:numPr>
                <w:ilvl w:val="0"/>
                <w:numId w:val="5"/>
              </w:numPr>
              <w:spacing w:after="0" w:line="240" w:lineRule="auto"/>
              <w:ind w:left="321"/>
              <w:jc w:val="both"/>
              <w:rPr>
                <w:rFonts w:cstheme="minorBidi"/>
                <w:lang w:val="cs-CZ"/>
              </w:rPr>
            </w:pPr>
            <w:r w:rsidRPr="00524DAA">
              <w:rPr>
                <w:lang w:val="cs-CZ"/>
              </w:rPr>
              <w:t>rozvoj a profesionalizace pěstounské péče;</w:t>
            </w:r>
          </w:p>
          <w:p w:rsidR="00E27D84" w:rsidRPr="00524DAA" w:rsidRDefault="00E27D84" w:rsidP="0087275C">
            <w:pPr>
              <w:pStyle w:val="Odstavecseseznamem"/>
              <w:numPr>
                <w:ilvl w:val="0"/>
                <w:numId w:val="5"/>
              </w:numPr>
              <w:spacing w:after="0" w:line="240" w:lineRule="auto"/>
              <w:ind w:left="321"/>
              <w:jc w:val="both"/>
              <w:rPr>
                <w:lang w:val="cs-CZ"/>
              </w:rPr>
            </w:pPr>
            <w:r w:rsidRPr="00524DAA">
              <w:rPr>
                <w:lang w:val="cs-CZ"/>
              </w:rPr>
              <w:t>zvýšení počtu zájemců o poskytování pěstounské péče;</w:t>
            </w:r>
          </w:p>
          <w:p w:rsidR="00E27D84" w:rsidRPr="00524DAA" w:rsidRDefault="00E27D84" w:rsidP="0087275C">
            <w:pPr>
              <w:pStyle w:val="Odstavecseseznamem"/>
              <w:numPr>
                <w:ilvl w:val="0"/>
                <w:numId w:val="5"/>
              </w:numPr>
              <w:spacing w:after="0" w:line="240" w:lineRule="auto"/>
              <w:ind w:left="321"/>
              <w:jc w:val="both"/>
              <w:rPr>
                <w:lang w:val="cs-CZ" w:eastAsia="en-US"/>
              </w:rPr>
            </w:pPr>
            <w:r w:rsidRPr="00524DAA">
              <w:rPr>
                <w:lang w:val="cs-CZ"/>
              </w:rPr>
              <w:t>odborná příprava a podpora pěstounů na péči o děti se specifickými potřebami, které mohou vyplývat i ze zdravotního postižení.</w:t>
            </w:r>
          </w:p>
        </w:tc>
      </w:tr>
      <w:tr w:rsidR="00E27D84" w:rsidRPr="00524DAA" w:rsidTr="00E27D84">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27D84" w:rsidRPr="00524DAA" w:rsidRDefault="00E27D84">
            <w:pPr>
              <w:spacing w:line="240" w:lineRule="auto"/>
              <w:jc w:val="both"/>
              <w:rPr>
                <w:b/>
                <w:sz w:val="22"/>
                <w:szCs w:val="22"/>
              </w:rPr>
            </w:pPr>
            <w:r w:rsidRPr="00524DAA">
              <w:rPr>
                <w:b/>
              </w:rPr>
              <w:t>Cíl 10</w:t>
            </w:r>
          </w:p>
        </w:tc>
        <w:tc>
          <w:tcPr>
            <w:tcW w:w="2268" w:type="dxa"/>
            <w:tcBorders>
              <w:top w:val="single" w:sz="4" w:space="0" w:color="auto"/>
              <w:left w:val="single" w:sz="4" w:space="0" w:color="auto"/>
              <w:bottom w:val="single" w:sz="4" w:space="0" w:color="auto"/>
              <w:right w:val="single" w:sz="4" w:space="0" w:color="auto"/>
            </w:tcBorders>
            <w:hideMark/>
          </w:tcPr>
          <w:p w:rsidR="00E27D84" w:rsidRPr="00524DAA" w:rsidRDefault="00E27D84">
            <w:pPr>
              <w:spacing w:line="240" w:lineRule="auto"/>
              <w:rPr>
                <w:sz w:val="22"/>
                <w:szCs w:val="22"/>
              </w:rPr>
            </w:pPr>
            <w:r w:rsidRPr="00524DAA">
              <w:t>Rozvinutí alternativ péče o ohrožené děti</w:t>
            </w:r>
            <w:r w:rsidRPr="00524DAA">
              <w:br/>
              <w:t>a deinstitucionalizace péče</w:t>
            </w:r>
          </w:p>
        </w:tc>
        <w:tc>
          <w:tcPr>
            <w:tcW w:w="6090" w:type="dxa"/>
            <w:tcBorders>
              <w:top w:val="single" w:sz="4" w:space="0" w:color="auto"/>
              <w:left w:val="single" w:sz="4" w:space="0" w:color="auto"/>
              <w:bottom w:val="single" w:sz="4" w:space="0" w:color="auto"/>
              <w:right w:val="single" w:sz="4" w:space="0" w:color="auto"/>
            </w:tcBorders>
            <w:hideMark/>
          </w:tcPr>
          <w:p w:rsidR="00E27D84" w:rsidRPr="00524DAA" w:rsidRDefault="00E27D84" w:rsidP="0087275C">
            <w:pPr>
              <w:pStyle w:val="Odstavecseseznamem"/>
              <w:numPr>
                <w:ilvl w:val="0"/>
                <w:numId w:val="5"/>
              </w:numPr>
              <w:spacing w:after="0" w:line="240" w:lineRule="auto"/>
              <w:ind w:left="321"/>
              <w:jc w:val="both"/>
              <w:rPr>
                <w:rFonts w:cstheme="minorBidi"/>
                <w:lang w:val="cs-CZ"/>
              </w:rPr>
            </w:pPr>
            <w:r w:rsidRPr="00524DAA">
              <w:rPr>
                <w:lang w:val="cs-CZ"/>
              </w:rPr>
              <w:t>systém podpory rodin a sítě terénních, ambulantních</w:t>
            </w:r>
            <w:r w:rsidRPr="00524DAA">
              <w:rPr>
                <w:lang w:val="cs-CZ"/>
              </w:rPr>
              <w:br/>
              <w:t>a respitních služeb umožňujících v maximální míře zajistit péči</w:t>
            </w:r>
            <w:r w:rsidRPr="00524DAA">
              <w:rPr>
                <w:lang w:val="cs-CZ"/>
              </w:rPr>
              <w:br/>
              <w:t>o děti v rodinném nebo náhradním rodinném prostředí;</w:t>
            </w:r>
          </w:p>
          <w:p w:rsidR="00E27D84" w:rsidRPr="00524DAA" w:rsidRDefault="00E27D84" w:rsidP="0087275C">
            <w:pPr>
              <w:pStyle w:val="Odstavecseseznamem"/>
              <w:numPr>
                <w:ilvl w:val="0"/>
                <w:numId w:val="5"/>
              </w:numPr>
              <w:spacing w:after="0" w:line="240" w:lineRule="auto"/>
              <w:ind w:left="321"/>
              <w:jc w:val="both"/>
              <w:rPr>
                <w:lang w:val="cs-CZ"/>
              </w:rPr>
            </w:pPr>
            <w:r w:rsidRPr="00524DAA">
              <w:rPr>
                <w:lang w:val="cs-CZ"/>
              </w:rPr>
              <w:t xml:space="preserve"> transformace stávajících zařízení ústavní péče na poskytovatele terénních, ambulantních a respitních a dalších služeb na základě transformačních plánů zpracovaných jednotlivými zařízeními ve spolupráci s relevantními subjekty; </w:t>
            </w:r>
          </w:p>
          <w:p w:rsidR="00E27D84" w:rsidRPr="00524DAA" w:rsidRDefault="00E27D84" w:rsidP="0087275C">
            <w:pPr>
              <w:pStyle w:val="Odstavecseseznamem"/>
              <w:numPr>
                <w:ilvl w:val="0"/>
                <w:numId w:val="5"/>
              </w:numPr>
              <w:spacing w:after="0" w:line="240" w:lineRule="auto"/>
              <w:ind w:left="321"/>
              <w:jc w:val="both"/>
              <w:rPr>
                <w:lang w:val="cs-CZ" w:eastAsia="en-US"/>
              </w:rPr>
            </w:pPr>
            <w:r w:rsidRPr="00524DAA">
              <w:rPr>
                <w:lang w:val="cs-CZ"/>
              </w:rPr>
              <w:t xml:space="preserve">legislativní ukotvení věkové hranice, před jejímž dosažením nelze děti umísťovat do ústavní péče. </w:t>
            </w:r>
          </w:p>
        </w:tc>
      </w:tr>
    </w:tbl>
    <w:p w:rsidR="00BD6AE4" w:rsidRPr="00524DAA" w:rsidRDefault="00BD6AE4" w:rsidP="001D4EF8">
      <w:pPr>
        <w:pStyle w:val="SingleTxtG"/>
      </w:pPr>
    </w:p>
    <w:p w:rsidR="00856F49" w:rsidRPr="00524DAA" w:rsidRDefault="00BC0975" w:rsidP="00807233">
      <w:pPr>
        <w:pStyle w:val="SingleTxtG"/>
      </w:pPr>
      <w:r>
        <w:t>1</w:t>
      </w:r>
      <w:r w:rsidR="0060129D">
        <w:t>8</w:t>
      </w:r>
      <w:r w:rsidR="00E6385E">
        <w:t>8</w:t>
      </w:r>
      <w:r>
        <w:t>.</w:t>
      </w:r>
      <w:r w:rsidR="00807233" w:rsidRPr="00524DAA">
        <w:tab/>
        <w:t xml:space="preserve">K omezování počtu dětí umístěných do pobytových zařízení přispěly změny právní úpravy vztahující se k rozhodování soudu a postupů OSPOD, které v ČR zajišťují veřejnoprávní ochranu dětí </w:t>
      </w:r>
      <w:r w:rsidR="00444590" w:rsidRPr="00524DAA">
        <w:t xml:space="preserve">a </w:t>
      </w:r>
      <w:r w:rsidR="00807233" w:rsidRPr="00524DAA">
        <w:t xml:space="preserve">k umisťování dětí do péče v pobytových zařízeních, vč. dětí se ZP. </w:t>
      </w:r>
      <w:r w:rsidR="00444590" w:rsidRPr="00524DAA">
        <w:t>Jde o občanský zákoník</w:t>
      </w:r>
      <w:r w:rsidR="00F31E85" w:rsidRPr="00524DAA">
        <w:t xml:space="preserve"> </w:t>
      </w:r>
      <w:r w:rsidR="00444590" w:rsidRPr="00524DAA">
        <w:t xml:space="preserve">a zákon </w:t>
      </w:r>
      <w:r w:rsidR="00896620">
        <w:t>o SPOD.</w:t>
      </w:r>
      <w:r w:rsidR="00444590" w:rsidRPr="00524DAA">
        <w:t xml:space="preserve"> </w:t>
      </w:r>
      <w:r w:rsidR="00807233" w:rsidRPr="00524DAA">
        <w:t>Při nařízení ústavní výchovy je soud povinen zvážit, zda není na místě dát přednost svěření dítěte do péče fyzické osoby. Ústavní výchovu lze nařídit nejdéle na dobu tří let s možností prodloužení. Nejméně jednou za šest měsíců je soud povinen přezkoumat, zda trvají důvody pro nařízení ústavní výchovy a zda není možné zajistit dítěti NRP. Důvodem pro podání návrhu na přijetí opatření zasahujících do rodičovské odpovědnosti k dítěti nesmí být majetková a bytová nouze rodiny. Občanský zákoník rovněž zak</w:t>
      </w:r>
      <w:r w:rsidR="00856F49" w:rsidRPr="00524DAA">
        <w:t xml:space="preserve">azuje </w:t>
      </w:r>
      <w:r w:rsidR="00807233" w:rsidRPr="00524DAA">
        <w:t xml:space="preserve">nařizovat </w:t>
      </w:r>
      <w:r w:rsidR="00726EC2">
        <w:t>ústavní výchovu z těchto důvodů</w:t>
      </w:r>
      <w:r w:rsidR="00726EC2" w:rsidRPr="00726EC2">
        <w:t>, a to v souladu s</w:t>
      </w:r>
      <w:r w:rsidR="004C3245">
        <w:t> </w:t>
      </w:r>
      <w:r w:rsidR="00726EC2" w:rsidRPr="00726EC2">
        <w:t>rozsudkem Evropského soudu pro lidská práva ve věci Wallová a Walla proti České republice (č. 23848/04, rozsudek ze dne 26.</w:t>
      </w:r>
      <w:r w:rsidR="00726EC2">
        <w:t> </w:t>
      </w:r>
      <w:r w:rsidR="00726EC2" w:rsidRPr="00726EC2">
        <w:t>října</w:t>
      </w:r>
      <w:r w:rsidR="00726EC2">
        <w:t> </w:t>
      </w:r>
      <w:r w:rsidR="00726EC2" w:rsidRPr="00726EC2">
        <w:t>2006)</w:t>
      </w:r>
      <w:r w:rsidR="00726EC2">
        <w:t>.</w:t>
      </w:r>
    </w:p>
    <w:p w:rsidR="00807233" w:rsidRPr="00524DAA" w:rsidRDefault="008765DC" w:rsidP="00AA5B3F">
      <w:pPr>
        <w:pStyle w:val="SingleTxtG"/>
      </w:pPr>
      <w:r>
        <w:t>1</w:t>
      </w:r>
      <w:r w:rsidR="0060129D">
        <w:t>8</w:t>
      </w:r>
      <w:r w:rsidR="00E6385E">
        <w:t>9</w:t>
      </w:r>
      <w:r>
        <w:t>.</w:t>
      </w:r>
      <w:r w:rsidR="00856F49" w:rsidRPr="00524DAA">
        <w:tab/>
      </w:r>
      <w:r w:rsidR="00807233" w:rsidRPr="00524DAA">
        <w:t xml:space="preserve">U dětí se </w:t>
      </w:r>
      <w:r w:rsidR="00856F49" w:rsidRPr="00524DAA">
        <w:t xml:space="preserve">ZP </w:t>
      </w:r>
      <w:r w:rsidR="00807233" w:rsidRPr="00524DAA">
        <w:t>zůstává problematickým fakt, že lze dětí umístit</w:t>
      </w:r>
      <w:r w:rsidR="00C65007" w:rsidRPr="00524DAA">
        <w:t xml:space="preserve"> </w:t>
      </w:r>
      <w:r w:rsidR="00807233" w:rsidRPr="00524DAA">
        <w:t xml:space="preserve">do dětských domovů pro děti do 3 let a do domovů pro osoby se </w:t>
      </w:r>
      <w:r w:rsidR="00F1409F">
        <w:t xml:space="preserve">ZP </w:t>
      </w:r>
      <w:r w:rsidR="00807233" w:rsidRPr="00524DAA">
        <w:t>také na základě dohody uzavřené mezi zákonnými zástupci a poskytovatelem institucionální péče, a to na časově neomezenou dobu, aniž by o umístění dítěte rozhodoval soud. Tento poskytovatel má však povinnost oznámit OSPOD děti, které jsou na základě žádosti rodičů nebo jiných odpovědných osob za výchovu dítěte, opakovaně umisťovány do zařízení zajišťující</w:t>
      </w:r>
      <w:r w:rsidR="00856F49" w:rsidRPr="00524DAA">
        <w:t>ho</w:t>
      </w:r>
      <w:r w:rsidR="00807233" w:rsidRPr="00524DAA">
        <w:t xml:space="preserve"> nepřetržitou péči o děti nebo pokud jejich umístění trvá dobu delší než je 6 měsíců. Na základě tohoto oznámení jsou pak OSPOD povinny se situací dítěte zabývat a hledat pro něj nejvhodnější řešení situace. Při výkonu a realizaci opatření na ochranu dítěte jsou pracovníci OSPOD ze zákona povinni poskytnout rodičům či jiným osobám odpovědným za výchovu pomoc, která umožní setrvání dítěte doma v péči vlastních rodičů. Za účelem podpory rodiny byly zavedeny do oblasti veřejnoprávní ochrany dětí nástroje sociální práce s rodinou (vyhodnocení situace dítěte a jeho rodiny, individuálním plán ochrany dítěte a případové konference jako nástroj multidisciplinární spolupráce při řešení případu ohroženého dítěte). Pracovníci zajišťující SPOD plní funkci koordinátorů případů, kteří odpovídají za průběh poskytování veřejnoprávní ochrany dítěti a propojují rodinu s potřebnými specializovanými službami, které jsou nezbytné k tomu, aby mohlo dítě zůstat v přirozeném prostředí domova (např. s poskytovateli zdravotních, sociálních, vzdělávacích či terapeutických služeb). Obecně se </w:t>
      </w:r>
      <w:r w:rsidR="00807233" w:rsidRPr="00524DAA">
        <w:lastRenderedPageBreak/>
        <w:t xml:space="preserve">musí při práci s dítětem a jeho rodinou držet zásady, na </w:t>
      </w:r>
      <w:proofErr w:type="gramStart"/>
      <w:r w:rsidR="00807233" w:rsidRPr="00524DAA">
        <w:t>základě</w:t>
      </w:r>
      <w:proofErr w:type="gramEnd"/>
      <w:r w:rsidR="00807233" w:rsidRPr="00524DAA">
        <w:t xml:space="preserve"> níž mají přednost ta opatření SPOD, která zabezpečí příznivý vývoj dítěte v jeho rodinném prostředí a není-li to možné, tak v náhradním rodinném pro</w:t>
      </w:r>
      <w:r w:rsidR="0092607B">
        <w:t>středí (v případě, že se rodiče</w:t>
      </w:r>
      <w:r w:rsidR="0092607B">
        <w:br/>
      </w:r>
      <w:r w:rsidR="00807233" w:rsidRPr="00524DAA">
        <w:t>z objektivních důvodů nemohou o dítě postarat, či by byla péče pro dítě v rodině pro něj nepřiměřeně ohrožující). Institucionální péče o dítě v pobytovém zařízení by měla být krajní možn</w:t>
      </w:r>
      <w:r w:rsidR="001A2FAE" w:rsidRPr="00524DAA">
        <w:t>ostí řešení situace dítěte.</w:t>
      </w:r>
    </w:p>
    <w:p w:rsidR="00BD6AE4" w:rsidRDefault="0060129D" w:rsidP="001D4EF8">
      <w:pPr>
        <w:pStyle w:val="SingleTxtG"/>
      </w:pPr>
      <w:r>
        <w:t>19</w:t>
      </w:r>
      <w:r w:rsidR="006271DA">
        <w:t>0</w:t>
      </w:r>
      <w:r w:rsidR="00940093">
        <w:t>.</w:t>
      </w:r>
      <w:r w:rsidR="00940093">
        <w:tab/>
        <w:t xml:space="preserve">Pro dokreslení celkové situace v oblasti poskytování sociálních služeb je níže uveden přehled </w:t>
      </w:r>
      <w:r w:rsidR="006A34B4">
        <w:t>p</w:t>
      </w:r>
      <w:r w:rsidR="006A34B4" w:rsidRPr="006A34B4">
        <w:t>očt</w:t>
      </w:r>
      <w:r w:rsidR="006A34B4">
        <w:t>u</w:t>
      </w:r>
      <w:r w:rsidR="006A34B4" w:rsidRPr="006A34B4">
        <w:t xml:space="preserve"> uživatelů (klientů) pobytových sociálních služeb </w:t>
      </w:r>
      <w:r w:rsidR="006A34B4">
        <w:t>za období let 2013</w:t>
      </w:r>
      <w:r w:rsidR="004C3245">
        <w:t xml:space="preserve"> </w:t>
      </w:r>
      <w:r w:rsidR="006A34B4">
        <w:t xml:space="preserve">až 2019, a to vždy </w:t>
      </w:r>
      <w:r w:rsidR="006A34B4" w:rsidRPr="006A34B4">
        <w:t xml:space="preserve">k 31. </w:t>
      </w:r>
      <w:r w:rsidR="006A34B4">
        <w:t xml:space="preserve">prosinci daného </w:t>
      </w:r>
      <w:r w:rsidR="006A34B4" w:rsidRPr="006A34B4">
        <w:t>roku</w:t>
      </w:r>
      <w:r w:rsidR="00940093">
        <w:t>:</w:t>
      </w:r>
    </w:p>
    <w:p w:rsidR="00940093" w:rsidRDefault="00940093" w:rsidP="001D4EF8">
      <w:pPr>
        <w:pStyle w:val="SingleTxtG"/>
      </w:pPr>
    </w:p>
    <w:tbl>
      <w:tblPr>
        <w:tblStyle w:val="Svtlmkatabulky"/>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834"/>
        <w:gridCol w:w="834"/>
        <w:gridCol w:w="834"/>
        <w:gridCol w:w="834"/>
        <w:gridCol w:w="834"/>
        <w:gridCol w:w="834"/>
        <w:gridCol w:w="832"/>
      </w:tblGrid>
      <w:tr w:rsidR="007E191B" w:rsidTr="00E53066">
        <w:trPr>
          <w:trHeight w:val="540"/>
        </w:trPr>
        <w:tc>
          <w:tcPr>
            <w:tcW w:w="1970" w:type="pct"/>
            <w:vMerge w:val="restart"/>
            <w:shd w:val="clear" w:color="auto" w:fill="A6A6A6" w:themeFill="background1" w:themeFillShade="A6"/>
            <w:hideMark/>
          </w:tcPr>
          <w:p w:rsidR="007E191B" w:rsidRPr="00E53066" w:rsidRDefault="007E191B">
            <w:pPr>
              <w:rPr>
                <w:rFonts w:eastAsia="Calibri"/>
                <w:b/>
                <w:bCs/>
              </w:rPr>
            </w:pPr>
            <w:r w:rsidRPr="00E53066">
              <w:rPr>
                <w:b/>
                <w:bCs/>
                <w:color w:val="000000"/>
              </w:rPr>
              <w:t>Sociální služba</w:t>
            </w:r>
          </w:p>
        </w:tc>
        <w:tc>
          <w:tcPr>
            <w:tcW w:w="3030" w:type="pct"/>
            <w:gridSpan w:val="7"/>
            <w:shd w:val="clear" w:color="auto" w:fill="A6A6A6" w:themeFill="background1" w:themeFillShade="A6"/>
            <w:hideMark/>
          </w:tcPr>
          <w:p w:rsidR="007E191B" w:rsidRPr="00E53066" w:rsidRDefault="007E191B">
            <w:pPr>
              <w:jc w:val="center"/>
              <w:rPr>
                <w:rFonts w:eastAsia="Calibri"/>
                <w:b/>
                <w:bCs/>
              </w:rPr>
            </w:pPr>
            <w:r w:rsidRPr="00E53066">
              <w:rPr>
                <w:b/>
                <w:bCs/>
                <w:color w:val="000000"/>
              </w:rPr>
              <w:t>Rok</w:t>
            </w:r>
          </w:p>
        </w:tc>
      </w:tr>
      <w:tr w:rsidR="007E191B" w:rsidTr="00E53066">
        <w:trPr>
          <w:trHeight w:val="397"/>
        </w:trPr>
        <w:tc>
          <w:tcPr>
            <w:tcW w:w="0" w:type="auto"/>
            <w:vMerge/>
            <w:shd w:val="clear" w:color="auto" w:fill="A6A6A6" w:themeFill="background1" w:themeFillShade="A6"/>
            <w:hideMark/>
          </w:tcPr>
          <w:p w:rsidR="007E191B" w:rsidRDefault="007E191B">
            <w:pPr>
              <w:suppressAutoHyphens w:val="0"/>
              <w:spacing w:line="240" w:lineRule="auto"/>
              <w:rPr>
                <w:rFonts w:eastAsia="Calibri"/>
              </w:rPr>
            </w:pPr>
          </w:p>
        </w:tc>
        <w:tc>
          <w:tcPr>
            <w:tcW w:w="433" w:type="pct"/>
            <w:shd w:val="clear" w:color="auto" w:fill="A6A6A6" w:themeFill="background1" w:themeFillShade="A6"/>
            <w:hideMark/>
          </w:tcPr>
          <w:p w:rsidR="007E191B" w:rsidRDefault="007E191B">
            <w:pPr>
              <w:jc w:val="center"/>
              <w:rPr>
                <w:b/>
                <w:bCs/>
                <w:color w:val="000000"/>
              </w:rPr>
            </w:pPr>
            <w:r>
              <w:rPr>
                <w:b/>
                <w:bCs/>
                <w:color w:val="000000"/>
              </w:rPr>
              <w:t>2013</w:t>
            </w:r>
          </w:p>
        </w:tc>
        <w:tc>
          <w:tcPr>
            <w:tcW w:w="433" w:type="pct"/>
            <w:shd w:val="clear" w:color="auto" w:fill="A6A6A6" w:themeFill="background1" w:themeFillShade="A6"/>
            <w:hideMark/>
          </w:tcPr>
          <w:p w:rsidR="007E191B" w:rsidRDefault="007E191B">
            <w:pPr>
              <w:jc w:val="center"/>
              <w:rPr>
                <w:b/>
                <w:bCs/>
                <w:color w:val="000000"/>
              </w:rPr>
            </w:pPr>
            <w:r>
              <w:rPr>
                <w:b/>
                <w:bCs/>
                <w:color w:val="000000"/>
              </w:rPr>
              <w:t>2014</w:t>
            </w:r>
          </w:p>
        </w:tc>
        <w:tc>
          <w:tcPr>
            <w:tcW w:w="433" w:type="pct"/>
            <w:shd w:val="clear" w:color="auto" w:fill="A6A6A6" w:themeFill="background1" w:themeFillShade="A6"/>
            <w:hideMark/>
          </w:tcPr>
          <w:p w:rsidR="007E191B" w:rsidRDefault="007E191B">
            <w:pPr>
              <w:jc w:val="center"/>
              <w:rPr>
                <w:b/>
                <w:bCs/>
                <w:color w:val="000000"/>
              </w:rPr>
            </w:pPr>
            <w:r>
              <w:rPr>
                <w:b/>
                <w:bCs/>
                <w:color w:val="000000"/>
              </w:rPr>
              <w:t>2015</w:t>
            </w:r>
          </w:p>
        </w:tc>
        <w:tc>
          <w:tcPr>
            <w:tcW w:w="433" w:type="pct"/>
            <w:shd w:val="clear" w:color="auto" w:fill="A6A6A6" w:themeFill="background1" w:themeFillShade="A6"/>
            <w:hideMark/>
          </w:tcPr>
          <w:p w:rsidR="007E191B" w:rsidRDefault="007E191B">
            <w:pPr>
              <w:jc w:val="center"/>
              <w:rPr>
                <w:b/>
                <w:bCs/>
                <w:color w:val="000000"/>
              </w:rPr>
            </w:pPr>
            <w:r>
              <w:rPr>
                <w:b/>
                <w:bCs/>
                <w:color w:val="000000"/>
              </w:rPr>
              <w:t>2016</w:t>
            </w:r>
          </w:p>
        </w:tc>
        <w:tc>
          <w:tcPr>
            <w:tcW w:w="433" w:type="pct"/>
            <w:shd w:val="clear" w:color="auto" w:fill="A6A6A6" w:themeFill="background1" w:themeFillShade="A6"/>
            <w:hideMark/>
          </w:tcPr>
          <w:p w:rsidR="007E191B" w:rsidRDefault="007E191B">
            <w:pPr>
              <w:jc w:val="center"/>
              <w:rPr>
                <w:b/>
                <w:bCs/>
                <w:color w:val="000000"/>
              </w:rPr>
            </w:pPr>
            <w:r>
              <w:rPr>
                <w:b/>
                <w:bCs/>
                <w:color w:val="000000"/>
              </w:rPr>
              <w:t>2017</w:t>
            </w:r>
          </w:p>
        </w:tc>
        <w:tc>
          <w:tcPr>
            <w:tcW w:w="433" w:type="pct"/>
            <w:shd w:val="clear" w:color="auto" w:fill="A6A6A6" w:themeFill="background1" w:themeFillShade="A6"/>
            <w:hideMark/>
          </w:tcPr>
          <w:p w:rsidR="007E191B" w:rsidRDefault="007E191B">
            <w:pPr>
              <w:jc w:val="center"/>
              <w:rPr>
                <w:b/>
                <w:bCs/>
                <w:color w:val="000000"/>
              </w:rPr>
            </w:pPr>
            <w:r>
              <w:rPr>
                <w:b/>
                <w:bCs/>
                <w:color w:val="000000"/>
              </w:rPr>
              <w:t>2018</w:t>
            </w:r>
          </w:p>
        </w:tc>
        <w:tc>
          <w:tcPr>
            <w:tcW w:w="433" w:type="pct"/>
            <w:shd w:val="clear" w:color="auto" w:fill="A6A6A6" w:themeFill="background1" w:themeFillShade="A6"/>
            <w:hideMark/>
          </w:tcPr>
          <w:p w:rsidR="007E191B" w:rsidRDefault="007E191B">
            <w:pPr>
              <w:jc w:val="center"/>
              <w:rPr>
                <w:b/>
                <w:bCs/>
                <w:color w:val="000000"/>
              </w:rPr>
            </w:pPr>
            <w:r>
              <w:rPr>
                <w:b/>
                <w:bCs/>
                <w:color w:val="000000"/>
              </w:rPr>
              <w:t>2019</w:t>
            </w:r>
          </w:p>
        </w:tc>
      </w:tr>
      <w:tr w:rsidR="007E191B" w:rsidTr="00E53066">
        <w:trPr>
          <w:trHeight w:val="540"/>
        </w:trPr>
        <w:tc>
          <w:tcPr>
            <w:tcW w:w="1970" w:type="pct"/>
            <w:noWrap/>
            <w:hideMark/>
          </w:tcPr>
          <w:p w:rsidR="007E191B" w:rsidRDefault="007E191B">
            <w:pPr>
              <w:suppressAutoHyphens w:val="0"/>
              <w:spacing w:after="200" w:line="276" w:lineRule="auto"/>
              <w:rPr>
                <w:rFonts w:eastAsia="Calibri"/>
              </w:rPr>
            </w:pPr>
            <w:r>
              <w:rPr>
                <w:rFonts w:eastAsia="Calibri"/>
              </w:rPr>
              <w:t>Týdenní stacionáře</w:t>
            </w:r>
          </w:p>
        </w:tc>
        <w:tc>
          <w:tcPr>
            <w:tcW w:w="433" w:type="pct"/>
            <w:noWrap/>
            <w:hideMark/>
          </w:tcPr>
          <w:p w:rsidR="007E191B" w:rsidRDefault="007E191B">
            <w:pPr>
              <w:suppressAutoHyphens w:val="0"/>
              <w:spacing w:after="200" w:line="276" w:lineRule="auto"/>
              <w:rPr>
                <w:rFonts w:eastAsia="Calibri"/>
              </w:rPr>
            </w:pPr>
            <w:r>
              <w:rPr>
                <w:rFonts w:eastAsia="Calibri"/>
              </w:rPr>
              <w:t>773</w:t>
            </w:r>
          </w:p>
        </w:tc>
        <w:tc>
          <w:tcPr>
            <w:tcW w:w="433" w:type="pct"/>
            <w:noWrap/>
            <w:hideMark/>
          </w:tcPr>
          <w:p w:rsidR="007E191B" w:rsidRDefault="007E191B">
            <w:pPr>
              <w:suppressAutoHyphens w:val="0"/>
              <w:spacing w:after="200" w:line="276" w:lineRule="auto"/>
              <w:rPr>
                <w:rFonts w:eastAsia="Calibri"/>
              </w:rPr>
            </w:pPr>
            <w:r>
              <w:rPr>
                <w:rFonts w:eastAsia="Calibri"/>
              </w:rPr>
              <w:t>750</w:t>
            </w:r>
          </w:p>
        </w:tc>
        <w:tc>
          <w:tcPr>
            <w:tcW w:w="433" w:type="pct"/>
            <w:noWrap/>
            <w:hideMark/>
          </w:tcPr>
          <w:p w:rsidR="007E191B" w:rsidRDefault="007E191B">
            <w:pPr>
              <w:suppressAutoHyphens w:val="0"/>
              <w:spacing w:after="200" w:line="276" w:lineRule="auto"/>
              <w:rPr>
                <w:rFonts w:eastAsia="Calibri"/>
              </w:rPr>
            </w:pPr>
            <w:r>
              <w:rPr>
                <w:rFonts w:eastAsia="Calibri"/>
              </w:rPr>
              <w:t>735</w:t>
            </w:r>
          </w:p>
        </w:tc>
        <w:tc>
          <w:tcPr>
            <w:tcW w:w="433" w:type="pct"/>
            <w:noWrap/>
            <w:hideMark/>
          </w:tcPr>
          <w:p w:rsidR="007E191B" w:rsidRDefault="007E191B">
            <w:pPr>
              <w:suppressAutoHyphens w:val="0"/>
              <w:spacing w:after="200" w:line="276" w:lineRule="auto"/>
              <w:rPr>
                <w:rFonts w:eastAsia="Calibri"/>
              </w:rPr>
            </w:pPr>
            <w:r>
              <w:rPr>
                <w:rFonts w:eastAsia="Calibri"/>
              </w:rPr>
              <w:t>692</w:t>
            </w:r>
          </w:p>
        </w:tc>
        <w:tc>
          <w:tcPr>
            <w:tcW w:w="433" w:type="pct"/>
            <w:noWrap/>
            <w:hideMark/>
          </w:tcPr>
          <w:p w:rsidR="007E191B" w:rsidRDefault="007E191B">
            <w:pPr>
              <w:suppressAutoHyphens w:val="0"/>
              <w:spacing w:after="200" w:line="276" w:lineRule="auto"/>
              <w:rPr>
                <w:rFonts w:eastAsia="Calibri"/>
              </w:rPr>
            </w:pPr>
            <w:r>
              <w:rPr>
                <w:rFonts w:eastAsia="Calibri"/>
              </w:rPr>
              <w:t>770</w:t>
            </w:r>
          </w:p>
        </w:tc>
        <w:tc>
          <w:tcPr>
            <w:tcW w:w="433" w:type="pct"/>
            <w:noWrap/>
            <w:hideMark/>
          </w:tcPr>
          <w:p w:rsidR="007E191B" w:rsidRDefault="007E191B">
            <w:pPr>
              <w:suppressAutoHyphens w:val="0"/>
              <w:spacing w:after="200" w:line="276" w:lineRule="auto"/>
              <w:rPr>
                <w:rFonts w:eastAsia="Calibri"/>
              </w:rPr>
            </w:pPr>
            <w:r>
              <w:rPr>
                <w:rFonts w:eastAsia="Calibri"/>
              </w:rPr>
              <w:t>731</w:t>
            </w:r>
          </w:p>
        </w:tc>
        <w:tc>
          <w:tcPr>
            <w:tcW w:w="433" w:type="pct"/>
            <w:noWrap/>
            <w:hideMark/>
          </w:tcPr>
          <w:p w:rsidR="007E191B" w:rsidRDefault="007E191B">
            <w:pPr>
              <w:suppressAutoHyphens w:val="0"/>
              <w:spacing w:after="200" w:line="276" w:lineRule="auto"/>
              <w:rPr>
                <w:rFonts w:eastAsia="Calibri"/>
              </w:rPr>
            </w:pPr>
            <w:r>
              <w:rPr>
                <w:rFonts w:eastAsia="Calibri"/>
              </w:rPr>
              <w:t>718</w:t>
            </w:r>
          </w:p>
        </w:tc>
      </w:tr>
      <w:tr w:rsidR="007E191B" w:rsidTr="00E53066">
        <w:trPr>
          <w:trHeight w:val="540"/>
        </w:trPr>
        <w:tc>
          <w:tcPr>
            <w:tcW w:w="1970" w:type="pct"/>
            <w:noWrap/>
            <w:hideMark/>
          </w:tcPr>
          <w:p w:rsidR="007E191B" w:rsidRDefault="007E191B" w:rsidP="007E191B">
            <w:pPr>
              <w:suppressAutoHyphens w:val="0"/>
              <w:spacing w:after="200" w:line="276" w:lineRule="auto"/>
              <w:rPr>
                <w:rFonts w:eastAsia="Calibri"/>
              </w:rPr>
            </w:pPr>
            <w:r>
              <w:rPr>
                <w:rFonts w:eastAsia="Calibri"/>
              </w:rPr>
              <w:t>Domovy pro osoby se ZP</w:t>
            </w:r>
          </w:p>
        </w:tc>
        <w:tc>
          <w:tcPr>
            <w:tcW w:w="433" w:type="pct"/>
            <w:noWrap/>
            <w:hideMark/>
          </w:tcPr>
          <w:p w:rsidR="007E191B" w:rsidRDefault="007E191B">
            <w:pPr>
              <w:suppressAutoHyphens w:val="0"/>
              <w:spacing w:after="200" w:line="276" w:lineRule="auto"/>
              <w:rPr>
                <w:rFonts w:eastAsia="Calibri"/>
              </w:rPr>
            </w:pPr>
            <w:r>
              <w:rPr>
                <w:rFonts w:eastAsia="Calibri"/>
              </w:rPr>
              <w:t>12 956</w:t>
            </w:r>
          </w:p>
        </w:tc>
        <w:tc>
          <w:tcPr>
            <w:tcW w:w="433" w:type="pct"/>
            <w:noWrap/>
            <w:hideMark/>
          </w:tcPr>
          <w:p w:rsidR="007E191B" w:rsidRDefault="007E191B">
            <w:pPr>
              <w:suppressAutoHyphens w:val="0"/>
              <w:spacing w:after="200" w:line="276" w:lineRule="auto"/>
              <w:rPr>
                <w:rFonts w:eastAsia="Calibri"/>
              </w:rPr>
            </w:pPr>
            <w:r>
              <w:rPr>
                <w:rFonts w:eastAsia="Calibri"/>
              </w:rPr>
              <w:t>12 500</w:t>
            </w:r>
          </w:p>
        </w:tc>
        <w:tc>
          <w:tcPr>
            <w:tcW w:w="433" w:type="pct"/>
            <w:noWrap/>
            <w:hideMark/>
          </w:tcPr>
          <w:p w:rsidR="007E191B" w:rsidRDefault="007E191B">
            <w:pPr>
              <w:suppressAutoHyphens w:val="0"/>
              <w:spacing w:after="200" w:line="276" w:lineRule="auto"/>
              <w:rPr>
                <w:rFonts w:eastAsia="Calibri"/>
              </w:rPr>
            </w:pPr>
            <w:r>
              <w:rPr>
                <w:rFonts w:eastAsia="Calibri"/>
              </w:rPr>
              <w:t>12 206</w:t>
            </w:r>
          </w:p>
        </w:tc>
        <w:tc>
          <w:tcPr>
            <w:tcW w:w="433" w:type="pct"/>
            <w:noWrap/>
            <w:hideMark/>
          </w:tcPr>
          <w:p w:rsidR="007E191B" w:rsidRDefault="007E191B">
            <w:pPr>
              <w:suppressAutoHyphens w:val="0"/>
              <w:spacing w:after="200" w:line="276" w:lineRule="auto"/>
              <w:rPr>
                <w:rFonts w:eastAsia="Calibri"/>
              </w:rPr>
            </w:pPr>
            <w:r>
              <w:rPr>
                <w:rFonts w:eastAsia="Calibri"/>
              </w:rPr>
              <w:t>11 997</w:t>
            </w:r>
          </w:p>
        </w:tc>
        <w:tc>
          <w:tcPr>
            <w:tcW w:w="433" w:type="pct"/>
            <w:noWrap/>
            <w:hideMark/>
          </w:tcPr>
          <w:p w:rsidR="007E191B" w:rsidRDefault="007E191B">
            <w:pPr>
              <w:suppressAutoHyphens w:val="0"/>
              <w:spacing w:after="200" w:line="276" w:lineRule="auto"/>
              <w:rPr>
                <w:rFonts w:eastAsia="Calibri"/>
              </w:rPr>
            </w:pPr>
            <w:r>
              <w:rPr>
                <w:rFonts w:eastAsia="Calibri"/>
              </w:rPr>
              <w:t>11 815</w:t>
            </w:r>
          </w:p>
        </w:tc>
        <w:tc>
          <w:tcPr>
            <w:tcW w:w="433" w:type="pct"/>
            <w:noWrap/>
            <w:hideMark/>
          </w:tcPr>
          <w:p w:rsidR="007E191B" w:rsidRDefault="007E191B">
            <w:pPr>
              <w:suppressAutoHyphens w:val="0"/>
              <w:spacing w:after="200" w:line="276" w:lineRule="auto"/>
              <w:rPr>
                <w:rFonts w:eastAsia="Calibri"/>
              </w:rPr>
            </w:pPr>
            <w:r>
              <w:rPr>
                <w:rFonts w:eastAsia="Calibri"/>
              </w:rPr>
              <w:t>11 630</w:t>
            </w:r>
          </w:p>
        </w:tc>
        <w:tc>
          <w:tcPr>
            <w:tcW w:w="433" w:type="pct"/>
            <w:noWrap/>
            <w:hideMark/>
          </w:tcPr>
          <w:p w:rsidR="007E191B" w:rsidRDefault="007E191B">
            <w:pPr>
              <w:suppressAutoHyphens w:val="0"/>
              <w:spacing w:after="200" w:line="276" w:lineRule="auto"/>
              <w:rPr>
                <w:rFonts w:eastAsia="Calibri"/>
              </w:rPr>
            </w:pPr>
            <w:r>
              <w:rPr>
                <w:rFonts w:eastAsia="Calibri"/>
              </w:rPr>
              <w:t>11 472</w:t>
            </w:r>
          </w:p>
        </w:tc>
      </w:tr>
      <w:tr w:rsidR="007E191B" w:rsidTr="00E53066">
        <w:trPr>
          <w:trHeight w:val="540"/>
        </w:trPr>
        <w:tc>
          <w:tcPr>
            <w:tcW w:w="1970" w:type="pct"/>
            <w:noWrap/>
            <w:hideMark/>
          </w:tcPr>
          <w:p w:rsidR="007E191B" w:rsidRDefault="007E191B">
            <w:pPr>
              <w:suppressAutoHyphens w:val="0"/>
              <w:spacing w:after="200" w:line="276" w:lineRule="auto"/>
              <w:rPr>
                <w:rFonts w:eastAsia="Calibri"/>
              </w:rPr>
            </w:pPr>
            <w:r>
              <w:rPr>
                <w:rFonts w:eastAsia="Calibri"/>
              </w:rPr>
              <w:t>Domovy pro seniory</w:t>
            </w:r>
          </w:p>
        </w:tc>
        <w:tc>
          <w:tcPr>
            <w:tcW w:w="433" w:type="pct"/>
            <w:noWrap/>
            <w:hideMark/>
          </w:tcPr>
          <w:p w:rsidR="007E191B" w:rsidRDefault="007E191B">
            <w:pPr>
              <w:suppressAutoHyphens w:val="0"/>
              <w:spacing w:after="200" w:line="276" w:lineRule="auto"/>
              <w:rPr>
                <w:rFonts w:eastAsia="Calibri"/>
              </w:rPr>
            </w:pPr>
            <w:r>
              <w:rPr>
                <w:rFonts w:eastAsia="Calibri"/>
              </w:rPr>
              <w:t>36 598</w:t>
            </w:r>
          </w:p>
        </w:tc>
        <w:tc>
          <w:tcPr>
            <w:tcW w:w="433" w:type="pct"/>
            <w:noWrap/>
            <w:hideMark/>
          </w:tcPr>
          <w:p w:rsidR="007E191B" w:rsidRDefault="007E191B">
            <w:pPr>
              <w:suppressAutoHyphens w:val="0"/>
              <w:spacing w:after="200" w:line="276" w:lineRule="auto"/>
              <w:rPr>
                <w:rFonts w:eastAsia="Calibri"/>
              </w:rPr>
            </w:pPr>
            <w:r>
              <w:rPr>
                <w:rFonts w:eastAsia="Calibri"/>
              </w:rPr>
              <w:t>35 882</w:t>
            </w:r>
          </w:p>
        </w:tc>
        <w:tc>
          <w:tcPr>
            <w:tcW w:w="433" w:type="pct"/>
            <w:noWrap/>
            <w:hideMark/>
          </w:tcPr>
          <w:p w:rsidR="007E191B" w:rsidRDefault="007E191B">
            <w:pPr>
              <w:suppressAutoHyphens w:val="0"/>
              <w:spacing w:after="200" w:line="276" w:lineRule="auto"/>
              <w:rPr>
                <w:rFonts w:eastAsia="Calibri"/>
              </w:rPr>
            </w:pPr>
            <w:r>
              <w:rPr>
                <w:rFonts w:eastAsia="Calibri"/>
              </w:rPr>
              <w:t>35 944</w:t>
            </w:r>
          </w:p>
        </w:tc>
        <w:tc>
          <w:tcPr>
            <w:tcW w:w="433" w:type="pct"/>
            <w:noWrap/>
            <w:hideMark/>
          </w:tcPr>
          <w:p w:rsidR="007E191B" w:rsidRDefault="007E191B">
            <w:pPr>
              <w:suppressAutoHyphens w:val="0"/>
              <w:spacing w:after="200" w:line="276" w:lineRule="auto"/>
              <w:rPr>
                <w:rFonts w:eastAsia="Calibri"/>
              </w:rPr>
            </w:pPr>
            <w:r>
              <w:rPr>
                <w:rFonts w:eastAsia="Calibri"/>
              </w:rPr>
              <w:t>35 829</w:t>
            </w:r>
          </w:p>
        </w:tc>
        <w:tc>
          <w:tcPr>
            <w:tcW w:w="433" w:type="pct"/>
            <w:noWrap/>
            <w:hideMark/>
          </w:tcPr>
          <w:p w:rsidR="007E191B" w:rsidRDefault="007E191B">
            <w:pPr>
              <w:suppressAutoHyphens w:val="0"/>
              <w:spacing w:after="200" w:line="276" w:lineRule="auto"/>
              <w:rPr>
                <w:rFonts w:eastAsia="Calibri"/>
              </w:rPr>
            </w:pPr>
            <w:r>
              <w:rPr>
                <w:rFonts w:eastAsia="Calibri"/>
              </w:rPr>
              <w:t>35 501</w:t>
            </w:r>
          </w:p>
        </w:tc>
        <w:tc>
          <w:tcPr>
            <w:tcW w:w="433" w:type="pct"/>
            <w:noWrap/>
            <w:hideMark/>
          </w:tcPr>
          <w:p w:rsidR="007E191B" w:rsidRDefault="007E191B">
            <w:pPr>
              <w:suppressAutoHyphens w:val="0"/>
              <w:spacing w:after="200" w:line="276" w:lineRule="auto"/>
              <w:rPr>
                <w:rFonts w:eastAsia="Calibri"/>
              </w:rPr>
            </w:pPr>
            <w:r>
              <w:rPr>
                <w:rFonts w:eastAsia="Calibri"/>
              </w:rPr>
              <w:t>35 489</w:t>
            </w:r>
          </w:p>
        </w:tc>
        <w:tc>
          <w:tcPr>
            <w:tcW w:w="433" w:type="pct"/>
            <w:noWrap/>
            <w:hideMark/>
          </w:tcPr>
          <w:p w:rsidR="007E191B" w:rsidRDefault="007E191B">
            <w:pPr>
              <w:suppressAutoHyphens w:val="0"/>
              <w:spacing w:after="200" w:line="276" w:lineRule="auto"/>
              <w:rPr>
                <w:rFonts w:eastAsia="Calibri"/>
              </w:rPr>
            </w:pPr>
            <w:r>
              <w:rPr>
                <w:rFonts w:eastAsia="Calibri"/>
              </w:rPr>
              <w:t>35 275</w:t>
            </w:r>
          </w:p>
        </w:tc>
      </w:tr>
      <w:tr w:rsidR="007E191B" w:rsidTr="00E53066">
        <w:trPr>
          <w:trHeight w:val="540"/>
        </w:trPr>
        <w:tc>
          <w:tcPr>
            <w:tcW w:w="1970" w:type="pct"/>
            <w:noWrap/>
            <w:hideMark/>
          </w:tcPr>
          <w:p w:rsidR="007E191B" w:rsidRDefault="007E191B">
            <w:pPr>
              <w:suppressAutoHyphens w:val="0"/>
              <w:spacing w:after="200" w:line="276" w:lineRule="auto"/>
              <w:rPr>
                <w:rFonts w:eastAsia="Calibri"/>
              </w:rPr>
            </w:pPr>
            <w:r>
              <w:rPr>
                <w:rFonts w:eastAsia="Calibri"/>
              </w:rPr>
              <w:t>Domovy se zvláštním režimem</w:t>
            </w:r>
          </w:p>
        </w:tc>
        <w:tc>
          <w:tcPr>
            <w:tcW w:w="433" w:type="pct"/>
            <w:noWrap/>
            <w:hideMark/>
          </w:tcPr>
          <w:p w:rsidR="007E191B" w:rsidRDefault="007E191B">
            <w:pPr>
              <w:suppressAutoHyphens w:val="0"/>
              <w:spacing w:after="200" w:line="276" w:lineRule="auto"/>
              <w:rPr>
                <w:rFonts w:eastAsia="Calibri"/>
              </w:rPr>
            </w:pPr>
            <w:r>
              <w:rPr>
                <w:rFonts w:eastAsia="Calibri"/>
              </w:rPr>
              <w:t>11 564</w:t>
            </w:r>
          </w:p>
        </w:tc>
        <w:tc>
          <w:tcPr>
            <w:tcW w:w="433" w:type="pct"/>
            <w:noWrap/>
            <w:hideMark/>
          </w:tcPr>
          <w:p w:rsidR="007E191B" w:rsidRDefault="007E191B">
            <w:pPr>
              <w:suppressAutoHyphens w:val="0"/>
              <w:spacing w:after="200" w:line="276" w:lineRule="auto"/>
              <w:rPr>
                <w:rFonts w:eastAsia="Calibri"/>
              </w:rPr>
            </w:pPr>
            <w:r>
              <w:rPr>
                <w:rFonts w:eastAsia="Calibri"/>
              </w:rPr>
              <w:t>13 668</w:t>
            </w:r>
          </w:p>
        </w:tc>
        <w:tc>
          <w:tcPr>
            <w:tcW w:w="433" w:type="pct"/>
            <w:noWrap/>
            <w:hideMark/>
          </w:tcPr>
          <w:p w:rsidR="007E191B" w:rsidRDefault="007E191B">
            <w:pPr>
              <w:suppressAutoHyphens w:val="0"/>
              <w:spacing w:after="200" w:line="276" w:lineRule="auto"/>
              <w:rPr>
                <w:rFonts w:eastAsia="Calibri"/>
              </w:rPr>
            </w:pPr>
            <w:r>
              <w:rPr>
                <w:rFonts w:eastAsia="Calibri"/>
              </w:rPr>
              <w:t>14 783</w:t>
            </w:r>
          </w:p>
        </w:tc>
        <w:tc>
          <w:tcPr>
            <w:tcW w:w="433" w:type="pct"/>
            <w:noWrap/>
            <w:hideMark/>
          </w:tcPr>
          <w:p w:rsidR="007E191B" w:rsidRDefault="007E191B">
            <w:pPr>
              <w:suppressAutoHyphens w:val="0"/>
              <w:spacing w:after="200" w:line="276" w:lineRule="auto"/>
              <w:rPr>
                <w:rFonts w:eastAsia="Calibri"/>
              </w:rPr>
            </w:pPr>
            <w:r>
              <w:rPr>
                <w:rFonts w:eastAsia="Calibri"/>
              </w:rPr>
              <w:t>16 856</w:t>
            </w:r>
          </w:p>
        </w:tc>
        <w:tc>
          <w:tcPr>
            <w:tcW w:w="433" w:type="pct"/>
            <w:noWrap/>
            <w:hideMark/>
          </w:tcPr>
          <w:p w:rsidR="007E191B" w:rsidRDefault="007E191B">
            <w:pPr>
              <w:suppressAutoHyphens w:val="0"/>
              <w:spacing w:after="200" w:line="276" w:lineRule="auto"/>
              <w:rPr>
                <w:rFonts w:eastAsia="Calibri"/>
              </w:rPr>
            </w:pPr>
            <w:r>
              <w:rPr>
                <w:rFonts w:eastAsia="Calibri"/>
              </w:rPr>
              <w:t>17 856</w:t>
            </w:r>
          </w:p>
        </w:tc>
        <w:tc>
          <w:tcPr>
            <w:tcW w:w="433" w:type="pct"/>
            <w:noWrap/>
            <w:hideMark/>
          </w:tcPr>
          <w:p w:rsidR="007E191B" w:rsidRDefault="007E191B">
            <w:pPr>
              <w:suppressAutoHyphens w:val="0"/>
              <w:spacing w:after="200" w:line="276" w:lineRule="auto"/>
              <w:rPr>
                <w:rFonts w:eastAsia="Calibri"/>
              </w:rPr>
            </w:pPr>
            <w:r>
              <w:rPr>
                <w:rFonts w:eastAsia="Calibri"/>
              </w:rPr>
              <w:t>18 954</w:t>
            </w:r>
          </w:p>
        </w:tc>
        <w:tc>
          <w:tcPr>
            <w:tcW w:w="433" w:type="pct"/>
            <w:noWrap/>
            <w:hideMark/>
          </w:tcPr>
          <w:p w:rsidR="007E191B" w:rsidRDefault="007E191B">
            <w:pPr>
              <w:suppressAutoHyphens w:val="0"/>
              <w:spacing w:after="200" w:line="276" w:lineRule="auto"/>
              <w:rPr>
                <w:rFonts w:eastAsia="Calibri"/>
              </w:rPr>
            </w:pPr>
            <w:r>
              <w:rPr>
                <w:rFonts w:eastAsia="Calibri"/>
              </w:rPr>
              <w:t>19 833</w:t>
            </w:r>
          </w:p>
        </w:tc>
      </w:tr>
      <w:tr w:rsidR="007E191B" w:rsidTr="00E53066">
        <w:trPr>
          <w:trHeight w:val="540"/>
        </w:trPr>
        <w:tc>
          <w:tcPr>
            <w:tcW w:w="1970" w:type="pct"/>
            <w:noWrap/>
            <w:hideMark/>
          </w:tcPr>
          <w:p w:rsidR="007E191B" w:rsidRDefault="007E191B">
            <w:pPr>
              <w:suppressAutoHyphens w:val="0"/>
              <w:spacing w:after="200" w:line="276" w:lineRule="auto"/>
              <w:rPr>
                <w:rFonts w:eastAsia="Calibri"/>
              </w:rPr>
            </w:pPr>
            <w:r>
              <w:rPr>
                <w:rFonts w:eastAsia="Calibri"/>
              </w:rPr>
              <w:t>Chráněné bydlení</w:t>
            </w:r>
          </w:p>
        </w:tc>
        <w:tc>
          <w:tcPr>
            <w:tcW w:w="433" w:type="pct"/>
            <w:noWrap/>
            <w:hideMark/>
          </w:tcPr>
          <w:p w:rsidR="007E191B" w:rsidRDefault="007E191B">
            <w:pPr>
              <w:suppressAutoHyphens w:val="0"/>
              <w:spacing w:after="200" w:line="276" w:lineRule="auto"/>
              <w:rPr>
                <w:rFonts w:eastAsia="Calibri"/>
              </w:rPr>
            </w:pPr>
            <w:r>
              <w:rPr>
                <w:rFonts w:eastAsia="Calibri"/>
              </w:rPr>
              <w:t>2 803</w:t>
            </w:r>
          </w:p>
        </w:tc>
        <w:tc>
          <w:tcPr>
            <w:tcW w:w="433" w:type="pct"/>
            <w:noWrap/>
            <w:hideMark/>
          </w:tcPr>
          <w:p w:rsidR="007E191B" w:rsidRDefault="007E191B">
            <w:pPr>
              <w:suppressAutoHyphens w:val="0"/>
              <w:spacing w:after="200" w:line="276" w:lineRule="auto"/>
              <w:rPr>
                <w:rFonts w:eastAsia="Calibri"/>
              </w:rPr>
            </w:pPr>
            <w:r>
              <w:rPr>
                <w:rFonts w:eastAsia="Calibri"/>
              </w:rPr>
              <w:t>2 979</w:t>
            </w:r>
          </w:p>
        </w:tc>
        <w:tc>
          <w:tcPr>
            <w:tcW w:w="433" w:type="pct"/>
            <w:noWrap/>
            <w:hideMark/>
          </w:tcPr>
          <w:p w:rsidR="007E191B" w:rsidRDefault="007E191B">
            <w:pPr>
              <w:suppressAutoHyphens w:val="0"/>
              <w:spacing w:after="200" w:line="276" w:lineRule="auto"/>
              <w:rPr>
                <w:rFonts w:eastAsia="Calibri"/>
              </w:rPr>
            </w:pPr>
            <w:r>
              <w:rPr>
                <w:rFonts w:eastAsia="Calibri"/>
              </w:rPr>
              <w:t>3 280</w:t>
            </w:r>
          </w:p>
        </w:tc>
        <w:tc>
          <w:tcPr>
            <w:tcW w:w="433" w:type="pct"/>
            <w:noWrap/>
            <w:hideMark/>
          </w:tcPr>
          <w:p w:rsidR="007E191B" w:rsidRDefault="007E191B">
            <w:pPr>
              <w:suppressAutoHyphens w:val="0"/>
              <w:spacing w:after="200" w:line="276" w:lineRule="auto"/>
              <w:rPr>
                <w:rFonts w:eastAsia="Calibri"/>
              </w:rPr>
            </w:pPr>
            <w:r>
              <w:rPr>
                <w:rFonts w:eastAsia="Calibri"/>
              </w:rPr>
              <w:t>3 660</w:t>
            </w:r>
          </w:p>
        </w:tc>
        <w:tc>
          <w:tcPr>
            <w:tcW w:w="433" w:type="pct"/>
            <w:noWrap/>
            <w:hideMark/>
          </w:tcPr>
          <w:p w:rsidR="007E191B" w:rsidRDefault="007E191B">
            <w:pPr>
              <w:suppressAutoHyphens w:val="0"/>
              <w:spacing w:after="200" w:line="276" w:lineRule="auto"/>
              <w:rPr>
                <w:rFonts w:eastAsia="Calibri"/>
              </w:rPr>
            </w:pPr>
            <w:r>
              <w:rPr>
                <w:rFonts w:eastAsia="Calibri"/>
              </w:rPr>
              <w:t>3 766</w:t>
            </w:r>
          </w:p>
        </w:tc>
        <w:tc>
          <w:tcPr>
            <w:tcW w:w="433" w:type="pct"/>
            <w:noWrap/>
            <w:hideMark/>
          </w:tcPr>
          <w:p w:rsidR="007E191B" w:rsidRDefault="007E191B">
            <w:pPr>
              <w:suppressAutoHyphens w:val="0"/>
              <w:spacing w:after="200" w:line="276" w:lineRule="auto"/>
              <w:rPr>
                <w:rFonts w:eastAsia="Calibri"/>
              </w:rPr>
            </w:pPr>
            <w:r>
              <w:rPr>
                <w:rFonts w:eastAsia="Calibri"/>
              </w:rPr>
              <w:t>3 888</w:t>
            </w:r>
          </w:p>
        </w:tc>
        <w:tc>
          <w:tcPr>
            <w:tcW w:w="433" w:type="pct"/>
            <w:noWrap/>
            <w:hideMark/>
          </w:tcPr>
          <w:p w:rsidR="007E191B" w:rsidRDefault="007E191B">
            <w:pPr>
              <w:suppressAutoHyphens w:val="0"/>
              <w:spacing w:after="200" w:line="276" w:lineRule="auto"/>
              <w:rPr>
                <w:rFonts w:eastAsia="Calibri"/>
              </w:rPr>
            </w:pPr>
            <w:r>
              <w:rPr>
                <w:rFonts w:eastAsia="Calibri"/>
              </w:rPr>
              <w:t>3 837</w:t>
            </w:r>
          </w:p>
        </w:tc>
      </w:tr>
      <w:tr w:rsidR="007E191B" w:rsidTr="00E53066">
        <w:trPr>
          <w:trHeight w:val="540"/>
        </w:trPr>
        <w:tc>
          <w:tcPr>
            <w:tcW w:w="1970" w:type="pct"/>
            <w:noWrap/>
            <w:hideMark/>
          </w:tcPr>
          <w:p w:rsidR="007E191B" w:rsidRDefault="007E191B">
            <w:pPr>
              <w:suppressAutoHyphens w:val="0"/>
              <w:spacing w:after="200" w:line="276" w:lineRule="auto"/>
              <w:rPr>
                <w:rFonts w:eastAsia="Calibri"/>
              </w:rPr>
            </w:pPr>
            <w:r>
              <w:rPr>
                <w:rFonts w:eastAsia="Calibri"/>
              </w:rPr>
              <w:t>Azylové domy</w:t>
            </w:r>
          </w:p>
        </w:tc>
        <w:tc>
          <w:tcPr>
            <w:tcW w:w="433" w:type="pct"/>
            <w:noWrap/>
            <w:hideMark/>
          </w:tcPr>
          <w:p w:rsidR="007E191B" w:rsidRDefault="007E191B">
            <w:pPr>
              <w:suppressAutoHyphens w:val="0"/>
              <w:spacing w:after="200" w:line="276" w:lineRule="auto"/>
              <w:rPr>
                <w:rFonts w:eastAsia="Calibri"/>
              </w:rPr>
            </w:pPr>
            <w:r>
              <w:rPr>
                <w:rFonts w:eastAsia="Calibri"/>
              </w:rPr>
              <w:t>5 380</w:t>
            </w:r>
          </w:p>
        </w:tc>
        <w:tc>
          <w:tcPr>
            <w:tcW w:w="433" w:type="pct"/>
            <w:noWrap/>
            <w:hideMark/>
          </w:tcPr>
          <w:p w:rsidR="007E191B" w:rsidRDefault="007E191B">
            <w:pPr>
              <w:suppressAutoHyphens w:val="0"/>
              <w:spacing w:after="200" w:line="276" w:lineRule="auto"/>
              <w:rPr>
                <w:rFonts w:eastAsia="Calibri"/>
              </w:rPr>
            </w:pPr>
            <w:r>
              <w:rPr>
                <w:rFonts w:eastAsia="Calibri"/>
              </w:rPr>
              <w:t>5 554</w:t>
            </w:r>
          </w:p>
        </w:tc>
        <w:tc>
          <w:tcPr>
            <w:tcW w:w="433" w:type="pct"/>
            <w:noWrap/>
            <w:hideMark/>
          </w:tcPr>
          <w:p w:rsidR="007E191B" w:rsidRDefault="007E191B">
            <w:pPr>
              <w:suppressAutoHyphens w:val="0"/>
              <w:spacing w:after="200" w:line="276" w:lineRule="auto"/>
              <w:rPr>
                <w:rFonts w:eastAsia="Calibri"/>
              </w:rPr>
            </w:pPr>
            <w:r>
              <w:rPr>
                <w:rFonts w:eastAsia="Calibri"/>
              </w:rPr>
              <w:t>5 485</w:t>
            </w:r>
          </w:p>
        </w:tc>
        <w:tc>
          <w:tcPr>
            <w:tcW w:w="433" w:type="pct"/>
            <w:noWrap/>
            <w:hideMark/>
          </w:tcPr>
          <w:p w:rsidR="007E191B" w:rsidRDefault="007E191B">
            <w:pPr>
              <w:suppressAutoHyphens w:val="0"/>
              <w:spacing w:after="200" w:line="276" w:lineRule="auto"/>
              <w:rPr>
                <w:rFonts w:eastAsia="Calibri"/>
              </w:rPr>
            </w:pPr>
            <w:r>
              <w:rPr>
                <w:rFonts w:eastAsia="Calibri"/>
              </w:rPr>
              <w:t>5 355</w:t>
            </w:r>
          </w:p>
        </w:tc>
        <w:tc>
          <w:tcPr>
            <w:tcW w:w="433" w:type="pct"/>
            <w:noWrap/>
            <w:hideMark/>
          </w:tcPr>
          <w:p w:rsidR="007E191B" w:rsidRDefault="007E191B">
            <w:pPr>
              <w:suppressAutoHyphens w:val="0"/>
              <w:spacing w:after="200" w:line="276" w:lineRule="auto"/>
              <w:rPr>
                <w:rFonts w:eastAsia="Calibri"/>
              </w:rPr>
            </w:pPr>
            <w:r>
              <w:rPr>
                <w:rFonts w:eastAsia="Calibri"/>
              </w:rPr>
              <w:t>5 451</w:t>
            </w:r>
          </w:p>
        </w:tc>
        <w:tc>
          <w:tcPr>
            <w:tcW w:w="433" w:type="pct"/>
            <w:noWrap/>
            <w:hideMark/>
          </w:tcPr>
          <w:p w:rsidR="007E191B" w:rsidRDefault="007E191B">
            <w:pPr>
              <w:suppressAutoHyphens w:val="0"/>
              <w:spacing w:after="200" w:line="276" w:lineRule="auto"/>
              <w:rPr>
                <w:rFonts w:eastAsia="Calibri"/>
              </w:rPr>
            </w:pPr>
            <w:r>
              <w:rPr>
                <w:rFonts w:eastAsia="Calibri"/>
              </w:rPr>
              <w:t>5 289</w:t>
            </w:r>
          </w:p>
        </w:tc>
        <w:tc>
          <w:tcPr>
            <w:tcW w:w="433" w:type="pct"/>
            <w:noWrap/>
            <w:hideMark/>
          </w:tcPr>
          <w:p w:rsidR="007E191B" w:rsidRDefault="007E191B">
            <w:pPr>
              <w:suppressAutoHyphens w:val="0"/>
              <w:spacing w:after="200" w:line="276" w:lineRule="auto"/>
              <w:rPr>
                <w:rFonts w:eastAsia="Calibri"/>
              </w:rPr>
            </w:pPr>
            <w:r>
              <w:rPr>
                <w:rFonts w:eastAsia="Calibri"/>
              </w:rPr>
              <w:t>5 568</w:t>
            </w:r>
          </w:p>
        </w:tc>
      </w:tr>
      <w:tr w:rsidR="007E191B" w:rsidTr="00E53066">
        <w:trPr>
          <w:trHeight w:val="540"/>
        </w:trPr>
        <w:tc>
          <w:tcPr>
            <w:tcW w:w="1970" w:type="pct"/>
            <w:noWrap/>
            <w:hideMark/>
          </w:tcPr>
          <w:p w:rsidR="007E191B" w:rsidRDefault="007E191B">
            <w:pPr>
              <w:suppressAutoHyphens w:val="0"/>
              <w:spacing w:after="200" w:line="276" w:lineRule="auto"/>
              <w:rPr>
                <w:rFonts w:eastAsia="Calibri"/>
              </w:rPr>
            </w:pPr>
            <w:r>
              <w:rPr>
                <w:rFonts w:eastAsia="Calibri"/>
              </w:rPr>
              <w:t>Domy na půl cesty</w:t>
            </w:r>
          </w:p>
        </w:tc>
        <w:tc>
          <w:tcPr>
            <w:tcW w:w="433" w:type="pct"/>
            <w:noWrap/>
            <w:hideMark/>
          </w:tcPr>
          <w:p w:rsidR="007E191B" w:rsidRDefault="007E191B">
            <w:pPr>
              <w:suppressAutoHyphens w:val="0"/>
              <w:spacing w:after="200" w:line="276" w:lineRule="auto"/>
              <w:rPr>
                <w:rFonts w:eastAsia="Calibri"/>
              </w:rPr>
            </w:pPr>
            <w:r>
              <w:rPr>
                <w:rFonts w:eastAsia="Calibri"/>
              </w:rPr>
              <w:t>283</w:t>
            </w:r>
          </w:p>
        </w:tc>
        <w:tc>
          <w:tcPr>
            <w:tcW w:w="433" w:type="pct"/>
            <w:noWrap/>
            <w:hideMark/>
          </w:tcPr>
          <w:p w:rsidR="007E191B" w:rsidRDefault="007E191B">
            <w:pPr>
              <w:suppressAutoHyphens w:val="0"/>
              <w:spacing w:after="200" w:line="276" w:lineRule="auto"/>
              <w:rPr>
                <w:rFonts w:eastAsia="Calibri"/>
              </w:rPr>
            </w:pPr>
            <w:r>
              <w:rPr>
                <w:rFonts w:eastAsia="Calibri"/>
              </w:rPr>
              <w:t>285</w:t>
            </w:r>
          </w:p>
        </w:tc>
        <w:tc>
          <w:tcPr>
            <w:tcW w:w="433" w:type="pct"/>
            <w:noWrap/>
            <w:hideMark/>
          </w:tcPr>
          <w:p w:rsidR="007E191B" w:rsidRDefault="007E191B">
            <w:pPr>
              <w:suppressAutoHyphens w:val="0"/>
              <w:spacing w:after="200" w:line="276" w:lineRule="auto"/>
              <w:rPr>
                <w:rFonts w:eastAsia="Calibri"/>
              </w:rPr>
            </w:pPr>
            <w:r>
              <w:rPr>
                <w:rFonts w:eastAsia="Calibri"/>
              </w:rPr>
              <w:t>248</w:t>
            </w:r>
          </w:p>
        </w:tc>
        <w:tc>
          <w:tcPr>
            <w:tcW w:w="433" w:type="pct"/>
            <w:noWrap/>
            <w:hideMark/>
          </w:tcPr>
          <w:p w:rsidR="007E191B" w:rsidRDefault="007E191B">
            <w:pPr>
              <w:suppressAutoHyphens w:val="0"/>
              <w:spacing w:after="200" w:line="276" w:lineRule="auto"/>
              <w:rPr>
                <w:rFonts w:eastAsia="Calibri"/>
              </w:rPr>
            </w:pPr>
            <w:r>
              <w:rPr>
                <w:rFonts w:eastAsia="Calibri"/>
              </w:rPr>
              <w:t>228</w:t>
            </w:r>
          </w:p>
        </w:tc>
        <w:tc>
          <w:tcPr>
            <w:tcW w:w="433" w:type="pct"/>
            <w:noWrap/>
            <w:hideMark/>
          </w:tcPr>
          <w:p w:rsidR="007E191B" w:rsidRDefault="007E191B">
            <w:pPr>
              <w:suppressAutoHyphens w:val="0"/>
              <w:spacing w:after="200" w:line="276" w:lineRule="auto"/>
              <w:rPr>
                <w:rFonts w:eastAsia="Calibri"/>
              </w:rPr>
            </w:pPr>
            <w:r>
              <w:rPr>
                <w:rFonts w:eastAsia="Calibri"/>
              </w:rPr>
              <w:t>259</w:t>
            </w:r>
          </w:p>
        </w:tc>
        <w:tc>
          <w:tcPr>
            <w:tcW w:w="433" w:type="pct"/>
            <w:noWrap/>
            <w:hideMark/>
          </w:tcPr>
          <w:p w:rsidR="007E191B" w:rsidRDefault="007E191B">
            <w:pPr>
              <w:suppressAutoHyphens w:val="0"/>
              <w:spacing w:after="200" w:line="276" w:lineRule="auto"/>
              <w:rPr>
                <w:rFonts w:eastAsia="Calibri"/>
              </w:rPr>
            </w:pPr>
            <w:r>
              <w:rPr>
                <w:rFonts w:eastAsia="Calibri"/>
              </w:rPr>
              <w:t>276</w:t>
            </w:r>
          </w:p>
        </w:tc>
        <w:tc>
          <w:tcPr>
            <w:tcW w:w="433" w:type="pct"/>
            <w:noWrap/>
            <w:hideMark/>
          </w:tcPr>
          <w:p w:rsidR="007E191B" w:rsidRDefault="007E191B">
            <w:pPr>
              <w:suppressAutoHyphens w:val="0"/>
              <w:spacing w:after="200" w:line="276" w:lineRule="auto"/>
              <w:rPr>
                <w:rFonts w:eastAsia="Calibri"/>
              </w:rPr>
            </w:pPr>
            <w:r>
              <w:rPr>
                <w:rFonts w:eastAsia="Calibri"/>
              </w:rPr>
              <w:t>228</w:t>
            </w:r>
          </w:p>
        </w:tc>
      </w:tr>
      <w:tr w:rsidR="007E191B" w:rsidTr="00E53066">
        <w:trPr>
          <w:trHeight w:val="540"/>
        </w:trPr>
        <w:tc>
          <w:tcPr>
            <w:tcW w:w="1970" w:type="pct"/>
            <w:noWrap/>
            <w:hideMark/>
          </w:tcPr>
          <w:p w:rsidR="007E191B" w:rsidRDefault="007E191B">
            <w:pPr>
              <w:suppressAutoHyphens w:val="0"/>
              <w:spacing w:after="200" w:line="276" w:lineRule="auto"/>
              <w:rPr>
                <w:rFonts w:eastAsia="Calibri"/>
              </w:rPr>
            </w:pPr>
            <w:r>
              <w:rPr>
                <w:rFonts w:eastAsia="Calibri"/>
              </w:rPr>
              <w:t>Terapeutické komunity</w:t>
            </w:r>
          </w:p>
        </w:tc>
        <w:tc>
          <w:tcPr>
            <w:tcW w:w="433" w:type="pct"/>
            <w:noWrap/>
            <w:hideMark/>
          </w:tcPr>
          <w:p w:rsidR="007E191B" w:rsidRDefault="007E191B">
            <w:pPr>
              <w:suppressAutoHyphens w:val="0"/>
              <w:spacing w:after="200" w:line="276" w:lineRule="auto"/>
              <w:rPr>
                <w:rFonts w:eastAsia="Calibri"/>
              </w:rPr>
            </w:pPr>
            <w:r>
              <w:rPr>
                <w:rFonts w:eastAsia="Calibri"/>
              </w:rPr>
              <w:t>305</w:t>
            </w:r>
          </w:p>
        </w:tc>
        <w:tc>
          <w:tcPr>
            <w:tcW w:w="433" w:type="pct"/>
            <w:noWrap/>
            <w:hideMark/>
          </w:tcPr>
          <w:p w:rsidR="007E191B" w:rsidRDefault="007E191B">
            <w:pPr>
              <w:suppressAutoHyphens w:val="0"/>
              <w:spacing w:after="200" w:line="276" w:lineRule="auto"/>
              <w:rPr>
                <w:rFonts w:eastAsia="Calibri"/>
              </w:rPr>
            </w:pPr>
            <w:r>
              <w:rPr>
                <w:rFonts w:eastAsia="Calibri"/>
              </w:rPr>
              <w:t>225</w:t>
            </w:r>
          </w:p>
        </w:tc>
        <w:tc>
          <w:tcPr>
            <w:tcW w:w="433" w:type="pct"/>
            <w:noWrap/>
            <w:hideMark/>
          </w:tcPr>
          <w:p w:rsidR="007E191B" w:rsidRDefault="007E191B">
            <w:pPr>
              <w:suppressAutoHyphens w:val="0"/>
              <w:spacing w:after="200" w:line="276" w:lineRule="auto"/>
              <w:rPr>
                <w:rFonts w:eastAsia="Calibri"/>
              </w:rPr>
            </w:pPr>
            <w:r>
              <w:rPr>
                <w:rFonts w:eastAsia="Calibri"/>
              </w:rPr>
              <w:t>197</w:t>
            </w:r>
          </w:p>
        </w:tc>
        <w:tc>
          <w:tcPr>
            <w:tcW w:w="433" w:type="pct"/>
            <w:noWrap/>
            <w:hideMark/>
          </w:tcPr>
          <w:p w:rsidR="007E191B" w:rsidRDefault="007E191B">
            <w:pPr>
              <w:suppressAutoHyphens w:val="0"/>
              <w:spacing w:after="200" w:line="276" w:lineRule="auto"/>
              <w:rPr>
                <w:rFonts w:eastAsia="Calibri"/>
              </w:rPr>
            </w:pPr>
            <w:r>
              <w:rPr>
                <w:rFonts w:eastAsia="Calibri"/>
              </w:rPr>
              <w:t>171</w:t>
            </w:r>
          </w:p>
        </w:tc>
        <w:tc>
          <w:tcPr>
            <w:tcW w:w="433" w:type="pct"/>
            <w:noWrap/>
            <w:hideMark/>
          </w:tcPr>
          <w:p w:rsidR="007E191B" w:rsidRDefault="007E191B">
            <w:pPr>
              <w:suppressAutoHyphens w:val="0"/>
              <w:spacing w:after="200" w:line="276" w:lineRule="auto"/>
              <w:rPr>
                <w:rFonts w:eastAsia="Calibri"/>
              </w:rPr>
            </w:pPr>
            <w:r>
              <w:rPr>
                <w:rFonts w:eastAsia="Calibri"/>
              </w:rPr>
              <w:t>194</w:t>
            </w:r>
          </w:p>
        </w:tc>
        <w:tc>
          <w:tcPr>
            <w:tcW w:w="433" w:type="pct"/>
            <w:noWrap/>
            <w:hideMark/>
          </w:tcPr>
          <w:p w:rsidR="007E191B" w:rsidRDefault="007E191B">
            <w:pPr>
              <w:suppressAutoHyphens w:val="0"/>
              <w:spacing w:after="200" w:line="276" w:lineRule="auto"/>
              <w:rPr>
                <w:rFonts w:eastAsia="Calibri"/>
              </w:rPr>
            </w:pPr>
            <w:r>
              <w:rPr>
                <w:rFonts w:eastAsia="Calibri"/>
              </w:rPr>
              <w:t>171</w:t>
            </w:r>
          </w:p>
        </w:tc>
        <w:tc>
          <w:tcPr>
            <w:tcW w:w="433" w:type="pct"/>
            <w:noWrap/>
            <w:hideMark/>
          </w:tcPr>
          <w:p w:rsidR="007E191B" w:rsidRDefault="007E191B">
            <w:pPr>
              <w:suppressAutoHyphens w:val="0"/>
              <w:spacing w:after="200" w:line="276" w:lineRule="auto"/>
              <w:rPr>
                <w:rFonts w:eastAsia="Calibri"/>
              </w:rPr>
            </w:pPr>
            <w:r>
              <w:rPr>
                <w:rFonts w:eastAsia="Calibri"/>
              </w:rPr>
              <w:t>189</w:t>
            </w:r>
          </w:p>
        </w:tc>
      </w:tr>
      <w:tr w:rsidR="007E191B" w:rsidTr="00E53066">
        <w:trPr>
          <w:trHeight w:val="540"/>
        </w:trPr>
        <w:tc>
          <w:tcPr>
            <w:tcW w:w="1970" w:type="pct"/>
            <w:noWrap/>
            <w:hideMark/>
          </w:tcPr>
          <w:p w:rsidR="007E191B" w:rsidRDefault="007E191B">
            <w:pPr>
              <w:suppressAutoHyphens w:val="0"/>
              <w:spacing w:after="200" w:line="276" w:lineRule="auto"/>
              <w:rPr>
                <w:rFonts w:eastAsia="Calibri"/>
              </w:rPr>
            </w:pPr>
            <w:r>
              <w:rPr>
                <w:rFonts w:eastAsia="Calibri"/>
              </w:rPr>
              <w:t>Zařízení pro krizovou pomoc*</w:t>
            </w:r>
            <w:r w:rsidR="00E53066">
              <w:rPr>
                <w:rFonts w:eastAsia="Calibri"/>
              </w:rPr>
              <w:t>*</w:t>
            </w:r>
          </w:p>
        </w:tc>
        <w:tc>
          <w:tcPr>
            <w:tcW w:w="433" w:type="pct"/>
            <w:noWrap/>
            <w:hideMark/>
          </w:tcPr>
          <w:p w:rsidR="007E191B" w:rsidRDefault="007E191B">
            <w:pPr>
              <w:suppressAutoHyphens w:val="0"/>
              <w:spacing w:after="200" w:line="276" w:lineRule="auto"/>
              <w:rPr>
                <w:rFonts w:eastAsia="Calibri"/>
              </w:rPr>
            </w:pPr>
            <w:r>
              <w:rPr>
                <w:rFonts w:eastAsia="Calibri"/>
              </w:rPr>
              <w:t>21</w:t>
            </w:r>
          </w:p>
        </w:tc>
        <w:tc>
          <w:tcPr>
            <w:tcW w:w="433" w:type="pct"/>
            <w:noWrap/>
            <w:hideMark/>
          </w:tcPr>
          <w:p w:rsidR="007E191B" w:rsidRDefault="007E191B">
            <w:pPr>
              <w:suppressAutoHyphens w:val="0"/>
              <w:spacing w:after="200" w:line="276" w:lineRule="auto"/>
              <w:rPr>
                <w:rFonts w:eastAsia="Calibri"/>
              </w:rPr>
            </w:pPr>
            <w:r>
              <w:rPr>
                <w:rFonts w:eastAsia="Calibri"/>
              </w:rPr>
              <w:t>30</w:t>
            </w:r>
          </w:p>
        </w:tc>
        <w:tc>
          <w:tcPr>
            <w:tcW w:w="433" w:type="pct"/>
            <w:noWrap/>
            <w:hideMark/>
          </w:tcPr>
          <w:p w:rsidR="007E191B" w:rsidRDefault="007E191B">
            <w:pPr>
              <w:suppressAutoHyphens w:val="0"/>
              <w:spacing w:after="200" w:line="276" w:lineRule="auto"/>
              <w:rPr>
                <w:rFonts w:eastAsia="Calibri"/>
              </w:rPr>
            </w:pPr>
            <w:r>
              <w:rPr>
                <w:rFonts w:eastAsia="Calibri"/>
              </w:rPr>
              <w:t>15</w:t>
            </w:r>
          </w:p>
        </w:tc>
        <w:tc>
          <w:tcPr>
            <w:tcW w:w="433" w:type="pct"/>
            <w:noWrap/>
            <w:hideMark/>
          </w:tcPr>
          <w:p w:rsidR="007E191B" w:rsidRDefault="007E191B">
            <w:pPr>
              <w:suppressAutoHyphens w:val="0"/>
              <w:spacing w:after="200" w:line="276" w:lineRule="auto"/>
              <w:rPr>
                <w:rFonts w:eastAsia="Calibri"/>
              </w:rPr>
            </w:pPr>
            <w:r>
              <w:rPr>
                <w:rFonts w:eastAsia="Calibri"/>
              </w:rPr>
              <w:t>14</w:t>
            </w:r>
          </w:p>
        </w:tc>
        <w:tc>
          <w:tcPr>
            <w:tcW w:w="433" w:type="pct"/>
            <w:noWrap/>
            <w:hideMark/>
          </w:tcPr>
          <w:p w:rsidR="007E191B" w:rsidRDefault="007E191B">
            <w:pPr>
              <w:suppressAutoHyphens w:val="0"/>
              <w:spacing w:after="200" w:line="276" w:lineRule="auto"/>
              <w:rPr>
                <w:rFonts w:eastAsia="Calibri"/>
              </w:rPr>
            </w:pPr>
            <w:r>
              <w:rPr>
                <w:rFonts w:eastAsia="Calibri"/>
              </w:rPr>
              <w:t>9</w:t>
            </w:r>
          </w:p>
        </w:tc>
        <w:tc>
          <w:tcPr>
            <w:tcW w:w="433" w:type="pct"/>
            <w:noWrap/>
            <w:hideMark/>
          </w:tcPr>
          <w:p w:rsidR="007E191B" w:rsidRDefault="007E191B">
            <w:pPr>
              <w:suppressAutoHyphens w:val="0"/>
              <w:spacing w:after="200" w:line="276" w:lineRule="auto"/>
              <w:rPr>
                <w:rFonts w:eastAsia="Calibri"/>
              </w:rPr>
            </w:pPr>
            <w:r>
              <w:rPr>
                <w:rFonts w:eastAsia="Calibri"/>
              </w:rPr>
              <w:t>10</w:t>
            </w:r>
          </w:p>
        </w:tc>
        <w:tc>
          <w:tcPr>
            <w:tcW w:w="433" w:type="pct"/>
            <w:noWrap/>
            <w:hideMark/>
          </w:tcPr>
          <w:p w:rsidR="007E191B" w:rsidRDefault="007E191B">
            <w:pPr>
              <w:suppressAutoHyphens w:val="0"/>
              <w:spacing w:after="200" w:line="276" w:lineRule="auto"/>
              <w:rPr>
                <w:rFonts w:eastAsia="Calibri"/>
              </w:rPr>
            </w:pPr>
            <w:r>
              <w:rPr>
                <w:rFonts w:eastAsia="Calibri"/>
              </w:rPr>
              <w:t>12</w:t>
            </w:r>
          </w:p>
        </w:tc>
      </w:tr>
      <w:tr w:rsidR="007E191B" w:rsidTr="00E53066">
        <w:trPr>
          <w:trHeight w:val="540"/>
        </w:trPr>
        <w:tc>
          <w:tcPr>
            <w:tcW w:w="1970" w:type="pct"/>
            <w:noWrap/>
            <w:hideMark/>
          </w:tcPr>
          <w:p w:rsidR="007E191B" w:rsidRDefault="007E191B">
            <w:pPr>
              <w:suppressAutoHyphens w:val="0"/>
              <w:spacing w:after="200" w:line="276" w:lineRule="auto"/>
              <w:rPr>
                <w:rFonts w:eastAsia="Calibri"/>
              </w:rPr>
            </w:pPr>
            <w:r>
              <w:rPr>
                <w:rFonts w:eastAsia="Calibri"/>
              </w:rPr>
              <w:t>Centra sociálně rehabilitačních služeb*</w:t>
            </w:r>
            <w:r w:rsidR="00E53066">
              <w:rPr>
                <w:rFonts w:eastAsia="Calibri"/>
              </w:rPr>
              <w:t>*</w:t>
            </w:r>
          </w:p>
        </w:tc>
        <w:tc>
          <w:tcPr>
            <w:tcW w:w="433" w:type="pct"/>
            <w:noWrap/>
            <w:hideMark/>
          </w:tcPr>
          <w:p w:rsidR="007E191B" w:rsidRDefault="007E191B">
            <w:pPr>
              <w:suppressAutoHyphens w:val="0"/>
              <w:spacing w:after="200" w:line="276" w:lineRule="auto"/>
              <w:rPr>
                <w:rFonts w:eastAsia="Calibri"/>
              </w:rPr>
            </w:pPr>
            <w:r>
              <w:rPr>
                <w:rFonts w:eastAsia="Calibri"/>
              </w:rPr>
              <w:t>706</w:t>
            </w:r>
          </w:p>
        </w:tc>
        <w:tc>
          <w:tcPr>
            <w:tcW w:w="433" w:type="pct"/>
            <w:noWrap/>
            <w:hideMark/>
          </w:tcPr>
          <w:p w:rsidR="007E191B" w:rsidRDefault="007E191B">
            <w:pPr>
              <w:suppressAutoHyphens w:val="0"/>
              <w:spacing w:after="200" w:line="276" w:lineRule="auto"/>
              <w:rPr>
                <w:rFonts w:eastAsia="Calibri"/>
              </w:rPr>
            </w:pPr>
            <w:r>
              <w:rPr>
                <w:rFonts w:eastAsia="Calibri"/>
              </w:rPr>
              <w:t>566</w:t>
            </w:r>
          </w:p>
        </w:tc>
        <w:tc>
          <w:tcPr>
            <w:tcW w:w="433" w:type="pct"/>
            <w:noWrap/>
            <w:hideMark/>
          </w:tcPr>
          <w:p w:rsidR="007E191B" w:rsidRDefault="007E191B">
            <w:pPr>
              <w:suppressAutoHyphens w:val="0"/>
              <w:spacing w:after="200" w:line="276" w:lineRule="auto"/>
              <w:rPr>
                <w:rFonts w:eastAsia="Calibri"/>
              </w:rPr>
            </w:pPr>
            <w:r>
              <w:rPr>
                <w:rFonts w:eastAsia="Calibri"/>
              </w:rPr>
              <w:t>361</w:t>
            </w:r>
          </w:p>
        </w:tc>
        <w:tc>
          <w:tcPr>
            <w:tcW w:w="433" w:type="pct"/>
            <w:noWrap/>
            <w:hideMark/>
          </w:tcPr>
          <w:p w:rsidR="007E191B" w:rsidRDefault="007E191B">
            <w:pPr>
              <w:suppressAutoHyphens w:val="0"/>
              <w:spacing w:after="200" w:line="276" w:lineRule="auto"/>
              <w:rPr>
                <w:rFonts w:eastAsia="Calibri"/>
              </w:rPr>
            </w:pPr>
            <w:r>
              <w:rPr>
                <w:rFonts w:eastAsia="Calibri"/>
              </w:rPr>
              <w:t>233</w:t>
            </w:r>
          </w:p>
        </w:tc>
        <w:tc>
          <w:tcPr>
            <w:tcW w:w="433" w:type="pct"/>
            <w:noWrap/>
            <w:hideMark/>
          </w:tcPr>
          <w:p w:rsidR="007E191B" w:rsidRDefault="007E191B">
            <w:pPr>
              <w:suppressAutoHyphens w:val="0"/>
              <w:spacing w:after="200" w:line="276" w:lineRule="auto"/>
              <w:rPr>
                <w:rFonts w:eastAsia="Calibri"/>
              </w:rPr>
            </w:pPr>
            <w:r>
              <w:rPr>
                <w:rFonts w:eastAsia="Calibri"/>
              </w:rPr>
              <w:t>308</w:t>
            </w:r>
          </w:p>
        </w:tc>
        <w:tc>
          <w:tcPr>
            <w:tcW w:w="433" w:type="pct"/>
            <w:noWrap/>
            <w:hideMark/>
          </w:tcPr>
          <w:p w:rsidR="007E191B" w:rsidRDefault="007E191B">
            <w:pPr>
              <w:suppressAutoHyphens w:val="0"/>
              <w:spacing w:after="200" w:line="276" w:lineRule="auto"/>
              <w:rPr>
                <w:rFonts w:eastAsia="Calibri"/>
              </w:rPr>
            </w:pPr>
            <w:r>
              <w:rPr>
                <w:rFonts w:eastAsia="Calibri"/>
              </w:rPr>
              <w:t>166</w:t>
            </w:r>
          </w:p>
        </w:tc>
        <w:tc>
          <w:tcPr>
            <w:tcW w:w="433" w:type="pct"/>
            <w:noWrap/>
            <w:hideMark/>
          </w:tcPr>
          <w:p w:rsidR="007E191B" w:rsidRDefault="007E191B">
            <w:pPr>
              <w:suppressAutoHyphens w:val="0"/>
              <w:spacing w:after="200" w:line="276" w:lineRule="auto"/>
              <w:rPr>
                <w:rFonts w:eastAsia="Calibri"/>
              </w:rPr>
            </w:pPr>
            <w:r>
              <w:rPr>
                <w:rFonts w:eastAsia="Calibri"/>
              </w:rPr>
              <w:t>201</w:t>
            </w:r>
          </w:p>
        </w:tc>
      </w:tr>
      <w:tr w:rsidR="007E191B" w:rsidTr="00E53066">
        <w:trPr>
          <w:trHeight w:val="540"/>
        </w:trPr>
        <w:tc>
          <w:tcPr>
            <w:tcW w:w="1970" w:type="pct"/>
            <w:noWrap/>
            <w:hideMark/>
          </w:tcPr>
          <w:p w:rsidR="007E191B" w:rsidRDefault="007E191B">
            <w:pPr>
              <w:suppressAutoHyphens w:val="0"/>
              <w:spacing w:after="200" w:line="276" w:lineRule="auto"/>
              <w:rPr>
                <w:rFonts w:eastAsia="Calibri"/>
              </w:rPr>
            </w:pPr>
            <w:r>
              <w:rPr>
                <w:rFonts w:eastAsia="Calibri"/>
              </w:rPr>
              <w:t>Služby následné péče*</w:t>
            </w:r>
            <w:r w:rsidR="00E53066">
              <w:rPr>
                <w:rFonts w:eastAsia="Calibri"/>
              </w:rPr>
              <w:t>*</w:t>
            </w:r>
          </w:p>
        </w:tc>
        <w:tc>
          <w:tcPr>
            <w:tcW w:w="433" w:type="pct"/>
            <w:noWrap/>
            <w:hideMark/>
          </w:tcPr>
          <w:p w:rsidR="007E191B" w:rsidRDefault="007E191B">
            <w:pPr>
              <w:suppressAutoHyphens w:val="0"/>
              <w:spacing w:after="200" w:line="276" w:lineRule="auto"/>
              <w:rPr>
                <w:rFonts w:eastAsia="Calibri"/>
              </w:rPr>
            </w:pPr>
            <w:r>
              <w:rPr>
                <w:rFonts w:eastAsia="Calibri"/>
              </w:rPr>
              <w:t>181</w:t>
            </w:r>
          </w:p>
        </w:tc>
        <w:tc>
          <w:tcPr>
            <w:tcW w:w="433" w:type="pct"/>
            <w:noWrap/>
            <w:hideMark/>
          </w:tcPr>
          <w:p w:rsidR="007E191B" w:rsidRDefault="007E191B">
            <w:pPr>
              <w:suppressAutoHyphens w:val="0"/>
              <w:spacing w:after="200" w:line="276" w:lineRule="auto"/>
              <w:rPr>
                <w:rFonts w:eastAsia="Calibri"/>
              </w:rPr>
            </w:pPr>
            <w:r>
              <w:rPr>
                <w:rFonts w:eastAsia="Calibri"/>
              </w:rPr>
              <w:t>179</w:t>
            </w:r>
          </w:p>
        </w:tc>
        <w:tc>
          <w:tcPr>
            <w:tcW w:w="433" w:type="pct"/>
            <w:noWrap/>
            <w:hideMark/>
          </w:tcPr>
          <w:p w:rsidR="007E191B" w:rsidRDefault="007E191B">
            <w:pPr>
              <w:suppressAutoHyphens w:val="0"/>
              <w:spacing w:after="200" w:line="276" w:lineRule="auto"/>
              <w:rPr>
                <w:rFonts w:eastAsia="Calibri"/>
              </w:rPr>
            </w:pPr>
            <w:r>
              <w:rPr>
                <w:rFonts w:eastAsia="Calibri"/>
              </w:rPr>
              <w:t>161</w:t>
            </w:r>
          </w:p>
        </w:tc>
        <w:tc>
          <w:tcPr>
            <w:tcW w:w="433" w:type="pct"/>
            <w:noWrap/>
            <w:hideMark/>
          </w:tcPr>
          <w:p w:rsidR="007E191B" w:rsidRDefault="007E191B">
            <w:pPr>
              <w:suppressAutoHyphens w:val="0"/>
              <w:spacing w:after="200" w:line="276" w:lineRule="auto"/>
              <w:rPr>
                <w:rFonts w:eastAsia="Calibri"/>
              </w:rPr>
            </w:pPr>
            <w:r>
              <w:rPr>
                <w:rFonts w:eastAsia="Calibri"/>
              </w:rPr>
              <w:t>177</w:t>
            </w:r>
          </w:p>
        </w:tc>
        <w:tc>
          <w:tcPr>
            <w:tcW w:w="433" w:type="pct"/>
            <w:noWrap/>
            <w:hideMark/>
          </w:tcPr>
          <w:p w:rsidR="007E191B" w:rsidRDefault="007E191B">
            <w:pPr>
              <w:suppressAutoHyphens w:val="0"/>
              <w:spacing w:after="200" w:line="276" w:lineRule="auto"/>
              <w:rPr>
                <w:rFonts w:eastAsia="Calibri"/>
              </w:rPr>
            </w:pPr>
            <w:r>
              <w:rPr>
                <w:rFonts w:eastAsia="Calibri"/>
              </w:rPr>
              <w:t>219</w:t>
            </w:r>
          </w:p>
        </w:tc>
        <w:tc>
          <w:tcPr>
            <w:tcW w:w="433" w:type="pct"/>
            <w:noWrap/>
            <w:hideMark/>
          </w:tcPr>
          <w:p w:rsidR="007E191B" w:rsidRDefault="007E191B">
            <w:pPr>
              <w:suppressAutoHyphens w:val="0"/>
              <w:spacing w:after="200" w:line="276" w:lineRule="auto"/>
              <w:rPr>
                <w:rFonts w:eastAsia="Calibri"/>
              </w:rPr>
            </w:pPr>
            <w:r>
              <w:rPr>
                <w:rFonts w:eastAsia="Calibri"/>
              </w:rPr>
              <w:t>215</w:t>
            </w:r>
          </w:p>
        </w:tc>
        <w:tc>
          <w:tcPr>
            <w:tcW w:w="433" w:type="pct"/>
            <w:noWrap/>
            <w:hideMark/>
          </w:tcPr>
          <w:p w:rsidR="007E191B" w:rsidRDefault="007E191B">
            <w:pPr>
              <w:suppressAutoHyphens w:val="0"/>
              <w:spacing w:after="200" w:line="276" w:lineRule="auto"/>
              <w:rPr>
                <w:rFonts w:eastAsia="Calibri"/>
              </w:rPr>
            </w:pPr>
            <w:r>
              <w:rPr>
                <w:rFonts w:eastAsia="Calibri"/>
              </w:rPr>
              <w:t>214</w:t>
            </w:r>
          </w:p>
        </w:tc>
      </w:tr>
      <w:tr w:rsidR="007E191B" w:rsidTr="00E53066">
        <w:trPr>
          <w:trHeight w:val="540"/>
        </w:trPr>
        <w:tc>
          <w:tcPr>
            <w:tcW w:w="1970" w:type="pct"/>
            <w:noWrap/>
            <w:hideMark/>
          </w:tcPr>
          <w:p w:rsidR="007E191B" w:rsidRDefault="007E191B">
            <w:pPr>
              <w:suppressAutoHyphens w:val="0"/>
              <w:spacing w:after="200" w:line="276" w:lineRule="auto"/>
              <w:rPr>
                <w:rFonts w:eastAsia="Calibri"/>
                <w:bCs/>
              </w:rPr>
            </w:pPr>
            <w:r>
              <w:rPr>
                <w:rFonts w:eastAsia="Calibri"/>
                <w:bCs/>
              </w:rPr>
              <w:t>CELKEM ČR</w:t>
            </w:r>
          </w:p>
        </w:tc>
        <w:tc>
          <w:tcPr>
            <w:tcW w:w="433" w:type="pct"/>
            <w:noWrap/>
            <w:hideMark/>
          </w:tcPr>
          <w:p w:rsidR="007E191B" w:rsidRDefault="007E191B">
            <w:pPr>
              <w:suppressAutoHyphens w:val="0"/>
              <w:spacing w:after="200" w:line="276" w:lineRule="auto"/>
              <w:rPr>
                <w:rFonts w:eastAsia="Calibri"/>
                <w:b/>
                <w:bCs/>
              </w:rPr>
            </w:pPr>
            <w:r>
              <w:rPr>
                <w:rFonts w:eastAsia="Calibri"/>
                <w:b/>
                <w:bCs/>
              </w:rPr>
              <w:t>71 570</w:t>
            </w:r>
          </w:p>
        </w:tc>
        <w:tc>
          <w:tcPr>
            <w:tcW w:w="433" w:type="pct"/>
            <w:noWrap/>
            <w:hideMark/>
          </w:tcPr>
          <w:p w:rsidR="007E191B" w:rsidRDefault="007E191B">
            <w:pPr>
              <w:suppressAutoHyphens w:val="0"/>
              <w:spacing w:after="200" w:line="276" w:lineRule="auto"/>
              <w:rPr>
                <w:rFonts w:eastAsia="Calibri"/>
                <w:b/>
                <w:bCs/>
              </w:rPr>
            </w:pPr>
            <w:r>
              <w:rPr>
                <w:rFonts w:eastAsia="Calibri"/>
                <w:b/>
                <w:bCs/>
              </w:rPr>
              <w:t>72 618</w:t>
            </w:r>
          </w:p>
        </w:tc>
        <w:tc>
          <w:tcPr>
            <w:tcW w:w="433" w:type="pct"/>
            <w:noWrap/>
            <w:hideMark/>
          </w:tcPr>
          <w:p w:rsidR="007E191B" w:rsidRDefault="007E191B">
            <w:pPr>
              <w:suppressAutoHyphens w:val="0"/>
              <w:spacing w:after="200" w:line="276" w:lineRule="auto"/>
              <w:rPr>
                <w:rFonts w:eastAsia="Calibri"/>
                <w:b/>
                <w:bCs/>
              </w:rPr>
            </w:pPr>
            <w:r>
              <w:rPr>
                <w:rFonts w:eastAsia="Calibri"/>
                <w:b/>
                <w:bCs/>
              </w:rPr>
              <w:t>73 415</w:t>
            </w:r>
          </w:p>
        </w:tc>
        <w:tc>
          <w:tcPr>
            <w:tcW w:w="433" w:type="pct"/>
            <w:noWrap/>
            <w:hideMark/>
          </w:tcPr>
          <w:p w:rsidR="007E191B" w:rsidRDefault="007E191B">
            <w:pPr>
              <w:suppressAutoHyphens w:val="0"/>
              <w:spacing w:after="200" w:line="276" w:lineRule="auto"/>
              <w:rPr>
                <w:rFonts w:eastAsia="Calibri"/>
                <w:b/>
                <w:bCs/>
              </w:rPr>
            </w:pPr>
            <w:r>
              <w:rPr>
                <w:rFonts w:eastAsia="Calibri"/>
                <w:b/>
                <w:bCs/>
              </w:rPr>
              <w:t>75 212</w:t>
            </w:r>
          </w:p>
        </w:tc>
        <w:tc>
          <w:tcPr>
            <w:tcW w:w="433" w:type="pct"/>
            <w:noWrap/>
            <w:hideMark/>
          </w:tcPr>
          <w:p w:rsidR="007E191B" w:rsidRDefault="007E191B">
            <w:pPr>
              <w:suppressAutoHyphens w:val="0"/>
              <w:spacing w:after="200" w:line="276" w:lineRule="auto"/>
              <w:rPr>
                <w:rFonts w:eastAsia="Calibri"/>
                <w:b/>
                <w:bCs/>
              </w:rPr>
            </w:pPr>
            <w:r>
              <w:rPr>
                <w:rFonts w:eastAsia="Calibri"/>
                <w:b/>
                <w:bCs/>
              </w:rPr>
              <w:t>76 148</w:t>
            </w:r>
          </w:p>
        </w:tc>
        <w:tc>
          <w:tcPr>
            <w:tcW w:w="433" w:type="pct"/>
            <w:noWrap/>
            <w:hideMark/>
          </w:tcPr>
          <w:p w:rsidR="007E191B" w:rsidRDefault="007E191B">
            <w:pPr>
              <w:suppressAutoHyphens w:val="0"/>
              <w:spacing w:after="200" w:line="276" w:lineRule="auto"/>
              <w:rPr>
                <w:rFonts w:eastAsia="Calibri"/>
                <w:b/>
                <w:bCs/>
              </w:rPr>
            </w:pPr>
            <w:r>
              <w:rPr>
                <w:rFonts w:eastAsia="Calibri"/>
                <w:b/>
                <w:bCs/>
              </w:rPr>
              <w:t>76 819</w:t>
            </w:r>
          </w:p>
        </w:tc>
        <w:tc>
          <w:tcPr>
            <w:tcW w:w="433" w:type="pct"/>
            <w:noWrap/>
            <w:hideMark/>
          </w:tcPr>
          <w:p w:rsidR="007E191B" w:rsidRDefault="007E191B">
            <w:pPr>
              <w:suppressAutoHyphens w:val="0"/>
              <w:spacing w:after="200" w:line="276" w:lineRule="auto"/>
              <w:rPr>
                <w:rFonts w:eastAsia="Calibri"/>
                <w:b/>
                <w:bCs/>
              </w:rPr>
            </w:pPr>
            <w:r>
              <w:rPr>
                <w:rFonts w:eastAsia="Calibri"/>
                <w:b/>
                <w:bCs/>
              </w:rPr>
              <w:t>77 547</w:t>
            </w:r>
          </w:p>
        </w:tc>
      </w:tr>
    </w:tbl>
    <w:p w:rsidR="00C26226" w:rsidRDefault="00E53066" w:rsidP="00C26226">
      <w:pPr>
        <w:pStyle w:val="SingleTxtG"/>
      </w:pPr>
      <w:r>
        <w:t xml:space="preserve">* </w:t>
      </w:r>
      <w:r w:rsidR="00C26226">
        <w:t>Zdroj: MPSV</w:t>
      </w:r>
    </w:p>
    <w:p w:rsidR="006A34B4" w:rsidRDefault="00E53066" w:rsidP="00C26226">
      <w:pPr>
        <w:pStyle w:val="SingleTxtG"/>
      </w:pPr>
      <w:r>
        <w:t>*</w:t>
      </w:r>
      <w:r w:rsidR="00C26226">
        <w:t>* jedná se pouze o pobytovou formu dané sociální služby</w:t>
      </w:r>
    </w:p>
    <w:p w:rsidR="00940093" w:rsidRPr="00524DAA" w:rsidRDefault="00940093" w:rsidP="001D4EF8">
      <w:pPr>
        <w:pStyle w:val="SingleTxtG"/>
      </w:pPr>
    </w:p>
    <w:p w:rsidR="00B3568B" w:rsidRPr="003F25F4" w:rsidRDefault="00B3568B" w:rsidP="00B3568B">
      <w:pPr>
        <w:pStyle w:val="H1G"/>
      </w:pPr>
      <w:r w:rsidRPr="00524DAA">
        <w:tab/>
      </w:r>
      <w:r w:rsidRPr="00524DAA">
        <w:tab/>
        <w:t>Odpověď na otázku č. 16 b)</w:t>
      </w:r>
    </w:p>
    <w:p w:rsidR="000C582C" w:rsidRDefault="008765DC" w:rsidP="00AA5B3F">
      <w:pPr>
        <w:pStyle w:val="SingleTxtG"/>
      </w:pPr>
      <w:r>
        <w:t>1</w:t>
      </w:r>
      <w:r w:rsidR="00A87C04">
        <w:t>9</w:t>
      </w:r>
      <w:r w:rsidR="008E2078">
        <w:t>1</w:t>
      </w:r>
      <w:r>
        <w:t>.</w:t>
      </w:r>
      <w:r w:rsidR="000C582C">
        <w:tab/>
      </w:r>
      <w:r w:rsidR="000C582C" w:rsidRPr="000C582C">
        <w:t xml:space="preserve">Podpora transformace </w:t>
      </w:r>
      <w:r w:rsidR="00A86FC2">
        <w:t xml:space="preserve">pobytových služeb pro osoby se ZP </w:t>
      </w:r>
      <w:r w:rsidR="000C582C" w:rsidRPr="000C582C">
        <w:t xml:space="preserve">probíhá </w:t>
      </w:r>
      <w:r w:rsidR="00B9706F">
        <w:t xml:space="preserve">mj. v rámci </w:t>
      </w:r>
      <w:r w:rsidR="000C582C" w:rsidRPr="000C582C">
        <w:t>systémové</w:t>
      </w:r>
      <w:r w:rsidR="00F13DF1">
        <w:t>ho</w:t>
      </w:r>
      <w:r w:rsidR="000C582C" w:rsidRPr="000C582C">
        <w:t xml:space="preserve"> projektu MPSV </w:t>
      </w:r>
      <w:r w:rsidR="00487FF4">
        <w:t>„</w:t>
      </w:r>
      <w:r w:rsidR="000C582C" w:rsidRPr="000C582C">
        <w:t>Život jako každý jiný</w:t>
      </w:r>
      <w:r w:rsidR="00487FF4">
        <w:t>“</w:t>
      </w:r>
      <w:r w:rsidR="000C582C" w:rsidRPr="000C582C">
        <w:t xml:space="preserve"> </w:t>
      </w:r>
      <w:r w:rsidR="00465EA7">
        <w:t xml:space="preserve">prostřednictvím </w:t>
      </w:r>
      <w:r w:rsidR="000C582C" w:rsidRPr="000C582C">
        <w:t>metodick</w:t>
      </w:r>
      <w:r w:rsidR="00465EA7">
        <w:t>ých</w:t>
      </w:r>
      <w:r w:rsidR="0092607B">
        <w:br/>
      </w:r>
      <w:r w:rsidR="000C582C" w:rsidRPr="000C582C">
        <w:t>a vzdělávací</w:t>
      </w:r>
      <w:r w:rsidR="00465EA7">
        <w:t>ch</w:t>
      </w:r>
      <w:r w:rsidR="000C582C" w:rsidRPr="000C582C">
        <w:t xml:space="preserve"> akc</w:t>
      </w:r>
      <w:r w:rsidR="00465EA7">
        <w:t>í</w:t>
      </w:r>
      <w:r w:rsidR="000C582C" w:rsidRPr="000C582C">
        <w:t xml:space="preserve"> (metodické dny, konzultace, diskuzní setkání, semináře), dále kulat</w:t>
      </w:r>
      <w:r w:rsidR="00465EA7">
        <w:t>ých</w:t>
      </w:r>
      <w:r w:rsidR="000C582C" w:rsidRPr="000C582C">
        <w:t xml:space="preserve"> stol</w:t>
      </w:r>
      <w:r w:rsidR="00465EA7">
        <w:t>ů</w:t>
      </w:r>
      <w:r w:rsidR="000C582C" w:rsidRPr="000C582C">
        <w:t>, osvětov</w:t>
      </w:r>
      <w:r w:rsidR="00465EA7">
        <w:t>é</w:t>
      </w:r>
      <w:r w:rsidR="000C582C" w:rsidRPr="000C582C">
        <w:t xml:space="preserve"> činnost</w:t>
      </w:r>
      <w:r w:rsidR="00465EA7">
        <w:t>i</w:t>
      </w:r>
      <w:r w:rsidR="000C582C" w:rsidRPr="000C582C">
        <w:t xml:space="preserve"> a tvorb</w:t>
      </w:r>
      <w:r w:rsidR="00ED32D9">
        <w:t>y</w:t>
      </w:r>
      <w:r w:rsidR="000C582C" w:rsidRPr="000C582C">
        <w:t xml:space="preserve"> analýz. V roce 2018 bylo </w:t>
      </w:r>
      <w:r w:rsidR="00B9706F">
        <w:t xml:space="preserve">např. </w:t>
      </w:r>
      <w:r w:rsidR="000C582C" w:rsidRPr="000C582C">
        <w:t xml:space="preserve">realizováno </w:t>
      </w:r>
      <w:r w:rsidR="00B9706F">
        <w:t xml:space="preserve">celkem </w:t>
      </w:r>
      <w:r w:rsidR="000C582C" w:rsidRPr="000C582C">
        <w:t xml:space="preserve">43 metodických dnů, 19 seminářů, 5 diskuzních setkání a </w:t>
      </w:r>
      <w:r w:rsidR="0092607B">
        <w:t>17 konzultací na témata spojená</w:t>
      </w:r>
      <w:r w:rsidR="0092607B">
        <w:br/>
      </w:r>
      <w:r w:rsidR="000C582C" w:rsidRPr="000C582C">
        <w:t xml:space="preserve">s transformací sociálních služeb. Dále </w:t>
      </w:r>
      <w:r w:rsidR="002F3DBA">
        <w:t xml:space="preserve">jsou </w:t>
      </w:r>
      <w:r w:rsidR="000C582C" w:rsidRPr="000C582C">
        <w:t>poskytovány konzultace telefonicky a emailem, a to zejména k transformačním plánům zařízení a k problematice Kritérií sociálních služeb komunitního charakteru a kritérií transformace a deinstitucionalizace.</w:t>
      </w:r>
    </w:p>
    <w:p w:rsidR="00856F49" w:rsidRPr="00524DAA" w:rsidRDefault="008765DC" w:rsidP="00AA5B3F">
      <w:pPr>
        <w:pStyle w:val="SingleTxtG"/>
      </w:pPr>
      <w:r>
        <w:lastRenderedPageBreak/>
        <w:t>1</w:t>
      </w:r>
      <w:r w:rsidR="00A87C04">
        <w:t>9</w:t>
      </w:r>
      <w:r w:rsidR="008E2078">
        <w:t>2</w:t>
      </w:r>
      <w:r>
        <w:t>.</w:t>
      </w:r>
      <w:r w:rsidR="00856F49" w:rsidRPr="00524DAA">
        <w:tab/>
      </w:r>
      <w:r w:rsidR="00470342" w:rsidRPr="00524DAA">
        <w:t>V</w:t>
      </w:r>
      <w:r w:rsidR="00856F49" w:rsidRPr="00524DAA">
        <w:t xml:space="preserve"> období </w:t>
      </w:r>
      <w:r w:rsidR="00470342" w:rsidRPr="00524DAA">
        <w:t xml:space="preserve">od října </w:t>
      </w:r>
      <w:r w:rsidR="00856F49" w:rsidRPr="00524DAA">
        <w:t xml:space="preserve">2016 </w:t>
      </w:r>
      <w:r w:rsidR="00470342" w:rsidRPr="00524DAA">
        <w:t xml:space="preserve">do června </w:t>
      </w:r>
      <w:r w:rsidR="00856F49" w:rsidRPr="00524DAA">
        <w:t xml:space="preserve">2019 realizovalo </w:t>
      </w:r>
      <w:r w:rsidR="00470342" w:rsidRPr="00524DAA">
        <w:t xml:space="preserve">MPSV </w:t>
      </w:r>
      <w:r w:rsidR="00856F49" w:rsidRPr="00524DAA">
        <w:t>individuální projekt „Systémový rozvoj a podpora nástrojů sociálně-právní ochrany“, financovaný z</w:t>
      </w:r>
      <w:r w:rsidR="0036283D">
        <w:t xml:space="preserve"> prostředků </w:t>
      </w:r>
      <w:r w:rsidR="00856F49" w:rsidRPr="00524DAA">
        <w:t>OPZ</w:t>
      </w:r>
      <w:r w:rsidR="003F67E2">
        <w:t>,</w:t>
      </w:r>
      <w:r w:rsidR="00470342" w:rsidRPr="00524DAA">
        <w:t xml:space="preserve"> </w:t>
      </w:r>
      <w:r w:rsidR="00856F49" w:rsidRPr="00524DAA">
        <w:t xml:space="preserve">s celkovým rozpočtem ve výši 326 mil. Kč. Jednou z jeho klíčových aktivit byla KA č. 1 Podpora a rozvoj služeb v oblasti </w:t>
      </w:r>
      <w:r w:rsidR="00F1409F">
        <w:t>SPOD</w:t>
      </w:r>
      <w:r w:rsidR="00856F49" w:rsidRPr="00524DAA">
        <w:t>, jejímž cílem byla podpora síťování služeb pro práci s dětmi a ro</w:t>
      </w:r>
      <w:r w:rsidR="0092607B">
        <w:t>dinami spolupracujícími s</w:t>
      </w:r>
      <w:r w:rsidR="00B2729D">
        <w:t> </w:t>
      </w:r>
      <w:r w:rsidR="0092607B">
        <w:t>OSPOD</w:t>
      </w:r>
      <w:r w:rsidR="00B2729D">
        <w:t xml:space="preserve"> </w:t>
      </w:r>
      <w:r w:rsidR="00856F49" w:rsidRPr="00524DAA">
        <w:t>s důrazem na systémovost, návaznost a</w:t>
      </w:r>
      <w:r w:rsidR="007B79A5">
        <w:t> </w:t>
      </w:r>
      <w:r w:rsidR="00856F49" w:rsidRPr="00524DAA">
        <w:t>provázanost služeb a jejich preventivní charakter. Záměrem bylo, aby na místní úrovni v</w:t>
      </w:r>
      <w:r w:rsidR="007B79A5">
        <w:t> </w:t>
      </w:r>
      <w:r w:rsidR="00856F49" w:rsidRPr="00524DAA">
        <w:t>komunitě rodiny byla dostupná síť služeb, které budou reagovat na široké spektrum potřeb (vč</w:t>
      </w:r>
      <w:r w:rsidR="00840296" w:rsidRPr="00524DAA">
        <w:t>.</w:t>
      </w:r>
      <w:r w:rsidR="00856F49" w:rsidRPr="00524DAA">
        <w:t xml:space="preserve"> potřeb dětí se </w:t>
      </w:r>
      <w:r w:rsidR="00840296" w:rsidRPr="00524DAA">
        <w:t>ZP</w:t>
      </w:r>
      <w:r w:rsidR="00856F49" w:rsidRPr="00524DAA">
        <w:t xml:space="preserve">), a umožní dětem vyrůstat </w:t>
      </w:r>
      <w:r w:rsidR="0036283D">
        <w:t xml:space="preserve">především </w:t>
      </w:r>
      <w:r w:rsidR="00856F49" w:rsidRPr="00524DAA">
        <w:t>doma v péči je</w:t>
      </w:r>
      <w:r w:rsidR="00840296" w:rsidRPr="00524DAA">
        <w:t xml:space="preserve">jich </w:t>
      </w:r>
      <w:r w:rsidR="00856F49" w:rsidRPr="00524DAA">
        <w:t>rodičů. Cílem projektu bylo také naučit územní samosprávné celky ve spolupráci s</w:t>
      </w:r>
      <w:r w:rsidR="007B79A5">
        <w:t> </w:t>
      </w:r>
      <w:r w:rsidR="00856F49" w:rsidRPr="00524DAA">
        <w:t>poskytovateli služeb a se zapojením samotných cílových skupin plánovat, realizovat a</w:t>
      </w:r>
      <w:r w:rsidR="007B79A5">
        <w:t> </w:t>
      </w:r>
      <w:r w:rsidR="00856F49" w:rsidRPr="00524DAA">
        <w:t>vzájemně propojovat služby pro děti a jejich rodiny. Aktivita probíhala na území 11 ze 14 krajů ČR a bylo do ní zapojeno 124 obecních úřad</w:t>
      </w:r>
      <w:r w:rsidR="0092607B">
        <w:t>ů obcí</w:t>
      </w:r>
      <w:r w:rsidR="0092607B">
        <w:br/>
      </w:r>
      <w:r w:rsidR="00840296" w:rsidRPr="00524DAA">
        <w:t>s rozšířenou působností.</w:t>
      </w:r>
    </w:p>
    <w:p w:rsidR="00B3568B" w:rsidRPr="00524DAA" w:rsidRDefault="008765DC" w:rsidP="00856F49">
      <w:pPr>
        <w:pStyle w:val="SingleTxtG"/>
      </w:pPr>
      <w:r>
        <w:t>1</w:t>
      </w:r>
      <w:r w:rsidR="00A87C04">
        <w:t>9</w:t>
      </w:r>
      <w:r w:rsidR="008E2078">
        <w:t>3</w:t>
      </w:r>
      <w:r>
        <w:t>.</w:t>
      </w:r>
      <w:r w:rsidR="00840296" w:rsidRPr="00524DAA">
        <w:tab/>
      </w:r>
      <w:r w:rsidR="00856F49" w:rsidRPr="00524DAA">
        <w:t xml:space="preserve">Od </w:t>
      </w:r>
      <w:r w:rsidR="00840296" w:rsidRPr="00524DAA">
        <w:t xml:space="preserve">října </w:t>
      </w:r>
      <w:r w:rsidR="00856F49" w:rsidRPr="00524DAA">
        <w:t xml:space="preserve">2018 </w:t>
      </w:r>
      <w:r w:rsidR="00840296" w:rsidRPr="00524DAA">
        <w:t>do</w:t>
      </w:r>
      <w:r w:rsidR="00856F49" w:rsidRPr="00524DAA">
        <w:t xml:space="preserve"> </w:t>
      </w:r>
      <w:r w:rsidR="00840296" w:rsidRPr="00524DAA">
        <w:t xml:space="preserve">prosince </w:t>
      </w:r>
      <w:r w:rsidR="00856F49" w:rsidRPr="00524DAA">
        <w:t>2021 realizuje MPSV další individuální projekt „Podpora systémových změn v oblasti služeb péče o ohrožené děti, mladé lidi a rodiny v ČR“</w:t>
      </w:r>
      <w:r w:rsidR="003F67E2">
        <w:t>,</w:t>
      </w:r>
      <w:r w:rsidR="00856F49" w:rsidRPr="00524DAA">
        <w:t xml:space="preserve"> financovaný z</w:t>
      </w:r>
      <w:r w:rsidR="0036283D">
        <w:t xml:space="preserve"> prostředků </w:t>
      </w:r>
      <w:r w:rsidR="00856F49" w:rsidRPr="00524DAA">
        <w:t>OPZ</w:t>
      </w:r>
      <w:r w:rsidR="00840296" w:rsidRPr="00524DAA">
        <w:t>,</w:t>
      </w:r>
      <w:r w:rsidR="00856F49" w:rsidRPr="00524DAA">
        <w:t xml:space="preserve"> s celkovým rozpočtem ve výši 73 mil. Kč. Ten </w:t>
      </w:r>
      <w:r w:rsidR="00840296" w:rsidRPr="00524DAA">
        <w:t xml:space="preserve">je </w:t>
      </w:r>
      <w:r w:rsidR="00856F49" w:rsidRPr="00524DAA">
        <w:t xml:space="preserve">založen na třech KA, jejichž cílem </w:t>
      </w:r>
      <w:r w:rsidR="00840296" w:rsidRPr="00524DAA">
        <w:t xml:space="preserve">je </w:t>
      </w:r>
      <w:r w:rsidR="00856F49" w:rsidRPr="00524DAA">
        <w:t>snížit počet dětí umístěných v institucionální péči, vč</w:t>
      </w:r>
      <w:r w:rsidR="00840296" w:rsidRPr="00524DAA">
        <w:t>.</w:t>
      </w:r>
      <w:r w:rsidR="00856F49" w:rsidRPr="00524DAA">
        <w:t xml:space="preserve"> dětí se </w:t>
      </w:r>
      <w:r w:rsidR="00840296" w:rsidRPr="00524DAA">
        <w:t>ZP</w:t>
      </w:r>
      <w:r w:rsidR="00856F49" w:rsidRPr="00524DAA">
        <w:t xml:space="preserve">. KA1 </w:t>
      </w:r>
      <w:r w:rsidR="00840296" w:rsidRPr="00524DAA">
        <w:t xml:space="preserve">je </w:t>
      </w:r>
      <w:r w:rsidR="00856F49" w:rsidRPr="00524DAA">
        <w:t>o vytvoření modelu sítě služeb v krajích ČR s důrazem na preventivní služby za účelem zajistit maximálnímu počtu dětí umístěných v ústavní péči, umožňuje-li to situace dítěte, zachování rodičovské péče, a tím přispět</w:t>
      </w:r>
      <w:r w:rsidR="0092607B">
        <w:t xml:space="preserve"> k celkovému snížení počtu dětí</w:t>
      </w:r>
      <w:r w:rsidR="0092607B">
        <w:br/>
      </w:r>
      <w:r w:rsidR="00856F49" w:rsidRPr="00524DAA">
        <w:t xml:space="preserve">v ústavní péči (k postupnému snižování kapacit jednotlivých zařízení pobytové péče o děti na krajské úrovni). KA2 </w:t>
      </w:r>
      <w:r w:rsidR="00840296" w:rsidRPr="00524DAA">
        <w:t>je</w:t>
      </w:r>
      <w:r w:rsidR="00856F49" w:rsidRPr="00524DAA">
        <w:t xml:space="preserve"> založena na provedení rev</w:t>
      </w:r>
      <w:r w:rsidR="0092607B">
        <w:t>ize strukturovaných vyhodnocení</w:t>
      </w:r>
      <w:r w:rsidR="0092607B">
        <w:br/>
      </w:r>
      <w:r w:rsidR="00856F49" w:rsidRPr="00524DAA">
        <w:t>a individuálních plánu ochrany dítěte u dětí, které jsou v d</w:t>
      </w:r>
      <w:r w:rsidR="0092607B">
        <w:t>obě realizace projektu umístěné</w:t>
      </w:r>
      <w:r w:rsidR="0092607B">
        <w:br/>
      </w:r>
      <w:r w:rsidR="00856F49" w:rsidRPr="00524DAA">
        <w:t xml:space="preserve">v ústavní výchově. Toto přehodnocení </w:t>
      </w:r>
      <w:r w:rsidR="00840296" w:rsidRPr="00524DAA">
        <w:t xml:space="preserve">bude </w:t>
      </w:r>
      <w:r w:rsidR="00856F49" w:rsidRPr="00524DAA">
        <w:t>sloužit k vytvoření meto</w:t>
      </w:r>
      <w:r w:rsidR="0092607B">
        <w:t>dického doporučení</w:t>
      </w:r>
      <w:r w:rsidR="0092607B">
        <w:br/>
      </w:r>
      <w:r w:rsidR="00856F49" w:rsidRPr="00524DAA">
        <w:t xml:space="preserve">k nastavení modelového postupu přehodnocení potřeb dětí v ústavní péči s cílem hledání možností jejich přemístění buď zpět do vlastní rodiny, či do NRP. KA3 je založena na vyhodnocení potřeb dětí v ústavní péči formou osobních návštěv těchto dětí a sledování toho, zda péče v zařízení naplňuje práva a potřeby těchto dětí. Výsledky návštěv by také měly směřovat ke stanovení rozsahu a obsahu služeb, které jsou potřebné k tomu, aby se mohly tyto děti vrátit zpět do vlastních či být umístěny do náhradních rodin. </w:t>
      </w:r>
      <w:r w:rsidR="00840296" w:rsidRPr="00524DAA">
        <w:t xml:space="preserve">KA se má </w:t>
      </w:r>
      <w:r w:rsidR="00856F49" w:rsidRPr="00524DAA">
        <w:t>soustředit také na děti do 7 let věku a omezení jejich umisťování do institucionální péče. Projekt se soustřed</w:t>
      </w:r>
      <w:r w:rsidR="00675DDB">
        <w:t>í</w:t>
      </w:r>
      <w:r w:rsidR="00856F49" w:rsidRPr="00524DAA">
        <w:t xml:space="preserve"> i na děti se </w:t>
      </w:r>
      <w:r w:rsidR="00840296" w:rsidRPr="00524DAA">
        <w:t xml:space="preserve">ZP </w:t>
      </w:r>
      <w:r w:rsidR="00856F49" w:rsidRPr="00524DAA">
        <w:t>v institucionální péči.</w:t>
      </w:r>
    </w:p>
    <w:p w:rsidR="00B3568B" w:rsidRDefault="00E6385E" w:rsidP="001D4EF8">
      <w:pPr>
        <w:pStyle w:val="SingleTxtG"/>
      </w:pPr>
      <w:r>
        <w:t>19</w:t>
      </w:r>
      <w:r w:rsidR="008E2078">
        <w:t>4</w:t>
      </w:r>
      <w:r w:rsidR="00BD5669">
        <w:t>.</w:t>
      </w:r>
      <w:r w:rsidR="00BD5669">
        <w:tab/>
      </w:r>
      <w:r w:rsidR="00D330A1">
        <w:t xml:space="preserve">V části </w:t>
      </w:r>
      <w:r w:rsidR="00D330A1" w:rsidRPr="00D330A1">
        <w:t>4.6 Nezávislý život</w:t>
      </w:r>
      <w:r w:rsidR="00D330A1">
        <w:t xml:space="preserve"> obsahuje Národní plán opatření směřující k podpoře </w:t>
      </w:r>
      <w:r w:rsidR="004E6442">
        <w:t xml:space="preserve">samostatného </w:t>
      </w:r>
      <w:r w:rsidR="00D330A1">
        <w:t>života osob se ZP v jejich přirozeném sociá</w:t>
      </w:r>
      <w:r w:rsidR="007D670A">
        <w:t>l</w:t>
      </w:r>
      <w:r w:rsidR="00D330A1">
        <w:t>ním prostředí.</w:t>
      </w:r>
      <w:r w:rsidR="00285EF4">
        <w:t xml:space="preserve"> Uvedená opatření zahrnují </w:t>
      </w:r>
      <w:r w:rsidR="00B4257D">
        <w:t xml:space="preserve">podporu </w:t>
      </w:r>
      <w:r w:rsidR="00397A9E">
        <w:t xml:space="preserve">a upřednostňování </w:t>
      </w:r>
      <w:r w:rsidR="00B4257D">
        <w:t>ambulantních a terénních sociálních služeb, vč</w:t>
      </w:r>
      <w:r w:rsidR="00397A9E">
        <w:t>.</w:t>
      </w:r>
      <w:r w:rsidR="00B4257D">
        <w:t xml:space="preserve"> pobytových služeb komunitního charakteru, </w:t>
      </w:r>
      <w:r w:rsidR="00AB086F">
        <w:t>pokračov</w:t>
      </w:r>
      <w:r w:rsidR="00397A9E">
        <w:t xml:space="preserve">ání </w:t>
      </w:r>
      <w:r w:rsidR="00AB086F">
        <w:t xml:space="preserve">v </w:t>
      </w:r>
      <w:r w:rsidR="006E2B47">
        <w:t>podpo</w:t>
      </w:r>
      <w:r w:rsidR="00AB086F">
        <w:t>ře</w:t>
      </w:r>
      <w:r w:rsidR="006E2B47">
        <w:t xml:space="preserve"> transformace pobytových sociálních služeb, </w:t>
      </w:r>
      <w:r w:rsidR="00227F90" w:rsidRPr="00227F90">
        <w:t>revi</w:t>
      </w:r>
      <w:r w:rsidR="00227F90">
        <w:t xml:space="preserve">zi </w:t>
      </w:r>
      <w:r w:rsidR="00227F90" w:rsidRPr="00227F90">
        <w:t>rámc</w:t>
      </w:r>
      <w:r w:rsidR="00227F90">
        <w:t>e</w:t>
      </w:r>
      <w:r w:rsidR="00227F90" w:rsidRPr="00227F90">
        <w:t xml:space="preserve"> pro poskytování a využití </w:t>
      </w:r>
      <w:proofErr w:type="spellStart"/>
      <w:r w:rsidR="00227F90" w:rsidRPr="00227F90">
        <w:t>asistivních</w:t>
      </w:r>
      <w:proofErr w:type="spellEnd"/>
      <w:r w:rsidR="00227F90" w:rsidRPr="00227F90">
        <w:t xml:space="preserve"> technologií a pomůcek pro osoby se </w:t>
      </w:r>
      <w:r w:rsidR="00227F90">
        <w:t xml:space="preserve">ZP </w:t>
      </w:r>
      <w:r w:rsidR="00227F90" w:rsidRPr="00227F90">
        <w:t>a souvisejících služeb pro zlepše</w:t>
      </w:r>
      <w:r w:rsidR="00227F90">
        <w:t xml:space="preserve">ní poskytování veřejných služeb, </w:t>
      </w:r>
      <w:r w:rsidR="00BA7341">
        <w:t xml:space="preserve">nastavení materiálně technického standardu sociálních služeb, </w:t>
      </w:r>
      <w:r w:rsidR="00704953">
        <w:t>realizaci projektu na podporu transformace pobytových sociálních služeb, p</w:t>
      </w:r>
      <w:r w:rsidR="00704953" w:rsidRPr="00704953">
        <w:t>odpor</w:t>
      </w:r>
      <w:r w:rsidR="00704953">
        <w:t xml:space="preserve">u </w:t>
      </w:r>
      <w:r w:rsidR="00704953" w:rsidRPr="00704953">
        <w:t>vzdělávání a</w:t>
      </w:r>
      <w:r w:rsidR="00704953">
        <w:t> </w:t>
      </w:r>
      <w:r w:rsidR="00704953" w:rsidRPr="00704953">
        <w:t>rozvoj</w:t>
      </w:r>
      <w:r w:rsidR="00704953">
        <w:t>e</w:t>
      </w:r>
      <w:r w:rsidR="00704953" w:rsidRPr="00704953">
        <w:t xml:space="preserve"> pracovníků působících v systému sociálních služeb</w:t>
      </w:r>
      <w:r w:rsidR="000A10F8">
        <w:t xml:space="preserve"> a p</w:t>
      </w:r>
      <w:r w:rsidR="000A10F8" w:rsidRPr="000A10F8">
        <w:t>odpor</w:t>
      </w:r>
      <w:r w:rsidR="000A10F8">
        <w:t xml:space="preserve">u </w:t>
      </w:r>
      <w:r w:rsidR="000A10F8" w:rsidRPr="000A10F8">
        <w:t xml:space="preserve">zázemí pro výkon sociální práce na obcích, zejména se zvláštním zřetelem na potřeby osob se </w:t>
      </w:r>
      <w:r w:rsidR="000A10F8">
        <w:t>ZP</w:t>
      </w:r>
      <w:r w:rsidR="00704953">
        <w:t xml:space="preserve">. </w:t>
      </w:r>
      <w:r w:rsidR="0081141F">
        <w:t xml:space="preserve">Informace o plnění uvedených opatření jsou obsaženy v odpovědích na </w:t>
      </w:r>
      <w:r w:rsidR="007B2F49">
        <w:t xml:space="preserve">jednotlivé </w:t>
      </w:r>
      <w:r w:rsidR="0081141F">
        <w:t>otázky</w:t>
      </w:r>
      <w:r w:rsidR="007B2F49">
        <w:t>.</w:t>
      </w:r>
    </w:p>
    <w:p w:rsidR="00BD5669" w:rsidRDefault="00BD5669" w:rsidP="001D4EF8">
      <w:pPr>
        <w:pStyle w:val="SingleTxtG"/>
      </w:pPr>
    </w:p>
    <w:p w:rsidR="00B3568B" w:rsidRPr="00AA5B3F" w:rsidRDefault="00B3568B" w:rsidP="00B3568B">
      <w:pPr>
        <w:pStyle w:val="H1G"/>
      </w:pPr>
      <w:r w:rsidRPr="00524DAA">
        <w:tab/>
      </w:r>
      <w:r w:rsidRPr="00524DAA">
        <w:tab/>
        <w:t>Odpověď na otázku č. 16 c)</w:t>
      </w:r>
    </w:p>
    <w:p w:rsidR="00396CCF" w:rsidRDefault="008765DC" w:rsidP="00396CCF">
      <w:pPr>
        <w:pStyle w:val="SingleTxtG"/>
      </w:pPr>
      <w:r>
        <w:t>1</w:t>
      </w:r>
      <w:r w:rsidR="00A87C04">
        <w:t>9</w:t>
      </w:r>
      <w:r w:rsidR="008E2078">
        <w:t>5</w:t>
      </w:r>
      <w:r>
        <w:t>.</w:t>
      </w:r>
      <w:r w:rsidR="00396CCF">
        <w:tab/>
        <w:t xml:space="preserve">Finanční podpora sociálních služeb umožňujících setrvání klienta v přirozeném prostředí je </w:t>
      </w:r>
      <w:r w:rsidR="00F13DF1">
        <w:t xml:space="preserve">stanovena </w:t>
      </w:r>
      <w:r w:rsidR="00396CCF">
        <w:t>jak v</w:t>
      </w:r>
      <w:r w:rsidR="001F48DE">
        <w:t xml:space="preserve"> rámci </w:t>
      </w:r>
      <w:r w:rsidR="00396CCF">
        <w:t>priorit dotační</w:t>
      </w:r>
      <w:r w:rsidR="00F13DF1">
        <w:t>c</w:t>
      </w:r>
      <w:r w:rsidR="00396CCF">
        <w:t xml:space="preserve">h řízení MPSV pro kraje a hl. město Prahu na zajištění dostupnosti sociálních služeb </w:t>
      </w:r>
      <w:r w:rsidR="00F13DF1">
        <w:t xml:space="preserve">pro jednotlivé </w:t>
      </w:r>
      <w:r w:rsidR="00396CCF">
        <w:t>rok</w:t>
      </w:r>
      <w:r w:rsidR="00F13DF1">
        <w:t>y</w:t>
      </w:r>
      <w:r w:rsidR="00396CCF">
        <w:t xml:space="preserve"> (</w:t>
      </w:r>
      <w:r w:rsidR="00F13DF1">
        <w:t xml:space="preserve">např. pro rok 2019: </w:t>
      </w:r>
      <w:r w:rsidR="00396CCF">
        <w:t>https://www.mpsv.cz/files/clanky/33882/Principy_a_priority_dotacniho_rizeni_pro_kraje_a_hlavni_mesto_Prahu_pro_rok_2019.pdf), tak v</w:t>
      </w:r>
      <w:r w:rsidR="001F48DE">
        <w:t xml:space="preserve"> rámci priorit </w:t>
      </w:r>
      <w:r w:rsidR="00396CCF">
        <w:t>dotační</w:t>
      </w:r>
      <w:r w:rsidR="00F13DF1">
        <w:t>ch</w:t>
      </w:r>
      <w:r w:rsidR="00396CCF">
        <w:t xml:space="preserve"> řízení pro sociální služby s nadregionální či celostátní působností pro </w:t>
      </w:r>
      <w:r w:rsidR="00F13DF1">
        <w:t xml:space="preserve">jednotlivé </w:t>
      </w:r>
      <w:r w:rsidR="00396CCF">
        <w:t>rok</w:t>
      </w:r>
      <w:r w:rsidR="00F13DF1">
        <w:t>y</w:t>
      </w:r>
      <w:r w:rsidR="00396CCF">
        <w:t xml:space="preserve"> </w:t>
      </w:r>
      <w:r w:rsidR="00F13DF1">
        <w:t xml:space="preserve">(např. </w:t>
      </w:r>
      <w:r w:rsidR="00396CCF">
        <w:t xml:space="preserve">2019 </w:t>
      </w:r>
      <w:hyperlink r:id="rId19" w:history="1">
        <w:r w:rsidR="00396CCF" w:rsidRPr="00431ABF">
          <w:rPr>
            <w:rStyle w:val="Hypertextovodkaz"/>
          </w:rPr>
          <w:t>https://www.mpsv.cz/files/clanky/34609/Principy_a_priority_dotacniho_rizeni_v_oblasti_podpory_poskytovani_socialnich_sluzeb_s_nadregionalni_ci_celostatni_pusobnosti_pro_rok_2019.pdf</w:t>
        </w:r>
      </w:hyperlink>
      <w:r w:rsidR="00396CCF">
        <w:t>).</w:t>
      </w:r>
      <w:r w:rsidR="00234474">
        <w:t xml:space="preserve"> </w:t>
      </w:r>
      <w:r w:rsidR="00396CCF">
        <w:t>Kontinuální a rostoucí dotační podporu těchto služeb lze ilustrovat následující tabulkou:</w:t>
      </w:r>
    </w:p>
    <w:tbl>
      <w:tblPr>
        <w:tblW w:w="10552" w:type="dxa"/>
        <w:tblInd w:w="-639" w:type="dxa"/>
        <w:tblCellMar>
          <w:left w:w="70" w:type="dxa"/>
          <w:right w:w="70" w:type="dxa"/>
        </w:tblCellMar>
        <w:tblLook w:val="04A0" w:firstRow="1" w:lastRow="0" w:firstColumn="1" w:lastColumn="0" w:noHBand="0" w:noVBand="1"/>
      </w:tblPr>
      <w:tblGrid>
        <w:gridCol w:w="1262"/>
        <w:gridCol w:w="585"/>
        <w:gridCol w:w="847"/>
        <w:gridCol w:w="708"/>
        <w:gridCol w:w="1004"/>
        <w:gridCol w:w="585"/>
        <w:gridCol w:w="1582"/>
        <w:gridCol w:w="585"/>
        <w:gridCol w:w="1559"/>
        <w:gridCol w:w="585"/>
        <w:gridCol w:w="1524"/>
      </w:tblGrid>
      <w:tr w:rsidR="003F25F4" w:rsidTr="00E53066">
        <w:trPr>
          <w:trHeight w:val="380"/>
        </w:trPr>
        <w:tc>
          <w:tcPr>
            <w:tcW w:w="10552" w:type="dxa"/>
            <w:gridSpan w:val="11"/>
            <w:tcBorders>
              <w:top w:val="single" w:sz="8" w:space="0" w:color="auto"/>
              <w:left w:val="single" w:sz="8" w:space="0" w:color="auto"/>
              <w:bottom w:val="single" w:sz="8" w:space="0" w:color="auto"/>
              <w:right w:val="single" w:sz="8" w:space="0" w:color="000000"/>
            </w:tcBorders>
            <w:shd w:val="clear" w:color="auto" w:fill="A6A6A6" w:themeFill="background1" w:themeFillShade="A6"/>
            <w:noWrap/>
            <w:vAlign w:val="center"/>
            <w:hideMark/>
          </w:tcPr>
          <w:p w:rsidR="003F25F4" w:rsidRPr="00E53066" w:rsidRDefault="003F25F4">
            <w:pPr>
              <w:spacing w:line="240" w:lineRule="auto"/>
              <w:jc w:val="center"/>
              <w:rPr>
                <w:b/>
                <w:bCs/>
                <w:color w:val="000000"/>
                <w:lang w:eastAsia="cs-CZ"/>
              </w:rPr>
            </w:pPr>
            <w:r w:rsidRPr="00E53066">
              <w:rPr>
                <w:b/>
                <w:bCs/>
                <w:color w:val="000000"/>
                <w:lang w:val="fr-FR" w:eastAsia="cs-CZ"/>
              </w:rPr>
              <w:lastRenderedPageBreak/>
              <w:t>Počty vybraných druhů sociálních služeb a výše dotace těmto službám v letech 2015-2019</w:t>
            </w:r>
          </w:p>
        </w:tc>
      </w:tr>
      <w:tr w:rsidR="003F25F4" w:rsidTr="00E53066">
        <w:trPr>
          <w:trHeight w:val="300"/>
        </w:trPr>
        <w:tc>
          <w:tcPr>
            <w:tcW w:w="988"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3F25F4" w:rsidRPr="00E53066" w:rsidRDefault="003F25F4">
            <w:pPr>
              <w:spacing w:line="240" w:lineRule="auto"/>
              <w:jc w:val="center"/>
              <w:rPr>
                <w:b/>
                <w:bCs/>
                <w:color w:val="000000"/>
                <w:lang w:eastAsia="cs-CZ"/>
              </w:rPr>
            </w:pPr>
            <w:r w:rsidRPr="00E53066">
              <w:rPr>
                <w:b/>
                <w:bCs/>
                <w:color w:val="000000"/>
                <w:lang w:val="fr-FR" w:eastAsia="cs-CZ"/>
              </w:rPr>
              <w:t>R</w:t>
            </w:r>
            <w:r w:rsidR="00E53066" w:rsidRPr="00E53066">
              <w:rPr>
                <w:b/>
                <w:bCs/>
                <w:color w:val="000000"/>
                <w:lang w:val="fr-FR" w:eastAsia="cs-CZ"/>
              </w:rPr>
              <w:t>ok</w:t>
            </w:r>
          </w:p>
        </w:tc>
        <w:tc>
          <w:tcPr>
            <w:tcW w:w="1432" w:type="dxa"/>
            <w:gridSpan w:val="2"/>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rsidR="003F25F4" w:rsidRPr="00E53066" w:rsidRDefault="003F25F4">
            <w:pPr>
              <w:spacing w:line="240" w:lineRule="auto"/>
              <w:jc w:val="center"/>
              <w:rPr>
                <w:b/>
                <w:bCs/>
                <w:color w:val="000000"/>
                <w:lang w:eastAsia="cs-CZ"/>
              </w:rPr>
            </w:pPr>
            <w:r w:rsidRPr="00E53066">
              <w:rPr>
                <w:b/>
                <w:bCs/>
                <w:color w:val="000000"/>
                <w:lang w:val="fr-FR" w:eastAsia="cs-CZ"/>
              </w:rPr>
              <w:t>2015</w:t>
            </w:r>
          </w:p>
        </w:tc>
        <w:tc>
          <w:tcPr>
            <w:tcW w:w="1712" w:type="dxa"/>
            <w:gridSpan w:val="2"/>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rsidR="003F25F4" w:rsidRPr="00E53066" w:rsidRDefault="003F25F4">
            <w:pPr>
              <w:spacing w:line="240" w:lineRule="auto"/>
              <w:jc w:val="center"/>
              <w:rPr>
                <w:b/>
                <w:bCs/>
                <w:color w:val="000000"/>
                <w:lang w:eastAsia="cs-CZ"/>
              </w:rPr>
            </w:pPr>
            <w:r w:rsidRPr="00E53066">
              <w:rPr>
                <w:b/>
                <w:bCs/>
                <w:color w:val="000000"/>
                <w:lang w:val="fr-FR" w:eastAsia="cs-CZ"/>
              </w:rPr>
              <w:t>2016</w:t>
            </w:r>
          </w:p>
        </w:tc>
        <w:tc>
          <w:tcPr>
            <w:tcW w:w="2167" w:type="dxa"/>
            <w:gridSpan w:val="2"/>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rsidR="003F25F4" w:rsidRPr="00E53066" w:rsidRDefault="003F25F4">
            <w:pPr>
              <w:spacing w:line="240" w:lineRule="auto"/>
              <w:jc w:val="center"/>
              <w:rPr>
                <w:b/>
                <w:bCs/>
                <w:color w:val="000000"/>
                <w:lang w:eastAsia="cs-CZ"/>
              </w:rPr>
            </w:pPr>
            <w:r w:rsidRPr="00E53066">
              <w:rPr>
                <w:b/>
                <w:bCs/>
                <w:color w:val="000000"/>
                <w:lang w:val="fr-FR" w:eastAsia="cs-CZ"/>
              </w:rPr>
              <w:t>2017</w:t>
            </w:r>
          </w:p>
        </w:tc>
        <w:tc>
          <w:tcPr>
            <w:tcW w:w="2144" w:type="dxa"/>
            <w:gridSpan w:val="2"/>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rsidR="003F25F4" w:rsidRPr="00E53066" w:rsidRDefault="003F25F4">
            <w:pPr>
              <w:spacing w:line="240" w:lineRule="auto"/>
              <w:jc w:val="center"/>
              <w:rPr>
                <w:b/>
                <w:bCs/>
                <w:color w:val="000000"/>
                <w:lang w:eastAsia="cs-CZ"/>
              </w:rPr>
            </w:pPr>
            <w:r w:rsidRPr="00E53066">
              <w:rPr>
                <w:b/>
                <w:bCs/>
                <w:color w:val="000000"/>
                <w:lang w:val="fr-FR" w:eastAsia="cs-CZ"/>
              </w:rPr>
              <w:t>2018</w:t>
            </w:r>
          </w:p>
        </w:tc>
        <w:tc>
          <w:tcPr>
            <w:tcW w:w="2109" w:type="dxa"/>
            <w:gridSpan w:val="2"/>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rsidR="003F25F4" w:rsidRPr="00E53066" w:rsidRDefault="003F25F4">
            <w:pPr>
              <w:spacing w:line="240" w:lineRule="auto"/>
              <w:jc w:val="center"/>
              <w:rPr>
                <w:b/>
                <w:bCs/>
                <w:color w:val="000000"/>
                <w:lang w:eastAsia="cs-CZ"/>
              </w:rPr>
            </w:pPr>
            <w:r w:rsidRPr="00E53066">
              <w:rPr>
                <w:b/>
                <w:bCs/>
                <w:color w:val="000000"/>
                <w:lang w:val="fr-FR" w:eastAsia="cs-CZ"/>
              </w:rPr>
              <w:t>2019</w:t>
            </w:r>
          </w:p>
        </w:tc>
      </w:tr>
      <w:tr w:rsidR="003F25F4" w:rsidTr="00774110">
        <w:trPr>
          <w:trHeight w:val="530"/>
        </w:trPr>
        <w:tc>
          <w:tcPr>
            <w:tcW w:w="988" w:type="dxa"/>
            <w:tcBorders>
              <w:top w:val="nil"/>
              <w:left w:val="single" w:sz="8" w:space="0" w:color="auto"/>
              <w:bottom w:val="single" w:sz="8" w:space="0" w:color="auto"/>
              <w:right w:val="single" w:sz="8" w:space="0" w:color="auto"/>
            </w:tcBorders>
            <w:vAlign w:val="center"/>
            <w:hideMark/>
          </w:tcPr>
          <w:p w:rsidR="003F25F4" w:rsidRDefault="003F25F4">
            <w:pPr>
              <w:spacing w:line="240" w:lineRule="auto"/>
              <w:jc w:val="center"/>
              <w:rPr>
                <w:color w:val="000000"/>
                <w:lang w:eastAsia="cs-CZ"/>
              </w:rPr>
            </w:pPr>
            <w:r>
              <w:rPr>
                <w:color w:val="000000"/>
                <w:lang w:val="fr-FR" w:eastAsia="cs-CZ"/>
              </w:rPr>
              <w:t>Druh služby</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center"/>
              <w:rPr>
                <w:color w:val="000000"/>
                <w:lang w:eastAsia="cs-CZ"/>
              </w:rPr>
            </w:pPr>
            <w:r>
              <w:rPr>
                <w:color w:val="000000"/>
                <w:lang w:val="fr-FR" w:eastAsia="cs-CZ"/>
              </w:rPr>
              <w:t>Počet</w:t>
            </w:r>
          </w:p>
        </w:tc>
        <w:tc>
          <w:tcPr>
            <w:tcW w:w="847" w:type="dxa"/>
            <w:tcBorders>
              <w:top w:val="nil"/>
              <w:left w:val="nil"/>
              <w:bottom w:val="single" w:sz="8" w:space="0" w:color="auto"/>
              <w:right w:val="single" w:sz="8" w:space="0" w:color="auto"/>
            </w:tcBorders>
            <w:noWrap/>
            <w:vAlign w:val="center"/>
            <w:hideMark/>
          </w:tcPr>
          <w:p w:rsidR="003F25F4" w:rsidRDefault="003F25F4">
            <w:pPr>
              <w:spacing w:line="240" w:lineRule="auto"/>
              <w:jc w:val="center"/>
              <w:rPr>
                <w:color w:val="000000"/>
                <w:lang w:eastAsia="cs-CZ"/>
              </w:rPr>
            </w:pPr>
            <w:r>
              <w:rPr>
                <w:color w:val="000000"/>
                <w:lang w:val="fr-FR" w:eastAsia="cs-CZ"/>
              </w:rPr>
              <w:t>Dotace</w:t>
            </w:r>
          </w:p>
        </w:tc>
        <w:tc>
          <w:tcPr>
            <w:tcW w:w="708" w:type="dxa"/>
            <w:tcBorders>
              <w:top w:val="nil"/>
              <w:left w:val="nil"/>
              <w:bottom w:val="single" w:sz="8" w:space="0" w:color="auto"/>
              <w:right w:val="single" w:sz="8" w:space="0" w:color="auto"/>
            </w:tcBorders>
            <w:noWrap/>
            <w:vAlign w:val="center"/>
            <w:hideMark/>
          </w:tcPr>
          <w:p w:rsidR="003F25F4" w:rsidRDefault="003F25F4">
            <w:pPr>
              <w:spacing w:line="240" w:lineRule="auto"/>
              <w:jc w:val="center"/>
              <w:rPr>
                <w:color w:val="000000"/>
                <w:lang w:eastAsia="cs-CZ"/>
              </w:rPr>
            </w:pPr>
            <w:r>
              <w:rPr>
                <w:color w:val="000000"/>
                <w:lang w:val="fr-FR" w:eastAsia="cs-CZ"/>
              </w:rPr>
              <w:t>Počet</w:t>
            </w:r>
          </w:p>
        </w:tc>
        <w:tc>
          <w:tcPr>
            <w:tcW w:w="1004" w:type="dxa"/>
            <w:tcBorders>
              <w:top w:val="nil"/>
              <w:left w:val="nil"/>
              <w:bottom w:val="single" w:sz="8" w:space="0" w:color="auto"/>
              <w:right w:val="single" w:sz="8" w:space="0" w:color="auto"/>
            </w:tcBorders>
            <w:noWrap/>
            <w:vAlign w:val="center"/>
            <w:hideMark/>
          </w:tcPr>
          <w:p w:rsidR="003F25F4" w:rsidRDefault="003F25F4">
            <w:pPr>
              <w:spacing w:line="240" w:lineRule="auto"/>
              <w:jc w:val="center"/>
              <w:rPr>
                <w:color w:val="000000"/>
                <w:lang w:eastAsia="cs-CZ"/>
              </w:rPr>
            </w:pPr>
            <w:r>
              <w:rPr>
                <w:color w:val="000000"/>
                <w:lang w:val="fr-FR" w:eastAsia="cs-CZ"/>
              </w:rPr>
              <w:t>Dotace</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center"/>
              <w:rPr>
                <w:color w:val="000000"/>
                <w:lang w:eastAsia="cs-CZ"/>
              </w:rPr>
            </w:pPr>
            <w:r>
              <w:rPr>
                <w:color w:val="000000"/>
                <w:lang w:val="fr-FR" w:eastAsia="cs-CZ"/>
              </w:rPr>
              <w:t>Počet</w:t>
            </w:r>
          </w:p>
        </w:tc>
        <w:tc>
          <w:tcPr>
            <w:tcW w:w="1582" w:type="dxa"/>
            <w:tcBorders>
              <w:top w:val="nil"/>
              <w:left w:val="nil"/>
              <w:bottom w:val="single" w:sz="8" w:space="0" w:color="auto"/>
              <w:right w:val="single" w:sz="8" w:space="0" w:color="auto"/>
            </w:tcBorders>
            <w:noWrap/>
            <w:vAlign w:val="center"/>
            <w:hideMark/>
          </w:tcPr>
          <w:p w:rsidR="003F25F4" w:rsidRDefault="003F25F4">
            <w:pPr>
              <w:spacing w:line="240" w:lineRule="auto"/>
              <w:jc w:val="center"/>
              <w:rPr>
                <w:color w:val="000000"/>
                <w:lang w:eastAsia="cs-CZ"/>
              </w:rPr>
            </w:pPr>
            <w:r>
              <w:rPr>
                <w:color w:val="000000"/>
                <w:lang w:val="fr-FR" w:eastAsia="cs-CZ"/>
              </w:rPr>
              <w:t>Dotace</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center"/>
              <w:rPr>
                <w:color w:val="000000"/>
                <w:lang w:eastAsia="cs-CZ"/>
              </w:rPr>
            </w:pPr>
            <w:r>
              <w:rPr>
                <w:color w:val="000000"/>
                <w:lang w:val="fr-FR" w:eastAsia="cs-CZ"/>
              </w:rPr>
              <w:t>Počet</w:t>
            </w:r>
          </w:p>
        </w:tc>
        <w:tc>
          <w:tcPr>
            <w:tcW w:w="1559" w:type="dxa"/>
            <w:tcBorders>
              <w:top w:val="nil"/>
              <w:left w:val="nil"/>
              <w:bottom w:val="single" w:sz="8" w:space="0" w:color="auto"/>
              <w:right w:val="single" w:sz="8" w:space="0" w:color="auto"/>
            </w:tcBorders>
            <w:noWrap/>
            <w:vAlign w:val="center"/>
            <w:hideMark/>
          </w:tcPr>
          <w:p w:rsidR="003F25F4" w:rsidRDefault="003F25F4">
            <w:pPr>
              <w:spacing w:line="240" w:lineRule="auto"/>
              <w:jc w:val="center"/>
              <w:rPr>
                <w:color w:val="000000"/>
                <w:lang w:eastAsia="cs-CZ"/>
              </w:rPr>
            </w:pPr>
            <w:r>
              <w:rPr>
                <w:color w:val="000000"/>
                <w:lang w:val="fr-FR" w:eastAsia="cs-CZ"/>
              </w:rPr>
              <w:t>Dotace</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center"/>
              <w:rPr>
                <w:color w:val="000000"/>
                <w:lang w:eastAsia="cs-CZ"/>
              </w:rPr>
            </w:pPr>
            <w:r>
              <w:rPr>
                <w:color w:val="000000"/>
                <w:lang w:val="fr-FR" w:eastAsia="cs-CZ"/>
              </w:rPr>
              <w:t>Počet</w:t>
            </w:r>
          </w:p>
        </w:tc>
        <w:tc>
          <w:tcPr>
            <w:tcW w:w="1524" w:type="dxa"/>
            <w:tcBorders>
              <w:top w:val="nil"/>
              <w:left w:val="nil"/>
              <w:bottom w:val="single" w:sz="8" w:space="0" w:color="auto"/>
              <w:right w:val="single" w:sz="8" w:space="0" w:color="auto"/>
            </w:tcBorders>
            <w:noWrap/>
            <w:vAlign w:val="center"/>
            <w:hideMark/>
          </w:tcPr>
          <w:p w:rsidR="003F25F4" w:rsidRDefault="003F25F4">
            <w:pPr>
              <w:spacing w:line="240" w:lineRule="auto"/>
              <w:jc w:val="center"/>
              <w:rPr>
                <w:color w:val="000000"/>
                <w:lang w:eastAsia="cs-CZ"/>
              </w:rPr>
            </w:pPr>
            <w:r>
              <w:rPr>
                <w:color w:val="000000"/>
                <w:lang w:val="fr-FR" w:eastAsia="cs-CZ"/>
              </w:rPr>
              <w:t>Dotace</w:t>
            </w:r>
          </w:p>
        </w:tc>
      </w:tr>
      <w:tr w:rsidR="003F25F4" w:rsidTr="00774110">
        <w:trPr>
          <w:trHeight w:val="530"/>
        </w:trPr>
        <w:tc>
          <w:tcPr>
            <w:tcW w:w="988" w:type="dxa"/>
            <w:tcBorders>
              <w:top w:val="nil"/>
              <w:left w:val="single" w:sz="8" w:space="0" w:color="auto"/>
              <w:bottom w:val="single" w:sz="8" w:space="0" w:color="auto"/>
              <w:right w:val="single" w:sz="8" w:space="0" w:color="auto"/>
            </w:tcBorders>
            <w:vAlign w:val="center"/>
            <w:hideMark/>
          </w:tcPr>
          <w:p w:rsidR="003F25F4" w:rsidRDefault="003F25F4">
            <w:pPr>
              <w:spacing w:line="240" w:lineRule="auto"/>
              <w:jc w:val="both"/>
              <w:rPr>
                <w:color w:val="000000"/>
                <w:lang w:eastAsia="cs-CZ"/>
              </w:rPr>
            </w:pPr>
            <w:r>
              <w:rPr>
                <w:color w:val="000000"/>
                <w:lang w:val="fr-FR" w:eastAsia="cs-CZ"/>
              </w:rPr>
              <w:t>osobní asistence</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208</w:t>
            </w:r>
          </w:p>
        </w:tc>
        <w:tc>
          <w:tcPr>
            <w:tcW w:w="847"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262 145 606 Kč</w:t>
            </w:r>
          </w:p>
        </w:tc>
        <w:tc>
          <w:tcPr>
            <w:tcW w:w="708"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204</w:t>
            </w:r>
          </w:p>
        </w:tc>
        <w:tc>
          <w:tcPr>
            <w:tcW w:w="1004"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285 664 131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197</w:t>
            </w:r>
          </w:p>
        </w:tc>
        <w:tc>
          <w:tcPr>
            <w:tcW w:w="1582"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396 453 753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186</w:t>
            </w:r>
          </w:p>
        </w:tc>
        <w:tc>
          <w:tcPr>
            <w:tcW w:w="1559"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532 905 083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186</w:t>
            </w:r>
          </w:p>
        </w:tc>
        <w:tc>
          <w:tcPr>
            <w:tcW w:w="1524"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557 259 641 Kč</w:t>
            </w:r>
          </w:p>
        </w:tc>
      </w:tr>
      <w:tr w:rsidR="003F25F4" w:rsidTr="00774110">
        <w:trPr>
          <w:trHeight w:val="530"/>
        </w:trPr>
        <w:tc>
          <w:tcPr>
            <w:tcW w:w="988" w:type="dxa"/>
            <w:tcBorders>
              <w:top w:val="nil"/>
              <w:left w:val="single" w:sz="8" w:space="0" w:color="auto"/>
              <w:bottom w:val="single" w:sz="8" w:space="0" w:color="auto"/>
              <w:right w:val="single" w:sz="8" w:space="0" w:color="auto"/>
            </w:tcBorders>
            <w:vAlign w:val="center"/>
            <w:hideMark/>
          </w:tcPr>
          <w:p w:rsidR="003F25F4" w:rsidRDefault="003F25F4">
            <w:pPr>
              <w:spacing w:line="240" w:lineRule="auto"/>
              <w:jc w:val="both"/>
              <w:rPr>
                <w:color w:val="000000"/>
                <w:lang w:eastAsia="cs-CZ"/>
              </w:rPr>
            </w:pPr>
            <w:r>
              <w:rPr>
                <w:color w:val="000000"/>
                <w:lang w:val="fr-FR" w:eastAsia="cs-CZ"/>
              </w:rPr>
              <w:t>pečovatelská služba</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635</w:t>
            </w:r>
          </w:p>
        </w:tc>
        <w:tc>
          <w:tcPr>
            <w:tcW w:w="847"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695 326 914 Kč</w:t>
            </w:r>
          </w:p>
        </w:tc>
        <w:tc>
          <w:tcPr>
            <w:tcW w:w="708"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632</w:t>
            </w:r>
          </w:p>
        </w:tc>
        <w:tc>
          <w:tcPr>
            <w:tcW w:w="1004"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778 405 183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632</w:t>
            </w:r>
          </w:p>
        </w:tc>
        <w:tc>
          <w:tcPr>
            <w:tcW w:w="1582"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1 079 498 127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635</w:t>
            </w:r>
          </w:p>
        </w:tc>
        <w:tc>
          <w:tcPr>
            <w:tcW w:w="1559"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1 492 878 157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638</w:t>
            </w:r>
          </w:p>
        </w:tc>
        <w:tc>
          <w:tcPr>
            <w:tcW w:w="1524"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1 549 596 334 Kč</w:t>
            </w:r>
          </w:p>
        </w:tc>
      </w:tr>
      <w:tr w:rsidR="003F25F4" w:rsidTr="00774110">
        <w:trPr>
          <w:trHeight w:val="1050"/>
        </w:trPr>
        <w:tc>
          <w:tcPr>
            <w:tcW w:w="988" w:type="dxa"/>
            <w:tcBorders>
              <w:top w:val="nil"/>
              <w:left w:val="single" w:sz="8" w:space="0" w:color="auto"/>
              <w:bottom w:val="single" w:sz="8" w:space="0" w:color="auto"/>
              <w:right w:val="single" w:sz="8" w:space="0" w:color="auto"/>
            </w:tcBorders>
            <w:vAlign w:val="center"/>
            <w:hideMark/>
          </w:tcPr>
          <w:p w:rsidR="003F25F4" w:rsidRDefault="003F25F4">
            <w:pPr>
              <w:spacing w:line="240" w:lineRule="auto"/>
              <w:jc w:val="both"/>
              <w:rPr>
                <w:color w:val="000000"/>
                <w:lang w:eastAsia="cs-CZ"/>
              </w:rPr>
            </w:pPr>
            <w:r>
              <w:rPr>
                <w:color w:val="000000"/>
                <w:lang w:val="fr-FR" w:eastAsia="cs-CZ"/>
              </w:rPr>
              <w:t>průvodcovské a předčitatelské služby</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15</w:t>
            </w:r>
          </w:p>
        </w:tc>
        <w:tc>
          <w:tcPr>
            <w:tcW w:w="847"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6 171 503 Kč</w:t>
            </w:r>
          </w:p>
        </w:tc>
        <w:tc>
          <w:tcPr>
            <w:tcW w:w="708"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15</w:t>
            </w:r>
          </w:p>
        </w:tc>
        <w:tc>
          <w:tcPr>
            <w:tcW w:w="1004"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7 062 760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14</w:t>
            </w:r>
          </w:p>
        </w:tc>
        <w:tc>
          <w:tcPr>
            <w:tcW w:w="1582"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9 128 152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14</w:t>
            </w:r>
          </w:p>
        </w:tc>
        <w:tc>
          <w:tcPr>
            <w:tcW w:w="1559"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10 935 793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13</w:t>
            </w:r>
          </w:p>
        </w:tc>
        <w:tc>
          <w:tcPr>
            <w:tcW w:w="1524"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11 556 001 Kč</w:t>
            </w:r>
          </w:p>
        </w:tc>
      </w:tr>
      <w:tr w:rsidR="003F25F4" w:rsidTr="00774110">
        <w:trPr>
          <w:trHeight w:val="530"/>
        </w:trPr>
        <w:tc>
          <w:tcPr>
            <w:tcW w:w="988" w:type="dxa"/>
            <w:tcBorders>
              <w:top w:val="nil"/>
              <w:left w:val="single" w:sz="8" w:space="0" w:color="auto"/>
              <w:bottom w:val="single" w:sz="8" w:space="0" w:color="auto"/>
              <w:right w:val="single" w:sz="8" w:space="0" w:color="auto"/>
            </w:tcBorders>
            <w:vAlign w:val="center"/>
            <w:hideMark/>
          </w:tcPr>
          <w:p w:rsidR="003F25F4" w:rsidRDefault="003F25F4">
            <w:pPr>
              <w:spacing w:line="240" w:lineRule="auto"/>
              <w:jc w:val="both"/>
              <w:rPr>
                <w:color w:val="000000"/>
                <w:lang w:eastAsia="cs-CZ"/>
              </w:rPr>
            </w:pPr>
            <w:r>
              <w:rPr>
                <w:color w:val="000000"/>
                <w:lang w:val="fr-FR" w:eastAsia="cs-CZ"/>
              </w:rPr>
              <w:t>tlumočnické služby</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26</w:t>
            </w:r>
          </w:p>
        </w:tc>
        <w:tc>
          <w:tcPr>
            <w:tcW w:w="847"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20 521 386 Kč</w:t>
            </w:r>
          </w:p>
        </w:tc>
        <w:tc>
          <w:tcPr>
            <w:tcW w:w="708"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29</w:t>
            </w:r>
          </w:p>
        </w:tc>
        <w:tc>
          <w:tcPr>
            <w:tcW w:w="1004"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24 853 819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28</w:t>
            </w:r>
          </w:p>
        </w:tc>
        <w:tc>
          <w:tcPr>
            <w:tcW w:w="1582"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34 912 460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27</w:t>
            </w:r>
          </w:p>
        </w:tc>
        <w:tc>
          <w:tcPr>
            <w:tcW w:w="1559"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44 105 639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26</w:t>
            </w:r>
          </w:p>
        </w:tc>
        <w:tc>
          <w:tcPr>
            <w:tcW w:w="1524"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49 401 746 Kč</w:t>
            </w:r>
          </w:p>
        </w:tc>
      </w:tr>
      <w:tr w:rsidR="003F25F4" w:rsidTr="00774110">
        <w:trPr>
          <w:trHeight w:val="530"/>
        </w:trPr>
        <w:tc>
          <w:tcPr>
            <w:tcW w:w="988" w:type="dxa"/>
            <w:tcBorders>
              <w:top w:val="nil"/>
              <w:left w:val="single" w:sz="8" w:space="0" w:color="auto"/>
              <w:bottom w:val="single" w:sz="8" w:space="0" w:color="auto"/>
              <w:right w:val="single" w:sz="8" w:space="0" w:color="auto"/>
            </w:tcBorders>
            <w:vAlign w:val="center"/>
            <w:hideMark/>
          </w:tcPr>
          <w:p w:rsidR="003F25F4" w:rsidRDefault="003F25F4">
            <w:pPr>
              <w:spacing w:line="240" w:lineRule="auto"/>
              <w:jc w:val="both"/>
              <w:rPr>
                <w:color w:val="000000"/>
                <w:lang w:eastAsia="cs-CZ"/>
              </w:rPr>
            </w:pPr>
            <w:r>
              <w:rPr>
                <w:color w:val="000000"/>
                <w:lang w:val="fr-FR" w:eastAsia="cs-CZ"/>
              </w:rPr>
              <w:t>Celkový součet</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884</w:t>
            </w:r>
          </w:p>
        </w:tc>
        <w:tc>
          <w:tcPr>
            <w:tcW w:w="847"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984 165 409 Kč</w:t>
            </w:r>
          </w:p>
        </w:tc>
        <w:tc>
          <w:tcPr>
            <w:tcW w:w="708"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880</w:t>
            </w:r>
          </w:p>
        </w:tc>
        <w:tc>
          <w:tcPr>
            <w:tcW w:w="1004"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1 095 985 893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871</w:t>
            </w:r>
          </w:p>
        </w:tc>
        <w:tc>
          <w:tcPr>
            <w:tcW w:w="1582"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val="fr-FR" w:eastAsia="cs-CZ"/>
              </w:rPr>
              <w:t>1 519 992 493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862</w:t>
            </w:r>
          </w:p>
        </w:tc>
        <w:tc>
          <w:tcPr>
            <w:tcW w:w="1559"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2 080 824 672 Kč</w:t>
            </w:r>
          </w:p>
        </w:tc>
        <w:tc>
          <w:tcPr>
            <w:tcW w:w="585"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863</w:t>
            </w:r>
          </w:p>
        </w:tc>
        <w:tc>
          <w:tcPr>
            <w:tcW w:w="1524" w:type="dxa"/>
            <w:tcBorders>
              <w:top w:val="nil"/>
              <w:left w:val="nil"/>
              <w:bottom w:val="single" w:sz="8" w:space="0" w:color="auto"/>
              <w:right w:val="single" w:sz="8" w:space="0" w:color="auto"/>
            </w:tcBorders>
            <w:noWrap/>
            <w:vAlign w:val="center"/>
            <w:hideMark/>
          </w:tcPr>
          <w:p w:rsidR="003F25F4" w:rsidRDefault="003F25F4">
            <w:pPr>
              <w:spacing w:line="240" w:lineRule="auto"/>
              <w:jc w:val="both"/>
              <w:rPr>
                <w:color w:val="000000"/>
                <w:lang w:eastAsia="cs-CZ"/>
              </w:rPr>
            </w:pPr>
            <w:r>
              <w:rPr>
                <w:color w:val="000000"/>
                <w:lang w:eastAsia="cs-CZ"/>
              </w:rPr>
              <w:t>2 166 813 722 Kč</w:t>
            </w:r>
          </w:p>
        </w:tc>
      </w:tr>
    </w:tbl>
    <w:p w:rsidR="00F10304" w:rsidRDefault="00E53066" w:rsidP="00F4739F">
      <w:pPr>
        <w:pStyle w:val="SingleTxtG"/>
      </w:pPr>
      <w:r>
        <w:t>* Zdroj: MPSV</w:t>
      </w:r>
    </w:p>
    <w:p w:rsidR="00E53066" w:rsidRDefault="00E53066" w:rsidP="00F4739F">
      <w:pPr>
        <w:pStyle w:val="SingleTxtG"/>
      </w:pPr>
    </w:p>
    <w:p w:rsidR="00234474" w:rsidRDefault="008765DC" w:rsidP="00234474">
      <w:pPr>
        <w:pStyle w:val="SingleTxtG"/>
      </w:pPr>
      <w:r>
        <w:t>1</w:t>
      </w:r>
      <w:r w:rsidR="00A87C04">
        <w:t>9</w:t>
      </w:r>
      <w:r w:rsidR="008E2078">
        <w:t>6</w:t>
      </w:r>
      <w:r>
        <w:t>.</w:t>
      </w:r>
      <w:r w:rsidR="00234474">
        <w:tab/>
        <w:t xml:space="preserve">Podpora služeb umožňujících setrvání uživatele - osoby se ZP v jeho přirozeném prostředí je i jednou z priorit investičního programu MPSV „Rozvoj a obnova materiálně technické základny sociálních služeb“. </w:t>
      </w:r>
      <w:r w:rsidR="00BD2FDC" w:rsidRPr="00BD2FDC">
        <w:t>V Dokumen</w:t>
      </w:r>
      <w:r w:rsidR="0092607B">
        <w:t>taci programu „013 310 – Rozvoj</w:t>
      </w:r>
      <w:r w:rsidR="0092607B">
        <w:br/>
      </w:r>
      <w:r w:rsidR="00BD2FDC" w:rsidRPr="00BD2FDC">
        <w:t xml:space="preserve">a obnova materiálně technické základny sociálních služeb“ je podpora v rámci cílů programu zaměřena na rozvoj terénních a ambulantních sociálních služeb umožňujících setrvání uživatelů v jejich přirozeném prostředí, a také </w:t>
      </w:r>
      <w:r w:rsidR="00BD2FDC">
        <w:t xml:space="preserve">na </w:t>
      </w:r>
      <w:r w:rsidR="00BD2FDC" w:rsidRPr="00BD2FDC">
        <w:t xml:space="preserve">možnost pořídit z programu prostředky </w:t>
      </w:r>
      <w:proofErr w:type="spellStart"/>
      <w:r w:rsidR="00BD2FDC" w:rsidRPr="00BD2FDC">
        <w:t>asistivních</w:t>
      </w:r>
      <w:proofErr w:type="spellEnd"/>
      <w:r w:rsidR="00BD2FDC" w:rsidRPr="00BD2FDC">
        <w:t xml:space="preserve"> a asistenčních technologií. Jako jedna ze dvou prioritních cílových skupin tohoto programu je stanovena cílová skupina osob</w:t>
      </w:r>
      <w:r w:rsidR="007B79A5">
        <w:t>y</w:t>
      </w:r>
      <w:r w:rsidR="00BD2FDC" w:rsidRPr="00BD2FDC">
        <w:t xml:space="preserve"> se </w:t>
      </w:r>
      <w:r w:rsidR="00BD2FDC">
        <w:t>ZP</w:t>
      </w:r>
      <w:r w:rsidR="00BD2FDC" w:rsidRPr="00BD2FDC">
        <w:t>. Finanční alokace tohoto investičního programu byla pro rok 2019 ve výši 926.887.546,- Kč.</w:t>
      </w:r>
    </w:p>
    <w:p w:rsidR="00F4739F" w:rsidRPr="00524DAA" w:rsidRDefault="0060129D" w:rsidP="00F4739F">
      <w:pPr>
        <w:pStyle w:val="SingleTxtG"/>
      </w:pPr>
      <w:r>
        <w:t>19</w:t>
      </w:r>
      <w:r w:rsidR="008E2078">
        <w:t>7</w:t>
      </w:r>
      <w:r w:rsidR="008765DC">
        <w:t>.</w:t>
      </w:r>
      <w:r w:rsidR="00F4739F" w:rsidRPr="00524DAA">
        <w:tab/>
        <w:t>K podpoře nezávislého způsobu života a zapojení do společnosti u mladých lidí se ZP, kteří opouštějí po nabytí zletilosti, či po ukončení přípravy na budoucí povolání institucionální zařízení, přispěla standardizace výkonu SPOD zavedená od 1. ledna 2015. Jedním z požadavků kvality je to, aby se OSPOD v rámci případové práce při zajišťování veřejnoprávní ochrany dětí intenzivně věnoval přípravě dětí starších 16 let, které se nacházejí v náhradní péči, a to jak institucionální, tak i v náhradní rodinné, nebo jsou v péči kurátorů, na samostatný život po odchodu z náhradní péče. V rámci této přípravy pracovníci OSPOD zajišťují pro dospívajícího včasnou přípravu na život po dosažení zletilosti. Jejich úkolem je zpřístupnit dětem vyrůstajícím ve složitých podmínkách základní informace a dovednosti, jak začít samostatně žít. Při přípravě dítěte na samostatný život se pracovníci OSPOD zaměřují na témata jako je volba povolání, další profesní vzdělávání, zaměstnání, příspěvky a sociální dávky, samostatné bydlení, vedení domácnosti, hospodaření s vlastními financemi, vztahy, sexualita a rodičovství.</w:t>
      </w:r>
    </w:p>
    <w:p w:rsidR="00E71C2A" w:rsidRPr="00524DAA" w:rsidRDefault="00E71C2A" w:rsidP="001D4EF8">
      <w:pPr>
        <w:pStyle w:val="SingleTxtG"/>
      </w:pPr>
    </w:p>
    <w:p w:rsidR="00E71C2A" w:rsidRPr="00AA5B3F" w:rsidRDefault="00E71C2A" w:rsidP="00E71C2A">
      <w:pPr>
        <w:pStyle w:val="H1G"/>
      </w:pPr>
      <w:r w:rsidRPr="00524DAA">
        <w:tab/>
      </w:r>
      <w:r w:rsidRPr="00524DAA">
        <w:tab/>
        <w:t>Odpověď na otázku č. 17 a)</w:t>
      </w:r>
    </w:p>
    <w:p w:rsidR="003A11FF" w:rsidRDefault="008765DC" w:rsidP="003A11FF">
      <w:pPr>
        <w:pStyle w:val="SingleTxtG"/>
      </w:pPr>
      <w:r>
        <w:t>1</w:t>
      </w:r>
      <w:r w:rsidR="0060129D">
        <w:t>9</w:t>
      </w:r>
      <w:r w:rsidR="008E2078">
        <w:t>8</w:t>
      </w:r>
      <w:r>
        <w:t>.</w:t>
      </w:r>
      <w:r w:rsidR="009F6CE1" w:rsidRPr="00524DAA">
        <w:tab/>
      </w:r>
      <w:r w:rsidR="003A11FF">
        <w:t>Dne 1. ledna 2012 nabyl účinnosti zákon č. 329/2011 Sb., o poskytování dávek osobám se zdravotním postižením a o změně souvis</w:t>
      </w:r>
      <w:r w:rsidR="0092607B">
        <w:t>ejících zákonů</w:t>
      </w:r>
      <w:r w:rsidR="00A11FC6">
        <w:t xml:space="preserve">, ve znění pozdějších předpisů </w:t>
      </w:r>
      <w:r w:rsidR="0092607B">
        <w:t>(dále jen „zákon</w:t>
      </w:r>
      <w:r w:rsidR="00A11FC6">
        <w:t xml:space="preserve"> </w:t>
      </w:r>
      <w:r w:rsidR="003A11FF">
        <w:t>o poskytování dávek osobám se ZP“), a vyhláška č.</w:t>
      </w:r>
      <w:r w:rsidR="00A11FC6">
        <w:t> </w:t>
      </w:r>
      <w:r w:rsidR="003A11FF">
        <w:t>388/2011</w:t>
      </w:r>
      <w:r w:rsidR="00A11FC6">
        <w:t> </w:t>
      </w:r>
      <w:r w:rsidR="003A11FF">
        <w:t>Sb., o provedení některých ustanovení zákona o poskytování dávek osobám se zdravotním postižením</w:t>
      </w:r>
      <w:r w:rsidR="00A11FC6">
        <w:t xml:space="preserve">, ve znění pozdějších předpisů </w:t>
      </w:r>
      <w:r w:rsidR="003A11FF">
        <w:t>(dále jen „vyhláška č. 388/2011 Sb.“). Od roku 2012 byly oba uvedené právní předpisy několikrát „pro-klientsky“ novelizovány. Zákon o poskytování dávek osobám se ZP upravuje poskytování příspěvku na mobilitu a</w:t>
      </w:r>
      <w:r w:rsidR="00133D1B">
        <w:t> </w:t>
      </w:r>
      <w:r w:rsidR="003A11FF">
        <w:t>příspěvku na zvláštní pomůcku, které jsou určeny ke zmírnění sociálních důsledků zdravotního postižení osob a k podpoře jejich sociálního začleňování. Dále zákon o</w:t>
      </w:r>
      <w:r w:rsidR="00DE0374">
        <w:t> </w:t>
      </w:r>
      <w:r w:rsidR="003A11FF">
        <w:t xml:space="preserve">poskytování dávek </w:t>
      </w:r>
      <w:r w:rsidR="003A11FF">
        <w:lastRenderedPageBreak/>
        <w:t>osobám se ZP upravuje průkaz osob</w:t>
      </w:r>
      <w:r w:rsidR="0092607B">
        <w:t>y se ZP</w:t>
      </w:r>
      <w:r w:rsidR="0092607B">
        <w:br/>
      </w:r>
      <w:r w:rsidR="003A11FF">
        <w:t>a některé nároky, které z něj plynou. Prostřednictvím příspěvku na zvláštní pomůcku je podporováno pořízení širokého spektra produktů a technologií (vozidlo, schodišťové plošiny, vodicí pes, dodatečná úprava vozidla, digitální lupy, speciální programové vybavení apod.). O příspěvku na zvláštní pomůcku rozhodují a vyplácejí ho krajské pobočky Ú</w:t>
      </w:r>
      <w:r w:rsidR="00DE0374">
        <w:t xml:space="preserve">P </w:t>
      </w:r>
      <w:r w:rsidR="003A11FF">
        <w:t>Č</w:t>
      </w:r>
      <w:r w:rsidR="00DE0374">
        <w:t xml:space="preserve">R </w:t>
      </w:r>
      <w:r w:rsidR="003A11FF">
        <w:t>(dále jen „</w:t>
      </w:r>
      <w:proofErr w:type="spellStart"/>
      <w:r w:rsidR="00DE0374">
        <w:t>KrP</w:t>
      </w:r>
      <w:proofErr w:type="spellEnd"/>
      <w:r w:rsidR="00DE0374">
        <w:t xml:space="preserve"> </w:t>
      </w:r>
      <w:r w:rsidR="003A11FF">
        <w:t>Ú</w:t>
      </w:r>
      <w:r w:rsidR="00DE0374">
        <w:t>P</w:t>
      </w:r>
      <w:r w:rsidR="003A11FF">
        <w:t>“).</w:t>
      </w:r>
    </w:p>
    <w:p w:rsidR="009F6CE1" w:rsidRPr="00524DAA" w:rsidRDefault="0060129D" w:rsidP="00AA5B3F">
      <w:pPr>
        <w:pStyle w:val="SingleTxtG"/>
      </w:pPr>
      <w:r>
        <w:t>19</w:t>
      </w:r>
      <w:r w:rsidR="008E2078">
        <w:t>9</w:t>
      </w:r>
      <w:r w:rsidR="008765DC">
        <w:t>.</w:t>
      </w:r>
      <w:r w:rsidR="00C4539D" w:rsidRPr="00524DAA">
        <w:tab/>
        <w:t xml:space="preserve">Dalším </w:t>
      </w:r>
      <w:r w:rsidR="009C5BD1" w:rsidRPr="00524DAA">
        <w:t>o</w:t>
      </w:r>
      <w:r w:rsidR="009F6CE1" w:rsidRPr="00524DAA">
        <w:t>patření</w:t>
      </w:r>
      <w:r w:rsidR="009C5BD1" w:rsidRPr="00524DAA">
        <w:t>m</w:t>
      </w:r>
      <w:r w:rsidR="009F6CE1" w:rsidRPr="00524DAA">
        <w:t xml:space="preserve">, které usnadňuje mobilitu osob se </w:t>
      </w:r>
      <w:r w:rsidR="009C5BD1" w:rsidRPr="00524DAA">
        <w:t>ZP</w:t>
      </w:r>
      <w:r w:rsidR="009F6CE1" w:rsidRPr="00524DAA">
        <w:t xml:space="preserve"> je </w:t>
      </w:r>
      <w:r w:rsidR="009C5BD1" w:rsidRPr="00524DAA">
        <w:t xml:space="preserve">přiznávání </w:t>
      </w:r>
      <w:r w:rsidR="009F6CE1" w:rsidRPr="00524DAA">
        <w:t>průkaz</w:t>
      </w:r>
      <w:r w:rsidR="009C5BD1" w:rsidRPr="00524DAA">
        <w:t>u</w:t>
      </w:r>
      <w:r w:rsidR="009F6CE1" w:rsidRPr="00524DAA">
        <w:t xml:space="preserve"> pro osob</w:t>
      </w:r>
      <w:r w:rsidR="00675DDB">
        <w:t>y</w:t>
      </w:r>
      <w:r w:rsidR="009F6CE1" w:rsidRPr="00524DAA">
        <w:t xml:space="preserve"> se </w:t>
      </w:r>
      <w:r w:rsidR="009C5BD1" w:rsidRPr="00524DAA">
        <w:t>ZP (TP, ZTP a ZTP/P)</w:t>
      </w:r>
      <w:r w:rsidR="009F6CE1" w:rsidRPr="00524DAA">
        <w:t xml:space="preserve">, na </w:t>
      </w:r>
      <w:r w:rsidR="009C5BD1" w:rsidRPr="00524DAA">
        <w:t xml:space="preserve">který </w:t>
      </w:r>
      <w:r w:rsidR="009F6CE1" w:rsidRPr="00524DAA">
        <w:t xml:space="preserve">je vázáno velké množství </w:t>
      </w:r>
      <w:r w:rsidR="00B23FC2">
        <w:t>nároků a benefitů</w:t>
      </w:r>
      <w:r w:rsidR="009F6CE1" w:rsidRPr="00524DAA">
        <w:t xml:space="preserve">, </w:t>
      </w:r>
      <w:r w:rsidR="009C5BD1" w:rsidRPr="00524DAA">
        <w:t>jež</w:t>
      </w:r>
      <w:r w:rsidR="009F6CE1" w:rsidRPr="00524DAA">
        <w:t xml:space="preserve"> jsou uvedeny níže.</w:t>
      </w:r>
      <w:r w:rsidR="009C5BD1" w:rsidRPr="00524DAA">
        <w:t xml:space="preserve"> </w:t>
      </w:r>
      <w:r w:rsidR="009F6CE1" w:rsidRPr="00524DAA">
        <w:t xml:space="preserve">Osoba, která je držitelem průkazu TP, ZTP a ZTP/P má nárok na </w:t>
      </w:r>
      <w:r w:rsidR="00B23FC2">
        <w:t xml:space="preserve">benefity </w:t>
      </w:r>
      <w:r w:rsidR="009C5BD1" w:rsidRPr="00524DAA">
        <w:t xml:space="preserve">a slevy </w:t>
      </w:r>
      <w:r w:rsidR="009F6CE1" w:rsidRPr="00524DAA">
        <w:t xml:space="preserve">dané nejen zákonem </w:t>
      </w:r>
      <w:r w:rsidR="008E13E5" w:rsidRPr="008E13E5">
        <w:t xml:space="preserve">o </w:t>
      </w:r>
      <w:r w:rsidR="00E31E84">
        <w:t xml:space="preserve">poskytování </w:t>
      </w:r>
      <w:r w:rsidR="008E13E5" w:rsidRPr="008E13E5">
        <w:t>dáv</w:t>
      </w:r>
      <w:r w:rsidR="00E31E84">
        <w:t>e</w:t>
      </w:r>
      <w:r w:rsidR="008E13E5" w:rsidRPr="008E13E5">
        <w:t>k osob</w:t>
      </w:r>
      <w:r w:rsidR="00E31E84">
        <w:t>ám</w:t>
      </w:r>
      <w:r w:rsidR="008E13E5" w:rsidRPr="008E13E5">
        <w:t xml:space="preserve"> se ZP</w:t>
      </w:r>
      <w:r w:rsidR="009F6CE1" w:rsidRPr="00524DAA">
        <w:t>, ale t</w:t>
      </w:r>
      <w:r w:rsidR="009C5BD1" w:rsidRPr="00524DAA">
        <w:t>éž v oblasti dopravy</w:t>
      </w:r>
      <w:r w:rsidR="009F6CE1" w:rsidRPr="00524DAA">
        <w:t xml:space="preserve">. Nárok </w:t>
      </w:r>
      <w:r w:rsidR="009C5BD1" w:rsidRPr="00524DAA">
        <w:t>n</w:t>
      </w:r>
      <w:r w:rsidR="009F6CE1" w:rsidRPr="00524DAA">
        <w:t xml:space="preserve">a průkaz TP, ZTP </w:t>
      </w:r>
      <w:r w:rsidR="009C5BD1" w:rsidRPr="00524DAA">
        <w:t>nebo</w:t>
      </w:r>
      <w:r w:rsidR="009F6CE1" w:rsidRPr="00524DAA">
        <w:t xml:space="preserve"> ZTP/P má osoba starší 1 roku s tělesným, smyslovým nebo duševním postižením charakteru dlouhodobě nepříznivého zdravotního stavu, které podstatně omezuje její schopnost pohyblivosti nebo orientace, vč</w:t>
      </w:r>
      <w:r w:rsidR="009C5BD1" w:rsidRPr="00524DAA">
        <w:t>.</w:t>
      </w:r>
      <w:r w:rsidR="0092607B">
        <w:t xml:space="preserve"> osob</w:t>
      </w:r>
      <w:r w:rsidR="0092607B">
        <w:br/>
      </w:r>
      <w:r w:rsidR="009F6CE1" w:rsidRPr="00524DAA">
        <w:t>s poruchou autistického spektra.</w:t>
      </w:r>
    </w:p>
    <w:p w:rsidR="009F6CE1" w:rsidRPr="00524DAA" w:rsidRDefault="009F6CE1" w:rsidP="00B92DBD">
      <w:pPr>
        <w:pStyle w:val="SingleTxtG"/>
      </w:pPr>
      <w:r w:rsidRPr="00524DAA">
        <w:t>Osoba, které byl přiznán průkaz TP má nárok na:</w:t>
      </w:r>
    </w:p>
    <w:p w:rsidR="009F6CE1" w:rsidRPr="00524DAA" w:rsidRDefault="009F6CE1" w:rsidP="0087275C">
      <w:pPr>
        <w:pStyle w:val="SingleTxtG"/>
        <w:numPr>
          <w:ilvl w:val="0"/>
          <w:numId w:val="14"/>
        </w:numPr>
      </w:pPr>
      <w:r w:rsidRPr="00524DAA">
        <w:t>vyhrazené místo k sezení ve veřejných dopravních prostředcích pro pravidelnou hromadnou dopravu osob kromě autobusů a vlaků, v nichž je místo k sedění vázáno na zakoupení místenky,</w:t>
      </w:r>
    </w:p>
    <w:p w:rsidR="009F6CE1" w:rsidRPr="00524DAA" w:rsidRDefault="009F6CE1" w:rsidP="0087275C">
      <w:pPr>
        <w:pStyle w:val="SingleTxtG"/>
        <w:numPr>
          <w:ilvl w:val="0"/>
          <w:numId w:val="14"/>
        </w:numPr>
      </w:pPr>
      <w:r w:rsidRPr="00524DAA">
        <w:t xml:space="preserve">přednost při osobním projednávání své záležitosti, vyžaduje-li toto jednání delší čekání, zejména stání; za osobní projednávání </w:t>
      </w:r>
      <w:r w:rsidR="0092607B">
        <w:t>záležitostí se nepovažuje nákup</w:t>
      </w:r>
      <w:r w:rsidR="0092607B">
        <w:br/>
      </w:r>
      <w:r w:rsidRPr="00524DAA">
        <w:t>v obchodech ani obstarávání placených služeb ani ošetření a vyšetření ve zdravotnických zařízeních.</w:t>
      </w:r>
    </w:p>
    <w:p w:rsidR="009F6CE1" w:rsidRPr="00524DAA" w:rsidRDefault="009F6CE1" w:rsidP="00B92DBD">
      <w:pPr>
        <w:pStyle w:val="SingleTxtG"/>
      </w:pPr>
      <w:r w:rsidRPr="00524DAA">
        <w:t>Osoba, které byl přiznán průkaz ZTP má nárok na:</w:t>
      </w:r>
    </w:p>
    <w:p w:rsidR="009F6CE1" w:rsidRPr="00524DAA" w:rsidRDefault="009F6CE1" w:rsidP="0087275C">
      <w:pPr>
        <w:pStyle w:val="SingleTxtG"/>
        <w:numPr>
          <w:ilvl w:val="0"/>
          <w:numId w:val="8"/>
        </w:numPr>
      </w:pPr>
      <w:r w:rsidRPr="00524DAA">
        <w:t>vyhrazené místo k sezení ve veřejných dopravních prostředcích pro pravidelnou hromadnou dopravu osob kromě autobusů a vlaků, v nichž je místo k sedění vázáno na zakoupení místenky,</w:t>
      </w:r>
    </w:p>
    <w:p w:rsidR="009F6CE1" w:rsidRPr="00524DAA" w:rsidRDefault="009F6CE1" w:rsidP="0087275C">
      <w:pPr>
        <w:pStyle w:val="SingleTxtG"/>
        <w:numPr>
          <w:ilvl w:val="0"/>
          <w:numId w:val="8"/>
        </w:numPr>
      </w:pPr>
      <w:r w:rsidRPr="00524DAA">
        <w:t xml:space="preserve">přednost při osobním projednávání své záležitosti, vyžaduje-li toto jednání delší čekání, zejména stání; za osobní projednávání </w:t>
      </w:r>
      <w:r w:rsidR="0092607B">
        <w:t>záležitostí se nepovažuje nákup</w:t>
      </w:r>
      <w:r w:rsidR="0092607B">
        <w:br/>
      </w:r>
      <w:r w:rsidRPr="00524DAA">
        <w:t>v obchodech ani obstarávání placených služeb ani ošetření a vyšetření ve zdravotnických zařízeních,</w:t>
      </w:r>
    </w:p>
    <w:p w:rsidR="009F6CE1" w:rsidRPr="00524DAA" w:rsidRDefault="009F6CE1" w:rsidP="0087275C">
      <w:pPr>
        <w:pStyle w:val="SingleTxtG"/>
        <w:numPr>
          <w:ilvl w:val="0"/>
          <w:numId w:val="8"/>
        </w:numPr>
      </w:pPr>
      <w:r w:rsidRPr="00524DAA">
        <w:t>bezplatnou dopravu pravidelnými spoji místní veřejné hromadné dopravy osob (tramvajemi, trolejbusy, autobusy, metrem),</w:t>
      </w:r>
    </w:p>
    <w:p w:rsidR="009F6CE1" w:rsidRPr="00524DAA" w:rsidRDefault="009F6CE1" w:rsidP="0087275C">
      <w:pPr>
        <w:pStyle w:val="SingleTxtG"/>
        <w:numPr>
          <w:ilvl w:val="0"/>
          <w:numId w:val="8"/>
        </w:numPr>
      </w:pPr>
      <w:r w:rsidRPr="00524DAA">
        <w:t>slevu 75 % jízdného ve druhé vozové třídě osobního vlaku a rychlíku ve vnitrostátní přepravě a 75 % slevu v pravidelných vnitrostátních spojích autobusové dopravy.</w:t>
      </w:r>
    </w:p>
    <w:p w:rsidR="009F6CE1" w:rsidRPr="00524DAA" w:rsidRDefault="009F6CE1" w:rsidP="00376684">
      <w:pPr>
        <w:pStyle w:val="SingleTxtG"/>
      </w:pPr>
      <w:r w:rsidRPr="00524DAA">
        <w:t xml:space="preserve">Osoba, které byl přiznán průkaz ZTP/P má nárok na: </w:t>
      </w:r>
    </w:p>
    <w:p w:rsidR="009F6CE1" w:rsidRPr="00524DAA" w:rsidRDefault="009F6CE1" w:rsidP="0087275C">
      <w:pPr>
        <w:pStyle w:val="SingleTxtG"/>
        <w:numPr>
          <w:ilvl w:val="0"/>
          <w:numId w:val="9"/>
        </w:numPr>
      </w:pPr>
      <w:r w:rsidRPr="00524DAA">
        <w:t>vyhrazené místo k sedění ve veřejných dopravních prostředcích pro pravidelnou hromadnou dopravu osob kromě autobusů a vlaků, v nichž je místo k sedění vázáno na zakoupení místenky,</w:t>
      </w:r>
    </w:p>
    <w:p w:rsidR="009F6CE1" w:rsidRPr="00524DAA" w:rsidRDefault="009F6CE1" w:rsidP="0087275C">
      <w:pPr>
        <w:pStyle w:val="SingleTxtG"/>
        <w:numPr>
          <w:ilvl w:val="0"/>
          <w:numId w:val="9"/>
        </w:numPr>
      </w:pPr>
      <w:r w:rsidRPr="00524DAA">
        <w:t xml:space="preserve">přednost při osobním projednávání své záležitosti, vyžaduje-li toto jednání delší čekání, zejména stání; za osobní projednávání </w:t>
      </w:r>
      <w:r w:rsidR="0092607B">
        <w:t>záležitostí se nepovažuje nákup</w:t>
      </w:r>
      <w:r w:rsidR="0092607B">
        <w:br/>
      </w:r>
      <w:r w:rsidRPr="00524DAA">
        <w:t>v obchodech ani obstarávání placených služeb ani ošetření a vyšetření ve zdravotnických zařízeních,</w:t>
      </w:r>
    </w:p>
    <w:p w:rsidR="009F6CE1" w:rsidRPr="00524DAA" w:rsidRDefault="009F6CE1" w:rsidP="0087275C">
      <w:pPr>
        <w:pStyle w:val="SingleTxtG"/>
        <w:numPr>
          <w:ilvl w:val="0"/>
          <w:numId w:val="9"/>
        </w:numPr>
      </w:pPr>
      <w:r w:rsidRPr="00524DAA">
        <w:t>bezplatnou dopravu pravidelnými spoji místní veřejné hromadné dopravy osob (tramvajemi, trolejbusy, autobusy, metrem),</w:t>
      </w:r>
    </w:p>
    <w:p w:rsidR="009F6CE1" w:rsidRPr="00524DAA" w:rsidRDefault="009F6CE1" w:rsidP="0087275C">
      <w:pPr>
        <w:pStyle w:val="SingleTxtG"/>
        <w:numPr>
          <w:ilvl w:val="0"/>
          <w:numId w:val="9"/>
        </w:numPr>
      </w:pPr>
      <w:r w:rsidRPr="00524DAA">
        <w:t>slevu 75 % jízdného ve druhé vozové třídě osobního vlaku a rychlíku ve vnitrostátní přepravě a 75 % slevu v pravidelných vnitrostátních spojích autobusové dopravy,</w:t>
      </w:r>
    </w:p>
    <w:p w:rsidR="009F6CE1" w:rsidRPr="00524DAA" w:rsidRDefault="009F6CE1" w:rsidP="0087275C">
      <w:pPr>
        <w:pStyle w:val="SingleTxtG"/>
        <w:numPr>
          <w:ilvl w:val="0"/>
          <w:numId w:val="9"/>
        </w:numPr>
      </w:pPr>
      <w:r w:rsidRPr="00524DAA">
        <w:t>bezplatnou dopravu průvodce veřejnými h</w:t>
      </w:r>
      <w:r w:rsidR="0092607B">
        <w:t>romadnými dopravními prostředky</w:t>
      </w:r>
      <w:r w:rsidR="0092607B">
        <w:br/>
      </w:r>
      <w:r w:rsidRPr="00524DAA">
        <w:t>v pravidelné vnitrostátní osobní hromadné dopravě,</w:t>
      </w:r>
    </w:p>
    <w:p w:rsidR="009F6CE1" w:rsidRPr="00524DAA" w:rsidRDefault="009F6CE1" w:rsidP="0087275C">
      <w:pPr>
        <w:pStyle w:val="SingleTxtG"/>
        <w:numPr>
          <w:ilvl w:val="0"/>
          <w:numId w:val="9"/>
        </w:numPr>
      </w:pPr>
      <w:r w:rsidRPr="00524DAA">
        <w:t>bezplatnou dopravu vodicího psa, je-li úplně nebo prakticky nevidomá, pokud ji nedoprovází průvodce.</w:t>
      </w:r>
    </w:p>
    <w:p w:rsidR="009F6CE1" w:rsidRPr="00524DAA" w:rsidRDefault="009F6CE1" w:rsidP="009F6CE1">
      <w:pPr>
        <w:pStyle w:val="SingleTxtG"/>
      </w:pPr>
      <w:r w:rsidRPr="00524DAA">
        <w:lastRenderedPageBreak/>
        <w:t xml:space="preserve">Osobě, která je držitelem průkazu ZTP nebo průkazu ZTP/P, a průvodci držitele průkazu ZTP/P, může být poskytnuta sleva ze vstupného na divadelní a filmová představení, koncerty a jiné kulturní a sportovní akce. Tyto </w:t>
      </w:r>
      <w:r w:rsidR="00A63585" w:rsidRPr="00524DAA">
        <w:t xml:space="preserve">slevy </w:t>
      </w:r>
      <w:r w:rsidRPr="00524DAA">
        <w:t>jsou nenárokové. Další nároky osob, které jsou držiteli průkazu TP, ZTP nebo ZTP/P, upravují jiné právní předpisy. Těmito předpisy jsou např. zákon o daních z příjmů, zák</w:t>
      </w:r>
      <w:r w:rsidR="0092607B">
        <w:t>on o místních poplatcích, zákon</w:t>
      </w:r>
      <w:r w:rsidR="0092607B">
        <w:br/>
      </w:r>
      <w:r w:rsidRPr="00524DAA">
        <w:t>o správních poplatcích, zákon o pozemních komunikacích, zákon o dani z nemovitosti.</w:t>
      </w:r>
    </w:p>
    <w:p w:rsidR="009F6CE1" w:rsidRPr="00524DAA" w:rsidRDefault="008E2078" w:rsidP="009F6CE1">
      <w:pPr>
        <w:pStyle w:val="SingleTxtG"/>
      </w:pPr>
      <w:r>
        <w:t>200</w:t>
      </w:r>
      <w:r w:rsidR="008765DC">
        <w:t>.</w:t>
      </w:r>
      <w:r w:rsidR="00E554CD" w:rsidRPr="00524DAA">
        <w:tab/>
      </w:r>
      <w:r w:rsidR="009F6CE1" w:rsidRPr="00524DAA">
        <w:t xml:space="preserve">Osoby se </w:t>
      </w:r>
      <w:r w:rsidR="00E554CD" w:rsidRPr="00524DAA">
        <w:t xml:space="preserve">ZP </w:t>
      </w:r>
      <w:r w:rsidR="009F6CE1" w:rsidRPr="00524DAA">
        <w:t>mohou také získat kompenzační a rehabilitační pomůcky ze systému veřejného zdravotního pojištění. Jedná se o prostředky zdravotnické techniky jako např. elektrické a mechanické vozíky, kompenzační pomůcky pro sluchov</w:t>
      </w:r>
      <w:r w:rsidR="0092607B">
        <w:t>ě postižené, protézy</w:t>
      </w:r>
      <w:r w:rsidR="0092607B">
        <w:br/>
      </w:r>
      <w:r w:rsidR="00E554CD" w:rsidRPr="00524DAA">
        <w:t>a ortézy.</w:t>
      </w:r>
    </w:p>
    <w:p w:rsidR="00B3568B" w:rsidRPr="00524DAA" w:rsidRDefault="00E6385E" w:rsidP="000D0C99">
      <w:pPr>
        <w:pStyle w:val="SingleTxtG"/>
      </w:pPr>
      <w:r>
        <w:t>20</w:t>
      </w:r>
      <w:r w:rsidR="008E2078">
        <w:t>1</w:t>
      </w:r>
      <w:r w:rsidR="00E75192">
        <w:t>.</w:t>
      </w:r>
      <w:r w:rsidR="000D0C99" w:rsidRPr="00524DAA">
        <w:tab/>
        <w:t>V ČR není dostupnost zdravotnických prostředků limitována bydlištěm pacienta. Nařízením vlády je stanovena dojezdová doba pro dostupnost lékárny (která rovněž vydává zdravotnické prostředky) na 35 min. Nákladné zdravotnické prostředky pro imobilní pacienty (invalidní vozíky, polohovací postele a</w:t>
      </w:r>
      <w:r w:rsidR="00433F88">
        <w:t>po</w:t>
      </w:r>
      <w:r w:rsidR="000D0C99" w:rsidRPr="00524DAA">
        <w:t>d.) jsou často zajišťovány zdravotními pojišťovnami prostřednictvím tzv. smluvních výdejců a obsahem smluvního ujednání mezi výdejcem a zdravotní pojišťovnou pacienta je i zajiště</w:t>
      </w:r>
      <w:r w:rsidR="0092607B">
        <w:t>ní dopravy, zaškolení k obsluze</w:t>
      </w:r>
      <w:r w:rsidR="0092607B">
        <w:br/>
      </w:r>
      <w:r w:rsidR="000D0C99" w:rsidRPr="00524DAA">
        <w:t>a následného servisu a oprav daného zdravotnického prostředku.</w:t>
      </w:r>
    </w:p>
    <w:p w:rsidR="00E71C2A" w:rsidRDefault="00307CF5" w:rsidP="001D4EF8">
      <w:pPr>
        <w:pStyle w:val="SingleTxtG"/>
      </w:pPr>
      <w:r>
        <w:t>20</w:t>
      </w:r>
      <w:r w:rsidR="008E2078">
        <w:t>2</w:t>
      </w:r>
      <w:r>
        <w:t>.</w:t>
      </w:r>
      <w:r w:rsidR="00AE7F33">
        <w:tab/>
        <w:t>K</w:t>
      </w:r>
      <w:r w:rsidR="008547C7">
        <w:t> </w:t>
      </w:r>
      <w:r w:rsidR="00AE7F33">
        <w:t xml:space="preserve">problematice </w:t>
      </w:r>
      <w:r w:rsidR="00A53FB9">
        <w:t xml:space="preserve">zajištění </w:t>
      </w:r>
      <w:r w:rsidR="00A53FB9" w:rsidRPr="00A53FB9">
        <w:t>přístup</w:t>
      </w:r>
      <w:r w:rsidR="00A53FB9">
        <w:t>u</w:t>
      </w:r>
      <w:r w:rsidR="00A53FB9" w:rsidRPr="00A53FB9">
        <w:t xml:space="preserve"> </w:t>
      </w:r>
      <w:r w:rsidR="00A53FB9">
        <w:t xml:space="preserve">osob se ZP </w:t>
      </w:r>
      <w:r w:rsidR="00A53FB9" w:rsidRPr="00A53FB9">
        <w:t xml:space="preserve">k vysoce kvalitním podpůrným technologiím a zařízením a </w:t>
      </w:r>
      <w:r w:rsidR="00A53FB9">
        <w:t xml:space="preserve">jejich finanční dostupnosti pro tyto osoby </w:t>
      </w:r>
      <w:r w:rsidR="00AE7F33">
        <w:t xml:space="preserve">dále </w:t>
      </w:r>
      <w:r w:rsidR="008547C7">
        <w:t xml:space="preserve">též </w:t>
      </w:r>
      <w:r w:rsidR="00AE7F33">
        <w:t>viz odpověď na otázku č. 23 a).</w:t>
      </w:r>
    </w:p>
    <w:p w:rsidR="00AE7F33" w:rsidRPr="00524DAA" w:rsidRDefault="00AE7F33" w:rsidP="001D4EF8">
      <w:pPr>
        <w:pStyle w:val="SingleTxtG"/>
      </w:pPr>
    </w:p>
    <w:p w:rsidR="00E71C2A" w:rsidRPr="00376684" w:rsidRDefault="00E71C2A" w:rsidP="00E71C2A">
      <w:pPr>
        <w:pStyle w:val="H1G"/>
      </w:pPr>
      <w:r w:rsidRPr="00524DAA">
        <w:tab/>
      </w:r>
      <w:r w:rsidRPr="00524DAA">
        <w:tab/>
        <w:t>Odpověď na otázku č. 17 b)</w:t>
      </w:r>
    </w:p>
    <w:p w:rsidR="00E71C2A" w:rsidRDefault="00307CF5" w:rsidP="001D4EF8">
      <w:pPr>
        <w:pStyle w:val="SingleTxtG"/>
      </w:pPr>
      <w:r>
        <w:t>20</w:t>
      </w:r>
      <w:r w:rsidR="008E2078">
        <w:t>3</w:t>
      </w:r>
      <w:r w:rsidR="00E75192">
        <w:t>.</w:t>
      </w:r>
      <w:r w:rsidR="005944F6" w:rsidRPr="00524DAA">
        <w:tab/>
        <w:t xml:space="preserve">Jedná-li se o zdravotní prostředky, pak jsou úpravy a opravy hrazeny v rozsahu a za podmínek stanovených zákonem o veřejném zdravotním pojištění – tyto podmínky, resp. jejich naplnění je uplatňováno </w:t>
      </w:r>
      <w:r w:rsidR="001F65BE">
        <w:t xml:space="preserve">rovným způsobem </w:t>
      </w:r>
      <w:r w:rsidR="005944F6" w:rsidRPr="00524DAA">
        <w:t>vůči všem pacientům.</w:t>
      </w:r>
    </w:p>
    <w:p w:rsidR="00C32FC9" w:rsidRPr="00524DAA" w:rsidRDefault="0060129D" w:rsidP="001D4EF8">
      <w:pPr>
        <w:pStyle w:val="SingleTxtG"/>
      </w:pPr>
      <w:r>
        <w:t>20</w:t>
      </w:r>
      <w:r w:rsidR="008E2078">
        <w:t>4</w:t>
      </w:r>
      <w:r w:rsidR="00C32FC9">
        <w:t>.</w:t>
      </w:r>
      <w:r w:rsidR="00C32FC9">
        <w:tab/>
        <w:t>V</w:t>
      </w:r>
      <w:r w:rsidR="00C32FC9" w:rsidRPr="00C32FC9">
        <w:t xml:space="preserve"> poslední</w:t>
      </w:r>
      <w:r w:rsidR="001F65BE">
        <w:t>ch</w:t>
      </w:r>
      <w:r w:rsidR="00C32FC9" w:rsidRPr="00C32FC9">
        <w:t xml:space="preserve"> </w:t>
      </w:r>
      <w:r w:rsidR="001F65BE">
        <w:t xml:space="preserve">letech </w:t>
      </w:r>
      <w:r w:rsidR="00C32FC9" w:rsidRPr="00C32FC9">
        <w:t xml:space="preserve">došlo k výraznému </w:t>
      </w:r>
      <w:r w:rsidR="001F65BE">
        <w:t>na</w:t>
      </w:r>
      <w:r w:rsidR="00C32FC9" w:rsidRPr="00C32FC9">
        <w:t>výšení počtu pomůcek hrazených z</w:t>
      </w:r>
      <w:r w:rsidR="001F65BE">
        <w:t xml:space="preserve"> prostředků </w:t>
      </w:r>
      <w:r w:rsidR="00C32FC9" w:rsidRPr="00C32FC9">
        <w:t>veřejného zdravotního pojištění</w:t>
      </w:r>
      <w:r w:rsidR="001044FB">
        <w:t>,</w:t>
      </w:r>
      <w:r w:rsidR="00C32FC9" w:rsidRPr="00C32FC9">
        <w:t xml:space="preserve"> tak </w:t>
      </w:r>
      <w:r w:rsidR="001044FB">
        <w:t xml:space="preserve">i </w:t>
      </w:r>
      <w:r w:rsidR="00C32FC9" w:rsidRPr="00C32FC9">
        <w:t xml:space="preserve">k rozšíření </w:t>
      </w:r>
      <w:r w:rsidR="00780F24">
        <w:t xml:space="preserve">okruhu </w:t>
      </w:r>
      <w:r w:rsidR="00C32FC9" w:rsidRPr="00C32FC9">
        <w:t>pomůcek, hrazených ze sociálních transferů osob</w:t>
      </w:r>
      <w:r w:rsidR="00780F24">
        <w:t>ám</w:t>
      </w:r>
      <w:r w:rsidR="00C32FC9" w:rsidRPr="00C32FC9">
        <w:t xml:space="preserve"> s těžkým kardiologickým, pneumologickým, či cévním onemocněním, které trvale či dlouhodobě omezuj</w:t>
      </w:r>
      <w:r w:rsidR="001044FB">
        <w:t>e</w:t>
      </w:r>
      <w:r w:rsidR="00C32FC9" w:rsidRPr="00C32FC9">
        <w:t xml:space="preserve"> </w:t>
      </w:r>
      <w:r w:rsidR="001044FB">
        <w:t xml:space="preserve">jejich </w:t>
      </w:r>
      <w:r w:rsidR="00C32FC9" w:rsidRPr="00C32FC9">
        <w:t xml:space="preserve">pohybovou schopnost. Návrh </w:t>
      </w:r>
      <w:r w:rsidR="00B971F7">
        <w:t xml:space="preserve">seznamu </w:t>
      </w:r>
      <w:r w:rsidR="00C32FC9" w:rsidRPr="00C32FC9">
        <w:t>pomůcek i výčet diagnóz zpracovala N</w:t>
      </w:r>
      <w:r w:rsidR="00780F24">
        <w:t xml:space="preserve">árodní rada osob se ZP </w:t>
      </w:r>
      <w:r w:rsidR="00C32FC9" w:rsidRPr="00C32FC9">
        <w:t>ČR.</w:t>
      </w:r>
    </w:p>
    <w:p w:rsidR="00E71C2A" w:rsidRPr="00524DAA" w:rsidRDefault="00E71C2A" w:rsidP="001D4EF8">
      <w:pPr>
        <w:pStyle w:val="SingleTxtG"/>
      </w:pPr>
    </w:p>
    <w:p w:rsidR="00E71C2A" w:rsidRPr="00376684" w:rsidRDefault="00E71C2A" w:rsidP="00E71C2A">
      <w:pPr>
        <w:pStyle w:val="H1G"/>
      </w:pPr>
      <w:r w:rsidRPr="00524DAA">
        <w:tab/>
      </w:r>
      <w:r w:rsidRPr="00524DAA">
        <w:tab/>
        <w:t>Odpověď na otázku č. 17 c)</w:t>
      </w:r>
    </w:p>
    <w:p w:rsidR="00E71C2A" w:rsidRPr="00524DAA" w:rsidRDefault="00A03185" w:rsidP="003E1823">
      <w:pPr>
        <w:pStyle w:val="SingleTxtG"/>
      </w:pPr>
      <w:r>
        <w:t>20</w:t>
      </w:r>
      <w:r w:rsidR="008E2078">
        <w:t>5</w:t>
      </w:r>
      <w:r w:rsidR="00E75192">
        <w:t>.</w:t>
      </w:r>
      <w:r w:rsidR="003E1823" w:rsidRPr="00524DAA">
        <w:tab/>
        <w:t>Osoba, která vydává nebo prodává zdravotnický prostředek pacientovi / uživateli, má zákonem o zdravotnických prostředcích stanovenou povinnost mu předat všechny informace o skutečnostech způsobilých ovlivnit jeho be</w:t>
      </w:r>
      <w:r w:rsidR="0092607B">
        <w:t>zpečnost a zdraví v souvislosti</w:t>
      </w:r>
      <w:r w:rsidR="0092607B">
        <w:br/>
      </w:r>
      <w:r w:rsidR="003E1823" w:rsidRPr="00524DAA">
        <w:t>s používáním zdravotnického prostředku – s tím souvisí povinnost proškolení, je-li potřebné s ohledem na charakter zdravotnického prostředku. Zdravotničtí pracovníci, kteří získali odbornou způsobilost k výkonu nelékařského zdravotnického povolání a vykonávají přímou péči, absolvují kromě jiného v rámci svého kvalifikačního studia základy fyzioterapie a základy péče o soběstačnost pacienta.</w:t>
      </w:r>
    </w:p>
    <w:p w:rsidR="00741F7C" w:rsidRDefault="00A03185" w:rsidP="003E1823">
      <w:pPr>
        <w:pStyle w:val="SingleTxtG"/>
      </w:pPr>
      <w:r>
        <w:t>20</w:t>
      </w:r>
      <w:r w:rsidR="008E2078">
        <w:t>6</w:t>
      </w:r>
      <w:r w:rsidR="00741F7C">
        <w:t>.</w:t>
      </w:r>
      <w:r w:rsidR="00741F7C">
        <w:tab/>
        <w:t>Jak MPSV, tak i Ú</w:t>
      </w:r>
      <w:r w:rsidR="00DE0374">
        <w:t xml:space="preserve">P </w:t>
      </w:r>
      <w:r w:rsidR="00741F7C">
        <w:t>ČR věnují p</w:t>
      </w:r>
      <w:r w:rsidR="00741F7C" w:rsidRPr="00785266">
        <w:t>roblematice příspěvku na zvláštní pomůcku, který napomáhá zvýšení dostupnosti některých produktů/výrobků</w:t>
      </w:r>
      <w:r w:rsidR="00741F7C">
        <w:t>/</w:t>
      </w:r>
      <w:proofErr w:type="spellStart"/>
      <w:r w:rsidR="00741F7C">
        <w:t>asistivních</w:t>
      </w:r>
      <w:proofErr w:type="spellEnd"/>
      <w:r w:rsidR="00741F7C">
        <w:t xml:space="preserve"> technologií </w:t>
      </w:r>
      <w:r w:rsidR="00741F7C" w:rsidRPr="00785266">
        <w:t xml:space="preserve">pro osoby se </w:t>
      </w:r>
      <w:r w:rsidR="00741F7C">
        <w:t>ZP</w:t>
      </w:r>
      <w:r w:rsidR="00741F7C" w:rsidRPr="00785266">
        <w:t xml:space="preserve">, pozornost </w:t>
      </w:r>
      <w:r w:rsidR="00741F7C">
        <w:t>i</w:t>
      </w:r>
      <w:r w:rsidR="00741F7C" w:rsidRPr="00785266">
        <w:t xml:space="preserve"> v rámci </w:t>
      </w:r>
      <w:r w:rsidR="00741F7C">
        <w:t xml:space="preserve">své </w:t>
      </w:r>
      <w:r w:rsidR="00741F7C" w:rsidRPr="00785266">
        <w:t xml:space="preserve">metodické činnosti. Pořádané akce (metodické dny, Dny Mobility apod.) byly zaměřeny na aplikaci zákona o poskytování dávek osobám se </w:t>
      </w:r>
      <w:r w:rsidR="00741F7C">
        <w:t xml:space="preserve">ZP </w:t>
      </w:r>
      <w:r w:rsidR="00741F7C" w:rsidRPr="00785266">
        <w:t xml:space="preserve">a </w:t>
      </w:r>
      <w:r w:rsidR="00DE0374">
        <w:t xml:space="preserve">vyhlášce č. 388/2011 Sb. </w:t>
      </w:r>
      <w:r w:rsidR="00741F7C" w:rsidRPr="00785266">
        <w:t>v praxi.</w:t>
      </w:r>
      <w:r w:rsidR="00741F7C">
        <w:t xml:space="preserve"> Účastníky těchto akcí byly nejen pracovníci Ú</w:t>
      </w:r>
      <w:r w:rsidR="00DE0374">
        <w:t xml:space="preserve">P </w:t>
      </w:r>
      <w:r w:rsidR="00741F7C">
        <w:t xml:space="preserve">ČR, ale i odborníci na danou problematiku. </w:t>
      </w:r>
      <w:r w:rsidR="00741F7C" w:rsidRPr="00B50499">
        <w:t xml:space="preserve">V roce 2017 např. </w:t>
      </w:r>
      <w:r w:rsidR="00741F7C">
        <w:t xml:space="preserve">MPSV </w:t>
      </w:r>
      <w:r w:rsidR="00741F7C" w:rsidRPr="00B50499">
        <w:t>uspořádal</w:t>
      </w:r>
      <w:r w:rsidR="00741F7C">
        <w:t>o</w:t>
      </w:r>
      <w:r w:rsidR="00741F7C" w:rsidRPr="00B50499">
        <w:t xml:space="preserve"> kulatý stůl na téma Budoucnost dávkové pomoci s pořízením vozidla, </w:t>
      </w:r>
      <w:r w:rsidR="00741F7C">
        <w:t xml:space="preserve">v rámci </w:t>
      </w:r>
      <w:r w:rsidR="00741F7C" w:rsidRPr="00B50499">
        <w:t>které</w:t>
      </w:r>
      <w:r w:rsidR="00741F7C">
        <w:t xml:space="preserve">ho proběhla </w:t>
      </w:r>
      <w:r w:rsidR="00741F7C" w:rsidRPr="00B50499">
        <w:t>disku</w:t>
      </w:r>
      <w:r w:rsidR="00741F7C">
        <w:t xml:space="preserve">se </w:t>
      </w:r>
      <w:r w:rsidR="00741F7C" w:rsidRPr="00B50499">
        <w:t>o</w:t>
      </w:r>
      <w:r w:rsidR="00DE0374">
        <w:t> </w:t>
      </w:r>
      <w:r w:rsidR="00741F7C" w:rsidRPr="00B50499">
        <w:t xml:space="preserve">potřebách osob se </w:t>
      </w:r>
      <w:r w:rsidR="00741F7C">
        <w:t xml:space="preserve">ZP </w:t>
      </w:r>
      <w:r w:rsidR="00741F7C" w:rsidRPr="00B50499">
        <w:t>v oblasti dopravy a monitorován</w:t>
      </w:r>
      <w:r w:rsidR="00741F7C">
        <w:t>í</w:t>
      </w:r>
      <w:r w:rsidR="00741F7C" w:rsidRPr="00B50499">
        <w:t xml:space="preserve"> názor</w:t>
      </w:r>
      <w:r w:rsidR="00741F7C">
        <w:t>ů</w:t>
      </w:r>
      <w:r w:rsidR="00741F7C" w:rsidRPr="00B50499">
        <w:t xml:space="preserve"> účastníků (zástupci významných střechových organizací hájících zájmy osob se </w:t>
      </w:r>
      <w:r w:rsidR="00741F7C">
        <w:t>ZP</w:t>
      </w:r>
      <w:r w:rsidR="00741F7C" w:rsidRPr="00B50499">
        <w:t>, ministerst</w:t>
      </w:r>
      <w:r w:rsidR="00741F7C">
        <w:t>e</w:t>
      </w:r>
      <w:r w:rsidR="00741F7C" w:rsidRPr="00B50499">
        <w:t xml:space="preserve">v, akademické </w:t>
      </w:r>
      <w:r w:rsidR="00741F7C" w:rsidRPr="00B50499">
        <w:lastRenderedPageBreak/>
        <w:t>obce, územně samosprávn</w:t>
      </w:r>
      <w:r w:rsidR="00741F7C">
        <w:t>ých</w:t>
      </w:r>
      <w:r w:rsidR="00741F7C" w:rsidRPr="00B50499">
        <w:t xml:space="preserve"> celk</w:t>
      </w:r>
      <w:r w:rsidR="00741F7C">
        <w:t>ů</w:t>
      </w:r>
      <w:r w:rsidR="0092607B">
        <w:t xml:space="preserve"> apod.) na dávkovou pomoc</w:t>
      </w:r>
      <w:r w:rsidR="0092607B">
        <w:br/>
      </w:r>
      <w:r w:rsidR="00741F7C" w:rsidRPr="00B50499">
        <w:t>s pořízením vozidla.</w:t>
      </w:r>
    </w:p>
    <w:p w:rsidR="00E71C2A" w:rsidRPr="00524DAA" w:rsidRDefault="00E71C2A" w:rsidP="001D4EF8">
      <w:pPr>
        <w:pStyle w:val="SingleTxtG"/>
      </w:pPr>
    </w:p>
    <w:p w:rsidR="00986CA3" w:rsidRPr="00376684" w:rsidRDefault="00986CA3" w:rsidP="00986CA3">
      <w:pPr>
        <w:pStyle w:val="H1G"/>
      </w:pPr>
      <w:r w:rsidRPr="00524DAA">
        <w:tab/>
      </w:r>
      <w:r w:rsidRPr="00524DAA">
        <w:tab/>
        <w:t>Odpověď na otázku č. 18 a)</w:t>
      </w:r>
    </w:p>
    <w:p w:rsidR="008C5699" w:rsidRPr="00524DAA" w:rsidRDefault="00A03185" w:rsidP="008C5699">
      <w:pPr>
        <w:pStyle w:val="SingleTxtG"/>
      </w:pPr>
      <w:r>
        <w:t>20</w:t>
      </w:r>
      <w:r w:rsidR="008E2078">
        <w:t>7</w:t>
      </w:r>
      <w:r w:rsidR="00E75192">
        <w:t>.</w:t>
      </w:r>
      <w:r w:rsidR="008C5699" w:rsidRPr="00524DAA">
        <w:tab/>
        <w:t xml:space="preserve">Do 19. září 2020 bude ČR transponovat evropskou směrnici o audiovizuálních mediálních službách (AVMS). </w:t>
      </w:r>
      <w:r w:rsidR="00676522" w:rsidRPr="00524DAA">
        <w:t>T</w:t>
      </w:r>
      <w:r w:rsidR="00695141" w:rsidRPr="00524DAA">
        <w:t xml:space="preserve">ím </w:t>
      </w:r>
      <w:r w:rsidR="00676522" w:rsidRPr="00524DAA">
        <w:t xml:space="preserve">mj. </w:t>
      </w:r>
      <w:r w:rsidR="008C5699" w:rsidRPr="00524DAA">
        <w:t xml:space="preserve">dojde </w:t>
      </w:r>
      <w:r w:rsidR="00695141" w:rsidRPr="00524DAA">
        <w:t xml:space="preserve">i </w:t>
      </w:r>
      <w:r w:rsidR="008C5699" w:rsidRPr="00524DAA">
        <w:t xml:space="preserve">k legislativním změnám v oblasti zpřístupňování pořadů. </w:t>
      </w:r>
      <w:r w:rsidR="00676522" w:rsidRPr="00524DAA">
        <w:t xml:space="preserve">Tyto změny přispějí </w:t>
      </w:r>
      <w:r w:rsidR="008C5699" w:rsidRPr="00524DAA">
        <w:t>k postupnému a trvalému zlepš</w:t>
      </w:r>
      <w:r w:rsidR="00676522" w:rsidRPr="00524DAA">
        <w:t>ování</w:t>
      </w:r>
      <w:r w:rsidR="008C5699" w:rsidRPr="00524DAA">
        <w:t xml:space="preserve"> zpřístupňování pořadů osobám se </w:t>
      </w:r>
      <w:r w:rsidR="00676522" w:rsidRPr="00524DAA">
        <w:t>ZP</w:t>
      </w:r>
      <w:r w:rsidR="008C5699" w:rsidRPr="00524DAA">
        <w:t xml:space="preserve">. Provozovatelé vysílání budou mít povinnost pravidelně informovat o tomto zpřístupňování, dalším opatřením bude i podpora vypracování akčních plánů provozovatelů vysílání pro oblast přístupnosti. </w:t>
      </w:r>
      <w:r w:rsidR="00676522" w:rsidRPr="00524DAA">
        <w:t>Zároveň b</w:t>
      </w:r>
      <w:r w:rsidR="008C5699" w:rsidRPr="00524DAA">
        <w:t>ude předložen nový zákon o platformách na sdílení videonahrávek</w:t>
      </w:r>
      <w:r w:rsidR="00676522" w:rsidRPr="00524DAA">
        <w:t xml:space="preserve">, který </w:t>
      </w:r>
      <w:r w:rsidR="008C5699" w:rsidRPr="00524DAA">
        <w:t>doprovodí novelizace zákona č. 231/2001 Sb., o rozhlasovém a televizním vysílání</w:t>
      </w:r>
      <w:r w:rsidR="00676522" w:rsidRPr="00524DAA">
        <w:t xml:space="preserve">, ve znění pozdějších předpisů </w:t>
      </w:r>
      <w:r w:rsidR="008C5699" w:rsidRPr="00524DAA">
        <w:t>a zákona č. 132/2010 Sb., o audiovizuálních mediálních službách na vyžádání</w:t>
      </w:r>
      <w:r w:rsidR="00676522" w:rsidRPr="00524DAA">
        <w:t>, ve znění pozdějších předpisů</w:t>
      </w:r>
      <w:r w:rsidR="008C5699" w:rsidRPr="00524DAA">
        <w:t>.</w:t>
      </w:r>
    </w:p>
    <w:p w:rsidR="00E71C2A" w:rsidRPr="00524DAA" w:rsidRDefault="00A03185" w:rsidP="008C5699">
      <w:pPr>
        <w:pStyle w:val="SingleTxtG"/>
      </w:pPr>
      <w:r>
        <w:t>2</w:t>
      </w:r>
      <w:r w:rsidR="00E75192">
        <w:t>0</w:t>
      </w:r>
      <w:r w:rsidR="008E2078">
        <w:t>8</w:t>
      </w:r>
      <w:r w:rsidR="00E75192">
        <w:t>.</w:t>
      </w:r>
      <w:r w:rsidR="00676522" w:rsidRPr="00524DAA">
        <w:tab/>
        <w:t>D</w:t>
      </w:r>
      <w:r w:rsidR="008C5699" w:rsidRPr="00524DAA">
        <w:t xml:space="preserve">alším opatřením </w:t>
      </w:r>
      <w:r w:rsidR="00676522" w:rsidRPr="00524DAA">
        <w:t xml:space="preserve">směřujícím </w:t>
      </w:r>
      <w:r w:rsidR="008C5699" w:rsidRPr="00524DAA">
        <w:t>ke zpřístupňování audiovizuálního obsahu osobám se sluchovým postižením je povinnost distributora českého audiovizuálního díla opatřit jeho rozmnoženiny rozšiřované veřejnosti na území Č</w:t>
      </w:r>
      <w:r w:rsidR="009E6267">
        <w:t xml:space="preserve">R </w:t>
      </w:r>
      <w:r w:rsidR="008C5699" w:rsidRPr="00524DAA">
        <w:t>titulky pro sluchově postižené a označit obaly takových rozmnoženin nápisem „Titulky pro sluchově postižené“. Tato povinnost je zakotvena v § 3 odst. 2 zákona č. 496/2012 Sb., o</w:t>
      </w:r>
      <w:r w:rsidR="00676522" w:rsidRPr="00524DAA">
        <w:t> </w:t>
      </w:r>
      <w:r w:rsidR="008C5699" w:rsidRPr="00524DAA">
        <w:t xml:space="preserve">audiovizuálních dílech a podpoře kinematografie a </w:t>
      </w:r>
      <w:r w:rsidR="006A2FFB">
        <w:t>o změně některých zákonů (zákon</w:t>
      </w:r>
      <w:r w:rsidR="006A2FFB">
        <w:br/>
      </w:r>
      <w:r w:rsidR="008C5699" w:rsidRPr="00524DAA">
        <w:t>o audiovizi)</w:t>
      </w:r>
      <w:r w:rsidR="009E6267">
        <w:t>, ve znění pozdějších předpisů</w:t>
      </w:r>
      <w:r w:rsidR="008C5699" w:rsidRPr="00524DAA">
        <w:t>.</w:t>
      </w:r>
    </w:p>
    <w:p w:rsidR="00986CA3" w:rsidRPr="00524DAA" w:rsidRDefault="00824C6D" w:rsidP="001D4EF8">
      <w:pPr>
        <w:pStyle w:val="SingleTxtG"/>
      </w:pPr>
      <w:r>
        <w:t>2</w:t>
      </w:r>
      <w:r w:rsidR="0060129D">
        <w:t>0</w:t>
      </w:r>
      <w:r w:rsidR="008E2078">
        <w:t>9</w:t>
      </w:r>
      <w:r w:rsidR="00E75192">
        <w:t>.</w:t>
      </w:r>
      <w:r w:rsidR="00231D9B" w:rsidRPr="00524DAA">
        <w:tab/>
        <w:t>Od roku 2014 podporuje Ministerstvo kultury</w:t>
      </w:r>
      <w:r w:rsidR="00E53066">
        <w:t xml:space="preserve"> (dále jen „MK“)</w:t>
      </w:r>
      <w:r w:rsidR="00231D9B" w:rsidRPr="00524DAA">
        <w:t xml:space="preserve"> v rámci výběrového dotačního řízení v oblasti kinematografie a médií projekt nazvaný </w:t>
      </w:r>
      <w:r w:rsidR="004D082A">
        <w:t>„</w:t>
      </w:r>
      <w:r w:rsidR="00231D9B" w:rsidRPr="00524DAA">
        <w:t>Severský filmový klub (i pro neslyšící)</w:t>
      </w:r>
      <w:r w:rsidR="004D082A">
        <w:t>“</w:t>
      </w:r>
      <w:r w:rsidR="00231D9B" w:rsidRPr="00524DAA">
        <w:t>. Jedním z cílů tohoto projektu je umožnit neslyšící</w:t>
      </w:r>
      <w:r w:rsidR="004D082A">
        <w:t xml:space="preserve">m osobám </w:t>
      </w:r>
      <w:r w:rsidR="00231D9B" w:rsidRPr="00524DAA">
        <w:t>podílet se plnohodnotně na kulturním životě většinové společnosti, a za tím účelem filmy opatřovat speciálně upravenými titulky.</w:t>
      </w:r>
      <w:r w:rsidR="001E7A08" w:rsidRPr="00524DAA">
        <w:t xml:space="preserve"> Přehled podpory obsahuje následující tabulka.</w:t>
      </w:r>
    </w:p>
    <w:p w:rsidR="00231D9B" w:rsidRPr="00524DAA" w:rsidRDefault="00231D9B" w:rsidP="001D4EF8">
      <w:pPr>
        <w:pStyle w:val="SingleTxtG"/>
      </w:pPr>
    </w:p>
    <w:tbl>
      <w:tblPr>
        <w:tblStyle w:val="Mkatabulky"/>
        <w:tblW w:w="0" w:type="auto"/>
        <w:tblLook w:val="04A0" w:firstRow="1" w:lastRow="0" w:firstColumn="1" w:lastColumn="0" w:noHBand="0" w:noVBand="1"/>
      </w:tblPr>
      <w:tblGrid>
        <w:gridCol w:w="3070"/>
        <w:gridCol w:w="3071"/>
      </w:tblGrid>
      <w:tr w:rsidR="00DA1D5C" w:rsidRPr="00524DAA" w:rsidTr="00DA1D5C">
        <w:tc>
          <w:tcPr>
            <w:tcW w:w="3070"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b/>
                <w:szCs w:val="24"/>
              </w:rPr>
            </w:pPr>
            <w:r w:rsidRPr="00524DAA">
              <w:rPr>
                <w:b/>
                <w:szCs w:val="24"/>
              </w:rPr>
              <w:t>Rok</w:t>
            </w:r>
          </w:p>
        </w:tc>
        <w:tc>
          <w:tcPr>
            <w:tcW w:w="3071"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b/>
                <w:szCs w:val="24"/>
              </w:rPr>
            </w:pPr>
            <w:r w:rsidRPr="00524DAA">
              <w:rPr>
                <w:b/>
                <w:szCs w:val="24"/>
              </w:rPr>
              <w:t>Výše podpory celkem v Kč</w:t>
            </w:r>
          </w:p>
        </w:tc>
      </w:tr>
      <w:tr w:rsidR="00DA1D5C" w:rsidRPr="00524DAA" w:rsidTr="00DA1D5C">
        <w:tc>
          <w:tcPr>
            <w:tcW w:w="3070"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szCs w:val="24"/>
              </w:rPr>
            </w:pPr>
            <w:r w:rsidRPr="00524DAA">
              <w:rPr>
                <w:szCs w:val="24"/>
              </w:rPr>
              <w:t>2014</w:t>
            </w:r>
          </w:p>
        </w:tc>
        <w:tc>
          <w:tcPr>
            <w:tcW w:w="3071"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szCs w:val="24"/>
              </w:rPr>
            </w:pPr>
            <w:r w:rsidRPr="00524DAA">
              <w:rPr>
                <w:szCs w:val="24"/>
              </w:rPr>
              <w:t xml:space="preserve">150 000 </w:t>
            </w:r>
          </w:p>
        </w:tc>
      </w:tr>
      <w:tr w:rsidR="00DA1D5C" w:rsidRPr="00524DAA" w:rsidTr="00DA1D5C">
        <w:tc>
          <w:tcPr>
            <w:tcW w:w="3070"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szCs w:val="24"/>
              </w:rPr>
            </w:pPr>
            <w:r w:rsidRPr="00524DAA">
              <w:rPr>
                <w:szCs w:val="24"/>
              </w:rPr>
              <w:t>2015</w:t>
            </w:r>
          </w:p>
        </w:tc>
        <w:tc>
          <w:tcPr>
            <w:tcW w:w="3071"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szCs w:val="24"/>
              </w:rPr>
            </w:pPr>
            <w:r w:rsidRPr="00524DAA">
              <w:rPr>
                <w:szCs w:val="24"/>
              </w:rPr>
              <w:t xml:space="preserve">150 000 </w:t>
            </w:r>
          </w:p>
        </w:tc>
      </w:tr>
      <w:tr w:rsidR="00DA1D5C" w:rsidRPr="00524DAA" w:rsidTr="00DA1D5C">
        <w:tc>
          <w:tcPr>
            <w:tcW w:w="3070"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szCs w:val="24"/>
              </w:rPr>
            </w:pPr>
            <w:r w:rsidRPr="00524DAA">
              <w:rPr>
                <w:szCs w:val="24"/>
              </w:rPr>
              <w:t>2016</w:t>
            </w:r>
          </w:p>
        </w:tc>
        <w:tc>
          <w:tcPr>
            <w:tcW w:w="3071"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szCs w:val="24"/>
              </w:rPr>
            </w:pPr>
            <w:r w:rsidRPr="00524DAA">
              <w:rPr>
                <w:szCs w:val="24"/>
              </w:rPr>
              <w:t xml:space="preserve">170 000 </w:t>
            </w:r>
          </w:p>
        </w:tc>
      </w:tr>
      <w:tr w:rsidR="00DA1D5C" w:rsidRPr="00524DAA" w:rsidTr="00DA1D5C">
        <w:tc>
          <w:tcPr>
            <w:tcW w:w="3070"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szCs w:val="24"/>
              </w:rPr>
            </w:pPr>
            <w:r w:rsidRPr="00524DAA">
              <w:rPr>
                <w:szCs w:val="24"/>
              </w:rPr>
              <w:t>2017</w:t>
            </w:r>
          </w:p>
        </w:tc>
        <w:tc>
          <w:tcPr>
            <w:tcW w:w="3071"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szCs w:val="24"/>
              </w:rPr>
            </w:pPr>
            <w:r w:rsidRPr="00524DAA">
              <w:rPr>
                <w:szCs w:val="24"/>
              </w:rPr>
              <w:t xml:space="preserve">200 000 </w:t>
            </w:r>
          </w:p>
        </w:tc>
      </w:tr>
      <w:tr w:rsidR="00DA1D5C" w:rsidRPr="00524DAA" w:rsidTr="00DA1D5C">
        <w:tc>
          <w:tcPr>
            <w:tcW w:w="3070"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szCs w:val="24"/>
              </w:rPr>
            </w:pPr>
            <w:r w:rsidRPr="00524DAA">
              <w:rPr>
                <w:szCs w:val="24"/>
              </w:rPr>
              <w:t>2018</w:t>
            </w:r>
          </w:p>
        </w:tc>
        <w:tc>
          <w:tcPr>
            <w:tcW w:w="3071"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szCs w:val="24"/>
              </w:rPr>
            </w:pPr>
            <w:r w:rsidRPr="00524DAA">
              <w:rPr>
                <w:szCs w:val="24"/>
              </w:rPr>
              <w:t xml:space="preserve">250 000 </w:t>
            </w:r>
          </w:p>
        </w:tc>
      </w:tr>
      <w:tr w:rsidR="00DA1D5C" w:rsidRPr="00524DAA" w:rsidTr="00DA1D5C">
        <w:tc>
          <w:tcPr>
            <w:tcW w:w="3070"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szCs w:val="24"/>
              </w:rPr>
            </w:pPr>
            <w:r w:rsidRPr="00524DAA">
              <w:rPr>
                <w:szCs w:val="24"/>
              </w:rPr>
              <w:t>2019</w:t>
            </w:r>
          </w:p>
        </w:tc>
        <w:tc>
          <w:tcPr>
            <w:tcW w:w="3071" w:type="dxa"/>
            <w:tcBorders>
              <w:top w:val="single" w:sz="4" w:space="0" w:color="auto"/>
              <w:left w:val="single" w:sz="4" w:space="0" w:color="auto"/>
              <w:bottom w:val="single" w:sz="4" w:space="0" w:color="auto"/>
              <w:right w:val="single" w:sz="4" w:space="0" w:color="auto"/>
            </w:tcBorders>
            <w:hideMark/>
          </w:tcPr>
          <w:p w:rsidR="00DA1D5C" w:rsidRPr="00524DAA" w:rsidRDefault="00DA1D5C">
            <w:pPr>
              <w:spacing w:line="240" w:lineRule="auto"/>
              <w:jc w:val="both"/>
              <w:rPr>
                <w:szCs w:val="24"/>
              </w:rPr>
            </w:pPr>
            <w:r w:rsidRPr="00524DAA">
              <w:rPr>
                <w:szCs w:val="24"/>
              </w:rPr>
              <w:t xml:space="preserve">250 000 </w:t>
            </w:r>
          </w:p>
        </w:tc>
      </w:tr>
    </w:tbl>
    <w:p w:rsidR="00231D9B" w:rsidRDefault="00E53066" w:rsidP="001D4EF8">
      <w:pPr>
        <w:pStyle w:val="SingleTxtG"/>
      </w:pPr>
      <w:r>
        <w:t>* Zdroj: MK</w:t>
      </w:r>
    </w:p>
    <w:p w:rsidR="00E53066" w:rsidRPr="00524DAA" w:rsidRDefault="00E53066" w:rsidP="001D4EF8">
      <w:pPr>
        <w:pStyle w:val="SingleTxtG"/>
      </w:pPr>
    </w:p>
    <w:p w:rsidR="00986CA3" w:rsidRPr="005D6D57" w:rsidRDefault="005D6D57" w:rsidP="00986CA3">
      <w:pPr>
        <w:pStyle w:val="H1G"/>
      </w:pPr>
      <w:r>
        <w:tab/>
      </w:r>
      <w:r w:rsidR="00986CA3" w:rsidRPr="00524DAA">
        <w:tab/>
        <w:t>Odpověď na otázku č. 18 b)</w:t>
      </w:r>
    </w:p>
    <w:p w:rsidR="00880427" w:rsidRDefault="00824C6D" w:rsidP="000906C9">
      <w:pPr>
        <w:pStyle w:val="SingleTxtG"/>
      </w:pPr>
      <w:r>
        <w:t>2</w:t>
      </w:r>
      <w:r w:rsidR="008E2078">
        <w:t>1</w:t>
      </w:r>
      <w:r w:rsidR="0060129D">
        <w:t>0</w:t>
      </w:r>
      <w:r w:rsidR="00E75192">
        <w:t>.</w:t>
      </w:r>
      <w:r w:rsidR="00880427">
        <w:tab/>
      </w:r>
      <w:r w:rsidR="000906C9">
        <w:t xml:space="preserve">Pokud jde o úpravu problematiky tlumočení a překladatelství, připravilo </w:t>
      </w:r>
      <w:r w:rsidR="00B46846">
        <w:t xml:space="preserve">v roce 2017 </w:t>
      </w:r>
      <w:r w:rsidR="000906C9">
        <w:t>M</w:t>
      </w:r>
      <w:r w:rsidR="00881655">
        <w:t xml:space="preserve">S </w:t>
      </w:r>
      <w:r w:rsidR="000906C9">
        <w:t xml:space="preserve">návrh obecné právní úpravy, který vláda ČR </w:t>
      </w:r>
      <w:r w:rsidR="008263BF">
        <w:t xml:space="preserve">schválila svým usnesením ze dne </w:t>
      </w:r>
      <w:r w:rsidR="000906C9">
        <w:t>17.</w:t>
      </w:r>
      <w:r w:rsidR="00881655">
        <w:t> </w:t>
      </w:r>
      <w:r w:rsidR="000906C9">
        <w:t xml:space="preserve">ledna 2018 </w:t>
      </w:r>
      <w:r w:rsidR="008263BF">
        <w:t>č. 40</w:t>
      </w:r>
      <w:r w:rsidR="00B46846">
        <w:t xml:space="preserve">. </w:t>
      </w:r>
      <w:r w:rsidR="00880427">
        <w:t>Obecno</w:t>
      </w:r>
      <w:r w:rsidR="006A2FFB">
        <w:t>u úpravu problematiky tlumočení</w:t>
      </w:r>
      <w:r w:rsidR="006A2FFB">
        <w:br/>
      </w:r>
      <w:r w:rsidR="00880427">
        <w:t xml:space="preserve">a překladatelství </w:t>
      </w:r>
      <w:r w:rsidR="00B46846">
        <w:t xml:space="preserve">tak s účinností od 1. ledna 2021 </w:t>
      </w:r>
      <w:r w:rsidR="00941D7D">
        <w:t xml:space="preserve">bude </w:t>
      </w:r>
      <w:r w:rsidR="00880427">
        <w:t>obsah</w:t>
      </w:r>
      <w:r w:rsidR="00B46846">
        <w:t xml:space="preserve">ovat </w:t>
      </w:r>
      <w:r w:rsidR="006A2FFB">
        <w:t>zákon č. 354/2019 Sb.,</w:t>
      </w:r>
      <w:r w:rsidR="006A2FFB">
        <w:br/>
      </w:r>
      <w:r w:rsidR="00880427">
        <w:t>o</w:t>
      </w:r>
      <w:r w:rsidR="00881655">
        <w:t> </w:t>
      </w:r>
      <w:r w:rsidR="00880427">
        <w:t xml:space="preserve">soudních tlumočnících a soudních překladatelích. </w:t>
      </w:r>
      <w:r w:rsidR="00941D7D">
        <w:t>Z</w:t>
      </w:r>
      <w:r w:rsidR="006A2FFB">
        <w:t>ákon o soudních tlumočnících</w:t>
      </w:r>
      <w:r w:rsidR="006A2FFB">
        <w:br/>
      </w:r>
      <w:r w:rsidR="00880427">
        <w:t>a</w:t>
      </w:r>
      <w:r w:rsidR="00C92C05">
        <w:t> </w:t>
      </w:r>
      <w:r w:rsidR="00880427">
        <w:t>překladatelích nastavuje podmínky pro kvalitnější práci v tomto o</w:t>
      </w:r>
      <w:r w:rsidR="00531CD0">
        <w:t>boru</w:t>
      </w:r>
      <w:r w:rsidR="00880427">
        <w:t xml:space="preserve"> a posiluje kontrolu nad výkonem těchto profesí. Zdůrazňuje úlohu vzdělání a praxe a jednoznačně definuje jaké předpoklady pro výkon tlumočnické a překladatelské činnosti jsou potřeba. Zákon zohledňuje i specifika tlumočení a překlad</w:t>
      </w:r>
      <w:r w:rsidR="006A2FFB">
        <w:t>u z/do českého znakového jazyka</w:t>
      </w:r>
      <w:r w:rsidR="006A2FFB">
        <w:br/>
      </w:r>
      <w:r w:rsidR="00880427">
        <w:t>a zprostředkování komunikace do dalších ko</w:t>
      </w:r>
      <w:r w:rsidR="006A2FFB">
        <w:t>munikačních systémů neslyšících</w:t>
      </w:r>
      <w:r w:rsidR="006A2FFB">
        <w:br/>
      </w:r>
      <w:r w:rsidR="00880427">
        <w:t xml:space="preserve">a hluchoslepých osob. Zákon tak vyžaduje zavedení jasnějšího vymezení forem tlumočnického úkonu pro účastníky se sluchovým postižením a definování podmínek pro ustanovení tlumočníka vyhovujícího komunikačním potřebám daného účastníka se sluchovým postižením, jak je stanoví zákon č. 155/1998 Sb. o znakové řeči ve znění zákona </w:t>
      </w:r>
      <w:r w:rsidR="00880427">
        <w:lastRenderedPageBreak/>
        <w:t>č. 384/2008 Sb.</w:t>
      </w:r>
      <w:r w:rsidR="00CF344A">
        <w:t>,</w:t>
      </w:r>
      <w:r w:rsidR="00880427">
        <w:t xml:space="preserve"> o komunikačních systémech neslyšících a hluchoslepých osob, a to v</w:t>
      </w:r>
      <w:r w:rsidR="00B14F8C">
        <w:t> </w:t>
      </w:r>
      <w:r w:rsidR="00880427">
        <w:t>souladu s příslušnými ustanoveními trestního a občanského soudního řádu.</w:t>
      </w:r>
    </w:p>
    <w:p w:rsidR="005567AE" w:rsidRDefault="00824C6D" w:rsidP="005567AE">
      <w:pPr>
        <w:pStyle w:val="SingleTxtG"/>
      </w:pPr>
      <w:r>
        <w:t>2</w:t>
      </w:r>
      <w:r w:rsidR="00E6385E">
        <w:t>1</w:t>
      </w:r>
      <w:r w:rsidR="00A20FD7">
        <w:t>1</w:t>
      </w:r>
      <w:r w:rsidR="00E75192">
        <w:t>.</w:t>
      </w:r>
      <w:r w:rsidR="005567AE">
        <w:tab/>
        <w:t>Zákon č. 155/1998 Sb., o komunikačních systémech neslyšících a hluchoslepých osob, ve znění zákona č. 384/2008 Sb. ve svém ust. § 8 odst. 1 uvádí, že neslyšící a</w:t>
      </w:r>
      <w:r w:rsidR="00B14F8C">
        <w:t> </w:t>
      </w:r>
      <w:r w:rsidR="005567AE">
        <w:t>hluchoslepé osoby „mají při návštěvě lékaře, vyřizování úředních záležitostí a při zajišťování dalších nezbytných potřeb právo na tlumočnic</w:t>
      </w:r>
      <w:r w:rsidR="006A2FFB">
        <w:t>ké služby zajišťující tlumočení</w:t>
      </w:r>
      <w:r w:rsidR="006A2FFB">
        <w:br/>
      </w:r>
      <w:r w:rsidR="005567AE">
        <w:t>v jimi zvoleném komunikačním systému“. Podmínky poskytování tlumočnických služeb má přitom stanovit jiný právní předpis. Tímto jiným právním předpisem je mj. i zákon o</w:t>
      </w:r>
      <w:r w:rsidR="00454A07">
        <w:t> </w:t>
      </w:r>
      <w:r w:rsidR="005567AE">
        <w:t>sociálních službách</w:t>
      </w:r>
      <w:r w:rsidR="0019788E">
        <w:t>.</w:t>
      </w:r>
    </w:p>
    <w:p w:rsidR="00B538A2" w:rsidRDefault="00824C6D" w:rsidP="003834B9">
      <w:pPr>
        <w:pStyle w:val="SingleTxtG"/>
      </w:pPr>
      <w:r>
        <w:t>2</w:t>
      </w:r>
      <w:r w:rsidR="00E75192">
        <w:t>1</w:t>
      </w:r>
      <w:r w:rsidR="00A20FD7">
        <w:t>2</w:t>
      </w:r>
      <w:r w:rsidR="00E75192">
        <w:t>.</w:t>
      </w:r>
      <w:r w:rsidR="00B46FBC">
        <w:tab/>
      </w:r>
      <w:r w:rsidR="0019788E">
        <w:t>T</w:t>
      </w:r>
      <w:r w:rsidR="004D5933">
        <w:t>lumočení pro neslyšící, upravuje zákon o sociálních službách v §</w:t>
      </w:r>
      <w:r w:rsidR="00454A07">
        <w:t> </w:t>
      </w:r>
      <w:r w:rsidR="004D5933">
        <w:t xml:space="preserve">56 </w:t>
      </w:r>
      <w:r w:rsidR="00C92C05">
        <w:t>P</w:t>
      </w:r>
      <w:r w:rsidR="004D5933">
        <w:t>oskytování tlumočnické služby tak</w:t>
      </w:r>
      <w:r w:rsidR="00CE0BDB">
        <w:t>, že</w:t>
      </w:r>
      <w:r w:rsidR="004D5933">
        <w:t>:</w:t>
      </w:r>
      <w:r w:rsidR="00CE0BDB">
        <w:t xml:space="preserve"> </w:t>
      </w:r>
      <w:r w:rsidR="004D5933">
        <w:t>„Tlumočnické služby jsou terénní, popř</w:t>
      </w:r>
      <w:r w:rsidR="00CE0BDB">
        <w:t>.</w:t>
      </w:r>
      <w:r w:rsidR="004D5933">
        <w:t xml:space="preserve"> ambulantní služby poskytované osobám s poruchami komunikace způsobenými především smyslovým postižením, které zamezuje běžné komunikaci s okolím bez pomoci jiné fyzické osoby. Služba obsahuje tyto základní činnosti: zprostředkování kontaktu se společenským prostředím,</w:t>
      </w:r>
      <w:r w:rsidR="00CE0BDB">
        <w:t xml:space="preserve"> </w:t>
      </w:r>
      <w:r w:rsidR="004D5933">
        <w:t>pomoc při uplatňování práv, oprávněných zájmů a při obstarávání osobních záležitostí.“</w:t>
      </w:r>
      <w:r w:rsidR="00CE0BDB">
        <w:t xml:space="preserve"> </w:t>
      </w:r>
      <w:r w:rsidR="004D5933">
        <w:t xml:space="preserve">Podle § 72 písm. d) zákona o sociálních službách patří </w:t>
      </w:r>
      <w:r w:rsidR="003834B9">
        <w:t xml:space="preserve">sice </w:t>
      </w:r>
      <w:r w:rsidR="004D5933">
        <w:t xml:space="preserve">tlumočnické služby mezi ty sociální služby, které </w:t>
      </w:r>
      <w:r w:rsidR="003834B9">
        <w:t xml:space="preserve">se </w:t>
      </w:r>
      <w:r w:rsidR="004D5933">
        <w:t>poskyt</w:t>
      </w:r>
      <w:r w:rsidR="003834B9">
        <w:t xml:space="preserve">ují </w:t>
      </w:r>
      <w:r w:rsidR="004D5933">
        <w:t>bez úhrady uživatelů</w:t>
      </w:r>
      <w:r w:rsidR="003834B9">
        <w:t xml:space="preserve">, </w:t>
      </w:r>
      <w:r w:rsidR="00B538A2" w:rsidRPr="00B538A2">
        <w:t>avšak jejich rozsah je limitován možnostmi daného poskytovatele této služby, zejména pak výší poskytnutých dotací.</w:t>
      </w:r>
    </w:p>
    <w:p w:rsidR="004D5933" w:rsidRDefault="00824C6D" w:rsidP="004D5933">
      <w:pPr>
        <w:pStyle w:val="SingleTxtG"/>
      </w:pPr>
      <w:r>
        <w:t>2</w:t>
      </w:r>
      <w:r w:rsidR="00E75192">
        <w:t>1</w:t>
      </w:r>
      <w:r w:rsidR="00A20FD7">
        <w:t>3</w:t>
      </w:r>
      <w:r w:rsidR="00E75192">
        <w:t>.</w:t>
      </w:r>
      <w:r w:rsidR="000B50F8">
        <w:tab/>
      </w:r>
      <w:r w:rsidR="009348F9">
        <w:t>D</w:t>
      </w:r>
      <w:r w:rsidR="004D5933">
        <w:t xml:space="preserve">ostupnost poskytování sociálních služeb, vč. služeb tlumočnických </w:t>
      </w:r>
      <w:r w:rsidR="009348F9">
        <w:t>zajišťují</w:t>
      </w:r>
      <w:r w:rsidR="004D5933">
        <w:t xml:space="preserve"> podle zákona o sociálních službách kraje [§ 95 písm. g)], a to v rámci své samostatné působnosti.</w:t>
      </w:r>
      <w:r w:rsidR="000B50F8">
        <w:t xml:space="preserve"> </w:t>
      </w:r>
      <w:r w:rsidR="004D5933">
        <w:t xml:space="preserve">Za </w:t>
      </w:r>
      <w:r w:rsidR="00D336E6">
        <w:t xml:space="preserve">místní </w:t>
      </w:r>
      <w:r w:rsidR="004D5933">
        <w:t xml:space="preserve">dostupnost sociálních služeb na svém území odpovídají tedy především jednotlivé kraje, které v rámci tvorby střednědobého plánu rozvoje sociálních služeb analyzují potřeby jednotlivých cílových skupin uživatelů, mezi něž patří i osoby neslyšící. V této souvislosti MPSV provádí takové změny legislativní i nelegislativní povahy, které rozvíjejí kompetence </w:t>
      </w:r>
      <w:r w:rsidR="009348F9">
        <w:t xml:space="preserve">krajů </w:t>
      </w:r>
      <w:r w:rsidR="004D5933">
        <w:t xml:space="preserve">a také </w:t>
      </w:r>
      <w:r w:rsidR="009348F9">
        <w:t xml:space="preserve">jim </w:t>
      </w:r>
      <w:r w:rsidR="004D5933">
        <w:t>ukládají větší povinnosti při procesu plánování rozvoje sociálních služeb způsobem, který bude více založen na analýze aktuální potřebnosti sociálních služeb v jejich územní působnosti (např. prostřednictvím tvorby sítě sociálních služeb).</w:t>
      </w:r>
    </w:p>
    <w:p w:rsidR="00B538A2" w:rsidRDefault="00824C6D" w:rsidP="00A43E3F">
      <w:pPr>
        <w:pStyle w:val="SingleTxtG"/>
      </w:pPr>
      <w:r>
        <w:t>2</w:t>
      </w:r>
      <w:r w:rsidR="00E75192">
        <w:t>1</w:t>
      </w:r>
      <w:r w:rsidR="00A20FD7">
        <w:t>4</w:t>
      </w:r>
      <w:r w:rsidR="00E75192">
        <w:t>.</w:t>
      </w:r>
      <w:r w:rsidR="009C10AE">
        <w:tab/>
        <w:t>S</w:t>
      </w:r>
      <w:r w:rsidR="00A43E3F">
        <w:t xml:space="preserve">ama skutečnost, že zákon o sociálních službách upravuje podmínky poskytování tlumočnických služeb v režimu systému sociálních služeb, ještě neznamená, že není možné tyto služby </w:t>
      </w:r>
      <w:r w:rsidR="00B538A2" w:rsidRPr="00B538A2">
        <w:t>poskytovat, zajišťovat nebo využívat i mimo systém sociálních služeb, tj. nikoli jako služby sociální. Je tak např. v obecných procesních předpisech (správní řád nebo občanský soudní řád) pro jednání před správním orgánem či soudem stanovena zásada / podmínka, že při jednání je třeba s účastníkem řízení jednat v jazyce a způsobem, kterým je schopen se k projednávané záležitosti vyjádřit, popř. porozumět předmětu řízení (např. prostřednictvím tlumočení do znakové řeči, je-li to zapotřebí). Přitom je orgán, který vede řízení (správní úřad nebo soud) povinen na vlastní náklady zajistit takové tlumočení.</w:t>
      </w:r>
    </w:p>
    <w:p w:rsidR="00A43E3F" w:rsidRDefault="00A43E3F" w:rsidP="00A43E3F">
      <w:pPr>
        <w:pStyle w:val="SingleTxtG"/>
      </w:pPr>
    </w:p>
    <w:p w:rsidR="00986CA3" w:rsidRPr="005D6D57" w:rsidRDefault="00986CA3" w:rsidP="00986CA3">
      <w:pPr>
        <w:pStyle w:val="H1G"/>
      </w:pPr>
      <w:r w:rsidRPr="00524DAA">
        <w:tab/>
      </w:r>
      <w:r w:rsidRPr="00524DAA">
        <w:tab/>
        <w:t>Odpověď na otázku č. 18 c)</w:t>
      </w:r>
    </w:p>
    <w:p w:rsidR="00CE7F39" w:rsidRPr="00524DAA" w:rsidRDefault="00824C6D" w:rsidP="00C508D9">
      <w:pPr>
        <w:pStyle w:val="SingleTxtG"/>
      </w:pPr>
      <w:r>
        <w:t>2</w:t>
      </w:r>
      <w:r w:rsidR="00E75192">
        <w:t>1</w:t>
      </w:r>
      <w:r w:rsidR="00A20FD7">
        <w:t>5</w:t>
      </w:r>
      <w:r w:rsidR="00E75192">
        <w:t>.</w:t>
      </w:r>
      <w:r w:rsidR="00CE7F39" w:rsidRPr="00524DAA">
        <w:tab/>
        <w:t>V souladu s čl. 4 Úmluvy, který stanoví mj. i závazek zohlednit ochranu a podporu lidských práv osob se ZP ve všech politikách a programech bylo do koncepce Klientsky orientovaná veřejná správa 2030 M</w:t>
      </w:r>
      <w:r w:rsidR="00166E2F">
        <w:t xml:space="preserve">V </w:t>
      </w:r>
      <w:r w:rsidR="00CE7F39" w:rsidRPr="00524DAA">
        <w:t>za</w:t>
      </w:r>
      <w:r w:rsidR="00166E2F">
        <w:t xml:space="preserve">hrnuto </w:t>
      </w:r>
      <w:r w:rsidR="00CE7F39" w:rsidRPr="00524DAA">
        <w:t>opatření „Metodické vedení komunikace institucí veřejné správy se specifickými skupinami“. Dlouhodobě je cílem M</w:t>
      </w:r>
      <w:r w:rsidR="00166E2F">
        <w:t xml:space="preserve">V </w:t>
      </w:r>
      <w:r w:rsidR="00CE7F39" w:rsidRPr="00524DAA">
        <w:t>zajistit osobám se ZP</w:t>
      </w:r>
      <w:r w:rsidR="006A2FFB">
        <w:t xml:space="preserve"> v maximálně možné míře přístup</w:t>
      </w:r>
      <w:r w:rsidR="00166E2F">
        <w:t xml:space="preserve"> </w:t>
      </w:r>
      <w:r w:rsidR="00CE7F39" w:rsidRPr="00524DAA">
        <w:t xml:space="preserve">k informacím a službám veřejné správy. Proto </w:t>
      </w:r>
      <w:r w:rsidR="00A6034C">
        <w:t xml:space="preserve">MV </w:t>
      </w:r>
      <w:r w:rsidR="00CE7F39" w:rsidRPr="00524DAA">
        <w:t xml:space="preserve">v průběhu let 2018 a 2019 zpracovalo návodnou metodickou pomůcku, která vysvětluje úředníkům veřejné správy způsob, jak podávat složité informace jednoduchým způsobem. Metodika obsahuje pravidla, s jejichž využitím úředníci veřejné správy vytvoří zjednodušené a snadno čitelné informace ve formátu </w:t>
      </w:r>
      <w:proofErr w:type="spellStart"/>
      <w:r w:rsidR="00CE7F39" w:rsidRPr="00524DAA">
        <w:t>Easy</w:t>
      </w:r>
      <w:proofErr w:type="spellEnd"/>
      <w:r w:rsidR="00CE7F39" w:rsidRPr="00524DAA">
        <w:t xml:space="preserve"> to </w:t>
      </w:r>
      <w:proofErr w:type="spellStart"/>
      <w:r w:rsidR="00CE7F39" w:rsidRPr="00524DAA">
        <w:t>read</w:t>
      </w:r>
      <w:proofErr w:type="spellEnd"/>
      <w:r w:rsidR="00CE7F39" w:rsidRPr="00524DAA">
        <w:t xml:space="preserve"> (dále jen „ETR“) pro osoby se ZP nebo pro osoby, které jsou oslabené ve čtení a vnímání složitých informací. Souhrn zásad je pro snadné každodenní využití přizpůsoben k vytištění a praktickému použití v úřední praxi. Ve spolupráci s vybranými neziskovými organizacemi a odborníky v</w:t>
      </w:r>
      <w:r w:rsidR="00A6034C">
        <w:t> </w:t>
      </w:r>
      <w:r w:rsidR="00CE7F39" w:rsidRPr="00524DAA">
        <w:t>oblasti přípravy ETR materiálů zpracovalo M</w:t>
      </w:r>
      <w:r w:rsidR="00166E2F">
        <w:t xml:space="preserve">V </w:t>
      </w:r>
      <w:r w:rsidR="00CE7F39" w:rsidRPr="00524DAA">
        <w:t>několik praktických př</w:t>
      </w:r>
      <w:r w:rsidR="00166E2F">
        <w:t>e</w:t>
      </w:r>
      <w:r w:rsidR="00CE7F39" w:rsidRPr="00524DAA">
        <w:t>kladů. Nejprve se zaměřilo na životní situace, které je třeba řešit v životě občana opakovaně, jako je např. účast</w:t>
      </w:r>
      <w:r w:rsidR="006A2FFB">
        <w:t xml:space="preserve"> ve volbách, žádost</w:t>
      </w:r>
      <w:r w:rsidR="00166E2F">
        <w:t xml:space="preserve"> </w:t>
      </w:r>
      <w:r w:rsidR="00CE7F39" w:rsidRPr="00524DAA">
        <w:t xml:space="preserve">o vydání občanského průkazu a cestovního dokladu apod. </w:t>
      </w:r>
      <w:r w:rsidR="00166E2F">
        <w:t>D</w:t>
      </w:r>
      <w:r w:rsidR="00CE7F39" w:rsidRPr="00524DAA">
        <w:t xml:space="preserve">o dalšího období </w:t>
      </w:r>
      <w:r w:rsidR="00CE7F39" w:rsidRPr="00524DAA">
        <w:lastRenderedPageBreak/>
        <w:t xml:space="preserve">připravuje </w:t>
      </w:r>
      <w:r w:rsidR="00166E2F">
        <w:t xml:space="preserve">MV </w:t>
      </w:r>
      <w:r w:rsidR="00CE7F39" w:rsidRPr="00524DAA">
        <w:t>doporučující metodiku pro orgány ústřední státní správy a</w:t>
      </w:r>
      <w:r w:rsidR="00166E2F">
        <w:t> </w:t>
      </w:r>
      <w:r w:rsidR="00CE7F39" w:rsidRPr="00524DAA">
        <w:t>územní samosprávy, zaměřenou zejména na komunikaci se specifickými skupinami obyvatel, a to zejména se zaměřením na osoby se ZP (neslyšící, nevidomé, či osoby s</w:t>
      </w:r>
      <w:r w:rsidR="00166E2F">
        <w:t> </w:t>
      </w:r>
      <w:r w:rsidR="00CE7F39" w:rsidRPr="00524DAA">
        <w:t>kombinovaným postižením). Zaměří se na další konkrétní doporučení pro zdárné vyřešení nejběžnějších životních situací, ve kterých občané přicházejí do styku s veřejnou správou.</w:t>
      </w:r>
    </w:p>
    <w:p w:rsidR="006B15FE" w:rsidRDefault="00824C6D" w:rsidP="00C508D9">
      <w:pPr>
        <w:pStyle w:val="SingleTxtG"/>
      </w:pPr>
      <w:r>
        <w:t>2</w:t>
      </w:r>
      <w:r w:rsidR="00E75192">
        <w:t>1</w:t>
      </w:r>
      <w:r w:rsidR="00A20FD7">
        <w:t>6</w:t>
      </w:r>
      <w:r w:rsidR="00E75192">
        <w:t>.</w:t>
      </w:r>
      <w:r w:rsidR="006B15FE">
        <w:tab/>
      </w:r>
      <w:r w:rsidR="00CD3267" w:rsidRPr="00CD3267">
        <w:t xml:space="preserve">V rámci systémového projektu </w:t>
      </w:r>
      <w:r w:rsidR="00A6034C">
        <w:t>„</w:t>
      </w:r>
      <w:r w:rsidR="00CD3267" w:rsidRPr="00CD3267">
        <w:t>Život jako každý jiný</w:t>
      </w:r>
      <w:r w:rsidR="00A6034C">
        <w:t>“</w:t>
      </w:r>
      <w:r w:rsidR="00CD3267">
        <w:t xml:space="preserve">, který realizuje </w:t>
      </w:r>
      <w:r w:rsidR="00CD3267" w:rsidRPr="00CD3267">
        <w:t>MPSV</w:t>
      </w:r>
      <w:r w:rsidR="00CD3267">
        <w:t>,</w:t>
      </w:r>
      <w:r w:rsidR="00CD3267" w:rsidRPr="00CD3267">
        <w:t xml:space="preserve"> jsou spravovány webové stránky www.trass.cz. Na nich byla v</w:t>
      </w:r>
      <w:r w:rsidR="006A2FFB">
        <w:t>e sledovaném období vytvořena</w:t>
      </w:r>
      <w:r w:rsidR="006A2FFB">
        <w:br/>
        <w:t>a</w:t>
      </w:r>
      <w:r w:rsidR="00CD3267" w:rsidRPr="00CD3267">
        <w:t xml:space="preserve"> aktualizována sekce Informace ve snadném čtení http://www.trass.cz/index.php/snadne-cteni/. Zde jsou zveřejňovány texty ve snadném čtení týkající se důležitých životních situací (aktuálně je zveřejněno 263 textů). Texty jsou vytvářeny s odborníky pro </w:t>
      </w:r>
      <w:proofErr w:type="spellStart"/>
      <w:r w:rsidR="00CD3267" w:rsidRPr="00CD3267">
        <w:t>easy</w:t>
      </w:r>
      <w:proofErr w:type="spellEnd"/>
      <w:r w:rsidR="00CD3267" w:rsidRPr="00CD3267">
        <w:t xml:space="preserve">-to </w:t>
      </w:r>
      <w:proofErr w:type="spellStart"/>
      <w:r w:rsidR="00CD3267" w:rsidRPr="00CD3267">
        <w:t>read</w:t>
      </w:r>
      <w:proofErr w:type="spellEnd"/>
      <w:r w:rsidR="00CD3267" w:rsidRPr="00CD3267">
        <w:t xml:space="preserve"> ze Společnosti pro podporu lidí s mentálním postižením v ČR.</w:t>
      </w:r>
    </w:p>
    <w:p w:rsidR="00EA73F7" w:rsidRDefault="00824C6D" w:rsidP="00C508D9">
      <w:pPr>
        <w:pStyle w:val="SingleTxtG"/>
      </w:pPr>
      <w:r>
        <w:t>2</w:t>
      </w:r>
      <w:r w:rsidR="00E75192">
        <w:t>1</w:t>
      </w:r>
      <w:r w:rsidR="00A20FD7">
        <w:t>7</w:t>
      </w:r>
      <w:r w:rsidR="00E75192">
        <w:t>.</w:t>
      </w:r>
      <w:r w:rsidR="00EA73F7">
        <w:tab/>
      </w:r>
      <w:r w:rsidR="00EA73F7" w:rsidRPr="00EA73F7">
        <w:t>Účastník</w:t>
      </w:r>
      <w:r w:rsidR="00F906FA">
        <w:t>ovi</w:t>
      </w:r>
      <w:r w:rsidR="00EA73F7" w:rsidRPr="00EA73F7">
        <w:t xml:space="preserve"> civilního řízení nebo řízení ve správním soudnictví ustanoví soud tlumočníka, jestliže se s ním nelze dorozumět jinak než některým z komunikačních systémů neslyšících a hluchoslepých osob (§ 18 odst. 2 občanského soudního řádu). Obdobně se postupuje v řízení trestním, jestliže je třeba přetlumočit obsah písemnosti, výpovědi nebo jiného procesního úkonu (§ 28 odst. 1 trestního řádu). Tato ustanovení promítají do procesních předpisů obecnou zásadu rovnosti.</w:t>
      </w:r>
    </w:p>
    <w:p w:rsidR="00986CA3" w:rsidRPr="00524DAA" w:rsidRDefault="00981196" w:rsidP="00C508D9">
      <w:pPr>
        <w:pStyle w:val="SingleTxtG"/>
      </w:pPr>
      <w:r>
        <w:t>2</w:t>
      </w:r>
      <w:r w:rsidR="0060129D">
        <w:t>1</w:t>
      </w:r>
      <w:r w:rsidR="00A20FD7">
        <w:t>8</w:t>
      </w:r>
      <w:r w:rsidR="00E75192">
        <w:t>.</w:t>
      </w:r>
      <w:r w:rsidR="00C508D9" w:rsidRPr="00524DAA">
        <w:tab/>
      </w:r>
      <w:r w:rsidR="007F11E3" w:rsidRPr="00524DAA">
        <w:t>Z</w:t>
      </w:r>
      <w:r w:rsidR="00C508D9" w:rsidRPr="00524DAA">
        <w:t>ákon o zdravotních službách stanov</w:t>
      </w:r>
      <w:r w:rsidR="007F11E3" w:rsidRPr="00524DAA">
        <w:t xml:space="preserve">í </w:t>
      </w:r>
      <w:r w:rsidR="00C508D9" w:rsidRPr="00524DAA">
        <w:t>práva a povi</w:t>
      </w:r>
      <w:r w:rsidR="006A2FFB">
        <w:t>nnosti pacientů, které zahrnují</w:t>
      </w:r>
      <w:r w:rsidR="006A2FFB">
        <w:br/>
      </w:r>
      <w:r w:rsidR="00C508D9" w:rsidRPr="00524DAA">
        <w:t xml:space="preserve">i ustanovení, že pacient se smyslovým postižením nebo s těžkými komunikačními problémy má právo na dorozumívání pro něj srozumitelným způsobem, používání dorozumívacích prostředků či tlumočníka. Dále </w:t>
      </w:r>
      <w:r w:rsidR="007F11E3" w:rsidRPr="00524DAA">
        <w:t xml:space="preserve">má </w:t>
      </w:r>
      <w:r w:rsidR="00C508D9" w:rsidRPr="00524DAA">
        <w:t>pacient se smyslovým nebo tělesným postižením právo využívat psa se speciálním výcvikem nebo přítomnost psa ve zdravotnickém zařízení a další. Dále je v uvedeném zákoně ustanoveno, že poskytovatel je povinen vytvořit podmínky a opatření k zajištění uplatňování práv</w:t>
      </w:r>
      <w:r w:rsidR="006A2FFB">
        <w:t xml:space="preserve"> a povinností pacientů</w:t>
      </w:r>
      <w:r w:rsidR="006A2FFB">
        <w:br/>
      </w:r>
      <w:r w:rsidR="00C508D9" w:rsidRPr="00524DAA">
        <w:t>a dalších oprávněných osob.</w:t>
      </w:r>
    </w:p>
    <w:p w:rsidR="00986CA3" w:rsidRPr="00524DAA" w:rsidRDefault="00E75192" w:rsidP="001D4EF8">
      <w:pPr>
        <w:pStyle w:val="SingleTxtG"/>
      </w:pPr>
      <w:r>
        <w:t>2</w:t>
      </w:r>
      <w:r w:rsidR="0060129D">
        <w:t>1</w:t>
      </w:r>
      <w:r w:rsidR="00A20FD7">
        <w:t>9</w:t>
      </w:r>
      <w:r>
        <w:t>.</w:t>
      </w:r>
      <w:r w:rsidR="00FD3943" w:rsidRPr="00524DAA">
        <w:tab/>
      </w:r>
      <w:r w:rsidR="00E53066">
        <w:t>MK</w:t>
      </w:r>
      <w:r w:rsidR="00FD3943" w:rsidRPr="00524DAA">
        <w:t xml:space="preserve"> podpořilo unikátní projekt „</w:t>
      </w:r>
      <w:proofErr w:type="spellStart"/>
      <w:r w:rsidR="00FD3943" w:rsidRPr="00524DAA">
        <w:t>z</w:t>
      </w:r>
      <w:r w:rsidR="006A2FFB">
        <w:t>nakoknih</w:t>
      </w:r>
      <w:proofErr w:type="spellEnd"/>
      <w:r w:rsidR="006A2FFB">
        <w:t>“, tj. webovou aplikaci</w:t>
      </w:r>
      <w:r w:rsidR="006A2FFB">
        <w:br/>
      </w:r>
      <w:r w:rsidR="00FD3943" w:rsidRPr="00524DAA">
        <w:t>v textové a obrazové podobě, která umožní neslyšícím uživatelům jinou formu čtení, realizovaný Krajskou vědeckou knihovnou v Liberci</w:t>
      </w:r>
      <w:r w:rsidR="006A2FFB">
        <w:t>. Obsah je zobrazován jako text</w:t>
      </w:r>
      <w:r w:rsidR="006A2FFB">
        <w:br/>
      </w:r>
      <w:r w:rsidR="00FD3943" w:rsidRPr="00524DAA">
        <w:t>a zároveň i jako vizuální záznam překladu textu do znakového jazyka. Takto byly zpracovány publikace Český ráj a jeho tajemství L. Seifertové a O zahradě P. Čecha.</w:t>
      </w:r>
    </w:p>
    <w:p w:rsidR="00FD3943" w:rsidRPr="00524DAA" w:rsidRDefault="00FD3943" w:rsidP="001D4EF8">
      <w:pPr>
        <w:pStyle w:val="SingleTxtG"/>
      </w:pPr>
    </w:p>
    <w:p w:rsidR="00986CA3" w:rsidRPr="005D6D57" w:rsidRDefault="00986CA3" w:rsidP="00986CA3">
      <w:pPr>
        <w:pStyle w:val="H1G"/>
      </w:pPr>
      <w:r w:rsidRPr="00524DAA">
        <w:tab/>
      </w:r>
      <w:r w:rsidRPr="00524DAA">
        <w:tab/>
        <w:t>Odpověď na otázku č. 18 d)</w:t>
      </w:r>
    </w:p>
    <w:p w:rsidR="00986CA3" w:rsidRPr="00524DAA" w:rsidRDefault="00E75192" w:rsidP="005D6D57">
      <w:pPr>
        <w:pStyle w:val="SingleTxtG"/>
      </w:pPr>
      <w:r>
        <w:t>2</w:t>
      </w:r>
      <w:r w:rsidR="00A20FD7">
        <w:t>20</w:t>
      </w:r>
      <w:r>
        <w:t>.</w:t>
      </w:r>
      <w:r w:rsidR="000E35B1" w:rsidRPr="00524DAA">
        <w:tab/>
        <w:t xml:space="preserve">K odpovědi na tuto otázku viz </w:t>
      </w:r>
      <w:r w:rsidR="00E6385E">
        <w:t xml:space="preserve">výše </w:t>
      </w:r>
      <w:r w:rsidR="000E35B1" w:rsidRPr="00524DAA">
        <w:t>odpově</w:t>
      </w:r>
      <w:r w:rsidR="00E6385E">
        <w:t>ď</w:t>
      </w:r>
      <w:r w:rsidR="000E35B1" w:rsidRPr="00524DAA">
        <w:t xml:space="preserve"> na o</w:t>
      </w:r>
      <w:r w:rsidR="003E50FD" w:rsidRPr="00524DAA">
        <w:t>t</w:t>
      </w:r>
      <w:r w:rsidR="000E35B1" w:rsidRPr="00524DAA">
        <w:t xml:space="preserve">ázku č. </w:t>
      </w:r>
      <w:r w:rsidR="00BE5A74" w:rsidRPr="00524DAA">
        <w:t>8 e).</w:t>
      </w:r>
    </w:p>
    <w:p w:rsidR="00986CA3" w:rsidRPr="00524DAA" w:rsidRDefault="00986CA3" w:rsidP="001D4EF8">
      <w:pPr>
        <w:pStyle w:val="SingleTxtG"/>
      </w:pPr>
    </w:p>
    <w:p w:rsidR="0014293B" w:rsidRPr="005D6D57" w:rsidRDefault="0014293B" w:rsidP="0014293B">
      <w:pPr>
        <w:pStyle w:val="H1G"/>
      </w:pPr>
      <w:r w:rsidRPr="00524DAA">
        <w:tab/>
      </w:r>
      <w:r w:rsidRPr="00524DAA">
        <w:tab/>
        <w:t>Odpověď na otázku č. 19 a)</w:t>
      </w:r>
    </w:p>
    <w:p w:rsidR="00254289" w:rsidRDefault="00E75192" w:rsidP="00346A9A">
      <w:pPr>
        <w:pStyle w:val="SingleTxtG"/>
      </w:pPr>
      <w:r>
        <w:t>2</w:t>
      </w:r>
      <w:r w:rsidR="00E6385E">
        <w:t>2</w:t>
      </w:r>
      <w:r w:rsidR="00A20FD7">
        <w:t>1</w:t>
      </w:r>
      <w:r>
        <w:t>.</w:t>
      </w:r>
      <w:r w:rsidR="00476110" w:rsidRPr="00524DAA">
        <w:tab/>
      </w:r>
      <w:r w:rsidR="00254289" w:rsidRPr="00254289">
        <w:t xml:space="preserve">Má-li člověk opatrovníka, není dle účinné právní úpravy </w:t>
      </w:r>
      <w:r w:rsidR="007D7BF0">
        <w:t xml:space="preserve">opatrovník </w:t>
      </w:r>
      <w:r w:rsidR="00254289" w:rsidRPr="00254289">
        <w:t>nikdy oprávněn za zastoupeného právně jednat v záležitostech týkajících se vzniku a zániku manželství. Je</w:t>
      </w:r>
      <w:r w:rsidR="00254289">
        <w:noBreakHyphen/>
      </w:r>
      <w:r w:rsidR="00254289" w:rsidRPr="00254289">
        <w:t>li člověk omezen ve svéprávnosti, může uzavřít manželství, pokud nebyl soudním rozhodnutím v této oblasti výslovně omezen. Soud může v souvislosti s omezením svéprávnosti rozhodnout o tom, že člověk n</w:t>
      </w:r>
      <w:r w:rsidR="00254289">
        <w:t>e</w:t>
      </w:r>
      <w:r w:rsidR="00254289" w:rsidRPr="00254289">
        <w:t>může uzavřít manželství</w:t>
      </w:r>
      <w:r w:rsidR="007D7BF0">
        <w:t>;</w:t>
      </w:r>
      <w:r w:rsidR="00254289" w:rsidRPr="00254289">
        <w:t xml:space="preserve"> </w:t>
      </w:r>
      <w:r w:rsidR="007D7BF0">
        <w:t xml:space="preserve">tato nemožnost však není </w:t>
      </w:r>
      <w:r w:rsidR="00254289" w:rsidRPr="00254289">
        <w:t>automatickým důsledkem omezení svéprávnosti. Dojde-li již k uzavření manželství, i</w:t>
      </w:r>
      <w:r w:rsidR="00D82056">
        <w:t> </w:t>
      </w:r>
      <w:r w:rsidR="00254289" w:rsidRPr="00254289">
        <w:t>když tomu bránila zákonná překážka, soud prohlásí manželství za neplatné i bez návrhu, jakmile se o dané skutečnosti dozví. Do rozhodnutí soudu se manželství považuje za platné. Manželství však nelze prohlásit za neplatné, pokud bylo uzavřeno osobou, jejíž svéprávnost byla v této oblasti omezena, bylo-li počato dítě, které se narodilo živé. Změn</w:t>
      </w:r>
      <w:r w:rsidR="00254289">
        <w:t>u</w:t>
      </w:r>
      <w:r w:rsidR="00254289" w:rsidRPr="00254289">
        <w:t xml:space="preserve"> této právní úpravy v současné době </w:t>
      </w:r>
      <w:r w:rsidR="00254289">
        <w:t xml:space="preserve">ČR </w:t>
      </w:r>
      <w:r w:rsidR="00254289" w:rsidRPr="00254289">
        <w:t>nepřipravuje.</w:t>
      </w:r>
    </w:p>
    <w:p w:rsidR="00346A9A" w:rsidRPr="00524DAA" w:rsidRDefault="00E75192" w:rsidP="00346A9A">
      <w:pPr>
        <w:pStyle w:val="SingleTxtG"/>
      </w:pPr>
      <w:r>
        <w:t>2</w:t>
      </w:r>
      <w:r w:rsidR="002A107D">
        <w:t>2</w:t>
      </w:r>
      <w:r w:rsidR="00A20FD7">
        <w:t>2</w:t>
      </w:r>
      <w:r>
        <w:t>.</w:t>
      </w:r>
      <w:r w:rsidR="00FE76CD" w:rsidRPr="00524DAA">
        <w:tab/>
      </w:r>
      <w:r w:rsidR="00346A9A" w:rsidRPr="00524DAA">
        <w:t xml:space="preserve">Rozhodne-li soud o omezení svéprávnosti člověka, který je rodičem, rozhodne vždy také o jeho rodičovské odpovědnosti. Rozhodnutí o omezení svéprávnosti však automaticky nevede k zásahu do rodičovské odpovědnosti. Soudu je pouze stanovena povinnost se touto otázkou v souvislosti s rozhodováním o omezení svéprávnosti zabývat. Má-li rodič více dětí, </w:t>
      </w:r>
      <w:r w:rsidR="00346A9A" w:rsidRPr="00524DAA">
        <w:lastRenderedPageBreak/>
        <w:t>měl by soud rozhodnout o rodičovské odpovědnosti ke každému dítěti zvlášť. Výkon rodičovské odpovědnosti, v případě že do ní bylo rozhodnutím soudu zasaženo, je po dobu omezení pozastaven. Rodiči však může být zachován výkon povinnosti a práva péče o d</w:t>
      </w:r>
      <w:r w:rsidR="00FE76CD" w:rsidRPr="00524DAA">
        <w:t>ítě a osobního styku s dítětem.</w:t>
      </w:r>
    </w:p>
    <w:p w:rsidR="00986CA3" w:rsidRPr="00524DAA" w:rsidRDefault="00E75192" w:rsidP="00346A9A">
      <w:pPr>
        <w:pStyle w:val="SingleTxtG"/>
      </w:pPr>
      <w:r>
        <w:t>2</w:t>
      </w:r>
      <w:r w:rsidR="002A107D">
        <w:t>2</w:t>
      </w:r>
      <w:r w:rsidR="00A20FD7">
        <w:t>3</w:t>
      </w:r>
      <w:r>
        <w:t>.</w:t>
      </w:r>
      <w:r w:rsidR="00FE76CD" w:rsidRPr="00524DAA">
        <w:tab/>
      </w:r>
      <w:r w:rsidR="00346A9A" w:rsidRPr="00524DAA">
        <w:t>V</w:t>
      </w:r>
      <w:r w:rsidR="00FE76CD" w:rsidRPr="00524DAA">
        <w:t xml:space="preserve"> připravované </w:t>
      </w:r>
      <w:r w:rsidR="00346A9A" w:rsidRPr="00524DAA">
        <w:t>novele občanského zákoníku, která je v současné době projednávána Parlamentem ČR, se navrhuje, aby opatrovník nesměl za</w:t>
      </w:r>
      <w:r w:rsidR="006A2FFB">
        <w:t xml:space="preserve"> zastoupeného právně jednat ani</w:t>
      </w:r>
      <w:r w:rsidR="006A2FFB">
        <w:br/>
      </w:r>
      <w:r w:rsidR="00346A9A" w:rsidRPr="00524DAA">
        <w:t>v záležitostech týkajících se určování a popírání rodičovství. Takové právní jednání je totiž jednáním osobní povahy, neboť se týká osobního statusu člověka.</w:t>
      </w:r>
    </w:p>
    <w:p w:rsidR="0014293B" w:rsidRPr="00524DAA" w:rsidRDefault="0014293B" w:rsidP="001D4EF8">
      <w:pPr>
        <w:pStyle w:val="SingleTxtG"/>
      </w:pPr>
    </w:p>
    <w:p w:rsidR="0014293B" w:rsidRPr="005D6D57" w:rsidRDefault="0014293B" w:rsidP="0014293B">
      <w:pPr>
        <w:pStyle w:val="H1G"/>
      </w:pPr>
      <w:r w:rsidRPr="00524DAA">
        <w:tab/>
      </w:r>
      <w:r w:rsidRPr="00524DAA">
        <w:tab/>
        <w:t>Odpověď na otázku č. 19 b)</w:t>
      </w:r>
    </w:p>
    <w:p w:rsidR="00675D23" w:rsidRDefault="00E75192" w:rsidP="00675D23">
      <w:pPr>
        <w:pStyle w:val="SingleTxtG"/>
      </w:pPr>
      <w:r>
        <w:t>2</w:t>
      </w:r>
      <w:r w:rsidR="002A107D">
        <w:t>2</w:t>
      </w:r>
      <w:r w:rsidR="00A20FD7">
        <w:t>4</w:t>
      </w:r>
      <w:r>
        <w:t>.</w:t>
      </w:r>
      <w:r w:rsidR="002C0B44">
        <w:tab/>
      </w:r>
      <w:r w:rsidR="00675D23">
        <w:t xml:space="preserve">V souladu s § 9 zákona </w:t>
      </w:r>
      <w:r w:rsidR="00BC70B2">
        <w:t xml:space="preserve">o SPOD </w:t>
      </w:r>
      <w:r w:rsidR="00675D23">
        <w:t xml:space="preserve">má rodič nebo jiná osoba odpovědná za výchovu dítěte právo při výkonu svých práv a povinností požádat o pomoc </w:t>
      </w:r>
      <w:r w:rsidR="00BC70B2">
        <w:t>OSPOD</w:t>
      </w:r>
      <w:r w:rsidR="00675D23">
        <w:t xml:space="preserve">, jiné státní orgány, kterým přísluší ochrana práv a oprávněných zájmů dítěte, nebo fyzické a právnické osoby pověřené výkonem </w:t>
      </w:r>
      <w:r w:rsidR="00BC70B2">
        <w:t>SPOD</w:t>
      </w:r>
      <w:r w:rsidR="00675D23">
        <w:t xml:space="preserve">. Tyto orgány v rozsahu </w:t>
      </w:r>
      <w:r w:rsidR="006A2FFB">
        <w:t>své působnosti a pověřené osoby</w:t>
      </w:r>
      <w:r w:rsidR="006A2FFB">
        <w:br/>
      </w:r>
      <w:r w:rsidR="00675D23">
        <w:t>v rozsahu svého pověření jsou povinny rodiči potřebnou pomoc poskytnout.</w:t>
      </w:r>
      <w:r w:rsidR="00B24D1F">
        <w:t xml:space="preserve"> </w:t>
      </w:r>
      <w:r w:rsidR="00675D23">
        <w:t xml:space="preserve">V rámci poradenské činnosti jsou </w:t>
      </w:r>
      <w:r w:rsidR="006F56D1">
        <w:t xml:space="preserve">OSPOD </w:t>
      </w:r>
      <w:r w:rsidR="00675D23">
        <w:t>povinny</w:t>
      </w:r>
      <w:r w:rsidR="00B24D1F">
        <w:t>:</w:t>
      </w:r>
      <w:r w:rsidR="00675D23">
        <w:t xml:space="preserve"> </w:t>
      </w:r>
    </w:p>
    <w:p w:rsidR="00675D23" w:rsidRDefault="00675D23" w:rsidP="0087275C">
      <w:pPr>
        <w:pStyle w:val="SingleTxtG"/>
        <w:numPr>
          <w:ilvl w:val="0"/>
          <w:numId w:val="10"/>
        </w:numPr>
      </w:pPr>
      <w:r>
        <w:t>pomáhat rodičům při řešení výchovných nebo jinýc</w:t>
      </w:r>
      <w:r w:rsidR="006A2FFB">
        <w:t>h problémů souvisejících s péčí</w:t>
      </w:r>
      <w:r w:rsidR="006A2FFB">
        <w:br/>
      </w:r>
      <w:r>
        <w:t>o dítě,</w:t>
      </w:r>
    </w:p>
    <w:p w:rsidR="00675D23" w:rsidRDefault="00675D23" w:rsidP="0087275C">
      <w:pPr>
        <w:pStyle w:val="SingleTxtG"/>
        <w:numPr>
          <w:ilvl w:val="0"/>
          <w:numId w:val="10"/>
        </w:numPr>
      </w:pPr>
      <w:r>
        <w:t xml:space="preserve">poskytovat nebo zprostředkovat rodičům poradenství </w:t>
      </w:r>
      <w:r w:rsidR="006A2FFB">
        <w:t>při výchově a vzdělávání dítěte</w:t>
      </w:r>
      <w:r w:rsidR="006A2FFB">
        <w:br/>
      </w:r>
      <w:r>
        <w:t xml:space="preserve">a při péči o dítě se </w:t>
      </w:r>
      <w:r w:rsidR="00B24D1F">
        <w:t>ZP</w:t>
      </w:r>
      <w:r>
        <w:t>,</w:t>
      </w:r>
    </w:p>
    <w:p w:rsidR="00675D23" w:rsidRDefault="00675D23" w:rsidP="0087275C">
      <w:pPr>
        <w:pStyle w:val="SingleTxtG"/>
        <w:numPr>
          <w:ilvl w:val="0"/>
          <w:numId w:val="10"/>
        </w:numPr>
      </w:pPr>
      <w:r>
        <w:t>pořádat přednášky a kurzy zaměřené na řešení výchovných, sociálních a jiných problémů souvisejících s péčí o dítě a jeho výchovou.</w:t>
      </w:r>
    </w:p>
    <w:p w:rsidR="00675D23" w:rsidRDefault="00E75192" w:rsidP="00675D23">
      <w:pPr>
        <w:pStyle w:val="SingleTxtG"/>
      </w:pPr>
      <w:r>
        <w:t>2</w:t>
      </w:r>
      <w:r w:rsidR="002A107D">
        <w:t>2</w:t>
      </w:r>
      <w:r w:rsidR="00A20FD7">
        <w:t>5</w:t>
      </w:r>
      <w:r>
        <w:t>.</w:t>
      </w:r>
      <w:r w:rsidR="00B24D1F">
        <w:tab/>
      </w:r>
      <w:r w:rsidR="00675D23">
        <w:t xml:space="preserve">Rodiče nebo jiné osoby odpovědné za výchovu dítěte mohou požádat o pomoc rovněž zařízení odborného poradenství pro péči o děti podle § 40 zákona o </w:t>
      </w:r>
      <w:r w:rsidR="002338E5">
        <w:t>SPOD</w:t>
      </w:r>
      <w:r w:rsidR="00675D23">
        <w:t xml:space="preserve">. Tato zařízení poskytují zejména doporučení zaměřená na </w:t>
      </w:r>
      <w:r w:rsidR="006A2FFB">
        <w:t>řešení vzájemných vztahů rodičů</w:t>
      </w:r>
      <w:r w:rsidR="006A2FFB">
        <w:br/>
      </w:r>
      <w:r w:rsidR="00675D23">
        <w:t xml:space="preserve">a jejich dětí a na péči rodičů o děti se </w:t>
      </w:r>
      <w:r w:rsidR="00B24D1F">
        <w:t>ZP</w:t>
      </w:r>
      <w:r w:rsidR="00675D23">
        <w:t>. V rámci odborného poradenství se poskytují nebo zprostředkovávají rodičům nebo jiným osobám odpovědným za výchovu dětí rady ve věcech výchovy a výživy dětí a v dalších otázkách týkajících se jejich rodinných, sociálních a mezigeneračních problémů vyplývajících z péče o děti. V roce 201</w:t>
      </w:r>
      <w:r w:rsidR="00B24D1F">
        <w:t>8</w:t>
      </w:r>
      <w:r w:rsidR="00675D23">
        <w:t xml:space="preserve"> působilo v</w:t>
      </w:r>
      <w:r w:rsidR="00B24D1F">
        <w:t> </w:t>
      </w:r>
      <w:r w:rsidR="00675D23">
        <w:t>Č</w:t>
      </w:r>
      <w:r w:rsidR="00B24D1F">
        <w:t xml:space="preserve">R </w:t>
      </w:r>
      <w:r w:rsidR="00675D23">
        <w:t xml:space="preserve">celkem </w:t>
      </w:r>
      <w:r w:rsidR="004F5B8B">
        <w:t>73</w:t>
      </w:r>
      <w:r w:rsidR="00675D23">
        <w:t xml:space="preserve"> zařízení odborného poradenství pro péči o děti, z nichž </w:t>
      </w:r>
      <w:r w:rsidR="004F5B8B">
        <w:t>66</w:t>
      </w:r>
      <w:r w:rsidR="00675D23">
        <w:t xml:space="preserve"> zařízení bylo provozováno nestátními neziskovými organizacemi, </w:t>
      </w:r>
      <w:r w:rsidR="004F5B8B">
        <w:t>6</w:t>
      </w:r>
      <w:r w:rsidR="00675D23">
        <w:t xml:space="preserve"> zařízení kraji a </w:t>
      </w:r>
      <w:r w:rsidR="004F5B8B">
        <w:t>1</w:t>
      </w:r>
      <w:r w:rsidR="00675D23">
        <w:t xml:space="preserve"> zařízení obcemi. Během roku 201</w:t>
      </w:r>
      <w:r w:rsidR="00B24D1F">
        <w:t>8</w:t>
      </w:r>
      <w:r w:rsidR="00675D23">
        <w:t xml:space="preserve"> tato poradenská zařízení poskytla pomoc celkem </w:t>
      </w:r>
      <w:r w:rsidR="004F5B8B" w:rsidRPr="004F5B8B">
        <w:t>10</w:t>
      </w:r>
      <w:r w:rsidR="004F5B8B">
        <w:t> </w:t>
      </w:r>
      <w:r w:rsidR="004F5B8B" w:rsidRPr="004F5B8B">
        <w:t xml:space="preserve">905 </w:t>
      </w:r>
      <w:r w:rsidR="00675D23">
        <w:t>klientům.</w:t>
      </w:r>
    </w:p>
    <w:p w:rsidR="002C0B44" w:rsidRDefault="00E75192" w:rsidP="001D4EF8">
      <w:pPr>
        <w:pStyle w:val="SingleTxtG"/>
      </w:pPr>
      <w:r>
        <w:t>2</w:t>
      </w:r>
      <w:r w:rsidR="002A107D">
        <w:t>2</w:t>
      </w:r>
      <w:r w:rsidR="00A20FD7">
        <w:t>6</w:t>
      </w:r>
      <w:r>
        <w:t>.</w:t>
      </w:r>
      <w:r w:rsidR="004928F6">
        <w:tab/>
      </w:r>
      <w:r w:rsidR="00D4723C">
        <w:t>Významnou p</w:t>
      </w:r>
      <w:r w:rsidR="00A40EB1" w:rsidRPr="00A40EB1">
        <w:t>odpor</w:t>
      </w:r>
      <w:r w:rsidR="00A40EB1">
        <w:t>u</w:t>
      </w:r>
      <w:r w:rsidR="00A40EB1" w:rsidRPr="00A40EB1">
        <w:t xml:space="preserve"> rodič</w:t>
      </w:r>
      <w:r w:rsidR="00A40EB1">
        <w:t>ům</w:t>
      </w:r>
      <w:r w:rsidR="00A40EB1" w:rsidRPr="00A40EB1">
        <w:t xml:space="preserve"> se </w:t>
      </w:r>
      <w:r w:rsidR="00A40EB1">
        <w:t>ZP</w:t>
      </w:r>
      <w:r w:rsidR="00A40EB1" w:rsidRPr="00A40EB1">
        <w:t xml:space="preserve"> při plnění </w:t>
      </w:r>
      <w:r w:rsidR="00A40EB1">
        <w:t xml:space="preserve">jejich </w:t>
      </w:r>
      <w:r w:rsidR="00A40EB1" w:rsidRPr="00A40EB1">
        <w:t>rodičovské</w:t>
      </w:r>
      <w:r w:rsidR="00CC0367">
        <w:t xml:space="preserve"> role</w:t>
      </w:r>
      <w:r w:rsidR="006A2FFB">
        <w:t xml:space="preserve"> poskytují</w:t>
      </w:r>
      <w:r w:rsidR="006A2FFB">
        <w:br/>
      </w:r>
      <w:r w:rsidR="00D4723C">
        <w:t xml:space="preserve">i některé sociální služby. </w:t>
      </w:r>
      <w:r w:rsidR="00D24B2D">
        <w:t xml:space="preserve">Jde </w:t>
      </w:r>
      <w:r w:rsidR="00CC0367">
        <w:t xml:space="preserve">zejména </w:t>
      </w:r>
      <w:r w:rsidR="00D24B2D">
        <w:t xml:space="preserve">o </w:t>
      </w:r>
      <w:r w:rsidR="00CC0367">
        <w:t>tyto sociální služby</w:t>
      </w:r>
      <w:r w:rsidR="000E040B">
        <w:t>:</w:t>
      </w:r>
      <w:r w:rsidR="00CC0367">
        <w:t xml:space="preserve"> </w:t>
      </w:r>
      <w:r w:rsidR="000E040B">
        <w:t xml:space="preserve">osobní asistence, pečovatelská služba, </w:t>
      </w:r>
      <w:r w:rsidR="00CC0367" w:rsidRPr="00CC0367">
        <w:t xml:space="preserve">raná péče, sociálně aktivizační služby pro </w:t>
      </w:r>
      <w:r w:rsidR="00C037ED">
        <w:t>rodiny s dětmi</w:t>
      </w:r>
      <w:r w:rsidR="00CC0367" w:rsidRPr="00CC0367">
        <w:t xml:space="preserve"> a služb</w:t>
      </w:r>
      <w:r w:rsidR="00C037ED">
        <w:t>y</w:t>
      </w:r>
      <w:r w:rsidR="00CC0367" w:rsidRPr="00CC0367">
        <w:t xml:space="preserve"> odborného sociálního poradenství.</w:t>
      </w:r>
    </w:p>
    <w:p w:rsidR="0014293B" w:rsidRPr="00524DAA" w:rsidRDefault="00E75192" w:rsidP="001D4EF8">
      <w:pPr>
        <w:pStyle w:val="SingleTxtG"/>
      </w:pPr>
      <w:r>
        <w:t>2</w:t>
      </w:r>
      <w:r w:rsidR="002A107D">
        <w:t>2</w:t>
      </w:r>
      <w:r w:rsidR="00A20FD7">
        <w:t>7</w:t>
      </w:r>
      <w:r>
        <w:t>.</w:t>
      </w:r>
      <w:r w:rsidR="00E73937" w:rsidRPr="00524DAA">
        <w:tab/>
        <w:t xml:space="preserve">Poskytovatelé zdravotních služeb mohou </w:t>
      </w:r>
      <w:r w:rsidR="00F17585">
        <w:t xml:space="preserve">rodičům se ZP </w:t>
      </w:r>
      <w:r w:rsidR="00E73937" w:rsidRPr="00524DAA">
        <w:t xml:space="preserve">poskytnout takové zdravotní služby, které </w:t>
      </w:r>
      <w:r w:rsidR="006A5872">
        <w:t xml:space="preserve">je </w:t>
      </w:r>
      <w:r w:rsidR="00E73937" w:rsidRPr="00524DAA">
        <w:t>naučí pečovat o své dítě, jedná se však o malou část podpory pro tyto rodiče. Zdravotnická legislativa umožňuje např. podle § 10 zákona o zdravotních službách poskytování zdravotní péče ve vlastním sociálním prostředí pacienta nebo podle §</w:t>
      </w:r>
      <w:r w:rsidR="00465EAE">
        <w:t> </w:t>
      </w:r>
      <w:r w:rsidR="00E73937" w:rsidRPr="00524DAA">
        <w:t>7 poskytování ambulantní stacionární péče.</w:t>
      </w:r>
    </w:p>
    <w:p w:rsidR="0014293B" w:rsidRPr="00524DAA" w:rsidRDefault="0014293B" w:rsidP="001D4EF8">
      <w:pPr>
        <w:pStyle w:val="SingleTxtG"/>
      </w:pPr>
    </w:p>
    <w:p w:rsidR="00813509" w:rsidRPr="005D6D57" w:rsidRDefault="00813509" w:rsidP="00813509">
      <w:pPr>
        <w:pStyle w:val="H1G"/>
      </w:pPr>
      <w:r w:rsidRPr="00524DAA">
        <w:tab/>
      </w:r>
      <w:r w:rsidRPr="00524DAA">
        <w:tab/>
        <w:t>Odpověď na otázku č. 20 a)</w:t>
      </w:r>
    </w:p>
    <w:p w:rsidR="00FA16E3" w:rsidRPr="00524DAA" w:rsidRDefault="00E75192" w:rsidP="00FA16E3">
      <w:pPr>
        <w:pStyle w:val="SingleTxtG"/>
        <w:rPr>
          <w:rFonts w:cs="Arial"/>
          <w:color w:val="000000"/>
          <w:szCs w:val="24"/>
          <w:shd w:val="clear" w:color="auto" w:fill="FFFFFF"/>
        </w:rPr>
      </w:pPr>
      <w:r>
        <w:rPr>
          <w:szCs w:val="24"/>
        </w:rPr>
        <w:t>2</w:t>
      </w:r>
      <w:r w:rsidR="0060129D">
        <w:rPr>
          <w:szCs w:val="24"/>
        </w:rPr>
        <w:t>2</w:t>
      </w:r>
      <w:r w:rsidR="00A20FD7">
        <w:rPr>
          <w:szCs w:val="24"/>
        </w:rPr>
        <w:t>8</w:t>
      </w:r>
      <w:r>
        <w:rPr>
          <w:szCs w:val="24"/>
        </w:rPr>
        <w:t>.</w:t>
      </w:r>
      <w:r w:rsidR="00FA16E3" w:rsidRPr="00524DAA">
        <w:rPr>
          <w:szCs w:val="24"/>
        </w:rPr>
        <w:tab/>
        <w:t xml:space="preserve">Dne 1. září 2016 nabyl účinnosti </w:t>
      </w:r>
      <w:r w:rsidR="00D25155" w:rsidRPr="00524DAA">
        <w:rPr>
          <w:szCs w:val="24"/>
        </w:rPr>
        <w:t xml:space="preserve">zákon č. 82/2015 Sb., </w:t>
      </w:r>
      <w:r w:rsidR="00830965" w:rsidRPr="00524DAA">
        <w:rPr>
          <w:szCs w:val="24"/>
        </w:rPr>
        <w:t xml:space="preserve">kterým se mění </w:t>
      </w:r>
      <w:r w:rsidR="00FA16E3" w:rsidRPr="00524DAA">
        <w:rPr>
          <w:szCs w:val="24"/>
        </w:rPr>
        <w:t>zákon č.</w:t>
      </w:r>
      <w:r w:rsidR="00830965" w:rsidRPr="00524DAA">
        <w:rPr>
          <w:szCs w:val="24"/>
        </w:rPr>
        <w:t> </w:t>
      </w:r>
      <w:r w:rsidR="00FA16E3" w:rsidRPr="00524DAA">
        <w:rPr>
          <w:szCs w:val="24"/>
        </w:rPr>
        <w:t xml:space="preserve">561/2004 Sb., o předškolním, základním, středním, vyšším odborném a jiném vzdělávání (školský zákon), </w:t>
      </w:r>
      <w:r w:rsidR="00D25155" w:rsidRPr="00524DAA">
        <w:rPr>
          <w:szCs w:val="24"/>
        </w:rPr>
        <w:t xml:space="preserve">ve znění pozdějších předpisů, </w:t>
      </w:r>
      <w:r w:rsidR="00393345" w:rsidRPr="00524DAA">
        <w:rPr>
          <w:szCs w:val="24"/>
        </w:rPr>
        <w:t xml:space="preserve">a některé další zákony, </w:t>
      </w:r>
      <w:r w:rsidR="00D25155" w:rsidRPr="00524DAA">
        <w:rPr>
          <w:szCs w:val="24"/>
        </w:rPr>
        <w:t>k</w:t>
      </w:r>
      <w:r w:rsidR="00FA16E3" w:rsidRPr="00524DAA">
        <w:rPr>
          <w:szCs w:val="24"/>
        </w:rPr>
        <w:t>ter</w:t>
      </w:r>
      <w:r w:rsidR="00D25155" w:rsidRPr="00524DAA">
        <w:rPr>
          <w:szCs w:val="24"/>
        </w:rPr>
        <w:t>ý</w:t>
      </w:r>
      <w:r w:rsidR="00FA16E3" w:rsidRPr="00524DAA">
        <w:rPr>
          <w:szCs w:val="24"/>
        </w:rPr>
        <w:t xml:space="preserve"> s sebou přinesl zásadní změny ve vzdělávání </w:t>
      </w:r>
      <w:r w:rsidR="00A60D18">
        <w:rPr>
          <w:szCs w:val="24"/>
        </w:rPr>
        <w:t xml:space="preserve">všech </w:t>
      </w:r>
      <w:r w:rsidR="00FA16E3" w:rsidRPr="00524DAA">
        <w:rPr>
          <w:szCs w:val="24"/>
        </w:rPr>
        <w:t xml:space="preserve">dětí, žáků a studentů se speciálními vzdělávacími potřebami. </w:t>
      </w:r>
      <w:r w:rsidR="0065612F" w:rsidRPr="00524DAA">
        <w:rPr>
          <w:szCs w:val="24"/>
        </w:rPr>
        <w:t>V</w:t>
      </w:r>
      <w:r w:rsidR="00D25155" w:rsidRPr="00524DAA">
        <w:rPr>
          <w:szCs w:val="24"/>
        </w:rPr>
        <w:t xml:space="preserve"> </w:t>
      </w:r>
      <w:r w:rsidR="00FA16E3" w:rsidRPr="00524DAA">
        <w:rPr>
          <w:szCs w:val="24"/>
        </w:rPr>
        <w:t xml:space="preserve">§ 16 </w:t>
      </w:r>
      <w:r w:rsidR="00D25155" w:rsidRPr="00524DAA">
        <w:rPr>
          <w:szCs w:val="24"/>
        </w:rPr>
        <w:t xml:space="preserve">byla </w:t>
      </w:r>
      <w:r w:rsidR="00FA16E3" w:rsidRPr="00524DAA">
        <w:rPr>
          <w:szCs w:val="24"/>
        </w:rPr>
        <w:t>zavedena tzv. podpůrná opatření, jeji</w:t>
      </w:r>
      <w:r w:rsidR="006A2FFB">
        <w:rPr>
          <w:szCs w:val="24"/>
        </w:rPr>
        <w:t>chž prostřednictvím má docházet</w:t>
      </w:r>
      <w:r w:rsidR="00A60D18">
        <w:rPr>
          <w:szCs w:val="24"/>
        </w:rPr>
        <w:t xml:space="preserve"> </w:t>
      </w:r>
      <w:r w:rsidR="00FA16E3" w:rsidRPr="00524DAA">
        <w:rPr>
          <w:szCs w:val="24"/>
        </w:rPr>
        <w:lastRenderedPageBreak/>
        <w:t xml:space="preserve">k </w:t>
      </w:r>
      <w:r w:rsidR="00FA16E3" w:rsidRPr="00524DAA">
        <w:rPr>
          <w:rFonts w:cs="Arial"/>
          <w:color w:val="000000"/>
          <w:szCs w:val="24"/>
          <w:shd w:val="clear" w:color="auto" w:fill="FFFFFF"/>
        </w:rPr>
        <w:t>naplnění vzdělávacích možností dítěte, žáka či studenta se speciálními vzdělávacími potřebami nebo k uplatnění nebo užívání jeho práv na ro</w:t>
      </w:r>
      <w:r w:rsidR="00D25155" w:rsidRPr="00524DAA">
        <w:rPr>
          <w:rFonts w:cs="Arial"/>
          <w:color w:val="000000"/>
          <w:szCs w:val="24"/>
          <w:shd w:val="clear" w:color="auto" w:fill="FFFFFF"/>
        </w:rPr>
        <w:t>vnoprávném základě s ostatními.</w:t>
      </w:r>
    </w:p>
    <w:p w:rsidR="00C44804" w:rsidRPr="00524DAA" w:rsidRDefault="00E75192" w:rsidP="00C44804">
      <w:pPr>
        <w:pStyle w:val="SingleTxtG"/>
        <w:rPr>
          <w:rFonts w:cs="Arial"/>
          <w:color w:val="000000"/>
          <w:szCs w:val="24"/>
          <w:shd w:val="clear" w:color="auto" w:fill="FFFFFF"/>
        </w:rPr>
      </w:pPr>
      <w:r>
        <w:rPr>
          <w:rFonts w:cs="Arial"/>
          <w:color w:val="000000"/>
          <w:szCs w:val="24"/>
          <w:shd w:val="clear" w:color="auto" w:fill="FFFFFF"/>
        </w:rPr>
        <w:t>2</w:t>
      </w:r>
      <w:r w:rsidR="0060129D">
        <w:rPr>
          <w:rFonts w:cs="Arial"/>
          <w:color w:val="000000"/>
          <w:szCs w:val="24"/>
          <w:shd w:val="clear" w:color="auto" w:fill="FFFFFF"/>
        </w:rPr>
        <w:t>2</w:t>
      </w:r>
      <w:r w:rsidR="00A20FD7">
        <w:rPr>
          <w:rFonts w:cs="Arial"/>
          <w:color w:val="000000"/>
          <w:szCs w:val="24"/>
          <w:shd w:val="clear" w:color="auto" w:fill="FFFFFF"/>
        </w:rPr>
        <w:t>9</w:t>
      </w:r>
      <w:r>
        <w:rPr>
          <w:rFonts w:cs="Arial"/>
          <w:color w:val="000000"/>
          <w:szCs w:val="24"/>
          <w:shd w:val="clear" w:color="auto" w:fill="FFFFFF"/>
        </w:rPr>
        <w:t>.</w:t>
      </w:r>
      <w:r w:rsidR="00376F28" w:rsidRPr="00524DAA">
        <w:rPr>
          <w:rFonts w:cs="Arial"/>
          <w:color w:val="000000"/>
          <w:szCs w:val="24"/>
          <w:shd w:val="clear" w:color="auto" w:fill="FFFFFF"/>
        </w:rPr>
        <w:tab/>
      </w:r>
      <w:r w:rsidR="004A53D9">
        <w:rPr>
          <w:rFonts w:cs="Arial"/>
          <w:color w:val="000000"/>
          <w:szCs w:val="24"/>
          <w:shd w:val="clear" w:color="auto" w:fill="FFFFFF"/>
        </w:rPr>
        <w:t>P</w:t>
      </w:r>
      <w:r w:rsidR="00FA16E3" w:rsidRPr="00524DAA">
        <w:rPr>
          <w:rFonts w:cs="Arial"/>
          <w:color w:val="000000"/>
          <w:szCs w:val="24"/>
          <w:shd w:val="clear" w:color="auto" w:fill="FFFFFF"/>
        </w:rPr>
        <w:t xml:space="preserve">odle organizační, pedagogické a finanční náročnosti </w:t>
      </w:r>
      <w:r w:rsidR="004A53D9">
        <w:rPr>
          <w:rFonts w:cs="Arial"/>
          <w:color w:val="000000"/>
          <w:szCs w:val="24"/>
          <w:shd w:val="clear" w:color="auto" w:fill="FFFFFF"/>
        </w:rPr>
        <w:t xml:space="preserve">se podpůrná opatření člení do pěti stupňů </w:t>
      </w:r>
      <w:r w:rsidR="00FA16E3" w:rsidRPr="00524DAA">
        <w:rPr>
          <w:rFonts w:cs="Arial"/>
          <w:color w:val="000000"/>
          <w:szCs w:val="24"/>
          <w:shd w:val="clear" w:color="auto" w:fill="FFFFFF"/>
        </w:rPr>
        <w:t>a spočívají např. v úpravě organizace, obsahu, hodnocení, forem a metod vzdělávání a školských služeb, zabezpečení výuky předmětů speciálně pedagogické péče, použití kompenzačních pomůcek, speciálních učebnic a speciálních učebních pomůcek, využití asistenta pedagoga, vzdělávání dle individuálního vzdělávacího plánu apod. Podpůrná opatření prvního stupně uplatňuje škola nebo školské zařízení i bez doporučení školského poradenského zařízení s využitím plánu pedagogické podpory. Pokud podpůrná opatření prvního stupně nepostačují k naplnění vzdělávacích potřeb dítěte, žáka či studenta, doporučí škola nebo školské zařízení žákovi nebo jeho zákonnému zástupci využití poradenské pomoci školského poradenského zařízení. Ta může být využita také na základě vlastního uvážení nebo v souvislosti s rozhodnutím orgánu veřejné moci. Podpůrná opatření druhého až pátého stupně jsou školou nebo školským za</w:t>
      </w:r>
      <w:r w:rsidR="006A2FFB">
        <w:rPr>
          <w:rFonts w:cs="Arial"/>
          <w:color w:val="000000"/>
          <w:szCs w:val="24"/>
          <w:shd w:val="clear" w:color="auto" w:fill="FFFFFF"/>
        </w:rPr>
        <w:t>řízením poskytována bezodkladně</w:t>
      </w:r>
      <w:r w:rsidR="006A2FFB">
        <w:rPr>
          <w:rFonts w:cs="Arial"/>
          <w:color w:val="000000"/>
          <w:szCs w:val="24"/>
          <w:shd w:val="clear" w:color="auto" w:fill="FFFFFF"/>
        </w:rPr>
        <w:br/>
      </w:r>
      <w:r w:rsidR="00FA16E3" w:rsidRPr="00524DAA">
        <w:rPr>
          <w:rFonts w:cs="Arial"/>
          <w:color w:val="000000"/>
          <w:szCs w:val="24"/>
          <w:shd w:val="clear" w:color="auto" w:fill="FFFFFF"/>
        </w:rPr>
        <w:t xml:space="preserve">a bezplatně na základě doporučení školského poradenského zařízení a písemného informovaného souhlasu zletilého žáka či studenta nebo zákonného zástupce nezletilého. </w:t>
      </w:r>
      <w:r w:rsidR="00C44804" w:rsidRPr="00524DAA">
        <w:rPr>
          <w:rFonts w:cs="Arial"/>
          <w:color w:val="000000"/>
          <w:szCs w:val="24"/>
          <w:shd w:val="clear" w:color="auto" w:fill="FFFFFF"/>
        </w:rPr>
        <w:t xml:space="preserve">Poskytování podpůrných opatření </w:t>
      </w:r>
      <w:r w:rsidR="0065612F" w:rsidRPr="00524DAA">
        <w:rPr>
          <w:rFonts w:cs="Arial"/>
          <w:color w:val="000000"/>
          <w:szCs w:val="24"/>
          <w:shd w:val="clear" w:color="auto" w:fill="FFFFFF"/>
        </w:rPr>
        <w:t>s</w:t>
      </w:r>
      <w:r w:rsidR="00C44804" w:rsidRPr="00524DAA">
        <w:rPr>
          <w:rFonts w:cs="Arial"/>
          <w:color w:val="000000"/>
          <w:szCs w:val="24"/>
          <w:shd w:val="clear" w:color="auto" w:fill="FFFFFF"/>
        </w:rPr>
        <w:t xml:space="preserve">e </w:t>
      </w:r>
      <w:r w:rsidR="0065612F" w:rsidRPr="00524DAA">
        <w:rPr>
          <w:rFonts w:cs="Arial"/>
          <w:color w:val="000000"/>
          <w:szCs w:val="24"/>
          <w:shd w:val="clear" w:color="auto" w:fill="FFFFFF"/>
        </w:rPr>
        <w:t xml:space="preserve">průběžně vyhodnocuje, a to v souladu s </w:t>
      </w:r>
      <w:r w:rsidR="00C44804" w:rsidRPr="00524DAA">
        <w:rPr>
          <w:rFonts w:cs="Arial"/>
          <w:color w:val="000000"/>
          <w:szCs w:val="24"/>
          <w:shd w:val="clear" w:color="auto" w:fill="FFFFFF"/>
        </w:rPr>
        <w:t xml:space="preserve">§ 16 vyhlášky č. 27/2016 Sb., o vzdělávání žáků se speciálními vzdělávacími potřebami a žáků nadaných, ve znění pozdějších předpisů, která blíže </w:t>
      </w:r>
      <w:r w:rsidR="00D31D12">
        <w:rPr>
          <w:rFonts w:cs="Arial"/>
          <w:color w:val="000000"/>
          <w:szCs w:val="24"/>
          <w:shd w:val="clear" w:color="auto" w:fill="FFFFFF"/>
        </w:rPr>
        <w:t xml:space="preserve">upravuje </w:t>
      </w:r>
      <w:r w:rsidR="00C44804" w:rsidRPr="00524DAA">
        <w:rPr>
          <w:rFonts w:cs="Arial"/>
          <w:color w:val="000000"/>
          <w:szCs w:val="24"/>
          <w:shd w:val="clear" w:color="auto" w:fill="FFFFFF"/>
        </w:rPr>
        <w:t>podpůrná opatření.</w:t>
      </w:r>
    </w:p>
    <w:p w:rsidR="00FA16E3" w:rsidRPr="00524DAA" w:rsidRDefault="00E75192" w:rsidP="00376F28">
      <w:pPr>
        <w:pStyle w:val="SingleTxtG"/>
        <w:rPr>
          <w:rFonts w:cs="Arial"/>
          <w:color w:val="000000"/>
          <w:szCs w:val="24"/>
        </w:rPr>
      </w:pPr>
      <w:r>
        <w:rPr>
          <w:rFonts w:cs="Arial"/>
          <w:color w:val="000000"/>
          <w:szCs w:val="24"/>
          <w:shd w:val="clear" w:color="auto" w:fill="FFFFFF"/>
        </w:rPr>
        <w:t>2</w:t>
      </w:r>
      <w:r w:rsidR="00A20FD7">
        <w:rPr>
          <w:rFonts w:cs="Arial"/>
          <w:color w:val="000000"/>
          <w:szCs w:val="24"/>
          <w:shd w:val="clear" w:color="auto" w:fill="FFFFFF"/>
        </w:rPr>
        <w:t>30</w:t>
      </w:r>
      <w:r>
        <w:rPr>
          <w:rFonts w:cs="Arial"/>
          <w:color w:val="000000"/>
          <w:szCs w:val="24"/>
          <w:shd w:val="clear" w:color="auto" w:fill="FFFFFF"/>
        </w:rPr>
        <w:t>.</w:t>
      </w:r>
      <w:r w:rsidR="00376F28" w:rsidRPr="00524DAA">
        <w:rPr>
          <w:rFonts w:cs="Arial"/>
          <w:color w:val="000000"/>
          <w:szCs w:val="24"/>
          <w:shd w:val="clear" w:color="auto" w:fill="FFFFFF"/>
        </w:rPr>
        <w:tab/>
      </w:r>
      <w:r w:rsidR="00FA16E3" w:rsidRPr="00524DAA">
        <w:rPr>
          <w:rFonts w:cs="Arial"/>
          <w:color w:val="000000"/>
          <w:szCs w:val="24"/>
          <w:shd w:val="clear" w:color="auto" w:fill="FFFFFF"/>
        </w:rPr>
        <w:t>Činnost školských poradenských zařízení blíže specifik</w:t>
      </w:r>
      <w:r w:rsidR="00376F28" w:rsidRPr="00524DAA">
        <w:rPr>
          <w:rFonts w:cs="Arial"/>
          <w:color w:val="000000"/>
          <w:szCs w:val="24"/>
          <w:shd w:val="clear" w:color="auto" w:fill="FFFFFF"/>
        </w:rPr>
        <w:t>uje</w:t>
      </w:r>
      <w:r w:rsidR="00FA16E3" w:rsidRPr="00524DAA">
        <w:rPr>
          <w:rFonts w:cs="Arial"/>
          <w:color w:val="000000"/>
          <w:szCs w:val="24"/>
          <w:shd w:val="clear" w:color="auto" w:fill="FFFFFF"/>
        </w:rPr>
        <w:t xml:space="preserve"> vyhláš</w:t>
      </w:r>
      <w:r w:rsidR="00376F28" w:rsidRPr="00524DAA">
        <w:rPr>
          <w:rFonts w:cs="Arial"/>
          <w:color w:val="000000"/>
          <w:szCs w:val="24"/>
          <w:shd w:val="clear" w:color="auto" w:fill="FFFFFF"/>
        </w:rPr>
        <w:t xml:space="preserve">ka </w:t>
      </w:r>
      <w:r w:rsidR="00FA16E3" w:rsidRPr="00524DAA">
        <w:rPr>
          <w:rFonts w:cs="Arial"/>
          <w:color w:val="000000"/>
          <w:szCs w:val="24"/>
          <w:shd w:val="clear" w:color="auto" w:fill="FFFFFF"/>
        </w:rPr>
        <w:t xml:space="preserve">č. 72/2005 Sb., o poskytování poradenských </w:t>
      </w:r>
      <w:r w:rsidR="00FA16E3" w:rsidRPr="00524DAA">
        <w:rPr>
          <w:rFonts w:cs="Arial"/>
          <w:iCs/>
          <w:color w:val="070707"/>
          <w:szCs w:val="24"/>
          <w:shd w:val="clear" w:color="auto" w:fill="FFFFFF"/>
        </w:rPr>
        <w:t xml:space="preserve">služeb ve školách a školských poradenských zařízeních, ve znění pozdějších předpisů. Mezi školská poradenská zařízení spadají pedagogicko-psychologické poradny a speciálně pedagogická centra, jejichž činnost je zaměřena podle druhu zdravotního postižení. </w:t>
      </w:r>
      <w:r w:rsidR="00FA16E3" w:rsidRPr="00524DAA">
        <w:rPr>
          <w:szCs w:val="24"/>
        </w:rPr>
        <w:t xml:space="preserve">Poradenská pomoc je poskytována za účelem posouzení speciálních vzdělávacích potřeb, jejím výstupem je zejména zpráva a doporučení, ve kterém jsou stanovena </w:t>
      </w:r>
      <w:r w:rsidR="00FA16E3" w:rsidRPr="00524DAA">
        <w:rPr>
          <w:rFonts w:cs="Arial"/>
          <w:color w:val="000000"/>
          <w:szCs w:val="24"/>
        </w:rPr>
        <w:t>podpůrná opatření odpovídající zjištěným speciálním vzdělávacím potřebám a možnostem žáka, způsob a pravidla jejich použití při vzdělávání. Zprávu a doporučení obdrží ten, komu je poskytována poradenská služba. Škole nebo školskému zařízení je zprostředkováno pouze doporučení.</w:t>
      </w:r>
    </w:p>
    <w:p w:rsidR="00FA16E3" w:rsidRPr="00524DAA" w:rsidRDefault="00E75192" w:rsidP="00376F28">
      <w:pPr>
        <w:pStyle w:val="SingleTxtG"/>
        <w:rPr>
          <w:rFonts w:cs="Arial"/>
          <w:iCs/>
          <w:color w:val="070707"/>
          <w:szCs w:val="24"/>
          <w:shd w:val="clear" w:color="auto" w:fill="FFFFFF"/>
        </w:rPr>
      </w:pPr>
      <w:r>
        <w:rPr>
          <w:rFonts w:cs="Arial"/>
          <w:color w:val="000000"/>
          <w:szCs w:val="24"/>
          <w:shd w:val="clear" w:color="auto" w:fill="FFFFFF"/>
        </w:rPr>
        <w:t>2</w:t>
      </w:r>
      <w:r w:rsidR="00E6385E">
        <w:rPr>
          <w:rFonts w:cs="Arial"/>
          <w:color w:val="000000"/>
          <w:szCs w:val="24"/>
          <w:shd w:val="clear" w:color="auto" w:fill="FFFFFF"/>
        </w:rPr>
        <w:t>3</w:t>
      </w:r>
      <w:r w:rsidR="00A20FD7">
        <w:rPr>
          <w:rFonts w:cs="Arial"/>
          <w:color w:val="000000"/>
          <w:szCs w:val="24"/>
          <w:shd w:val="clear" w:color="auto" w:fill="FFFFFF"/>
        </w:rPr>
        <w:t>1</w:t>
      </w:r>
      <w:r>
        <w:rPr>
          <w:rFonts w:cs="Arial"/>
          <w:color w:val="000000"/>
          <w:szCs w:val="24"/>
          <w:shd w:val="clear" w:color="auto" w:fill="FFFFFF"/>
        </w:rPr>
        <w:t>.</w:t>
      </w:r>
      <w:r w:rsidR="005D6D57" w:rsidRPr="00524DAA">
        <w:rPr>
          <w:rFonts w:cs="Arial"/>
          <w:color w:val="000000"/>
          <w:szCs w:val="24"/>
          <w:shd w:val="clear" w:color="auto" w:fill="FFFFFF"/>
        </w:rPr>
        <w:tab/>
      </w:r>
      <w:r w:rsidR="00FA16E3" w:rsidRPr="005D6D57">
        <w:rPr>
          <w:rStyle w:val="PromnnHTML"/>
          <w:rFonts w:cs="Arial"/>
          <w:bCs/>
          <w:i w:val="0"/>
          <w:color w:val="000000"/>
          <w:szCs w:val="24"/>
        </w:rPr>
        <w:t xml:space="preserve">Dle </w:t>
      </w:r>
      <w:r w:rsidR="00FA16E3" w:rsidRPr="005D6D57">
        <w:rPr>
          <w:rFonts w:cs="Arial"/>
          <w:color w:val="000000"/>
          <w:szCs w:val="24"/>
          <w:shd w:val="clear" w:color="auto" w:fill="FFFFFF"/>
        </w:rPr>
        <w:t>§ 16b</w:t>
      </w:r>
      <w:r w:rsidR="00FA16E3" w:rsidRPr="00524DAA">
        <w:rPr>
          <w:rFonts w:cs="Arial"/>
          <w:color w:val="000000"/>
          <w:szCs w:val="24"/>
          <w:shd w:val="clear" w:color="auto" w:fill="FFFFFF"/>
        </w:rPr>
        <w:t xml:space="preserve"> školského zákona </w:t>
      </w:r>
      <w:r w:rsidR="00FA16E3" w:rsidRPr="00901EA2">
        <w:rPr>
          <w:rFonts w:cs="Arial"/>
          <w:color w:val="000000"/>
          <w:szCs w:val="24"/>
        </w:rPr>
        <w:t xml:space="preserve">může </w:t>
      </w:r>
      <w:r w:rsidR="00FA16E3" w:rsidRPr="00901EA2">
        <w:rPr>
          <w:iCs/>
        </w:rPr>
        <w:t>žák, student</w:t>
      </w:r>
      <w:r w:rsidR="00FA16E3" w:rsidRPr="00901EA2">
        <w:rPr>
          <w:rFonts w:cs="Arial"/>
          <w:color w:val="000000"/>
          <w:szCs w:val="24"/>
        </w:rPr>
        <w:t xml:space="preserve"> </w:t>
      </w:r>
      <w:r w:rsidR="00FA16E3" w:rsidRPr="00524DAA">
        <w:rPr>
          <w:rFonts w:cs="Arial"/>
          <w:color w:val="000000"/>
          <w:szCs w:val="24"/>
        </w:rPr>
        <w:t>nebo zákonný zástupce nezletilého do 30 dnů ode dne, kdy obdržel zprávu nebo doporučení školského poradenského zařízení, požádat o jejich revizi. O revizi doporučení může do 30 dnů od obdržení požádat také škola, školské zařízení, orgán veřejné moci nebo Česká školní inspekce. Revizní pracoviště vydá do 60 dnů od obdržení žádosti revizní zprávu, která může obsahovat i novou zprávu nebo doporučení podpůrných opatření. V takovém případě nahrazuje revidovanou zprávu nebo doporučení. Do vydání revizní zprávy se postupuje podle původního doporu</w:t>
      </w:r>
      <w:r w:rsidR="00901EA2">
        <w:rPr>
          <w:rFonts w:cs="Arial"/>
          <w:color w:val="000000"/>
          <w:szCs w:val="24"/>
        </w:rPr>
        <w:t>čení</w:t>
      </w:r>
      <w:r w:rsidR="00901EA2">
        <w:rPr>
          <w:rFonts w:cs="Arial"/>
          <w:color w:val="000000"/>
          <w:szCs w:val="24"/>
        </w:rPr>
        <w:br/>
      </w:r>
      <w:r w:rsidR="00FA16E3" w:rsidRPr="00524DAA">
        <w:rPr>
          <w:rFonts w:cs="Arial"/>
          <w:color w:val="000000"/>
          <w:szCs w:val="24"/>
        </w:rPr>
        <w:t>a zprávy vydaných školským poradenským zařízením.</w:t>
      </w:r>
    </w:p>
    <w:p w:rsidR="00FA16E3" w:rsidRPr="00524DAA" w:rsidRDefault="00E75192" w:rsidP="00026454">
      <w:pPr>
        <w:pStyle w:val="SingleTxtG"/>
        <w:rPr>
          <w:rFonts w:cs="Arial"/>
          <w:color w:val="000000"/>
          <w:szCs w:val="24"/>
          <w:shd w:val="clear" w:color="auto" w:fill="FFFFFF"/>
        </w:rPr>
      </w:pPr>
      <w:r>
        <w:rPr>
          <w:rFonts w:eastAsia="Calibri" w:cs="Arial"/>
          <w:bCs/>
          <w:szCs w:val="24"/>
        </w:rPr>
        <w:t>2</w:t>
      </w:r>
      <w:r w:rsidR="00E44A68">
        <w:rPr>
          <w:rFonts w:eastAsia="Calibri" w:cs="Arial"/>
          <w:bCs/>
          <w:szCs w:val="24"/>
        </w:rPr>
        <w:t>3</w:t>
      </w:r>
      <w:r w:rsidR="00A20FD7">
        <w:rPr>
          <w:rFonts w:eastAsia="Calibri" w:cs="Arial"/>
          <w:bCs/>
          <w:szCs w:val="24"/>
        </w:rPr>
        <w:t>2</w:t>
      </w:r>
      <w:r>
        <w:rPr>
          <w:rFonts w:eastAsia="Calibri" w:cs="Arial"/>
          <w:bCs/>
          <w:szCs w:val="24"/>
        </w:rPr>
        <w:t>.</w:t>
      </w:r>
      <w:r w:rsidR="00026454" w:rsidRPr="00524DAA">
        <w:rPr>
          <w:rFonts w:eastAsia="Calibri" w:cs="Arial"/>
          <w:bCs/>
          <w:szCs w:val="24"/>
        </w:rPr>
        <w:tab/>
      </w:r>
      <w:r w:rsidR="00FA16E3" w:rsidRPr="00524DAA">
        <w:rPr>
          <w:rFonts w:eastAsia="Calibri" w:cs="Arial"/>
          <w:bCs/>
          <w:szCs w:val="24"/>
        </w:rPr>
        <w:t>Ve školách, třídách, odděleních či studijních skupinách zřízených samostatně pro děti, žáky či studenty se </w:t>
      </w:r>
      <w:r w:rsidR="00675DDB">
        <w:rPr>
          <w:rFonts w:eastAsia="Calibri" w:cs="Arial"/>
          <w:bCs/>
          <w:szCs w:val="24"/>
        </w:rPr>
        <w:t xml:space="preserve">ZP </w:t>
      </w:r>
      <w:r w:rsidR="00FA16E3" w:rsidRPr="00524DAA">
        <w:rPr>
          <w:rFonts w:eastAsia="Calibri" w:cs="Arial"/>
          <w:bCs/>
          <w:szCs w:val="24"/>
        </w:rPr>
        <w:t xml:space="preserve">se mohou vzdělávat jenom děti, žáci nebo studenti se závažným zdravotním postižením, </w:t>
      </w:r>
      <w:r w:rsidR="00D31D12">
        <w:rPr>
          <w:rFonts w:eastAsia="Calibri" w:cs="Arial"/>
          <w:bCs/>
          <w:szCs w:val="24"/>
        </w:rPr>
        <w:t xml:space="preserve">a to </w:t>
      </w:r>
      <w:r w:rsidR="00FA16E3" w:rsidRPr="00524DAA">
        <w:rPr>
          <w:rFonts w:eastAsia="Calibri" w:cs="Arial"/>
          <w:bCs/>
          <w:szCs w:val="24"/>
        </w:rPr>
        <w:t>vzhledem k povaze jejich s</w:t>
      </w:r>
      <w:r w:rsidR="00901EA2">
        <w:rPr>
          <w:rFonts w:eastAsia="Calibri" w:cs="Arial"/>
          <w:bCs/>
          <w:szCs w:val="24"/>
        </w:rPr>
        <w:t>peciálních vzdělávacích potřeb,</w:t>
      </w:r>
      <w:r w:rsidR="00901EA2">
        <w:rPr>
          <w:rFonts w:eastAsia="Calibri" w:cs="Arial"/>
          <w:bCs/>
          <w:szCs w:val="24"/>
        </w:rPr>
        <w:br/>
      </w:r>
      <w:r w:rsidR="00FA16E3" w:rsidRPr="00524DAA">
        <w:rPr>
          <w:rFonts w:eastAsia="Calibri" w:cs="Arial"/>
          <w:bCs/>
          <w:szCs w:val="24"/>
        </w:rPr>
        <w:t xml:space="preserve">k průběhu a výsledkům dosavadního poskytování podpůrných opatření a skutečnosti, že by samotná podpůrná opatření nepostačovala k naplňování jejich vzdělávacích možností a k uplatnění jejich práva na vzdělávání. Dítě, žák či student může být zařazen do školy, třídy, oddělení nebo studijní skupiny pouze na základě písemné žádosti zletilého žáka, studenta nebo zákonného zástupce nezletilého a zároveň </w:t>
      </w:r>
      <w:r w:rsidR="00FA16E3" w:rsidRPr="00524DAA">
        <w:rPr>
          <w:rFonts w:cs="Calibri"/>
          <w:szCs w:val="24"/>
        </w:rPr>
        <w:t xml:space="preserve">doporučení školského poradenského zařízení. Rozhodující je zájem dítěte, žáka či studenta, přednostně se </w:t>
      </w:r>
      <w:r w:rsidR="00FA16E3" w:rsidRPr="00524DAA">
        <w:rPr>
          <w:rFonts w:cs="Arial"/>
          <w:color w:val="000000"/>
          <w:szCs w:val="24"/>
          <w:shd w:val="clear" w:color="auto" w:fill="FFFFFF"/>
        </w:rPr>
        <w:t>vzdělávání osob uvedených v § 16 odst. 9 školského zákona uskutečňuje ve škole, třídě, oddělení nebo studijní skupině, která není zřízena podle § 16 odst. 9 tohoto zákona. Školské poradenské zařízení dle § 23 vyhlášky č. 27/2016 Sb. vyhodnocuje, zda vzdělávání ve škole, třídě, oddělení nebo studijní skupině zřízené podle § 16 odst. 9 školského zákona nebo vzdělávání podle vzdělávacího programu základní školy speciální odpovídá speciálním vzdělávacím potřebám dítěte, žáka či studenta.</w:t>
      </w:r>
    </w:p>
    <w:p w:rsidR="00813509" w:rsidRPr="00524DAA" w:rsidRDefault="00813509" w:rsidP="001D4EF8">
      <w:pPr>
        <w:pStyle w:val="SingleTxtG"/>
      </w:pPr>
    </w:p>
    <w:p w:rsidR="00813509" w:rsidRPr="005D6D57" w:rsidRDefault="00813509" w:rsidP="00813509">
      <w:pPr>
        <w:pStyle w:val="H1G"/>
      </w:pPr>
      <w:r w:rsidRPr="00524DAA">
        <w:lastRenderedPageBreak/>
        <w:tab/>
      </w:r>
      <w:r w:rsidRPr="00524DAA">
        <w:tab/>
        <w:t xml:space="preserve">Odpověď na otázku č. 20 </w:t>
      </w:r>
      <w:r w:rsidR="00EF7F30" w:rsidRPr="00524DAA">
        <w:t>b</w:t>
      </w:r>
      <w:r w:rsidRPr="00524DAA">
        <w:t>)</w:t>
      </w:r>
    </w:p>
    <w:p w:rsidR="00AD0466" w:rsidRPr="00524DAA" w:rsidRDefault="00E75192" w:rsidP="00AD0466">
      <w:pPr>
        <w:pStyle w:val="SingleTxtG"/>
        <w:rPr>
          <w:szCs w:val="24"/>
        </w:rPr>
      </w:pPr>
      <w:r>
        <w:rPr>
          <w:szCs w:val="24"/>
        </w:rPr>
        <w:t>2</w:t>
      </w:r>
      <w:r w:rsidR="00E44A68">
        <w:rPr>
          <w:szCs w:val="24"/>
        </w:rPr>
        <w:t>3</w:t>
      </w:r>
      <w:r w:rsidR="00A20FD7">
        <w:rPr>
          <w:szCs w:val="24"/>
        </w:rPr>
        <w:t>3</w:t>
      </w:r>
      <w:r>
        <w:rPr>
          <w:szCs w:val="24"/>
        </w:rPr>
        <w:t>.</w:t>
      </w:r>
      <w:r w:rsidR="00AD0466" w:rsidRPr="00524DAA">
        <w:rPr>
          <w:szCs w:val="24"/>
        </w:rPr>
        <w:tab/>
      </w:r>
      <w:r w:rsidR="001D6B94" w:rsidRPr="00524DAA">
        <w:rPr>
          <w:szCs w:val="24"/>
        </w:rPr>
        <w:t>Ministerstvo školství, mládeže a tělovýchovy (dále jen „MŠMT“) p</w:t>
      </w:r>
      <w:r w:rsidR="00AD0466" w:rsidRPr="00524DAA">
        <w:rPr>
          <w:szCs w:val="24"/>
        </w:rPr>
        <w:t>ravidelně shromažď</w:t>
      </w:r>
      <w:r w:rsidR="001D6B94" w:rsidRPr="00524DAA">
        <w:rPr>
          <w:szCs w:val="24"/>
        </w:rPr>
        <w:t xml:space="preserve">uje </w:t>
      </w:r>
      <w:r w:rsidR="00AD0466" w:rsidRPr="00524DAA">
        <w:rPr>
          <w:szCs w:val="24"/>
        </w:rPr>
        <w:t>statistické údaje o vzdělávání dětí, žáků a studentů se speciálními vzdělávacími potřebami. Trvale ubývá počet škol zřízených podle § 16 odst. 9 školského zákona, od 30. září 2015 do 30. září 2018 klesl poče</w:t>
      </w:r>
      <w:r w:rsidR="00901EA2">
        <w:rPr>
          <w:szCs w:val="24"/>
        </w:rPr>
        <w:t>t těchto mateřských, základních</w:t>
      </w:r>
      <w:r w:rsidR="00901EA2">
        <w:rPr>
          <w:szCs w:val="24"/>
        </w:rPr>
        <w:br/>
      </w:r>
      <w:r w:rsidR="00AD0466" w:rsidRPr="00524DAA">
        <w:rPr>
          <w:szCs w:val="24"/>
        </w:rPr>
        <w:t>a středních škol o 72. Přibývá dětí a žáků se speciálními vzdělávacími potřebami vzdělávaných v běžných školách.</w:t>
      </w:r>
    </w:p>
    <w:tbl>
      <w:tblPr>
        <w:tblStyle w:val="Mkatabulky"/>
        <w:tblW w:w="9214" w:type="dxa"/>
        <w:tblLook w:val="04A0" w:firstRow="1" w:lastRow="0" w:firstColumn="1" w:lastColumn="0" w:noHBand="0" w:noVBand="1"/>
      </w:tblPr>
      <w:tblGrid>
        <w:gridCol w:w="3686"/>
        <w:gridCol w:w="2693"/>
        <w:gridCol w:w="2835"/>
      </w:tblGrid>
      <w:tr w:rsidR="00AD0466" w:rsidRPr="00524DAA" w:rsidTr="007B34C1">
        <w:tc>
          <w:tcPr>
            <w:tcW w:w="3686" w:type="dxa"/>
            <w:shd w:val="clear" w:color="auto" w:fill="A6A6A6" w:themeFill="background1" w:themeFillShade="A6"/>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Počet dětí a žáků se speciálními vzdělávacími potřebami dle § 16 odst. 9 školského zákona vzdělávaných v běžných školách</w:t>
            </w:r>
          </w:p>
        </w:tc>
        <w:tc>
          <w:tcPr>
            <w:tcW w:w="2693" w:type="dxa"/>
            <w:shd w:val="clear" w:color="auto" w:fill="A6A6A6" w:themeFill="background1" w:themeFillShade="A6"/>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k 30. 9. 2015</w:t>
            </w:r>
          </w:p>
        </w:tc>
        <w:tc>
          <w:tcPr>
            <w:tcW w:w="2835" w:type="dxa"/>
            <w:shd w:val="clear" w:color="auto" w:fill="A6A6A6" w:themeFill="background1" w:themeFillShade="A6"/>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k 30. 9. 2018</w:t>
            </w:r>
          </w:p>
        </w:tc>
      </w:tr>
      <w:tr w:rsidR="00AD0466" w:rsidRPr="00524DAA" w:rsidTr="007B34C1">
        <w:tc>
          <w:tcPr>
            <w:tcW w:w="3686" w:type="dxa"/>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Mateřské školy</w:t>
            </w:r>
          </w:p>
        </w:tc>
        <w:tc>
          <w:tcPr>
            <w:tcW w:w="2693"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7 409</w:t>
            </w:r>
          </w:p>
        </w:tc>
        <w:tc>
          <w:tcPr>
            <w:tcW w:w="2835"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8 408</w:t>
            </w:r>
          </w:p>
        </w:tc>
      </w:tr>
      <w:tr w:rsidR="00AD0466" w:rsidRPr="00524DAA" w:rsidTr="007B34C1">
        <w:tc>
          <w:tcPr>
            <w:tcW w:w="3686" w:type="dxa"/>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Základní školy</w:t>
            </w:r>
          </w:p>
        </w:tc>
        <w:tc>
          <w:tcPr>
            <w:tcW w:w="2693"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54 837</w:t>
            </w:r>
          </w:p>
        </w:tc>
        <w:tc>
          <w:tcPr>
            <w:tcW w:w="2835"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80 688</w:t>
            </w:r>
          </w:p>
        </w:tc>
      </w:tr>
      <w:tr w:rsidR="00AD0466" w:rsidRPr="00524DAA" w:rsidTr="007B34C1">
        <w:tc>
          <w:tcPr>
            <w:tcW w:w="3686" w:type="dxa"/>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Střední školy</w:t>
            </w:r>
          </w:p>
        </w:tc>
        <w:tc>
          <w:tcPr>
            <w:tcW w:w="2693"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13 919</w:t>
            </w:r>
          </w:p>
        </w:tc>
        <w:tc>
          <w:tcPr>
            <w:tcW w:w="2835"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16 910</w:t>
            </w:r>
          </w:p>
        </w:tc>
      </w:tr>
    </w:tbl>
    <w:p w:rsidR="00AD0466" w:rsidRDefault="007B34C1" w:rsidP="00AD0466">
      <w:pPr>
        <w:pStyle w:val="SingleTxtG"/>
        <w:rPr>
          <w:iCs/>
          <w:szCs w:val="24"/>
        </w:rPr>
      </w:pPr>
      <w:r>
        <w:rPr>
          <w:iCs/>
          <w:szCs w:val="24"/>
        </w:rPr>
        <w:t>* Zdroj: MŠMT</w:t>
      </w:r>
    </w:p>
    <w:p w:rsidR="007B34C1" w:rsidRPr="00524DAA" w:rsidRDefault="007B34C1" w:rsidP="00AD0466">
      <w:pPr>
        <w:pStyle w:val="SingleTxtG"/>
        <w:rPr>
          <w:iCs/>
          <w:szCs w:val="24"/>
        </w:rPr>
      </w:pPr>
    </w:p>
    <w:p w:rsidR="00AD0466" w:rsidRPr="00524DAA" w:rsidRDefault="00E75192" w:rsidP="005D6D57">
      <w:pPr>
        <w:pStyle w:val="SingleTxtG"/>
        <w:rPr>
          <w:iCs/>
          <w:szCs w:val="24"/>
        </w:rPr>
      </w:pPr>
      <w:r>
        <w:rPr>
          <w:szCs w:val="24"/>
        </w:rPr>
        <w:t>2</w:t>
      </w:r>
      <w:r w:rsidR="00E44A68">
        <w:rPr>
          <w:szCs w:val="24"/>
        </w:rPr>
        <w:t>3</w:t>
      </w:r>
      <w:r w:rsidR="00A20FD7">
        <w:rPr>
          <w:szCs w:val="24"/>
        </w:rPr>
        <w:t>4</w:t>
      </w:r>
      <w:r>
        <w:rPr>
          <w:szCs w:val="24"/>
        </w:rPr>
        <w:t>.</w:t>
      </w:r>
      <w:r w:rsidR="005D6D57" w:rsidRPr="00524DAA">
        <w:rPr>
          <w:szCs w:val="24"/>
        </w:rPr>
        <w:tab/>
      </w:r>
      <w:r w:rsidR="00AD0466" w:rsidRPr="00524DAA">
        <w:rPr>
          <w:szCs w:val="24"/>
        </w:rPr>
        <w:t>K nárůstu doš</w:t>
      </w:r>
      <w:r w:rsidR="00AD0466" w:rsidRPr="00524DAA">
        <w:rPr>
          <w:iCs/>
          <w:szCs w:val="24"/>
        </w:rPr>
        <w:t xml:space="preserve">lo i </w:t>
      </w:r>
      <w:r w:rsidR="009D637C">
        <w:rPr>
          <w:iCs/>
          <w:szCs w:val="24"/>
        </w:rPr>
        <w:t xml:space="preserve">u </w:t>
      </w:r>
      <w:r w:rsidR="00AD0466" w:rsidRPr="00524DAA">
        <w:rPr>
          <w:iCs/>
          <w:szCs w:val="24"/>
        </w:rPr>
        <w:t>podílu dětí a žáků se sluchovým postižením či poruchou autistického spektra vzdělávaných v běžných školách (v porovnání s celkovým počtem dětí a žáků s těmito zdravotními postiženími).</w:t>
      </w:r>
    </w:p>
    <w:tbl>
      <w:tblPr>
        <w:tblStyle w:val="Mkatabulky"/>
        <w:tblW w:w="9209" w:type="dxa"/>
        <w:tblLook w:val="04A0" w:firstRow="1" w:lastRow="0" w:firstColumn="1" w:lastColumn="0" w:noHBand="0" w:noVBand="1"/>
      </w:tblPr>
      <w:tblGrid>
        <w:gridCol w:w="3625"/>
        <w:gridCol w:w="1311"/>
        <w:gridCol w:w="1438"/>
        <w:gridCol w:w="1397"/>
        <w:gridCol w:w="1438"/>
      </w:tblGrid>
      <w:tr w:rsidR="00AD0466" w:rsidRPr="00524DAA" w:rsidTr="00FA1CE4">
        <w:tc>
          <w:tcPr>
            <w:tcW w:w="3625" w:type="dxa"/>
            <w:vMerge w:val="restart"/>
            <w:shd w:val="clear" w:color="auto" w:fill="A6A6A6" w:themeFill="background1" w:themeFillShade="A6"/>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Podíl dětí a žáků se speciálními vzdělávacími potřebami dle § 16 odst. 9 školského zákona vzdělávaných v běžných školách</w:t>
            </w:r>
          </w:p>
        </w:tc>
        <w:tc>
          <w:tcPr>
            <w:tcW w:w="2749" w:type="dxa"/>
            <w:gridSpan w:val="2"/>
            <w:shd w:val="clear" w:color="auto" w:fill="A6A6A6" w:themeFill="background1" w:themeFillShade="A6"/>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k 30. 9. 2015</w:t>
            </w:r>
          </w:p>
        </w:tc>
        <w:tc>
          <w:tcPr>
            <w:tcW w:w="2835" w:type="dxa"/>
            <w:gridSpan w:val="2"/>
            <w:shd w:val="clear" w:color="auto" w:fill="A6A6A6" w:themeFill="background1" w:themeFillShade="A6"/>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k 30. 9. 2018</w:t>
            </w:r>
          </w:p>
        </w:tc>
      </w:tr>
      <w:tr w:rsidR="00AD0466" w:rsidRPr="00524DAA" w:rsidTr="00FA1CE4">
        <w:tc>
          <w:tcPr>
            <w:tcW w:w="0" w:type="auto"/>
            <w:vMerge/>
            <w:hideMark/>
          </w:tcPr>
          <w:p w:rsidR="00AD0466" w:rsidRPr="00524DAA" w:rsidRDefault="00AD0466">
            <w:pPr>
              <w:suppressAutoHyphens w:val="0"/>
              <w:spacing w:line="240" w:lineRule="auto"/>
              <w:rPr>
                <w:b/>
                <w:szCs w:val="24"/>
              </w:rPr>
            </w:pPr>
          </w:p>
        </w:tc>
        <w:tc>
          <w:tcPr>
            <w:tcW w:w="1311" w:type="dxa"/>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Se sluchovým postižením</w:t>
            </w:r>
          </w:p>
        </w:tc>
        <w:tc>
          <w:tcPr>
            <w:tcW w:w="1438" w:type="dxa"/>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S poruchou autistického spektra</w:t>
            </w:r>
          </w:p>
        </w:tc>
        <w:tc>
          <w:tcPr>
            <w:tcW w:w="1397" w:type="dxa"/>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Se sluchovým postižením</w:t>
            </w:r>
          </w:p>
        </w:tc>
        <w:tc>
          <w:tcPr>
            <w:tcW w:w="1438" w:type="dxa"/>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S poruchou autistického spektra</w:t>
            </w:r>
          </w:p>
        </w:tc>
      </w:tr>
      <w:tr w:rsidR="00AD0466" w:rsidRPr="00524DAA" w:rsidTr="00FA1CE4">
        <w:tc>
          <w:tcPr>
            <w:tcW w:w="3625" w:type="dxa"/>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Mateřské školy</w:t>
            </w:r>
          </w:p>
        </w:tc>
        <w:tc>
          <w:tcPr>
            <w:tcW w:w="1311"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49,4 %</w:t>
            </w:r>
          </w:p>
        </w:tc>
        <w:tc>
          <w:tcPr>
            <w:tcW w:w="1438"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63,8 %</w:t>
            </w:r>
          </w:p>
        </w:tc>
        <w:tc>
          <w:tcPr>
            <w:tcW w:w="1397"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62,3 %</w:t>
            </w:r>
          </w:p>
        </w:tc>
        <w:tc>
          <w:tcPr>
            <w:tcW w:w="1438"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70,5 %</w:t>
            </w:r>
          </w:p>
        </w:tc>
      </w:tr>
      <w:tr w:rsidR="00AD0466" w:rsidRPr="00524DAA" w:rsidTr="00FA1CE4">
        <w:tc>
          <w:tcPr>
            <w:tcW w:w="3625" w:type="dxa"/>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Základní školy</w:t>
            </w:r>
          </w:p>
        </w:tc>
        <w:tc>
          <w:tcPr>
            <w:tcW w:w="1311"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58 %</w:t>
            </w:r>
          </w:p>
        </w:tc>
        <w:tc>
          <w:tcPr>
            <w:tcW w:w="1438"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50,8 %</w:t>
            </w:r>
          </w:p>
        </w:tc>
        <w:tc>
          <w:tcPr>
            <w:tcW w:w="1397"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65,3 %</w:t>
            </w:r>
          </w:p>
        </w:tc>
        <w:tc>
          <w:tcPr>
            <w:tcW w:w="1438"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72,5 %</w:t>
            </w:r>
          </w:p>
        </w:tc>
      </w:tr>
      <w:tr w:rsidR="00AD0466" w:rsidRPr="00524DAA" w:rsidTr="00FA1CE4">
        <w:tc>
          <w:tcPr>
            <w:tcW w:w="3625" w:type="dxa"/>
            <w:hideMark/>
          </w:tcPr>
          <w:p w:rsidR="00AD0466" w:rsidRPr="00524DAA" w:rsidRDefault="00AD0466">
            <w:pPr>
              <w:pStyle w:val="Bezmezer"/>
              <w:suppressAutoHyphens/>
              <w:spacing w:after="120" w:line="240" w:lineRule="atLeast"/>
              <w:ind w:firstLine="0"/>
              <w:jc w:val="center"/>
              <w:rPr>
                <w:b/>
                <w:szCs w:val="24"/>
                <w:lang w:val="cs-CZ" w:eastAsia="en-US"/>
              </w:rPr>
            </w:pPr>
            <w:r w:rsidRPr="00524DAA">
              <w:rPr>
                <w:b/>
                <w:szCs w:val="24"/>
                <w:lang w:val="cs-CZ"/>
              </w:rPr>
              <w:t>Střední školy</w:t>
            </w:r>
          </w:p>
        </w:tc>
        <w:tc>
          <w:tcPr>
            <w:tcW w:w="1311"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48,2 %</w:t>
            </w:r>
          </w:p>
        </w:tc>
        <w:tc>
          <w:tcPr>
            <w:tcW w:w="1438"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57,5 %</w:t>
            </w:r>
          </w:p>
        </w:tc>
        <w:tc>
          <w:tcPr>
            <w:tcW w:w="1397"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60,9 %</w:t>
            </w:r>
          </w:p>
        </w:tc>
        <w:tc>
          <w:tcPr>
            <w:tcW w:w="1438" w:type="dxa"/>
            <w:hideMark/>
          </w:tcPr>
          <w:p w:rsidR="00AD0466" w:rsidRPr="00524DAA" w:rsidRDefault="00AD0466">
            <w:pPr>
              <w:pStyle w:val="Bezmezer"/>
              <w:suppressAutoHyphens/>
              <w:spacing w:after="120" w:line="240" w:lineRule="atLeast"/>
              <w:ind w:firstLine="0"/>
              <w:jc w:val="center"/>
              <w:rPr>
                <w:szCs w:val="24"/>
                <w:lang w:val="cs-CZ" w:eastAsia="en-US"/>
              </w:rPr>
            </w:pPr>
            <w:r w:rsidRPr="00524DAA">
              <w:rPr>
                <w:szCs w:val="24"/>
                <w:lang w:val="cs-CZ"/>
              </w:rPr>
              <w:t>78,3 %</w:t>
            </w:r>
          </w:p>
        </w:tc>
      </w:tr>
    </w:tbl>
    <w:p w:rsidR="00AD0466" w:rsidRDefault="007B34C1" w:rsidP="00AD0466">
      <w:pPr>
        <w:pStyle w:val="SingleTxtG"/>
        <w:rPr>
          <w:szCs w:val="24"/>
        </w:rPr>
      </w:pPr>
      <w:r>
        <w:rPr>
          <w:iCs/>
          <w:szCs w:val="24"/>
        </w:rPr>
        <w:t>* Zdroj: MŠMT</w:t>
      </w:r>
    </w:p>
    <w:p w:rsidR="007B34C1" w:rsidRPr="00524DAA" w:rsidRDefault="007B34C1" w:rsidP="00AD0466">
      <w:pPr>
        <w:pStyle w:val="SingleTxtG"/>
        <w:rPr>
          <w:szCs w:val="24"/>
        </w:rPr>
      </w:pPr>
    </w:p>
    <w:p w:rsidR="00AD0466" w:rsidRPr="00524DAA" w:rsidRDefault="00E75192" w:rsidP="00AD0466">
      <w:pPr>
        <w:pStyle w:val="SingleTxtG"/>
        <w:rPr>
          <w:szCs w:val="24"/>
        </w:rPr>
      </w:pPr>
      <w:r>
        <w:rPr>
          <w:szCs w:val="24"/>
        </w:rPr>
        <w:t>2</w:t>
      </w:r>
      <w:r w:rsidR="00E44A68">
        <w:rPr>
          <w:szCs w:val="24"/>
        </w:rPr>
        <w:t>3</w:t>
      </w:r>
      <w:r w:rsidR="00A20FD7">
        <w:rPr>
          <w:szCs w:val="24"/>
        </w:rPr>
        <w:t>5</w:t>
      </w:r>
      <w:r>
        <w:rPr>
          <w:szCs w:val="24"/>
        </w:rPr>
        <w:t>.</w:t>
      </w:r>
      <w:r w:rsidR="00AD0466" w:rsidRPr="00524DAA">
        <w:rPr>
          <w:szCs w:val="24"/>
        </w:rPr>
        <w:tab/>
      </w:r>
      <w:r w:rsidR="006B1185">
        <w:rPr>
          <w:szCs w:val="24"/>
        </w:rPr>
        <w:t xml:space="preserve">Za účelem zlepšení situace a podmínek </w:t>
      </w:r>
      <w:r w:rsidR="00AD0466" w:rsidRPr="00524DAA">
        <w:rPr>
          <w:szCs w:val="24"/>
        </w:rPr>
        <w:t>v oblasti inkluze</w:t>
      </w:r>
      <w:r w:rsidR="006B1185">
        <w:rPr>
          <w:szCs w:val="24"/>
        </w:rPr>
        <w:t xml:space="preserve"> </w:t>
      </w:r>
      <w:r w:rsidR="00E91623">
        <w:rPr>
          <w:szCs w:val="24"/>
        </w:rPr>
        <w:t xml:space="preserve">a zvyšování odbornosti </w:t>
      </w:r>
      <w:r w:rsidR="006B1185">
        <w:rPr>
          <w:szCs w:val="24"/>
        </w:rPr>
        <w:t>je podporováno další vzdělávání pedagogických pracovníků</w:t>
      </w:r>
      <w:r w:rsidR="00AD0466" w:rsidRPr="00524DAA">
        <w:rPr>
          <w:szCs w:val="24"/>
        </w:rPr>
        <w:t>. V roce 2018 bylo Národním institutem pro další vzdělávání a Národním ústavem pro vzdělávání realizováno celkem 482 programů tohoto dalšího vzdělávání, které absolvovalo celkem 8 110 účastníků.</w:t>
      </w:r>
    </w:p>
    <w:p w:rsidR="00AD0466" w:rsidRPr="00524DAA" w:rsidRDefault="00E75192" w:rsidP="00AD0466">
      <w:pPr>
        <w:pStyle w:val="SingleTxtG"/>
        <w:rPr>
          <w:rFonts w:cs="Arial"/>
          <w:szCs w:val="24"/>
        </w:rPr>
      </w:pPr>
      <w:r>
        <w:rPr>
          <w:szCs w:val="24"/>
        </w:rPr>
        <w:t>2</w:t>
      </w:r>
      <w:r w:rsidR="00E44A68">
        <w:rPr>
          <w:szCs w:val="24"/>
        </w:rPr>
        <w:t>3</w:t>
      </w:r>
      <w:r w:rsidR="00A20FD7">
        <w:rPr>
          <w:szCs w:val="24"/>
        </w:rPr>
        <w:t>6</w:t>
      </w:r>
      <w:r>
        <w:rPr>
          <w:szCs w:val="24"/>
        </w:rPr>
        <w:t>.</w:t>
      </w:r>
      <w:r w:rsidR="00AD0466" w:rsidRPr="00524DAA">
        <w:rPr>
          <w:szCs w:val="24"/>
        </w:rPr>
        <w:tab/>
        <w:t>I</w:t>
      </w:r>
      <w:r w:rsidR="003F2E34" w:rsidRPr="003F2E34">
        <w:rPr>
          <w:szCs w:val="24"/>
        </w:rPr>
        <w:t xml:space="preserve">mplementace společného vzdělávání je pravidelně vyhodnocována prostřednictvím analýz, na jejichž základě jsou přijímána odpovídající opatření. V roce 2018 tak došlo k přijetí několika novel vyhlášky č. 27/2016 Sb. </w:t>
      </w:r>
      <w:r w:rsidR="002E2D52">
        <w:rPr>
          <w:szCs w:val="24"/>
        </w:rPr>
        <w:t xml:space="preserve">Od </w:t>
      </w:r>
      <w:r w:rsidR="003F2E34" w:rsidRPr="003F2E34">
        <w:rPr>
          <w:szCs w:val="24"/>
        </w:rPr>
        <w:t>1. ledna 2020 je v účinnosti právní úprava, která si klade za cíl zefektivnit inkluzívní vzdělávání za předpokladu dodržení hlavních principů, cílů a parametrů zajišťování speciálních vzdělávacích potřeb dětí, žáků a</w:t>
      </w:r>
      <w:r w:rsidR="002E2D52">
        <w:rPr>
          <w:szCs w:val="24"/>
        </w:rPr>
        <w:t> </w:t>
      </w:r>
      <w:r w:rsidR="003F2E34" w:rsidRPr="003F2E34">
        <w:rPr>
          <w:szCs w:val="24"/>
        </w:rPr>
        <w:t>studentů. MŠMT se spolu s organizacemi a odborníky podílí rovněž na činnosti Odborné platformy inkluzívního vzdělávání, jež vznikla v září 2017, a Poradního sboru speciálního a</w:t>
      </w:r>
      <w:r w:rsidR="002E2D52">
        <w:rPr>
          <w:szCs w:val="24"/>
        </w:rPr>
        <w:t> </w:t>
      </w:r>
      <w:r w:rsidR="003F2E34" w:rsidRPr="003F2E34">
        <w:rPr>
          <w:szCs w:val="24"/>
        </w:rPr>
        <w:t>společného vzdělávání zřízeného v roce 2018</w:t>
      </w:r>
      <w:r w:rsidR="009B5052">
        <w:rPr>
          <w:rFonts w:cs="Arial"/>
          <w:szCs w:val="24"/>
        </w:rPr>
        <w:t>.</w:t>
      </w:r>
    </w:p>
    <w:p w:rsidR="00AD0466" w:rsidRPr="00524DAA" w:rsidRDefault="00E75192" w:rsidP="0087350C">
      <w:pPr>
        <w:pStyle w:val="SingleTxtG"/>
        <w:rPr>
          <w:rFonts w:cs="Arial"/>
          <w:szCs w:val="24"/>
        </w:rPr>
      </w:pPr>
      <w:r>
        <w:rPr>
          <w:szCs w:val="24"/>
        </w:rPr>
        <w:t>2</w:t>
      </w:r>
      <w:r w:rsidR="0060129D">
        <w:rPr>
          <w:szCs w:val="24"/>
        </w:rPr>
        <w:t>3</w:t>
      </w:r>
      <w:r w:rsidR="00A20FD7">
        <w:rPr>
          <w:szCs w:val="24"/>
        </w:rPr>
        <w:t>7</w:t>
      </w:r>
      <w:r>
        <w:rPr>
          <w:szCs w:val="24"/>
        </w:rPr>
        <w:t>.</w:t>
      </w:r>
      <w:r w:rsidR="0087350C" w:rsidRPr="00524DAA">
        <w:rPr>
          <w:szCs w:val="24"/>
        </w:rPr>
        <w:tab/>
      </w:r>
      <w:r w:rsidR="00AD0466" w:rsidRPr="00524DAA">
        <w:rPr>
          <w:szCs w:val="24"/>
        </w:rPr>
        <w:t xml:space="preserve">Na zajištění rovných příležitostí ve vzdělávání, efektivitu poradenského systému, </w:t>
      </w:r>
      <w:r w:rsidR="0087350C" w:rsidRPr="00524DAA">
        <w:rPr>
          <w:szCs w:val="24"/>
        </w:rPr>
        <w:t>další vzdělávání pedagogických pracovníků</w:t>
      </w:r>
      <w:r w:rsidR="00AD0466" w:rsidRPr="00524DAA">
        <w:rPr>
          <w:szCs w:val="24"/>
        </w:rPr>
        <w:t xml:space="preserve">, rozvoj potenciálu všech dětí, žáků a studentů, sjednocení postupů na úrovni samosprávných celků, zřizovatelů, škol, poskytovatelů sociálních služeb a dalších se zaměřují </w:t>
      </w:r>
      <w:r w:rsidR="002D52B2">
        <w:rPr>
          <w:szCs w:val="24"/>
        </w:rPr>
        <w:t>též</w:t>
      </w:r>
      <w:r w:rsidR="00AD0466" w:rsidRPr="00524DAA">
        <w:rPr>
          <w:szCs w:val="24"/>
        </w:rPr>
        <w:t xml:space="preserve"> strategické dokumenty </w:t>
      </w:r>
      <w:r w:rsidR="002D52B2">
        <w:rPr>
          <w:szCs w:val="24"/>
        </w:rPr>
        <w:t>„</w:t>
      </w:r>
      <w:r w:rsidR="00AD0466" w:rsidRPr="00524DAA">
        <w:rPr>
          <w:szCs w:val="24"/>
        </w:rPr>
        <w:t>Dlouhodobý záměr vzdělávání a rozvoje vzdělávací soustavy České republiky na období 2019–2023</w:t>
      </w:r>
      <w:r w:rsidR="002D52B2">
        <w:rPr>
          <w:szCs w:val="24"/>
        </w:rPr>
        <w:t>“</w:t>
      </w:r>
      <w:r w:rsidR="00AD0466" w:rsidRPr="00524DAA">
        <w:rPr>
          <w:szCs w:val="24"/>
        </w:rPr>
        <w:t xml:space="preserve"> a </w:t>
      </w:r>
      <w:r w:rsidR="002D52B2">
        <w:rPr>
          <w:szCs w:val="24"/>
        </w:rPr>
        <w:t>„</w:t>
      </w:r>
      <w:r w:rsidR="00AD0466" w:rsidRPr="00524DAA">
        <w:rPr>
          <w:szCs w:val="24"/>
        </w:rPr>
        <w:t>Akční plán inkluzívního vzdělávání na období 2019–2020</w:t>
      </w:r>
      <w:r w:rsidR="002D52B2">
        <w:rPr>
          <w:szCs w:val="24"/>
        </w:rPr>
        <w:t>“</w:t>
      </w:r>
      <w:r w:rsidR="00472317">
        <w:rPr>
          <w:szCs w:val="24"/>
        </w:rPr>
        <w:t>. Prostřednictvím</w:t>
      </w:r>
      <w:r w:rsidR="00AD0466" w:rsidRPr="00524DAA">
        <w:rPr>
          <w:szCs w:val="24"/>
        </w:rPr>
        <w:t xml:space="preserve"> dotační</w:t>
      </w:r>
      <w:r w:rsidR="00472317">
        <w:rPr>
          <w:szCs w:val="24"/>
        </w:rPr>
        <w:t>ch</w:t>
      </w:r>
      <w:r w:rsidR="00AD0466" w:rsidRPr="00524DAA">
        <w:rPr>
          <w:szCs w:val="24"/>
        </w:rPr>
        <w:t xml:space="preserve"> a rozvojov</w:t>
      </w:r>
      <w:r w:rsidR="00472317">
        <w:rPr>
          <w:szCs w:val="24"/>
        </w:rPr>
        <w:t>ých</w:t>
      </w:r>
      <w:r w:rsidR="00AD0466" w:rsidRPr="00524DAA">
        <w:rPr>
          <w:szCs w:val="24"/>
        </w:rPr>
        <w:t xml:space="preserve"> program</w:t>
      </w:r>
      <w:r w:rsidR="00472317">
        <w:rPr>
          <w:szCs w:val="24"/>
        </w:rPr>
        <w:t>ů</w:t>
      </w:r>
      <w:r w:rsidR="00AD0466" w:rsidRPr="00524DAA">
        <w:rPr>
          <w:szCs w:val="24"/>
        </w:rPr>
        <w:t xml:space="preserve"> resortu </w:t>
      </w:r>
      <w:r w:rsidR="00995FC9" w:rsidRPr="00524DAA">
        <w:rPr>
          <w:szCs w:val="24"/>
        </w:rPr>
        <w:t xml:space="preserve">MŠMT </w:t>
      </w:r>
      <w:r w:rsidR="00AD0466" w:rsidRPr="00524DAA">
        <w:rPr>
          <w:szCs w:val="24"/>
        </w:rPr>
        <w:t>a Operační</w:t>
      </w:r>
      <w:r w:rsidR="00995FC9" w:rsidRPr="00524DAA">
        <w:rPr>
          <w:szCs w:val="24"/>
        </w:rPr>
        <w:t>ho</w:t>
      </w:r>
      <w:r w:rsidR="00AD0466" w:rsidRPr="00524DAA">
        <w:rPr>
          <w:szCs w:val="24"/>
        </w:rPr>
        <w:t xml:space="preserve"> program</w:t>
      </w:r>
      <w:r w:rsidR="00995FC9" w:rsidRPr="00524DAA">
        <w:rPr>
          <w:szCs w:val="24"/>
        </w:rPr>
        <w:t>u</w:t>
      </w:r>
      <w:r w:rsidR="00AD0466" w:rsidRPr="00524DAA">
        <w:rPr>
          <w:szCs w:val="24"/>
        </w:rPr>
        <w:t xml:space="preserve"> Výzkum, vývoj </w:t>
      </w:r>
      <w:r w:rsidR="006236C3">
        <w:rPr>
          <w:szCs w:val="24"/>
        </w:rPr>
        <w:t>a</w:t>
      </w:r>
      <w:r w:rsidR="00125645">
        <w:rPr>
          <w:szCs w:val="24"/>
        </w:rPr>
        <w:t> </w:t>
      </w:r>
      <w:r w:rsidR="00AD0466" w:rsidRPr="00524DAA">
        <w:rPr>
          <w:szCs w:val="24"/>
        </w:rPr>
        <w:t>vzdělávání (</w:t>
      </w:r>
      <w:r w:rsidR="00995FC9" w:rsidRPr="00524DAA">
        <w:rPr>
          <w:szCs w:val="24"/>
        </w:rPr>
        <w:t>dále jen „</w:t>
      </w:r>
      <w:r w:rsidR="00AD0466" w:rsidRPr="00524DAA">
        <w:rPr>
          <w:szCs w:val="24"/>
        </w:rPr>
        <w:t>OP VVV</w:t>
      </w:r>
      <w:r w:rsidR="00995FC9" w:rsidRPr="00524DAA">
        <w:rPr>
          <w:szCs w:val="24"/>
        </w:rPr>
        <w:t>“</w:t>
      </w:r>
      <w:r w:rsidR="00AD0466" w:rsidRPr="00524DAA">
        <w:rPr>
          <w:szCs w:val="24"/>
        </w:rPr>
        <w:t>)</w:t>
      </w:r>
      <w:r w:rsidR="00125645">
        <w:rPr>
          <w:szCs w:val="24"/>
        </w:rPr>
        <w:t xml:space="preserve"> </w:t>
      </w:r>
      <w:r w:rsidR="00125645" w:rsidRPr="00125645">
        <w:rPr>
          <w:szCs w:val="24"/>
        </w:rPr>
        <w:t>jsou poskytovány finanční prostředky mj. na zajištění rovných příležitostí při vzdělávání</w:t>
      </w:r>
      <w:r w:rsidR="00AD0466" w:rsidRPr="00524DAA">
        <w:rPr>
          <w:szCs w:val="24"/>
        </w:rPr>
        <w:t>.</w:t>
      </w:r>
    </w:p>
    <w:p w:rsidR="001A6EBC" w:rsidRDefault="009711DA" w:rsidP="001A6EBC">
      <w:pPr>
        <w:pStyle w:val="SingleTxtG"/>
        <w:rPr>
          <w:szCs w:val="24"/>
        </w:rPr>
      </w:pPr>
      <w:r>
        <w:rPr>
          <w:szCs w:val="24"/>
        </w:rPr>
        <w:lastRenderedPageBreak/>
        <w:t>23</w:t>
      </w:r>
      <w:r w:rsidR="00A20FD7">
        <w:rPr>
          <w:szCs w:val="24"/>
        </w:rPr>
        <w:t>8</w:t>
      </w:r>
      <w:r w:rsidR="001A6EBC">
        <w:rPr>
          <w:szCs w:val="24"/>
        </w:rPr>
        <w:t>.</w:t>
      </w:r>
      <w:r w:rsidR="001A6EBC">
        <w:rPr>
          <w:szCs w:val="24"/>
        </w:rPr>
        <w:tab/>
        <w:t>Implementace Akčního plánu inkluzívního vzdělávání na období 2019</w:t>
      </w:r>
      <w:r w:rsidR="00A60D18">
        <w:rPr>
          <w:szCs w:val="24"/>
        </w:rPr>
        <w:noBreakHyphen/>
      </w:r>
      <w:r w:rsidR="001A6EBC">
        <w:rPr>
          <w:szCs w:val="24"/>
        </w:rPr>
        <w:t xml:space="preserve">2020 probíhá prostřednictvím projektů APIV A </w:t>
      </w:r>
      <w:proofErr w:type="spellStart"/>
      <w:r w:rsidR="001A6EBC">
        <w:rPr>
          <w:szCs w:val="24"/>
        </w:rPr>
        <w:t>a</w:t>
      </w:r>
      <w:proofErr w:type="spellEnd"/>
      <w:r w:rsidR="001A6EBC">
        <w:rPr>
          <w:szCs w:val="24"/>
        </w:rPr>
        <w:t> APIV B, mezi jejichž cíle patří např. Podporovat pedagogické pracovníky při uskutečňování inkluzivního vzdělávání či Zvýšit podporu společného vzdělávání u všech zainteresovaných skupin.</w:t>
      </w:r>
    </w:p>
    <w:p w:rsidR="001A6EBC" w:rsidRDefault="009711DA" w:rsidP="001A6EBC">
      <w:pPr>
        <w:pStyle w:val="SingleTxtG"/>
        <w:rPr>
          <w:color w:val="000000"/>
          <w:shd w:val="clear" w:color="auto" w:fill="FFFFFF"/>
        </w:rPr>
      </w:pPr>
      <w:r>
        <w:rPr>
          <w:rFonts w:cs="Arial"/>
          <w:szCs w:val="24"/>
        </w:rPr>
        <w:t>23</w:t>
      </w:r>
      <w:r w:rsidR="00A20FD7">
        <w:rPr>
          <w:rFonts w:cs="Arial"/>
          <w:szCs w:val="24"/>
        </w:rPr>
        <w:t>9</w:t>
      </w:r>
      <w:r>
        <w:rPr>
          <w:rFonts w:cs="Arial"/>
          <w:szCs w:val="24"/>
        </w:rPr>
        <w:t>.</w:t>
      </w:r>
      <w:r>
        <w:rPr>
          <w:rFonts w:cs="Arial"/>
          <w:szCs w:val="24"/>
        </w:rPr>
        <w:tab/>
      </w:r>
      <w:r w:rsidR="001A6EBC">
        <w:rPr>
          <w:rFonts w:cs="Arial"/>
          <w:szCs w:val="24"/>
        </w:rPr>
        <w:t xml:space="preserve">Dětem, žákům a studentům se zrakovým postižením jsou poskytována podpůrná opatření, mezi něž patří kompenzační a speciální učební pomůcky </w:t>
      </w:r>
      <w:r w:rsidR="001A6EBC">
        <w:rPr>
          <w:szCs w:val="24"/>
        </w:rPr>
        <w:t xml:space="preserve">– </w:t>
      </w:r>
      <w:r w:rsidR="001A6EBC">
        <w:rPr>
          <w:color w:val="000000"/>
          <w:shd w:val="clear" w:color="auto" w:fill="FFFFFF"/>
        </w:rPr>
        <w:t xml:space="preserve">tabulky na psaní Braillova písma a pomůcky pro výuku Braillova písma, </w:t>
      </w:r>
      <w:proofErr w:type="spellStart"/>
      <w:r w:rsidR="001A6EBC">
        <w:rPr>
          <w:color w:val="000000"/>
          <w:shd w:val="clear" w:color="auto" w:fill="FFFFFF"/>
        </w:rPr>
        <w:t>Pichtův</w:t>
      </w:r>
      <w:proofErr w:type="spellEnd"/>
      <w:r w:rsidR="001A6EBC">
        <w:rPr>
          <w:color w:val="000000"/>
          <w:shd w:val="clear" w:color="auto" w:fill="FFFFFF"/>
        </w:rPr>
        <w:t xml:space="preserve"> psací stroj, Braillský řádek, Braillská tiskárna, učebnice v Braillově písmu nebo alikvótní částka na přepis do Braillova bodového písma a další. Materiály pro vzdělávání dětí, žáků a studentů se zrakovým postižením si školy připravují ve spolupráci se speciálně pedagogickými centry. Mezi podpůrná opatření spadá rovněž personální podpora v podobě Tlumočníka českého znakového jazyka nebo Přepisovatele pro neslyšící, jež mohou využívat děti, žáci a stu</w:t>
      </w:r>
      <w:r w:rsidR="003B79FC">
        <w:rPr>
          <w:color w:val="000000"/>
          <w:shd w:val="clear" w:color="auto" w:fill="FFFFFF"/>
        </w:rPr>
        <w:t>denti se sluchovým postižením.</w:t>
      </w:r>
    </w:p>
    <w:p w:rsidR="001A6EBC" w:rsidRDefault="00851416" w:rsidP="001A6EBC">
      <w:pPr>
        <w:pStyle w:val="SingleTxtG"/>
        <w:rPr>
          <w:szCs w:val="24"/>
        </w:rPr>
      </w:pPr>
      <w:r>
        <w:rPr>
          <w:szCs w:val="24"/>
        </w:rPr>
        <w:t>2</w:t>
      </w:r>
      <w:r w:rsidR="00A20FD7">
        <w:rPr>
          <w:szCs w:val="24"/>
        </w:rPr>
        <w:t>40</w:t>
      </w:r>
      <w:r>
        <w:rPr>
          <w:szCs w:val="24"/>
        </w:rPr>
        <w:t>.</w:t>
      </w:r>
      <w:r>
        <w:rPr>
          <w:szCs w:val="24"/>
        </w:rPr>
        <w:tab/>
      </w:r>
      <w:r w:rsidR="00EB38D0">
        <w:rPr>
          <w:szCs w:val="24"/>
        </w:rPr>
        <w:t>Během sledovaného období docházelo k v</w:t>
      </w:r>
      <w:r w:rsidR="001A6EBC">
        <w:rPr>
          <w:szCs w:val="24"/>
        </w:rPr>
        <w:t>ýrazn</w:t>
      </w:r>
      <w:r w:rsidR="00EB38D0">
        <w:rPr>
          <w:szCs w:val="24"/>
        </w:rPr>
        <w:t xml:space="preserve">ému </w:t>
      </w:r>
      <w:r w:rsidR="001A6EBC">
        <w:rPr>
          <w:szCs w:val="24"/>
        </w:rPr>
        <w:t>sniž</w:t>
      </w:r>
      <w:r w:rsidR="00EB38D0">
        <w:rPr>
          <w:szCs w:val="24"/>
        </w:rPr>
        <w:t xml:space="preserve">ování </w:t>
      </w:r>
      <w:r w:rsidR="001A6EBC">
        <w:rPr>
          <w:szCs w:val="24"/>
        </w:rPr>
        <w:t>podíl</w:t>
      </w:r>
      <w:r w:rsidR="00EB38D0">
        <w:rPr>
          <w:szCs w:val="24"/>
        </w:rPr>
        <w:t>u</w:t>
      </w:r>
      <w:r w:rsidR="001A6EBC">
        <w:rPr>
          <w:szCs w:val="24"/>
        </w:rPr>
        <w:t xml:space="preserve"> žáků s lehkým mentálním postižením vzdělávajících se podle Přílohy Rámcového vzdělávacího programu pro základní vzdělávání upravující vzdělávání žáků s lehkým mentálním postižením (</w:t>
      </w:r>
      <w:r w:rsidR="003B79FC">
        <w:rPr>
          <w:szCs w:val="24"/>
        </w:rPr>
        <w:t>dále jen „</w:t>
      </w:r>
      <w:r w:rsidR="001A6EBC">
        <w:rPr>
          <w:szCs w:val="24"/>
        </w:rPr>
        <w:t>RVP ZV LMP</w:t>
      </w:r>
      <w:r w:rsidR="003B79FC">
        <w:rPr>
          <w:szCs w:val="24"/>
        </w:rPr>
        <w:t>“</w:t>
      </w:r>
      <w:r w:rsidR="001A6EBC">
        <w:rPr>
          <w:szCs w:val="24"/>
        </w:rPr>
        <w:t>).</w:t>
      </w:r>
      <w:r w:rsidR="003B79FC">
        <w:rPr>
          <w:szCs w:val="24"/>
        </w:rPr>
        <w:t xml:space="preserve"> S </w:t>
      </w:r>
      <w:r w:rsidR="001A6EBC">
        <w:rPr>
          <w:szCs w:val="24"/>
        </w:rPr>
        <w:t>konce</w:t>
      </w:r>
      <w:r w:rsidR="003B79FC">
        <w:rPr>
          <w:szCs w:val="24"/>
        </w:rPr>
        <w:t>m</w:t>
      </w:r>
      <w:r w:rsidR="001A6EBC">
        <w:rPr>
          <w:szCs w:val="24"/>
        </w:rPr>
        <w:t xml:space="preserve"> školního roku 2019/2020 b</w:t>
      </w:r>
      <w:r w:rsidR="003B79FC">
        <w:rPr>
          <w:szCs w:val="24"/>
        </w:rPr>
        <w:t xml:space="preserve">ylo </w:t>
      </w:r>
      <w:r w:rsidR="001A6EBC">
        <w:rPr>
          <w:szCs w:val="24"/>
        </w:rPr>
        <w:t>vzdělávání podle RVP</w:t>
      </w:r>
      <w:r w:rsidR="00EB38D0">
        <w:rPr>
          <w:szCs w:val="24"/>
        </w:rPr>
        <w:t> </w:t>
      </w:r>
      <w:r w:rsidR="001A6EBC">
        <w:rPr>
          <w:szCs w:val="24"/>
        </w:rPr>
        <w:t>ZV</w:t>
      </w:r>
      <w:r w:rsidR="00EB38D0">
        <w:rPr>
          <w:szCs w:val="24"/>
        </w:rPr>
        <w:t> </w:t>
      </w:r>
      <w:r w:rsidR="001A6EBC">
        <w:rPr>
          <w:szCs w:val="24"/>
        </w:rPr>
        <w:t xml:space="preserve">LMP ukončeno. RVP ZV LMP stanovil pro všechny žáky s lehkým mentálním postižením stejnou sníženou úroveň ve všech vzdělávacích oblastech bez rozlišení potřeb jednotlivých žáků. </w:t>
      </w:r>
      <w:r w:rsidR="00A60D18">
        <w:rPr>
          <w:szCs w:val="24"/>
        </w:rPr>
        <w:t xml:space="preserve">Nadále se tak uplatňuje pouze </w:t>
      </w:r>
      <w:r w:rsidR="001A6EBC">
        <w:rPr>
          <w:szCs w:val="24"/>
        </w:rPr>
        <w:t xml:space="preserve">Rámcový vzdělávací program </w:t>
      </w:r>
      <w:r w:rsidR="00B403B0">
        <w:rPr>
          <w:szCs w:val="24"/>
        </w:rPr>
        <w:t xml:space="preserve">pro základní vzdělávání </w:t>
      </w:r>
      <w:r w:rsidR="001A6EBC">
        <w:rPr>
          <w:szCs w:val="24"/>
        </w:rPr>
        <w:t>se sníženými nároky na výstupy ze vzdělávání z důvodu mentálního postižení (</w:t>
      </w:r>
      <w:r w:rsidR="00A96C9B">
        <w:rPr>
          <w:szCs w:val="24"/>
        </w:rPr>
        <w:t>dále jen „</w:t>
      </w:r>
      <w:r w:rsidR="001A6EBC">
        <w:rPr>
          <w:szCs w:val="24"/>
        </w:rPr>
        <w:t>RVP</w:t>
      </w:r>
      <w:r w:rsidR="00A60D18">
        <w:rPr>
          <w:szCs w:val="24"/>
        </w:rPr>
        <w:t> </w:t>
      </w:r>
      <w:r w:rsidR="001A6EBC">
        <w:rPr>
          <w:szCs w:val="24"/>
        </w:rPr>
        <w:t>ZV UV</w:t>
      </w:r>
      <w:r w:rsidR="00A96C9B">
        <w:rPr>
          <w:szCs w:val="24"/>
        </w:rPr>
        <w:t>“</w:t>
      </w:r>
      <w:r w:rsidR="001A6EBC">
        <w:rPr>
          <w:szCs w:val="24"/>
        </w:rPr>
        <w:t>)</w:t>
      </w:r>
      <w:r w:rsidR="00A60D18">
        <w:rPr>
          <w:szCs w:val="24"/>
        </w:rPr>
        <w:t>, který</w:t>
      </w:r>
      <w:r w:rsidR="001A6EBC">
        <w:rPr>
          <w:szCs w:val="24"/>
        </w:rPr>
        <w:t xml:space="preserve"> umožňuje žákům s</w:t>
      </w:r>
      <w:r w:rsidR="009D147A">
        <w:rPr>
          <w:szCs w:val="24"/>
        </w:rPr>
        <w:t> </w:t>
      </w:r>
      <w:r w:rsidR="001A6EBC">
        <w:rPr>
          <w:szCs w:val="24"/>
        </w:rPr>
        <w:t>lehkým mentálním postižením</w:t>
      </w:r>
      <w:r w:rsidR="00447666">
        <w:rPr>
          <w:szCs w:val="24"/>
        </w:rPr>
        <w:t xml:space="preserve"> (</w:t>
      </w:r>
      <w:r w:rsidR="001A6EBC">
        <w:rPr>
          <w:szCs w:val="24"/>
        </w:rPr>
        <w:t>na základě doporučení školského poradenského zařízení</w:t>
      </w:r>
      <w:r w:rsidR="00447666">
        <w:rPr>
          <w:szCs w:val="24"/>
        </w:rPr>
        <w:t>)</w:t>
      </w:r>
      <w:r w:rsidR="001A6EBC">
        <w:rPr>
          <w:szCs w:val="24"/>
        </w:rPr>
        <w:t xml:space="preserve"> využít upravené výstupy pouze v těch oblastech, kde je to pro žáka nezbytné. V ostatních oblastech se žák může vzdělávat podle standardních očekávaných výstupů. Změny vzdělávacího obsahu se u žáků s lehkým mentálním postižením realizují na základě doporučení školského poradenského zařízení</w:t>
      </w:r>
      <w:r w:rsidR="009D147A">
        <w:rPr>
          <w:szCs w:val="24"/>
        </w:rPr>
        <w:t>, a</w:t>
      </w:r>
      <w:r w:rsidR="0032753C">
        <w:rPr>
          <w:szCs w:val="24"/>
        </w:rPr>
        <w:t> </w:t>
      </w:r>
      <w:r w:rsidR="009D147A">
        <w:rPr>
          <w:szCs w:val="24"/>
        </w:rPr>
        <w:t>to</w:t>
      </w:r>
      <w:r w:rsidR="001A6EBC">
        <w:rPr>
          <w:szCs w:val="24"/>
        </w:rPr>
        <w:t xml:space="preserve"> jako podpůrné opatření formou individuálního vzdělávacího plánu.</w:t>
      </w:r>
    </w:p>
    <w:p w:rsidR="00813509" w:rsidRPr="005D6D57" w:rsidRDefault="00E75192" w:rsidP="00AD0466">
      <w:pPr>
        <w:pStyle w:val="SingleTxtG"/>
        <w:rPr>
          <w:szCs w:val="24"/>
        </w:rPr>
      </w:pPr>
      <w:r>
        <w:rPr>
          <w:szCs w:val="24"/>
        </w:rPr>
        <w:t>2</w:t>
      </w:r>
      <w:r w:rsidR="00851416">
        <w:rPr>
          <w:szCs w:val="24"/>
        </w:rPr>
        <w:t>4</w:t>
      </w:r>
      <w:r w:rsidR="00A20FD7">
        <w:rPr>
          <w:szCs w:val="24"/>
        </w:rPr>
        <w:t>1</w:t>
      </w:r>
      <w:r>
        <w:rPr>
          <w:szCs w:val="24"/>
        </w:rPr>
        <w:t>.</w:t>
      </w:r>
      <w:r w:rsidR="0087350C" w:rsidRPr="005D6D57">
        <w:rPr>
          <w:szCs w:val="24"/>
        </w:rPr>
        <w:tab/>
      </w:r>
      <w:r w:rsidR="00AD0466" w:rsidRPr="005D6D57">
        <w:rPr>
          <w:szCs w:val="24"/>
        </w:rPr>
        <w:t>Za účelem zpřesnění diagnostiky dětí, žáků a studentů se speciálními vzdělávacími potřebami MŠMT opakovaně vyhlašuje rozvojový program „Vybavení školských poradenských zařízení diagnostickými nástroji“. Prostřednictvím něho poskytuje MŠMT školským poradenským zařízením finanční prostředky na nákup diagnostických nástrojů zaměřených na diagnostiku dětí, žáků a studentů, využitelných při stanovení adekvátních podpůrných opatření, specifikaci vzdělávacích potřeb a vymezení optimální podpory ve vzdělávání. Cílem saturace školských poradenských zařízení prostřednictvím tohoto rozvojového programu v celorepublikovém měřítku je umožnit co nejkvalitnější a nejpřesnější diagnostiku speciálních vzdělávacích potřeb. V roce 2019 byl také vyhlášen rozvojový program Navýšení kapacit ve </w:t>
      </w:r>
      <w:r w:rsidR="005D6D57">
        <w:rPr>
          <w:szCs w:val="24"/>
        </w:rPr>
        <w:t>školských poradenských zařízeních</w:t>
      </w:r>
      <w:r w:rsidR="00AD0466" w:rsidRPr="005D6D57">
        <w:rPr>
          <w:szCs w:val="24"/>
        </w:rPr>
        <w:t xml:space="preserve">, jehož účelem </w:t>
      </w:r>
      <w:r w:rsidR="00272081">
        <w:rPr>
          <w:szCs w:val="24"/>
        </w:rPr>
        <w:t>bylo</w:t>
      </w:r>
      <w:r w:rsidR="00AD0466" w:rsidRPr="005D6D57">
        <w:rPr>
          <w:szCs w:val="24"/>
        </w:rPr>
        <w:t xml:space="preserve"> zajištění dostatečné odborné personální podpory pro realizaci § 16 školského zákona.</w:t>
      </w:r>
    </w:p>
    <w:p w:rsidR="00E15DDE" w:rsidRPr="00FA1CE4" w:rsidRDefault="00E75192" w:rsidP="00FA1CE4">
      <w:pPr>
        <w:pStyle w:val="SingleTxtG"/>
        <w:rPr>
          <w:rFonts w:asciiTheme="minorHAnsi" w:eastAsiaTheme="minorHAnsi" w:hAnsiTheme="minorHAnsi" w:cstheme="minorBidi"/>
          <w:szCs w:val="24"/>
        </w:rPr>
      </w:pPr>
      <w:r>
        <w:rPr>
          <w:szCs w:val="24"/>
        </w:rPr>
        <w:t>2</w:t>
      </w:r>
      <w:r w:rsidR="00851416">
        <w:rPr>
          <w:szCs w:val="24"/>
        </w:rPr>
        <w:t>4</w:t>
      </w:r>
      <w:r w:rsidR="00A20FD7">
        <w:rPr>
          <w:szCs w:val="24"/>
        </w:rPr>
        <w:t>2</w:t>
      </w:r>
      <w:r>
        <w:rPr>
          <w:szCs w:val="24"/>
        </w:rPr>
        <w:t>.</w:t>
      </w:r>
      <w:r w:rsidR="0087350C" w:rsidRPr="00524DAA">
        <w:rPr>
          <w:szCs w:val="24"/>
        </w:rPr>
        <w:tab/>
        <w:t xml:space="preserve">V oblasti vysokého školství je na úrovni všech strategických dokumentů a právních předpisů dodržován princip rovných příležitostí osob se </w:t>
      </w:r>
      <w:r w:rsidR="00DC637B">
        <w:rPr>
          <w:szCs w:val="24"/>
        </w:rPr>
        <w:t>ZP</w:t>
      </w:r>
      <w:r w:rsidR="0087350C" w:rsidRPr="00524DAA">
        <w:rPr>
          <w:szCs w:val="24"/>
        </w:rPr>
        <w:t xml:space="preserve">. </w:t>
      </w:r>
      <w:r w:rsidR="0087350C" w:rsidRPr="00524DAA">
        <w:rPr>
          <w:rFonts w:eastAsia="Calibri" w:cs="Arial"/>
          <w:bCs/>
          <w:szCs w:val="24"/>
        </w:rPr>
        <w:t>Jedním z prioritních cílů Dlouhodobého záměru vzdělávací a vědecké, výzkumné, vývojové a inovační, umělecké a</w:t>
      </w:r>
      <w:r w:rsidR="00DC637B">
        <w:rPr>
          <w:rFonts w:eastAsia="Calibri" w:cs="Arial"/>
          <w:bCs/>
          <w:szCs w:val="24"/>
        </w:rPr>
        <w:t> </w:t>
      </w:r>
      <w:r w:rsidR="0087350C" w:rsidRPr="00524DAA">
        <w:rPr>
          <w:rFonts w:eastAsia="Calibri" w:cs="Arial"/>
          <w:bCs/>
          <w:szCs w:val="24"/>
        </w:rPr>
        <w:t>další tvůrčí činnosti pro oblast vysokých škol na období 2016–2020 je Diverzita a</w:t>
      </w:r>
      <w:r w:rsidR="009B5052">
        <w:rPr>
          <w:rFonts w:eastAsia="Calibri" w:cs="Arial"/>
          <w:bCs/>
          <w:szCs w:val="24"/>
        </w:rPr>
        <w:t> </w:t>
      </w:r>
      <w:r w:rsidR="0087350C" w:rsidRPr="00524DAA">
        <w:rPr>
          <w:rFonts w:eastAsia="Calibri" w:cs="Arial"/>
          <w:bCs/>
          <w:szCs w:val="24"/>
        </w:rPr>
        <w:t>dostupnost. Zdůrazňuje přístupnost a přidanou hodnotu studia bez ohledu na zvláštní potřeby způsobené zdravotními či jinými obtížemi.</w:t>
      </w:r>
    </w:p>
    <w:p w:rsidR="00813509" w:rsidRPr="00524DAA" w:rsidRDefault="00813509" w:rsidP="001D4EF8">
      <w:pPr>
        <w:pStyle w:val="SingleTxtG"/>
      </w:pPr>
    </w:p>
    <w:p w:rsidR="00813509" w:rsidRPr="005D6D57" w:rsidRDefault="00813509" w:rsidP="00813509">
      <w:pPr>
        <w:pStyle w:val="H1G"/>
      </w:pPr>
      <w:r w:rsidRPr="00524DAA">
        <w:tab/>
      </w:r>
      <w:r w:rsidRPr="00524DAA">
        <w:tab/>
        <w:t xml:space="preserve">Odpověď na otázku č. 20 </w:t>
      </w:r>
      <w:r w:rsidR="00EF7F30" w:rsidRPr="00524DAA">
        <w:t>c</w:t>
      </w:r>
      <w:r w:rsidRPr="00524DAA">
        <w:t>)</w:t>
      </w:r>
    </w:p>
    <w:p w:rsidR="0087350C" w:rsidRPr="00524DAA" w:rsidRDefault="00E75192" w:rsidP="00AD0466">
      <w:pPr>
        <w:pStyle w:val="SingleTxtG"/>
        <w:rPr>
          <w:szCs w:val="24"/>
        </w:rPr>
      </w:pPr>
      <w:r>
        <w:rPr>
          <w:szCs w:val="24"/>
        </w:rPr>
        <w:t>2</w:t>
      </w:r>
      <w:r w:rsidR="00E44A68">
        <w:rPr>
          <w:szCs w:val="24"/>
        </w:rPr>
        <w:t>4</w:t>
      </w:r>
      <w:r w:rsidR="00A20FD7">
        <w:rPr>
          <w:szCs w:val="24"/>
        </w:rPr>
        <w:t>3</w:t>
      </w:r>
      <w:r>
        <w:rPr>
          <w:szCs w:val="24"/>
        </w:rPr>
        <w:t>.</w:t>
      </w:r>
      <w:r w:rsidR="0087350C" w:rsidRPr="00524DAA">
        <w:rPr>
          <w:szCs w:val="24"/>
        </w:rPr>
        <w:tab/>
        <w:t xml:space="preserve">V rámci OP VVV </w:t>
      </w:r>
      <w:r w:rsidR="00523E79">
        <w:rPr>
          <w:szCs w:val="24"/>
        </w:rPr>
        <w:t>byla</w:t>
      </w:r>
      <w:r w:rsidR="0087350C" w:rsidRPr="00524DAA">
        <w:rPr>
          <w:szCs w:val="24"/>
        </w:rPr>
        <w:t xml:space="preserve"> vyhlášena výzva č. 02_19_077 Podpora dětí a žáků se speciálními vzdělávacími potřebami, </w:t>
      </w:r>
      <w:r w:rsidR="00E91623">
        <w:rPr>
          <w:szCs w:val="24"/>
        </w:rPr>
        <w:t xml:space="preserve">jejímž </w:t>
      </w:r>
      <w:r w:rsidR="0087350C" w:rsidRPr="00524DAA">
        <w:rPr>
          <w:szCs w:val="24"/>
        </w:rPr>
        <w:t xml:space="preserve">prostřednictvím </w:t>
      </w:r>
      <w:r w:rsidR="00901EA2">
        <w:rPr>
          <w:szCs w:val="24"/>
        </w:rPr>
        <w:t>moh</w:t>
      </w:r>
      <w:r w:rsidR="00DA4D52">
        <w:rPr>
          <w:szCs w:val="24"/>
        </w:rPr>
        <w:t>li</w:t>
      </w:r>
      <w:r w:rsidR="00901EA2">
        <w:rPr>
          <w:szCs w:val="24"/>
        </w:rPr>
        <w:t xml:space="preserve"> žadatelé podávat žádosti</w:t>
      </w:r>
      <w:r w:rsidR="00E91623">
        <w:rPr>
          <w:szCs w:val="24"/>
        </w:rPr>
        <w:t xml:space="preserve"> </w:t>
      </w:r>
      <w:r w:rsidR="0087350C" w:rsidRPr="00524DAA">
        <w:rPr>
          <w:szCs w:val="24"/>
        </w:rPr>
        <w:t>o podporu při realizaci tranzitních programů připravujících mladé lidi na samostatný způsob života, v oblasti posilování kompetencí pedagogických pracovníků škol a</w:t>
      </w:r>
      <w:r w:rsidR="00E91623">
        <w:rPr>
          <w:szCs w:val="24"/>
        </w:rPr>
        <w:t> </w:t>
      </w:r>
      <w:r w:rsidR="0087350C" w:rsidRPr="00524DAA">
        <w:rPr>
          <w:szCs w:val="24"/>
        </w:rPr>
        <w:t xml:space="preserve">školských zařízení z důvodu podpory duševního zdraví dětí a žáků apod. </w:t>
      </w:r>
      <w:r w:rsidR="004B6883">
        <w:rPr>
          <w:szCs w:val="24"/>
        </w:rPr>
        <w:t>Cílem vý</w:t>
      </w:r>
      <w:r w:rsidR="0087350C" w:rsidRPr="00524DAA">
        <w:rPr>
          <w:szCs w:val="24"/>
        </w:rPr>
        <w:t>zv</w:t>
      </w:r>
      <w:r w:rsidR="004B6883">
        <w:rPr>
          <w:szCs w:val="24"/>
        </w:rPr>
        <w:t>y</w:t>
      </w:r>
      <w:r w:rsidR="0087350C" w:rsidRPr="00524DAA">
        <w:rPr>
          <w:szCs w:val="24"/>
        </w:rPr>
        <w:t xml:space="preserve"> </w:t>
      </w:r>
      <w:r w:rsidR="004B6883">
        <w:rPr>
          <w:szCs w:val="24"/>
        </w:rPr>
        <w:t xml:space="preserve">byla i podpora </w:t>
      </w:r>
      <w:r w:rsidR="0087350C" w:rsidRPr="00524DAA">
        <w:rPr>
          <w:szCs w:val="24"/>
        </w:rPr>
        <w:t>prevenc</w:t>
      </w:r>
      <w:r w:rsidR="004B6883">
        <w:rPr>
          <w:szCs w:val="24"/>
        </w:rPr>
        <w:t>e</w:t>
      </w:r>
      <w:r w:rsidR="0087350C" w:rsidRPr="00524DAA">
        <w:rPr>
          <w:szCs w:val="24"/>
        </w:rPr>
        <w:t xml:space="preserve"> a zkrácení pobytu dítěte v systému ústavní péče a ochranné výchovy.</w:t>
      </w:r>
      <w:r w:rsidR="004B6883">
        <w:rPr>
          <w:szCs w:val="24"/>
        </w:rPr>
        <w:t xml:space="preserve"> </w:t>
      </w:r>
      <w:r w:rsidR="004B6883" w:rsidRPr="004B6883">
        <w:rPr>
          <w:szCs w:val="24"/>
        </w:rPr>
        <w:t>Nejzazší termín pro ukončení realizace projektů podpořených v rámci výzvy je 31. prosinec 2022.</w:t>
      </w:r>
    </w:p>
    <w:p w:rsidR="00AB4B2C" w:rsidRDefault="00AB4B2C" w:rsidP="001D4EF8">
      <w:pPr>
        <w:pStyle w:val="SingleTxtG"/>
      </w:pPr>
      <w:r>
        <w:rPr>
          <w:szCs w:val="24"/>
        </w:rPr>
        <w:lastRenderedPageBreak/>
        <w:t>2</w:t>
      </w:r>
      <w:r w:rsidR="00851416">
        <w:rPr>
          <w:szCs w:val="24"/>
        </w:rPr>
        <w:t>4</w:t>
      </w:r>
      <w:r w:rsidR="00A20FD7">
        <w:rPr>
          <w:szCs w:val="24"/>
        </w:rPr>
        <w:t>4</w:t>
      </w:r>
      <w:r>
        <w:rPr>
          <w:szCs w:val="24"/>
        </w:rPr>
        <w:t>.</w:t>
      </w:r>
      <w:r>
        <w:rPr>
          <w:szCs w:val="24"/>
        </w:rPr>
        <w:tab/>
        <w:t>Inkluzívní prostředí vysokých škol pro studenty se zdravotními a dalšími znevýhodněními je podporováno financováním zvýšených nákladů vysokých škol zpřístupňujících studium osobám se specifickými potřebami, investičním programem na rozvoj infrastruktury vysokých škol a také projektovým financováním v rámci stávajícího</w:t>
      </w:r>
      <w:r>
        <w:rPr>
          <w:szCs w:val="24"/>
        </w:rPr>
        <w:br/>
        <w:t xml:space="preserve">OP VVV i připravovaného nového operačního programu pro oblast vzdělávání EU. Důraz bude rovněž kladen na získávání kvalitnějších dat o povaze skupiny studentů se specifickými potřebami a jejich problémech spojených se studiem. </w:t>
      </w:r>
      <w:r>
        <w:rPr>
          <w:rFonts w:eastAsia="Calibri" w:cs="Arial"/>
          <w:bCs/>
          <w:szCs w:val="24"/>
        </w:rPr>
        <w:t>Počet studentů se specifickými vzdělávacími potřebami je sledován a zveřejňován mj. v souvislosti s finanční podporou poskytovanou vysokým školám na jejich studium. Tento počet je součástí Monitorovacích ukazatelů vysokého školství dostupných na webu MŠMT. Počet studentů se specifickými potřebami trvale roste, za posledních 5 let se více než zdvojnásobil – z 894 studentů v roce 2012 na téměř 2 tisíce studentů v roce 2018. V roce 2018 bylo vysokým školám poskytnuto 90 mil. Kč na pokrytí zvýšených nákladů spojených se vzděláváním studentů se specifickými potřebami.</w:t>
      </w:r>
    </w:p>
    <w:p w:rsidR="00813509" w:rsidRDefault="00851416" w:rsidP="001D4EF8">
      <w:pPr>
        <w:pStyle w:val="SingleTxtG"/>
      </w:pPr>
      <w:r>
        <w:t>24</w:t>
      </w:r>
      <w:r w:rsidR="00A20FD7">
        <w:t>5</w:t>
      </w:r>
      <w:r>
        <w:t>.</w:t>
      </w:r>
      <w:r w:rsidR="00196307">
        <w:tab/>
      </w:r>
      <w:r w:rsidR="0031720D">
        <w:t>Cíle a o</w:t>
      </w:r>
      <w:r w:rsidR="006113B0">
        <w:t xml:space="preserve">patření v oblasti vzdělávání </w:t>
      </w:r>
      <w:r w:rsidR="0031720D">
        <w:t>dětí, žáků a studentů se ZP</w:t>
      </w:r>
      <w:r w:rsidR="00F666D0">
        <w:t xml:space="preserve"> obsahuje Národní plán v části 4.10 Vzdělávání a školství.</w:t>
      </w:r>
      <w:r w:rsidR="0031720D">
        <w:t xml:space="preserve"> </w:t>
      </w:r>
      <w:r w:rsidR="00F666D0">
        <w:t xml:space="preserve">Opatření směřují k zajištění jejich </w:t>
      </w:r>
      <w:r w:rsidR="0031720D" w:rsidRPr="0031720D">
        <w:t xml:space="preserve">práva na vzdělání bez diskriminace a na základě rovných příležitostí, </w:t>
      </w:r>
      <w:r w:rsidR="00F666D0">
        <w:t xml:space="preserve">k podpoře </w:t>
      </w:r>
      <w:r w:rsidR="0031720D" w:rsidRPr="0031720D">
        <w:t>inkluzivní</w:t>
      </w:r>
      <w:r w:rsidR="00F666D0">
        <w:t>ho</w:t>
      </w:r>
      <w:r w:rsidR="0031720D" w:rsidRPr="0031720D">
        <w:t xml:space="preserve"> vzdělávání, </w:t>
      </w:r>
      <w:r w:rsidR="00F666D0">
        <w:t>k </w:t>
      </w:r>
      <w:r w:rsidR="0031720D" w:rsidRPr="0031720D">
        <w:t>poskytov</w:t>
      </w:r>
      <w:r w:rsidR="00F666D0">
        <w:t xml:space="preserve">ání </w:t>
      </w:r>
      <w:r w:rsidR="0031720D" w:rsidRPr="0031720D">
        <w:t>přiměře</w:t>
      </w:r>
      <w:r w:rsidR="00F666D0">
        <w:t>n</w:t>
      </w:r>
      <w:r w:rsidR="002F2689">
        <w:t>ých</w:t>
      </w:r>
      <w:r w:rsidR="0031720D" w:rsidRPr="0031720D">
        <w:t xml:space="preserve"> úprav a pomoc</w:t>
      </w:r>
      <w:r w:rsidR="00F666D0">
        <w:t>i</w:t>
      </w:r>
      <w:r w:rsidR="0031720D" w:rsidRPr="0031720D">
        <w:t xml:space="preserve"> podle individuálních potřeb, aby osoby se </w:t>
      </w:r>
      <w:r w:rsidR="00F666D0">
        <w:t xml:space="preserve">ZP </w:t>
      </w:r>
      <w:r w:rsidR="0031720D" w:rsidRPr="0031720D">
        <w:t>mohly plně rozvíjet svůj potenciál, nadání a kreativitu</w:t>
      </w:r>
      <w:r w:rsidR="00F666D0">
        <w:t>.</w:t>
      </w:r>
      <w:r w:rsidR="0031720D">
        <w:t xml:space="preserve"> </w:t>
      </w:r>
      <w:r w:rsidR="00196307">
        <w:t xml:space="preserve">S výjimkou </w:t>
      </w:r>
      <w:r w:rsidR="00246C06">
        <w:t xml:space="preserve">opatření </w:t>
      </w:r>
      <w:r w:rsidR="00196307">
        <w:t>10.8</w:t>
      </w:r>
      <w:r w:rsidR="00246C06">
        <w:t xml:space="preserve"> (</w:t>
      </w:r>
      <w:r w:rsidR="00246C06" w:rsidRPr="00246C06">
        <w:t xml:space="preserve">Přijmout závazné „standardy“ činnosti školských poradenských zařízení pro žáky se </w:t>
      </w:r>
      <w:r w:rsidR="00246C06">
        <w:t xml:space="preserve">ZP </w:t>
      </w:r>
      <w:r w:rsidR="00246C06" w:rsidRPr="00246C06">
        <w:t>a zajistit jejich realizaci v každém školském poradenském zařízení</w:t>
      </w:r>
      <w:r w:rsidR="00246C06">
        <w:t>)</w:t>
      </w:r>
      <w:r w:rsidR="00196307">
        <w:t xml:space="preserve">, u něhož byl posunut termín splnění na 31. </w:t>
      </w:r>
      <w:r w:rsidR="00AB4B2C">
        <w:t xml:space="preserve">prosinec </w:t>
      </w:r>
      <w:r w:rsidR="00196307">
        <w:t>2020, byl</w:t>
      </w:r>
      <w:r w:rsidR="00246C06">
        <w:t>a</w:t>
      </w:r>
      <w:r w:rsidR="00196307">
        <w:t xml:space="preserve"> </w:t>
      </w:r>
      <w:r w:rsidR="00246C06">
        <w:t xml:space="preserve">opatření </w:t>
      </w:r>
      <w:r w:rsidR="00196307">
        <w:t>10.1 až 10.32 Národního plánu splněn</w:t>
      </w:r>
      <w:r w:rsidR="00246C06">
        <w:t>a</w:t>
      </w:r>
      <w:r w:rsidR="00196307">
        <w:t xml:space="preserve"> nebo jsou plněn</w:t>
      </w:r>
      <w:r w:rsidR="00246C06">
        <w:t>a</w:t>
      </w:r>
      <w:r w:rsidR="00196307">
        <w:t xml:space="preserve"> průběžně.</w:t>
      </w:r>
    </w:p>
    <w:p w:rsidR="005E1DB3" w:rsidRPr="00524DAA" w:rsidRDefault="005E1DB3" w:rsidP="001D4EF8">
      <w:pPr>
        <w:pStyle w:val="SingleTxtG"/>
      </w:pPr>
    </w:p>
    <w:p w:rsidR="00813509" w:rsidRPr="005D6D57" w:rsidRDefault="00813509" w:rsidP="00813509">
      <w:pPr>
        <w:pStyle w:val="H1G"/>
      </w:pPr>
      <w:r w:rsidRPr="00524DAA">
        <w:tab/>
      </w:r>
      <w:r w:rsidRPr="00524DAA">
        <w:tab/>
        <w:t>Odpověď na otázku č. 2</w:t>
      </w:r>
      <w:r w:rsidR="00EF7F30" w:rsidRPr="00524DAA">
        <w:t>1</w:t>
      </w:r>
      <w:r w:rsidRPr="00524DAA">
        <w:t xml:space="preserve"> a)</w:t>
      </w:r>
    </w:p>
    <w:p w:rsidR="006331C2" w:rsidRPr="00524DAA" w:rsidRDefault="00E75192" w:rsidP="006331C2">
      <w:pPr>
        <w:pStyle w:val="SingleTxtG"/>
      </w:pPr>
      <w:r>
        <w:t>2</w:t>
      </w:r>
      <w:r w:rsidR="00E44A68">
        <w:t>4</w:t>
      </w:r>
      <w:r w:rsidR="00A20FD7">
        <w:t>6</w:t>
      </w:r>
      <w:r>
        <w:t>.</w:t>
      </w:r>
      <w:r w:rsidR="006331C2" w:rsidRPr="00524DAA">
        <w:tab/>
      </w:r>
      <w:r w:rsidR="00527402" w:rsidRPr="00524DAA">
        <w:t>P</w:t>
      </w:r>
      <w:r w:rsidR="006331C2" w:rsidRPr="00524DAA">
        <w:t>roškol</w:t>
      </w:r>
      <w:r w:rsidR="00527402" w:rsidRPr="00524DAA">
        <w:t xml:space="preserve">ování </w:t>
      </w:r>
      <w:r w:rsidR="006331C2" w:rsidRPr="00524DAA">
        <w:t xml:space="preserve">pracovníků ve zdravotnictví v oblasti práv osob se </w:t>
      </w:r>
      <w:r w:rsidR="00426AA7">
        <w:t xml:space="preserve">ZP </w:t>
      </w:r>
      <w:r w:rsidR="006331C2" w:rsidRPr="00524DAA">
        <w:t>se důsledně věnuje program Zdraví 2020 Národní strategie ochrany a podpory zdraví a prevence nemocí v Akčním plánu č. 10: Celoživotní zdělávání zdravotnických pracovníků, např. dílčí cíl 2: Zvyšování úrovně vědomostí a dovedností při poskytování specifické péče u</w:t>
      </w:r>
      <w:r w:rsidR="00426AA7">
        <w:t> </w:t>
      </w:r>
      <w:r w:rsidR="006331C2" w:rsidRPr="00524DAA">
        <w:t>vybraných skupin pacientů. Úkolem je vytvoření obsahu vzdělávacího programu a návrhu edukačních materiálů určených pro vybranou skupinu (pacient</w:t>
      </w:r>
      <w:r w:rsidR="00527402" w:rsidRPr="00524DAA">
        <w:t>i</w:t>
      </w:r>
      <w:r w:rsidR="00901EA2">
        <w:br/>
      </w:r>
      <w:r w:rsidR="006331C2" w:rsidRPr="00524DAA">
        <w:t>s demyelinizačním onemocněním, geriatričtí pacienti, p</w:t>
      </w:r>
      <w:r w:rsidR="00901EA2">
        <w:t>acienti trpící demencí, nemocní</w:t>
      </w:r>
      <w:r w:rsidR="00901EA2">
        <w:br/>
      </w:r>
      <w:r w:rsidR="006331C2" w:rsidRPr="00524DAA">
        <w:t>s funkčně závažným chronickým zdravotním postižen</w:t>
      </w:r>
      <w:r w:rsidR="00901EA2">
        <w:t>ím, pacienti v paliativní péči)</w:t>
      </w:r>
      <w:r w:rsidR="00901EA2">
        <w:br/>
      </w:r>
      <w:r w:rsidR="006331C2" w:rsidRPr="00524DAA">
        <w:t xml:space="preserve">a realizace certifikovaných kurzů. </w:t>
      </w:r>
      <w:r w:rsidR="00201FD0">
        <w:t>P</w:t>
      </w:r>
      <w:r w:rsidR="006331C2" w:rsidRPr="00524DAA">
        <w:t xml:space="preserve">lnění </w:t>
      </w:r>
      <w:r w:rsidR="00201FD0">
        <w:t xml:space="preserve">probíhá </w:t>
      </w:r>
      <w:r w:rsidR="006331C2" w:rsidRPr="00524DAA">
        <w:t xml:space="preserve">v letech 2015–2020. Na úkolech spolupracují útvary MZ, profesní sdružení, odborné společnosti, lékařské fakulty, fakulty zdravotně sociální, fakulty zdravotnických studií. Další informace viz </w:t>
      </w:r>
      <w:hyperlink r:id="rId20" w:history="1">
        <w:r w:rsidR="00527402" w:rsidRPr="00524DAA">
          <w:rPr>
            <w:rStyle w:val="Hypertextovodkaz"/>
          </w:rPr>
          <w:t>http://www.mzcr.cz/Verejne/obsah/zdravi-2020_3016_5.html</w:t>
        </w:r>
      </w:hyperlink>
      <w:r w:rsidR="006331C2" w:rsidRPr="00524DAA">
        <w:t>.</w:t>
      </w:r>
    </w:p>
    <w:p w:rsidR="006331C2" w:rsidRPr="00524DAA" w:rsidRDefault="00E75192" w:rsidP="006331C2">
      <w:pPr>
        <w:pStyle w:val="SingleTxtG"/>
      </w:pPr>
      <w:r>
        <w:t>2</w:t>
      </w:r>
      <w:r w:rsidR="00E44A68">
        <w:t>4</w:t>
      </w:r>
      <w:r w:rsidR="00A20FD7">
        <w:t>7</w:t>
      </w:r>
      <w:r>
        <w:t>.</w:t>
      </w:r>
      <w:r w:rsidR="006331C2" w:rsidRPr="00524DAA">
        <w:tab/>
        <w:t>Dále se realizují programy EU, které se zabývají</w:t>
      </w:r>
      <w:r w:rsidR="00901EA2">
        <w:t xml:space="preserve"> lidskými právy zasažených osob</w:t>
      </w:r>
      <w:r w:rsidR="00901EA2">
        <w:br/>
      </w:r>
      <w:r w:rsidR="006331C2" w:rsidRPr="00524DAA">
        <w:t>s disabilitou (iniciativa EUNAD)</w:t>
      </w:r>
      <w:r w:rsidR="002F2689">
        <w:t>.</w:t>
      </w:r>
      <w:r w:rsidR="006331C2" w:rsidRPr="00524DAA">
        <w:t xml:space="preserve"> Výsledkem je např. vydání českého překladu příručky </w:t>
      </w:r>
      <w:r w:rsidR="002F2689">
        <w:t>„</w:t>
      </w:r>
      <w:r w:rsidR="006331C2" w:rsidRPr="00524DAA">
        <w:t>Asistence lidem s disabilitou při katastrofách – Doporučení a pokyny pro lepší připravenost, znalost potřeb a reakcí osob s disabilitou a následnou péči</w:t>
      </w:r>
      <w:r w:rsidR="002F2689">
        <w:t>“</w:t>
      </w:r>
      <w:r w:rsidR="006331C2" w:rsidRPr="00524DAA">
        <w:t>.</w:t>
      </w:r>
    </w:p>
    <w:p w:rsidR="006331C2" w:rsidRPr="00524DAA" w:rsidRDefault="00E75192" w:rsidP="006331C2">
      <w:pPr>
        <w:pStyle w:val="SingleTxtG"/>
      </w:pPr>
      <w:r>
        <w:t>2</w:t>
      </w:r>
      <w:r w:rsidR="00E44A68">
        <w:t>4</w:t>
      </w:r>
      <w:r w:rsidR="00A20FD7">
        <w:t>8</w:t>
      </w:r>
      <w:r>
        <w:t>.</w:t>
      </w:r>
      <w:r w:rsidR="006331C2" w:rsidRPr="00524DAA">
        <w:tab/>
        <w:t xml:space="preserve">Součástí povinného vzdělávání na všech lékařských fakultách v ČR je výuka zdravotnické / lékařské etiky. Vzdělávání v oblasti jednání s pacienty se uskutečňuje </w:t>
      </w:r>
      <w:r w:rsidR="00201FD0">
        <w:t xml:space="preserve">zpravidla </w:t>
      </w:r>
      <w:r w:rsidR="006331C2" w:rsidRPr="00524DAA">
        <w:t>v rámci volitelných předmětů. Vzděláv</w:t>
      </w:r>
      <w:r w:rsidR="00901EA2">
        <w:t>ání lékařů v jednání s pacienty</w:t>
      </w:r>
      <w:r w:rsidR="00901EA2">
        <w:br/>
      </w:r>
      <w:r w:rsidR="006331C2" w:rsidRPr="00524DAA">
        <w:t>a zdravotnické etice je pak součástí postgraduálního vzdělávání lékařů již v základních kmenech. Vyhláška č. 21/2018 Sb., o vzdělávání v základních kmenech lékařů, uvádí nutnost absolvovat povinný kurz „Základy zdravotnické legislativy, etiky a komunikace“. V rámci celoživotního vzdělávání lékařů jsou Institutem postgraduálního vzdělávání ve zdravotnictví pořádány kurzy v oblasti komunikace a nejčastějších problémů v komunikaci mezi lékařem a pacientem.</w:t>
      </w:r>
    </w:p>
    <w:p w:rsidR="006331C2" w:rsidRPr="00524DAA" w:rsidRDefault="00E75192" w:rsidP="006331C2">
      <w:pPr>
        <w:pStyle w:val="SingleTxtG"/>
      </w:pPr>
      <w:r>
        <w:t>2</w:t>
      </w:r>
      <w:r w:rsidR="00E44A68">
        <w:t>4</w:t>
      </w:r>
      <w:r w:rsidR="00A20FD7">
        <w:t>9</w:t>
      </w:r>
      <w:r>
        <w:t>.</w:t>
      </w:r>
      <w:r w:rsidR="006331C2" w:rsidRPr="00524DAA">
        <w:tab/>
        <w:t xml:space="preserve">Poskytovatel zdravotních služeb je dle zákona o zdravotních službách povinen zajistit, aby byl pacient seznámen se svými právy a povinnostmi při poskytování zdravotních služeb, dále musí být informován o zdravotních službách a dalších možných sociálních službách, </w:t>
      </w:r>
      <w:r w:rsidR="006331C2" w:rsidRPr="00524DAA">
        <w:lastRenderedPageBreak/>
        <w:t>které mohou zlepšit jeho zdravotní stav, zejména o možnostech sociální, pracovní a pedagogické rehabilitace.</w:t>
      </w:r>
    </w:p>
    <w:p w:rsidR="006331C2" w:rsidRPr="00524DAA" w:rsidRDefault="00E75192" w:rsidP="006331C2">
      <w:pPr>
        <w:pStyle w:val="SingleTxtG"/>
      </w:pPr>
      <w:r>
        <w:t>2</w:t>
      </w:r>
      <w:r w:rsidR="00A20FD7">
        <w:t>50</w:t>
      </w:r>
      <w:r>
        <w:t>.</w:t>
      </w:r>
      <w:r w:rsidR="006331C2" w:rsidRPr="00524DAA">
        <w:tab/>
        <w:t xml:space="preserve">Jednotlivá zdravotnická povolání </w:t>
      </w:r>
      <w:r w:rsidR="002F2689">
        <w:t xml:space="preserve">zveřejňují </w:t>
      </w:r>
      <w:r w:rsidR="006331C2" w:rsidRPr="00524DAA">
        <w:t xml:space="preserve">prostřednictvím svých profesních organizací etický kodex pro dané zdravotnické povolání. Např. všeobecné sestry se prostřednictvím České asociace sester (ČAS) hlásí k Etickému kodexu Mezinárodní rady sester (ICN), který byl projednán sněmem předsedkyň a předsedů sekcí a regionů ČAS, přijat Etickou komisí a Prezidiem ČAS a je platný od 29. března 2003. </w:t>
      </w:r>
    </w:p>
    <w:p w:rsidR="00813509" w:rsidRPr="00524DAA" w:rsidRDefault="00E75192" w:rsidP="006331C2">
      <w:pPr>
        <w:pStyle w:val="SingleTxtG"/>
      </w:pPr>
      <w:r>
        <w:t>2</w:t>
      </w:r>
      <w:r w:rsidR="00851416">
        <w:t>5</w:t>
      </w:r>
      <w:r w:rsidR="00A20FD7">
        <w:t>1</w:t>
      </w:r>
      <w:r>
        <w:t>.</w:t>
      </w:r>
      <w:r w:rsidR="006331C2" w:rsidRPr="00524DAA">
        <w:tab/>
        <w:t xml:space="preserve">Oblast lidských práv a etiky je </w:t>
      </w:r>
      <w:r w:rsidR="002F2689">
        <w:t xml:space="preserve">nedílnou součástí </w:t>
      </w:r>
      <w:r w:rsidR="006331C2" w:rsidRPr="00524DAA">
        <w:t>kvalifikační příprav</w:t>
      </w:r>
      <w:r w:rsidR="002F2689">
        <w:t>y</w:t>
      </w:r>
      <w:r w:rsidR="006331C2" w:rsidRPr="00524DAA">
        <w:t xml:space="preserve"> na výkon zdravotnického povolání. </w:t>
      </w:r>
      <w:r w:rsidR="00B308DD">
        <w:t>T</w:t>
      </w:r>
      <w:r w:rsidR="006331C2" w:rsidRPr="00524DAA">
        <w:t xml:space="preserve">ato oblast </w:t>
      </w:r>
      <w:r w:rsidR="00B308DD">
        <w:t xml:space="preserve">je rovněž </w:t>
      </w:r>
      <w:r w:rsidR="006331C2" w:rsidRPr="00524DAA">
        <w:t>zahrnuta i do následného profesního vzdělávání, např. specializačního vzdělávání</w:t>
      </w:r>
      <w:r w:rsidR="00B308DD">
        <w:t>.</w:t>
      </w:r>
    </w:p>
    <w:p w:rsidR="00EF7F30" w:rsidRPr="00524DAA" w:rsidRDefault="00EF7F30" w:rsidP="001D4EF8">
      <w:pPr>
        <w:pStyle w:val="SingleTxtG"/>
      </w:pPr>
    </w:p>
    <w:p w:rsidR="00EF7F30" w:rsidRPr="00D56546" w:rsidRDefault="00EF7F30" w:rsidP="00EF7F30">
      <w:pPr>
        <w:pStyle w:val="H1G"/>
      </w:pPr>
      <w:r w:rsidRPr="00524DAA">
        <w:tab/>
      </w:r>
      <w:r w:rsidRPr="00524DAA">
        <w:tab/>
        <w:t>Odpověď na otázku č. 21 b)</w:t>
      </w:r>
    </w:p>
    <w:p w:rsidR="007951B6" w:rsidRPr="00524DAA" w:rsidRDefault="00E75192" w:rsidP="007951B6">
      <w:pPr>
        <w:pStyle w:val="SingleTxtG"/>
      </w:pPr>
      <w:r>
        <w:t>2</w:t>
      </w:r>
      <w:r w:rsidR="001A1ACA">
        <w:t>5</w:t>
      </w:r>
      <w:r w:rsidR="00A20FD7">
        <w:t>2</w:t>
      </w:r>
      <w:r>
        <w:t>.</w:t>
      </w:r>
      <w:r w:rsidR="005C1B2C" w:rsidRPr="00524DAA">
        <w:tab/>
      </w:r>
      <w:r w:rsidR="00CA0540" w:rsidRPr="00524DAA">
        <w:t>Z</w:t>
      </w:r>
      <w:r w:rsidR="007951B6" w:rsidRPr="00524DAA">
        <w:t>ákon o zdravotních službách stanov</w:t>
      </w:r>
      <w:r w:rsidR="00CA0540" w:rsidRPr="00524DAA">
        <w:t>í</w:t>
      </w:r>
      <w:r w:rsidR="007951B6" w:rsidRPr="00524DAA">
        <w:t xml:space="preserve"> práva a povinnosti pacientů, které zahrnují i</w:t>
      </w:r>
      <w:r w:rsidR="00A804A2">
        <w:t> </w:t>
      </w:r>
      <w:r w:rsidR="007951B6" w:rsidRPr="00524DAA">
        <w:t xml:space="preserve">ustanovení, že pacient se smyslovým postižením nebo s těžkými komunikačními problémy má právo na dorozumívání pro něj srozumitelným způsobem, používání dorozumívacích prostředků či tlumočníka. Dále </w:t>
      </w:r>
      <w:r w:rsidR="000A3504" w:rsidRPr="00524DAA">
        <w:t xml:space="preserve">má </w:t>
      </w:r>
      <w:r w:rsidR="007951B6" w:rsidRPr="00524DAA">
        <w:t>pacient se smyslovým nebo tělesným postižením právo využívat psa se speciálním výcvikem nebo přítomnost psa ve zdravotnickém zařízení a další. T</w:t>
      </w:r>
      <w:r w:rsidR="00A8794E">
        <w:t xml:space="preserve">ato právní úprava je závazná </w:t>
      </w:r>
      <w:r w:rsidR="007951B6" w:rsidRPr="00524DAA">
        <w:t>pro všechny poskytovatele zdravotní péče v ČR na všech úrovních.</w:t>
      </w:r>
    </w:p>
    <w:p w:rsidR="00EF7F30" w:rsidRPr="00524DAA" w:rsidRDefault="00E75192" w:rsidP="007951B6">
      <w:pPr>
        <w:pStyle w:val="SingleTxtG"/>
      </w:pPr>
      <w:r>
        <w:t>2</w:t>
      </w:r>
      <w:r w:rsidR="001A1ACA">
        <w:t>5</w:t>
      </w:r>
      <w:r w:rsidR="00A20FD7">
        <w:t>3</w:t>
      </w:r>
      <w:r>
        <w:t>.</w:t>
      </w:r>
      <w:r w:rsidR="000A3504" w:rsidRPr="00524DAA">
        <w:tab/>
      </w:r>
      <w:r w:rsidR="007951B6" w:rsidRPr="00524DAA">
        <w:t xml:space="preserve">Informace a komunikace o zdravotních službách určené osobám se </w:t>
      </w:r>
      <w:r w:rsidR="00426AA7">
        <w:t>ZP</w:t>
      </w:r>
      <w:r w:rsidR="007951B6" w:rsidRPr="00524DAA">
        <w:t>, vč</w:t>
      </w:r>
      <w:r w:rsidR="000A3504" w:rsidRPr="00524DAA">
        <w:t>.</w:t>
      </w:r>
      <w:r w:rsidR="007951B6" w:rsidRPr="00524DAA">
        <w:t xml:space="preserve"> osob s</w:t>
      </w:r>
      <w:r w:rsidR="00426AA7">
        <w:t> </w:t>
      </w:r>
      <w:r w:rsidR="007951B6" w:rsidRPr="00524DAA">
        <w:t>duševním postižením a osob, které jsou nevidomé nebo neslyšící, jsou vypracovávány s</w:t>
      </w:r>
      <w:r w:rsidR="004D6211">
        <w:t> </w:t>
      </w:r>
      <w:r w:rsidR="007951B6" w:rsidRPr="00524DAA">
        <w:t>podporou MZ, jako je</w:t>
      </w:r>
      <w:r w:rsidR="00901EA2">
        <w:t xml:space="preserve"> Komunikační soubor PAS, a jsou</w:t>
      </w:r>
      <w:r w:rsidR="004D6211">
        <w:t xml:space="preserve"> </w:t>
      </w:r>
      <w:r w:rsidR="007951B6" w:rsidRPr="00524DAA">
        <w:t>k dispozici v přístupném formátu. Detaily lze nalézt</w:t>
      </w:r>
      <w:r w:rsidR="00901EA2">
        <w:t xml:space="preserve"> na webových stránkách státních</w:t>
      </w:r>
      <w:r w:rsidR="004D6211">
        <w:t xml:space="preserve"> </w:t>
      </w:r>
      <w:r w:rsidR="007951B6" w:rsidRPr="00524DAA">
        <w:t xml:space="preserve">a veřejnosprávních institucí. Jako příklad </w:t>
      </w:r>
      <w:r w:rsidR="000A3504" w:rsidRPr="00524DAA">
        <w:t xml:space="preserve">lze uvést </w:t>
      </w:r>
      <w:r w:rsidR="00901EA2">
        <w:t>Komunikační soubor pro osoby</w:t>
      </w:r>
      <w:r w:rsidR="004D6211">
        <w:t xml:space="preserve"> </w:t>
      </w:r>
      <w:r w:rsidR="007951B6" w:rsidRPr="00524DAA">
        <w:t>s poruchou autistického spektra (</w:t>
      </w:r>
      <w:hyperlink r:id="rId21" w:history="1">
        <w:r w:rsidR="000A3504" w:rsidRPr="00524DAA">
          <w:rPr>
            <w:rStyle w:val="Hypertextovodkaz"/>
          </w:rPr>
          <w:t>http://www.mzcr.cz/Odbornik/obsah/autismus_3707_3.html</w:t>
        </w:r>
      </w:hyperlink>
      <w:r w:rsidR="007951B6" w:rsidRPr="00524DAA">
        <w:t>)</w:t>
      </w:r>
      <w:r w:rsidR="000A3504" w:rsidRPr="00524DAA">
        <w:t>, který</w:t>
      </w:r>
      <w:r w:rsidR="007951B6" w:rsidRPr="00524DAA">
        <w:t xml:space="preserve"> představuje materiály, které mají usnadnit komunikaci veřejnosti – odborné </w:t>
      </w:r>
      <w:r w:rsidR="00901EA2">
        <w:t>i laické – s osobami s</w:t>
      </w:r>
      <w:r w:rsidR="004D6211">
        <w:t> </w:t>
      </w:r>
      <w:r w:rsidR="00901EA2">
        <w:t>autismem</w:t>
      </w:r>
      <w:r w:rsidR="004D6211">
        <w:t xml:space="preserve"> </w:t>
      </w:r>
      <w:r w:rsidR="007951B6" w:rsidRPr="00524DAA">
        <w:t>a</w:t>
      </w:r>
      <w:r w:rsidR="004D6211">
        <w:t> </w:t>
      </w:r>
      <w:r w:rsidR="007951B6" w:rsidRPr="00524DAA">
        <w:t>naopak.</w:t>
      </w:r>
    </w:p>
    <w:p w:rsidR="00EF7F30" w:rsidRPr="00524DAA" w:rsidRDefault="00EF7F30" w:rsidP="001D4EF8">
      <w:pPr>
        <w:pStyle w:val="SingleTxtG"/>
      </w:pPr>
    </w:p>
    <w:p w:rsidR="00C35082" w:rsidRPr="00D56546" w:rsidRDefault="00C35082" w:rsidP="00C95010">
      <w:pPr>
        <w:pStyle w:val="H1G"/>
        <w:spacing w:before="240" w:after="120"/>
      </w:pPr>
      <w:r w:rsidRPr="00524DAA">
        <w:tab/>
      </w:r>
      <w:r w:rsidRPr="00524DAA">
        <w:tab/>
        <w:t>Odpověď na otázku č. 21 c)</w:t>
      </w:r>
    </w:p>
    <w:p w:rsidR="008A116B" w:rsidRPr="00524DAA" w:rsidRDefault="00E75192" w:rsidP="008A116B">
      <w:pPr>
        <w:pStyle w:val="SingleTxtG"/>
      </w:pPr>
      <w:r>
        <w:t>2</w:t>
      </w:r>
      <w:r w:rsidR="001A1ACA">
        <w:t>5</w:t>
      </w:r>
      <w:r w:rsidR="00A20FD7">
        <w:t>4</w:t>
      </w:r>
      <w:r>
        <w:t>.</w:t>
      </w:r>
      <w:r w:rsidR="00E35BE6" w:rsidRPr="00524DAA">
        <w:tab/>
      </w:r>
      <w:r w:rsidR="008A116B" w:rsidRPr="00524DAA">
        <w:t xml:space="preserve">Systém veřejného zdravotního pojištění </w:t>
      </w:r>
      <w:r w:rsidR="00E35BE6" w:rsidRPr="00524DAA">
        <w:t xml:space="preserve">je </w:t>
      </w:r>
      <w:r w:rsidR="008A116B" w:rsidRPr="00524DAA">
        <w:t>v ČR založen na solidárním principu. Tato solidarita zdravých s nemocnými, majetných s nemajetnými apod. je zárukou dostatečných finančních prostředků z odvedeného pojistného na hrazení zdravotní péče všem pojištěncům v čase, kdy tuto péči potřebují. Objem odvedeného pojistného za jednotlivého pojištěnce neovlivňuje rozsah jemu poskytovaných zdravotních služeb a není individuálně porovnáván s výší úhrad za tyto služby.</w:t>
      </w:r>
    </w:p>
    <w:p w:rsidR="008A116B" w:rsidRPr="00524DAA" w:rsidRDefault="00E75192" w:rsidP="008A116B">
      <w:pPr>
        <w:pStyle w:val="SingleTxtG"/>
      </w:pPr>
      <w:r>
        <w:t>2</w:t>
      </w:r>
      <w:r w:rsidR="00E44A68">
        <w:t>5</w:t>
      </w:r>
      <w:r w:rsidR="00A20FD7">
        <w:t>5</w:t>
      </w:r>
      <w:r>
        <w:t>.</w:t>
      </w:r>
      <w:r w:rsidR="00E35BE6" w:rsidRPr="00524DAA">
        <w:tab/>
      </w:r>
      <w:r w:rsidR="008A116B" w:rsidRPr="00524DAA">
        <w:t xml:space="preserve">Hrazená zdravotní péče a rehabilitační služby pro osoby se </w:t>
      </w:r>
      <w:r w:rsidR="00524EE8">
        <w:t xml:space="preserve">ZP </w:t>
      </w:r>
      <w:r w:rsidR="008A116B" w:rsidRPr="00524DAA">
        <w:t>jsou nárokové stejně jako pro zdravé pojištěnce na základě znění zákona o</w:t>
      </w:r>
      <w:r w:rsidR="00901EA2">
        <w:t xml:space="preserve"> veřejném zdravotním pojištění,</w:t>
      </w:r>
      <w:r w:rsidR="00901EA2">
        <w:br/>
      </w:r>
      <w:r w:rsidR="008A116B" w:rsidRPr="00524DAA">
        <w:t>vč</w:t>
      </w:r>
      <w:r w:rsidR="00E35BE6" w:rsidRPr="00524DAA">
        <w:t>.</w:t>
      </w:r>
      <w:r w:rsidR="008A116B" w:rsidRPr="00524DAA">
        <w:t xml:space="preserve"> zdravotních služeb v oblasti sexuálního a reprodukčního zdraví (aplikace zákona o</w:t>
      </w:r>
      <w:r w:rsidR="00A804A2">
        <w:t> </w:t>
      </w:r>
      <w:r w:rsidR="008A116B" w:rsidRPr="00524DAA">
        <w:t>zdravotních službách a zákona o specifických zdravotních službách. Dále existují volně dostupné publikace jako je Příručka pro osoby se zdravotním postižením vydaná MPSV v</w:t>
      </w:r>
      <w:r w:rsidR="00393B25">
        <w:t> </w:t>
      </w:r>
      <w:r w:rsidR="008A116B" w:rsidRPr="00524DAA">
        <w:t>roce 2016 či Partnerský a sexuální život osob se zdravotním postižením – publikace pro odborné sociální poradenství od autora Mgr. Tomáše Drábka, Praha 2013, ISBN 978-80-260-5282-1.</w:t>
      </w:r>
    </w:p>
    <w:p w:rsidR="008A116B" w:rsidRPr="00524DAA" w:rsidRDefault="00E75192" w:rsidP="008A116B">
      <w:pPr>
        <w:pStyle w:val="SingleTxtG"/>
      </w:pPr>
      <w:r>
        <w:t>2</w:t>
      </w:r>
      <w:r w:rsidR="00E44A68">
        <w:t>5</w:t>
      </w:r>
      <w:r w:rsidR="00A20FD7">
        <w:t>6</w:t>
      </w:r>
      <w:r>
        <w:t>.</w:t>
      </w:r>
      <w:r w:rsidR="005C09FB" w:rsidRPr="00524DAA">
        <w:tab/>
        <w:t>Léčebnou r</w:t>
      </w:r>
      <w:r w:rsidR="008A116B" w:rsidRPr="00524DAA">
        <w:t>ehabilitac</w:t>
      </w:r>
      <w:r w:rsidR="005C09FB" w:rsidRPr="00524DAA">
        <w:t>i</w:t>
      </w:r>
      <w:r w:rsidR="008A116B" w:rsidRPr="00524DAA">
        <w:t xml:space="preserve"> </w:t>
      </w:r>
      <w:r w:rsidR="005C09FB" w:rsidRPr="00524DAA">
        <w:t>upravu</w:t>
      </w:r>
      <w:r w:rsidR="008A116B" w:rsidRPr="00524DAA">
        <w:t>je zákon o zdravotní</w:t>
      </w:r>
      <w:r w:rsidR="00901EA2">
        <w:t>ch službách. Tato péče může být</w:t>
      </w:r>
      <w:r w:rsidR="00901EA2">
        <w:br/>
      </w:r>
      <w:r w:rsidR="008A116B" w:rsidRPr="00524DAA">
        <w:t>v ČR poskytována ve všech formách zdravotní péče a její dostupnost garantují zdravotní pojišťovny.</w:t>
      </w:r>
    </w:p>
    <w:p w:rsidR="008A116B" w:rsidRPr="00524DAA" w:rsidRDefault="00E75192" w:rsidP="008A116B">
      <w:pPr>
        <w:pStyle w:val="SingleTxtG"/>
      </w:pPr>
      <w:r>
        <w:t>2</w:t>
      </w:r>
      <w:r w:rsidR="00E44A68">
        <w:t>5</w:t>
      </w:r>
      <w:r w:rsidR="00A20FD7">
        <w:t>7</w:t>
      </w:r>
      <w:r>
        <w:t>.</w:t>
      </w:r>
      <w:r w:rsidR="005C09FB" w:rsidRPr="00524DAA">
        <w:tab/>
      </w:r>
      <w:r w:rsidR="008A116B" w:rsidRPr="00524DAA">
        <w:t>Zdravotní péče v souvislosti s reprodukčním zdravím je dostupná pro všechny občany v ČR, vč</w:t>
      </w:r>
      <w:r w:rsidR="007E17DF">
        <w:t>.</w:t>
      </w:r>
      <w:r w:rsidR="008A116B" w:rsidRPr="00524DAA">
        <w:t xml:space="preserve"> osob se </w:t>
      </w:r>
      <w:r w:rsidR="00524EE8">
        <w:t>ZP</w:t>
      </w:r>
      <w:r w:rsidR="008A116B" w:rsidRPr="00524DAA">
        <w:t xml:space="preserve">. Je nastaven systém preventivních prohlídek a systém prohlídek a screeningů v těhotenství i novorozenecký screening. </w:t>
      </w:r>
    </w:p>
    <w:p w:rsidR="00EF7F30" w:rsidRPr="00524DAA" w:rsidRDefault="00E75192" w:rsidP="00901EA2">
      <w:pPr>
        <w:pStyle w:val="SingleTxtG"/>
        <w:spacing w:after="0"/>
      </w:pPr>
      <w:r>
        <w:lastRenderedPageBreak/>
        <w:t>2</w:t>
      </w:r>
      <w:r w:rsidR="00E44A68">
        <w:t>5</w:t>
      </w:r>
      <w:r w:rsidR="00A20FD7">
        <w:t>8</w:t>
      </w:r>
      <w:r>
        <w:t>.</w:t>
      </w:r>
      <w:r w:rsidR="005C09FB" w:rsidRPr="00524DAA">
        <w:tab/>
      </w:r>
      <w:r w:rsidR="008A116B" w:rsidRPr="00524DAA">
        <w:t xml:space="preserve">Porodnictví v ČR má propracovaný systém kvalitní prenatální péče, který současně nevyžaduje finanční spoluúčast budoucích matek. V hrazené péči jsou zahrnuty screeningy vrozených vývojových vad, včasný záchyt těhotenského diabetu, hypertenze </w:t>
      </w:r>
      <w:r w:rsidR="006E423A">
        <w:t>apo</w:t>
      </w:r>
      <w:r w:rsidR="008A116B" w:rsidRPr="00524DAA">
        <w:t xml:space="preserve">d. Dobré </w:t>
      </w:r>
      <w:r w:rsidR="006E423A" w:rsidRPr="00524DAA">
        <w:t xml:space="preserve">Výsledky </w:t>
      </w:r>
      <w:r w:rsidR="008A116B" w:rsidRPr="00524DAA">
        <w:t>jsou do značné míry dané tím, že funguje centralizace v podobě perinatologických a intermediálních center, která řeší naprostou většinu patologických stavů</w:t>
      </w:r>
      <w:r w:rsidR="007E17DF">
        <w:t>,</w:t>
      </w:r>
      <w:r w:rsidR="008A116B" w:rsidRPr="00524DAA">
        <w:t xml:space="preserve"> vč</w:t>
      </w:r>
      <w:r w:rsidR="007E17DF">
        <w:t>.</w:t>
      </w:r>
      <w:r w:rsidR="008A116B" w:rsidRPr="00524DAA">
        <w:t xml:space="preserve"> vysoce specializované péče, bez ohledu na ekonomickou či sociální situaci ženy.</w:t>
      </w:r>
      <w:r w:rsidR="005C09FB" w:rsidRPr="00524DAA">
        <w:t xml:space="preserve"> </w:t>
      </w:r>
      <w:r w:rsidR="008A116B" w:rsidRPr="00524DAA">
        <w:t>Mateřská úmrtnost je v ČR na velmi nízké úrovni, celková perinatální úmrtnost klesla na 4,4 ‰.</w:t>
      </w:r>
    </w:p>
    <w:p w:rsidR="00C35082" w:rsidRPr="00524DAA" w:rsidRDefault="00C35082" w:rsidP="00901EA2">
      <w:pPr>
        <w:pStyle w:val="SingleTxtG"/>
        <w:spacing w:after="0"/>
      </w:pPr>
    </w:p>
    <w:p w:rsidR="00496C8B" w:rsidRPr="00D56546" w:rsidRDefault="00496C8B" w:rsidP="00C95010">
      <w:pPr>
        <w:pStyle w:val="H1G"/>
        <w:spacing w:before="0" w:after="0"/>
      </w:pPr>
      <w:r w:rsidRPr="00524DAA">
        <w:tab/>
      </w:r>
      <w:r w:rsidRPr="00524DAA">
        <w:tab/>
        <w:t>Odpověď na otázku č. 22 a)</w:t>
      </w:r>
    </w:p>
    <w:p w:rsidR="00C35082" w:rsidRPr="00524DAA" w:rsidRDefault="00E75192" w:rsidP="00901EA2">
      <w:pPr>
        <w:pStyle w:val="SingleTxtG"/>
        <w:spacing w:after="0"/>
      </w:pPr>
      <w:r>
        <w:t>2</w:t>
      </w:r>
      <w:r w:rsidR="00E44A68">
        <w:t>5</w:t>
      </w:r>
      <w:r w:rsidR="00A20FD7">
        <w:t>9</w:t>
      </w:r>
      <w:r>
        <w:t>.</w:t>
      </w:r>
      <w:r w:rsidR="0036667D" w:rsidRPr="00524DAA">
        <w:tab/>
        <w:t>V tabulce níže jsou uvedeny údaje o míře zaměstnanosti osob se ZP zjištěné na základě výběrového šetření</w:t>
      </w:r>
      <w:r w:rsidR="00F10FC0">
        <w:t xml:space="preserve"> pracovních sil prováděného Českým Statistickým Úřadem (dále jen „ČSÚ“)</w:t>
      </w:r>
      <w:r w:rsidR="0036667D" w:rsidRPr="00524DAA">
        <w:t xml:space="preserve">, členěné podle věku a pohlaví. Míra zaměstnanosti dle druhu </w:t>
      </w:r>
      <w:r w:rsidR="00F10FC0">
        <w:t xml:space="preserve">zdravotního </w:t>
      </w:r>
      <w:r w:rsidR="0036667D" w:rsidRPr="00524DAA">
        <w:t>postižení není v</w:t>
      </w:r>
      <w:r w:rsidR="00F10FC0">
        <w:t> </w:t>
      </w:r>
      <w:r w:rsidR="0036667D" w:rsidRPr="00524DAA">
        <w:t xml:space="preserve">rámci výběrového šetření zjišťována. V roce 2018 bylo dle </w:t>
      </w:r>
      <w:r w:rsidR="00F10FC0">
        <w:t xml:space="preserve">uvedeného </w:t>
      </w:r>
      <w:r w:rsidR="0036667D" w:rsidRPr="00524DAA">
        <w:t>výběrového šetření zaměstnáno 131,4 tis. osob se ZP. Na chráněném trhu práce v tomto období pracovalo 53</w:t>
      </w:r>
      <w:r w:rsidR="00F10FC0">
        <w:t> </w:t>
      </w:r>
      <w:r w:rsidR="0036667D" w:rsidRPr="00524DAA">
        <w:t>273 osob se ZP. Podíl zaměstnaných osob se ZP na chráněném trhu práce tedy činil 41</w:t>
      </w:r>
      <w:r w:rsidR="00F10FC0">
        <w:t> </w:t>
      </w:r>
      <w:r w:rsidR="0036667D" w:rsidRPr="00524DAA">
        <w:t>%.</w:t>
      </w:r>
    </w:p>
    <w:p w:rsidR="00496C8B" w:rsidRPr="00524DAA" w:rsidRDefault="00496C8B" w:rsidP="00901EA2">
      <w:pPr>
        <w:pStyle w:val="SingleTxtG"/>
        <w:spacing w:after="0"/>
      </w:pPr>
    </w:p>
    <w:tbl>
      <w:tblPr>
        <w:tblW w:w="8605" w:type="dxa"/>
        <w:jc w:val="center"/>
        <w:tblCellMar>
          <w:left w:w="70" w:type="dxa"/>
          <w:right w:w="70" w:type="dxa"/>
        </w:tblCellMar>
        <w:tblLook w:val="04A0" w:firstRow="1" w:lastRow="0" w:firstColumn="1" w:lastColumn="0" w:noHBand="0" w:noVBand="1"/>
      </w:tblPr>
      <w:tblGrid>
        <w:gridCol w:w="3022"/>
        <w:gridCol w:w="900"/>
        <w:gridCol w:w="900"/>
        <w:gridCol w:w="900"/>
        <w:gridCol w:w="900"/>
        <w:gridCol w:w="1063"/>
        <w:gridCol w:w="920"/>
      </w:tblGrid>
      <w:tr w:rsidR="00624521" w:rsidRPr="00524DAA" w:rsidTr="00624521">
        <w:trPr>
          <w:trHeight w:val="300"/>
          <w:jc w:val="center"/>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 xml:space="preserve">Věková skupina </w:t>
            </w:r>
            <w:r w:rsidRPr="00524DAA">
              <w:rPr>
                <w:rFonts w:cs="Arial"/>
                <w:b/>
                <w:bCs/>
                <w:color w:val="000000"/>
                <w:szCs w:val="24"/>
                <w:lang w:eastAsia="cs-CZ"/>
              </w:rPr>
              <w:br/>
              <w:t>celkem</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Míra zaměstnanosti</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Míra nezaměstnanosti</w:t>
            </w:r>
          </w:p>
        </w:tc>
      </w:tr>
      <w:tr w:rsidR="00624521" w:rsidRPr="00524DAA" w:rsidTr="00624521">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pPr>
              <w:spacing w:line="240" w:lineRule="auto"/>
              <w:rPr>
                <w:rFonts w:cs="Arial"/>
                <w:b/>
                <w:bCs/>
                <w:color w:val="000000"/>
                <w:szCs w:val="24"/>
                <w:lang w:eastAsia="cs-CZ"/>
              </w:rPr>
            </w:pPr>
          </w:p>
        </w:tc>
        <w:tc>
          <w:tcPr>
            <w:tcW w:w="900"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2016</w:t>
            </w:r>
          </w:p>
        </w:tc>
        <w:tc>
          <w:tcPr>
            <w:tcW w:w="900"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2017</w:t>
            </w:r>
          </w:p>
        </w:tc>
        <w:tc>
          <w:tcPr>
            <w:tcW w:w="900"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2018</w:t>
            </w:r>
          </w:p>
        </w:tc>
        <w:tc>
          <w:tcPr>
            <w:tcW w:w="900"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2016</w:t>
            </w:r>
          </w:p>
        </w:tc>
        <w:tc>
          <w:tcPr>
            <w:tcW w:w="1063"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2017</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2018</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rsidP="00624521">
            <w:pPr>
              <w:spacing w:after="200" w:line="240" w:lineRule="auto"/>
              <w:ind w:firstLineChars="100" w:firstLine="200"/>
              <w:jc w:val="both"/>
              <w:rPr>
                <w:rFonts w:cs="Arial"/>
                <w:color w:val="000000"/>
                <w:szCs w:val="24"/>
                <w:lang w:eastAsia="cs-CZ"/>
              </w:rPr>
            </w:pPr>
            <w:r w:rsidRPr="00524DAA">
              <w:rPr>
                <w:rFonts w:cs="Arial"/>
                <w:color w:val="000000"/>
                <w:szCs w:val="24"/>
                <w:lang w:eastAsia="cs-CZ"/>
              </w:rPr>
              <w:t>15-29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14,8%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22,1%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25,1%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32,9%</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10,5%</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18,2%</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rsidP="00624521">
            <w:pPr>
              <w:spacing w:after="200" w:line="240" w:lineRule="auto"/>
              <w:ind w:firstLineChars="100" w:firstLine="200"/>
              <w:jc w:val="both"/>
              <w:rPr>
                <w:rFonts w:cs="Arial"/>
                <w:color w:val="000000"/>
                <w:szCs w:val="24"/>
                <w:lang w:eastAsia="cs-CZ"/>
              </w:rPr>
            </w:pPr>
            <w:r w:rsidRPr="00524DAA">
              <w:rPr>
                <w:rFonts w:cs="Arial"/>
                <w:color w:val="000000"/>
                <w:szCs w:val="24"/>
                <w:lang w:eastAsia="cs-CZ"/>
              </w:rPr>
              <w:t>30-44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31,6%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34,5%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42,9%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17,7%</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10,0%</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4,7%</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rsidP="00624521">
            <w:pPr>
              <w:spacing w:after="200" w:line="240" w:lineRule="auto"/>
              <w:ind w:firstLineChars="100" w:firstLine="200"/>
              <w:jc w:val="both"/>
              <w:rPr>
                <w:rFonts w:cs="Arial"/>
                <w:color w:val="000000"/>
                <w:szCs w:val="24"/>
                <w:lang w:eastAsia="cs-CZ"/>
              </w:rPr>
            </w:pPr>
            <w:r w:rsidRPr="00524DAA">
              <w:rPr>
                <w:rFonts w:cs="Arial"/>
                <w:color w:val="000000"/>
                <w:szCs w:val="24"/>
                <w:lang w:eastAsia="cs-CZ"/>
              </w:rPr>
              <w:t>45-59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30,1%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38,3%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38,8%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14,9%</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9,5%</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6,6%</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rsidP="00624521">
            <w:pPr>
              <w:spacing w:after="200" w:line="240" w:lineRule="auto"/>
              <w:ind w:firstLineChars="100" w:firstLine="200"/>
              <w:jc w:val="both"/>
              <w:rPr>
                <w:rFonts w:cs="Arial"/>
                <w:color w:val="000000"/>
                <w:szCs w:val="24"/>
                <w:lang w:eastAsia="cs-CZ"/>
              </w:rPr>
            </w:pPr>
            <w:r w:rsidRPr="00524DAA">
              <w:rPr>
                <w:rFonts w:cs="Arial"/>
                <w:color w:val="000000"/>
                <w:szCs w:val="24"/>
                <w:lang w:eastAsia="cs-CZ"/>
              </w:rPr>
              <w:t>60 a více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5,6%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7,3%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7,6%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13,5%</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5,6%</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Celkem</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18,7%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22,8%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25,3%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16,4%</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9,1%</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6,7%</w:t>
            </w:r>
          </w:p>
        </w:tc>
      </w:tr>
      <w:tr w:rsidR="00624521" w:rsidRPr="00524DAA" w:rsidTr="00624521">
        <w:trPr>
          <w:trHeight w:val="300"/>
          <w:jc w:val="center"/>
        </w:trPr>
        <w:tc>
          <w:tcPr>
            <w:tcW w:w="3022"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c>
          <w:tcPr>
            <w:tcW w:w="900"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c>
          <w:tcPr>
            <w:tcW w:w="900"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c>
          <w:tcPr>
            <w:tcW w:w="900"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c>
          <w:tcPr>
            <w:tcW w:w="900"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c>
          <w:tcPr>
            <w:tcW w:w="1063"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c>
          <w:tcPr>
            <w:tcW w:w="920"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r>
      <w:tr w:rsidR="00624521" w:rsidRPr="00524DAA" w:rsidTr="00624521">
        <w:trPr>
          <w:trHeight w:val="300"/>
          <w:jc w:val="center"/>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Věková skupina</w:t>
            </w:r>
            <w:r w:rsidRPr="00524DAA">
              <w:rPr>
                <w:rFonts w:cs="Arial"/>
                <w:b/>
                <w:bCs/>
                <w:color w:val="000000"/>
                <w:szCs w:val="24"/>
                <w:lang w:eastAsia="cs-CZ"/>
              </w:rPr>
              <w:br/>
              <w:t>muži</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Míra zaměstnanosti</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Míra nezaměstnanosti</w:t>
            </w:r>
          </w:p>
        </w:tc>
      </w:tr>
      <w:tr w:rsidR="00624521" w:rsidRPr="00524DAA" w:rsidTr="00624521">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pPr>
              <w:spacing w:line="240" w:lineRule="auto"/>
              <w:rPr>
                <w:rFonts w:cs="Arial"/>
                <w:b/>
                <w:bCs/>
                <w:color w:val="000000"/>
                <w:szCs w:val="24"/>
                <w:lang w:eastAsia="cs-CZ"/>
              </w:rPr>
            </w:pPr>
          </w:p>
        </w:tc>
        <w:tc>
          <w:tcPr>
            <w:tcW w:w="900"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2016</w:t>
            </w:r>
          </w:p>
        </w:tc>
        <w:tc>
          <w:tcPr>
            <w:tcW w:w="900"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2017</w:t>
            </w:r>
          </w:p>
        </w:tc>
        <w:tc>
          <w:tcPr>
            <w:tcW w:w="900"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2018</w:t>
            </w:r>
          </w:p>
        </w:tc>
        <w:tc>
          <w:tcPr>
            <w:tcW w:w="900"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2016</w:t>
            </w:r>
          </w:p>
        </w:tc>
        <w:tc>
          <w:tcPr>
            <w:tcW w:w="1063"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2017</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2018</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rsidP="00624521">
            <w:pPr>
              <w:spacing w:after="200" w:line="240" w:lineRule="auto"/>
              <w:ind w:firstLineChars="100" w:firstLine="200"/>
              <w:jc w:val="both"/>
              <w:rPr>
                <w:rFonts w:cs="Arial"/>
                <w:color w:val="000000"/>
                <w:szCs w:val="24"/>
                <w:lang w:eastAsia="cs-CZ"/>
              </w:rPr>
            </w:pPr>
            <w:r w:rsidRPr="00524DAA">
              <w:rPr>
                <w:rFonts w:cs="Arial"/>
                <w:color w:val="000000"/>
                <w:szCs w:val="24"/>
                <w:lang w:eastAsia="cs-CZ"/>
              </w:rPr>
              <w:t>15-29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12,9%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24,9%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30,2%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26,3%</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15,4%</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rsidP="00624521">
            <w:pPr>
              <w:spacing w:after="200" w:line="240" w:lineRule="auto"/>
              <w:ind w:firstLineChars="100" w:firstLine="200"/>
              <w:jc w:val="both"/>
              <w:rPr>
                <w:rFonts w:cs="Arial"/>
                <w:color w:val="000000"/>
                <w:szCs w:val="24"/>
                <w:lang w:eastAsia="cs-CZ"/>
              </w:rPr>
            </w:pPr>
            <w:r w:rsidRPr="00524DAA">
              <w:rPr>
                <w:rFonts w:cs="Arial"/>
                <w:color w:val="000000"/>
                <w:szCs w:val="24"/>
                <w:lang w:eastAsia="cs-CZ"/>
              </w:rPr>
              <w:t>30-44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33,1%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32,8%</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37,3%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17,0%</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14,7%</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6,8%</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rsidP="00624521">
            <w:pPr>
              <w:spacing w:after="200" w:line="240" w:lineRule="auto"/>
              <w:ind w:firstLineChars="100" w:firstLine="200"/>
              <w:jc w:val="both"/>
              <w:rPr>
                <w:rFonts w:cs="Arial"/>
                <w:color w:val="000000"/>
                <w:szCs w:val="24"/>
                <w:lang w:eastAsia="cs-CZ"/>
              </w:rPr>
            </w:pPr>
            <w:r w:rsidRPr="00524DAA">
              <w:rPr>
                <w:rFonts w:cs="Arial"/>
                <w:color w:val="000000"/>
                <w:szCs w:val="24"/>
                <w:lang w:eastAsia="cs-CZ"/>
              </w:rPr>
              <w:t>45-59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28,7%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38,0%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35,9%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13,2%</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9,0%</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5,5%</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rsidP="00624521">
            <w:pPr>
              <w:spacing w:after="200" w:line="240" w:lineRule="auto"/>
              <w:ind w:firstLineChars="100" w:firstLine="200"/>
              <w:jc w:val="both"/>
              <w:rPr>
                <w:rFonts w:cs="Arial"/>
                <w:color w:val="000000"/>
                <w:szCs w:val="24"/>
                <w:lang w:eastAsia="cs-CZ"/>
              </w:rPr>
            </w:pPr>
            <w:r w:rsidRPr="00524DAA">
              <w:rPr>
                <w:rFonts w:cs="Arial"/>
                <w:color w:val="000000"/>
                <w:szCs w:val="24"/>
                <w:lang w:eastAsia="cs-CZ"/>
              </w:rPr>
              <w:t>60 a více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8,9%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11,1%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11,9%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13,6%</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6,4%</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Celkem</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19,5%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23,7%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25,3%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15,0%</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9,5%</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6,7%</w:t>
            </w:r>
          </w:p>
        </w:tc>
      </w:tr>
      <w:tr w:rsidR="00624521" w:rsidRPr="00524DAA" w:rsidTr="00624521">
        <w:trPr>
          <w:trHeight w:val="300"/>
          <w:jc w:val="center"/>
        </w:trPr>
        <w:tc>
          <w:tcPr>
            <w:tcW w:w="3022"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c>
          <w:tcPr>
            <w:tcW w:w="900"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c>
          <w:tcPr>
            <w:tcW w:w="900"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c>
          <w:tcPr>
            <w:tcW w:w="900"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c>
          <w:tcPr>
            <w:tcW w:w="900"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c>
          <w:tcPr>
            <w:tcW w:w="1063"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c>
          <w:tcPr>
            <w:tcW w:w="920" w:type="dxa"/>
            <w:tcBorders>
              <w:top w:val="nil"/>
              <w:left w:val="nil"/>
              <w:bottom w:val="single" w:sz="4" w:space="0" w:color="auto"/>
              <w:right w:val="nil"/>
            </w:tcBorders>
            <w:noWrap/>
            <w:vAlign w:val="bottom"/>
            <w:hideMark/>
          </w:tcPr>
          <w:p w:rsidR="00624521" w:rsidRPr="00524DAA" w:rsidRDefault="00624521">
            <w:pPr>
              <w:spacing w:line="276" w:lineRule="auto"/>
              <w:rPr>
                <w:szCs w:val="22"/>
              </w:rPr>
            </w:pPr>
          </w:p>
        </w:tc>
      </w:tr>
      <w:tr w:rsidR="00624521" w:rsidRPr="00524DAA" w:rsidTr="00624521">
        <w:trPr>
          <w:trHeight w:val="300"/>
          <w:jc w:val="center"/>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Věková skupina</w:t>
            </w:r>
            <w:r w:rsidRPr="00524DAA">
              <w:rPr>
                <w:rFonts w:cs="Arial"/>
                <w:b/>
                <w:bCs/>
                <w:color w:val="000000"/>
                <w:szCs w:val="24"/>
                <w:lang w:eastAsia="cs-CZ"/>
              </w:rPr>
              <w:br/>
              <w:t>ženy</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Míra zaměstnanosti</w:t>
            </w:r>
          </w:p>
        </w:tc>
        <w:tc>
          <w:tcPr>
            <w:tcW w:w="2883" w:type="dxa"/>
            <w:gridSpan w:val="3"/>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Míra nezaměstnanosti</w:t>
            </w:r>
          </w:p>
        </w:tc>
      </w:tr>
      <w:tr w:rsidR="00624521" w:rsidRPr="00524DAA" w:rsidTr="00624521">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pPr>
              <w:spacing w:line="240" w:lineRule="auto"/>
              <w:rPr>
                <w:rFonts w:cs="Arial"/>
                <w:b/>
                <w:bCs/>
                <w:color w:val="000000"/>
                <w:szCs w:val="24"/>
                <w:lang w:eastAsia="cs-CZ"/>
              </w:rPr>
            </w:pPr>
          </w:p>
        </w:tc>
        <w:tc>
          <w:tcPr>
            <w:tcW w:w="900"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2016</w:t>
            </w:r>
          </w:p>
        </w:tc>
        <w:tc>
          <w:tcPr>
            <w:tcW w:w="900"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2017</w:t>
            </w:r>
          </w:p>
        </w:tc>
        <w:tc>
          <w:tcPr>
            <w:tcW w:w="900"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2018</w:t>
            </w:r>
          </w:p>
        </w:tc>
        <w:tc>
          <w:tcPr>
            <w:tcW w:w="900"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2016</w:t>
            </w:r>
          </w:p>
        </w:tc>
        <w:tc>
          <w:tcPr>
            <w:tcW w:w="1063" w:type="dxa"/>
            <w:tcBorders>
              <w:top w:val="single" w:sz="4" w:space="0" w:color="auto"/>
              <w:left w:val="single" w:sz="4" w:space="0" w:color="auto"/>
              <w:bottom w:val="single" w:sz="4" w:space="0" w:color="auto"/>
              <w:right w:val="nil"/>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2017</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2018</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rsidP="00624521">
            <w:pPr>
              <w:spacing w:after="200" w:line="240" w:lineRule="auto"/>
              <w:ind w:firstLineChars="100" w:firstLine="200"/>
              <w:jc w:val="both"/>
              <w:rPr>
                <w:rFonts w:cs="Arial"/>
                <w:color w:val="000000"/>
                <w:szCs w:val="24"/>
                <w:lang w:eastAsia="cs-CZ"/>
              </w:rPr>
            </w:pPr>
            <w:r w:rsidRPr="00524DAA">
              <w:rPr>
                <w:rFonts w:cs="Arial"/>
                <w:color w:val="000000"/>
                <w:szCs w:val="24"/>
                <w:lang w:eastAsia="cs-CZ"/>
              </w:rPr>
              <w:t>15-29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18,5%</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18,2%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17,1%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40,2%</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rsidP="00624521">
            <w:pPr>
              <w:spacing w:after="200" w:line="240" w:lineRule="auto"/>
              <w:ind w:firstLineChars="100" w:firstLine="200"/>
              <w:jc w:val="both"/>
              <w:rPr>
                <w:rFonts w:cs="Arial"/>
                <w:color w:val="000000"/>
                <w:szCs w:val="24"/>
                <w:lang w:eastAsia="cs-CZ"/>
              </w:rPr>
            </w:pPr>
            <w:r w:rsidRPr="00524DAA">
              <w:rPr>
                <w:rFonts w:cs="Arial"/>
                <w:color w:val="000000"/>
                <w:szCs w:val="24"/>
                <w:lang w:eastAsia="cs-CZ"/>
              </w:rPr>
              <w:t>30-44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30,1%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36,1%</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48,7%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18,4%</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rsidP="00624521">
            <w:pPr>
              <w:spacing w:after="200" w:line="240" w:lineRule="auto"/>
              <w:ind w:firstLineChars="100" w:firstLine="200"/>
              <w:jc w:val="both"/>
              <w:rPr>
                <w:rFonts w:cs="Arial"/>
                <w:color w:val="000000"/>
                <w:szCs w:val="24"/>
                <w:lang w:eastAsia="cs-CZ"/>
              </w:rPr>
            </w:pPr>
            <w:r w:rsidRPr="00524DAA">
              <w:rPr>
                <w:rFonts w:cs="Arial"/>
                <w:color w:val="000000"/>
                <w:szCs w:val="24"/>
                <w:lang w:eastAsia="cs-CZ"/>
              </w:rPr>
              <w:t>45-59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31,3%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38,6%</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41,2%</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16,1%</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9,8%</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7,4%</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vAlign w:val="center"/>
            <w:hideMark/>
          </w:tcPr>
          <w:p w:rsidR="00624521" w:rsidRPr="00524DAA" w:rsidRDefault="00624521" w:rsidP="00624521">
            <w:pPr>
              <w:spacing w:after="200" w:line="240" w:lineRule="auto"/>
              <w:ind w:firstLineChars="100" w:firstLine="200"/>
              <w:jc w:val="both"/>
              <w:rPr>
                <w:rFonts w:cs="Arial"/>
                <w:color w:val="000000"/>
                <w:szCs w:val="24"/>
                <w:lang w:eastAsia="cs-CZ"/>
              </w:rPr>
            </w:pPr>
            <w:r w:rsidRPr="00524DAA">
              <w:rPr>
                <w:rFonts w:cs="Arial"/>
                <w:color w:val="000000"/>
                <w:szCs w:val="24"/>
                <w:lang w:eastAsia="cs-CZ"/>
              </w:rPr>
              <w:t>60 a více let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2,7%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3,7%</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3,3%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w:t>
            </w:r>
          </w:p>
        </w:tc>
      </w:tr>
      <w:tr w:rsidR="00624521" w:rsidRPr="00524DAA" w:rsidTr="00624521">
        <w:trPr>
          <w:trHeight w:val="300"/>
          <w:jc w:val="center"/>
        </w:trPr>
        <w:tc>
          <w:tcPr>
            <w:tcW w:w="3022"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b/>
                <w:bCs/>
                <w:color w:val="000000"/>
                <w:szCs w:val="24"/>
                <w:lang w:eastAsia="cs-CZ"/>
              </w:rPr>
            </w:pPr>
            <w:r w:rsidRPr="00524DAA">
              <w:rPr>
                <w:rFonts w:cs="Arial"/>
                <w:b/>
                <w:bCs/>
                <w:color w:val="000000"/>
                <w:szCs w:val="24"/>
                <w:lang w:eastAsia="cs-CZ"/>
              </w:rPr>
              <w:t>Celkem</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18,0%</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21,9%</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25,3%</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17,7%</w:t>
            </w:r>
          </w:p>
        </w:tc>
        <w:tc>
          <w:tcPr>
            <w:tcW w:w="1063"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8,8%</w:t>
            </w:r>
          </w:p>
        </w:tc>
        <w:tc>
          <w:tcPr>
            <w:tcW w:w="920" w:type="dxa"/>
            <w:tcBorders>
              <w:top w:val="single" w:sz="4" w:space="0" w:color="auto"/>
              <w:left w:val="single" w:sz="4" w:space="0" w:color="auto"/>
              <w:bottom w:val="single" w:sz="4" w:space="0" w:color="auto"/>
              <w:right w:val="single" w:sz="4" w:space="0" w:color="auto"/>
            </w:tcBorders>
            <w:noWrap/>
            <w:vAlign w:val="center"/>
            <w:hideMark/>
          </w:tcPr>
          <w:p w:rsidR="00624521" w:rsidRPr="00524DAA" w:rsidRDefault="00624521">
            <w:pPr>
              <w:spacing w:after="200" w:line="240" w:lineRule="auto"/>
              <w:jc w:val="both"/>
              <w:rPr>
                <w:rFonts w:cs="Arial"/>
                <w:color w:val="000000"/>
                <w:szCs w:val="24"/>
                <w:lang w:eastAsia="cs-CZ"/>
              </w:rPr>
            </w:pPr>
            <w:r w:rsidRPr="00524DAA">
              <w:rPr>
                <w:rFonts w:cs="Arial"/>
                <w:color w:val="000000"/>
                <w:szCs w:val="24"/>
                <w:lang w:eastAsia="cs-CZ"/>
              </w:rPr>
              <w:t>6,7%</w:t>
            </w:r>
          </w:p>
        </w:tc>
      </w:tr>
    </w:tbl>
    <w:p w:rsidR="00624521" w:rsidRDefault="003854C0" w:rsidP="001D4EF8">
      <w:pPr>
        <w:pStyle w:val="SingleTxtG"/>
      </w:pPr>
      <w:r>
        <w:t xml:space="preserve">* Zdroj: </w:t>
      </w:r>
      <w:r w:rsidR="00C95010">
        <w:t>MPSV</w:t>
      </w:r>
    </w:p>
    <w:p w:rsidR="003854C0" w:rsidRPr="00524DAA" w:rsidRDefault="003854C0" w:rsidP="001D4EF8">
      <w:pPr>
        <w:pStyle w:val="SingleTxtG"/>
      </w:pPr>
    </w:p>
    <w:p w:rsidR="00E4449E" w:rsidRPr="00524DAA" w:rsidRDefault="00E75192" w:rsidP="00E4449E">
      <w:pPr>
        <w:pStyle w:val="SingleTxtG"/>
      </w:pPr>
      <w:r>
        <w:t>2</w:t>
      </w:r>
      <w:r w:rsidR="00A20FD7">
        <w:t>60</w:t>
      </w:r>
      <w:r>
        <w:t>.</w:t>
      </w:r>
      <w:r w:rsidR="00E4449E" w:rsidRPr="00524DAA">
        <w:tab/>
        <w:t>Situace na trhu práce s minimálním podílem nezaměstnaných osob přispívá také ke zlepšení zaměstnanosti osob se ZP. K červenci 2019 bylo Ú</w:t>
      </w:r>
      <w:r w:rsidR="00655ABA">
        <w:t xml:space="preserve">P </w:t>
      </w:r>
      <w:r w:rsidR="00E4449E" w:rsidRPr="00524DAA">
        <w:t>Č</w:t>
      </w:r>
      <w:r w:rsidR="007555E3">
        <w:t xml:space="preserve">R </w:t>
      </w:r>
      <w:r w:rsidR="00E4449E" w:rsidRPr="00524DAA">
        <w:t>evidováno 34,5</w:t>
      </w:r>
      <w:r w:rsidR="007555E3">
        <w:t> </w:t>
      </w:r>
      <w:r w:rsidR="00E4449E" w:rsidRPr="00524DAA">
        <w:t>tis. uchazečů o zaměstnání z řad osob se ZP. Naproti t</w:t>
      </w:r>
      <w:r w:rsidR="00E66058">
        <w:t>omu v roce 2018 to bylo 41 tis.</w:t>
      </w:r>
      <w:r w:rsidR="00E66058">
        <w:br/>
      </w:r>
      <w:r w:rsidR="00E4449E" w:rsidRPr="00524DAA">
        <w:t>a v roce 2017 – 49 tis. V období posledních dvou let tedy p</w:t>
      </w:r>
      <w:r w:rsidR="00E66058">
        <w:t>očet uchazečů o zaměstnání</w:t>
      </w:r>
      <w:r w:rsidR="00E66058">
        <w:br/>
      </w:r>
      <w:r w:rsidR="00E4449E" w:rsidRPr="00524DAA">
        <w:t>z řad osob se ZP poklesl téměř o třetinu.</w:t>
      </w:r>
    </w:p>
    <w:p w:rsidR="00624521" w:rsidRPr="00524DAA" w:rsidRDefault="00E75192" w:rsidP="00E4449E">
      <w:pPr>
        <w:pStyle w:val="SingleTxtG"/>
      </w:pPr>
      <w:r>
        <w:t>2</w:t>
      </w:r>
      <w:r w:rsidR="007577E1">
        <w:t>6</w:t>
      </w:r>
      <w:r w:rsidR="00A20FD7">
        <w:t>1</w:t>
      </w:r>
      <w:r>
        <w:t>.</w:t>
      </w:r>
      <w:r w:rsidR="00E4449E" w:rsidRPr="00524DAA">
        <w:tab/>
        <w:t xml:space="preserve">Pokud jde o postavení osob se ZP na trhu práce, podle výběrového šetření pracovních sil prováděného </w:t>
      </w:r>
      <w:r w:rsidR="00F30950">
        <w:t xml:space="preserve">ČSÚ </w:t>
      </w:r>
      <w:r w:rsidR="00E4449E" w:rsidRPr="00524DAA">
        <w:t>je aktuálně zaměstnáno 131,4 tis. osob se ZP. Celkový počet osob se ZP v ČR v produktivním věku lze odhadovat na 435 tis. V evidenci Ú</w:t>
      </w:r>
      <w:r w:rsidR="00655ABA">
        <w:t xml:space="preserve">P </w:t>
      </w:r>
      <w:r w:rsidR="00E4449E" w:rsidRPr="00524DAA">
        <w:t>Č</w:t>
      </w:r>
      <w:r w:rsidR="001D1221">
        <w:t xml:space="preserve">R </w:t>
      </w:r>
      <w:r w:rsidR="00E4449E" w:rsidRPr="00524DAA">
        <w:t>se nachází 34,5 tis. osob se ZP. Z toho vyplývá, že cca 270 tis. osob se ZP v</w:t>
      </w:r>
      <w:r w:rsidR="00355758">
        <w:t> </w:t>
      </w:r>
      <w:r w:rsidR="00E4449E" w:rsidRPr="00524DAA">
        <w:t>produktivním věku není zahrnuta ani v zaměstnanosti ani v evidenci Ú</w:t>
      </w:r>
      <w:r w:rsidR="00655ABA">
        <w:t xml:space="preserve">P </w:t>
      </w:r>
      <w:r w:rsidR="00E4449E" w:rsidRPr="00524DAA">
        <w:t>Č</w:t>
      </w:r>
      <w:r w:rsidR="001D1221">
        <w:t>R</w:t>
      </w:r>
      <w:r w:rsidR="00E4449E" w:rsidRPr="00524DAA">
        <w:t>. Lze předpokládat, že nízká ekonomická aktivita osob se ZP je ovlivněna systémem výplaty invalidních důchodů a jejich strukturou. V ČR neexistuje přímá souvislost mezi výplatou invalidního důchodu a</w:t>
      </w:r>
      <w:r w:rsidR="00655ABA">
        <w:t> </w:t>
      </w:r>
      <w:r w:rsidR="00E4449E" w:rsidRPr="00524DAA">
        <w:t>ekonomickou aktivitou. Téměř polovina invalidních důchodů je vyplácena ve III. stupni invalidity. Velká část osob invalidních ve III. stupni tedy z objektivních či subjektivních příčin nepracuje ani práci nehledá.</w:t>
      </w:r>
    </w:p>
    <w:p w:rsidR="00496C8B" w:rsidRPr="00524DAA" w:rsidRDefault="00496C8B" w:rsidP="001D4EF8">
      <w:pPr>
        <w:pStyle w:val="SingleTxtG"/>
      </w:pPr>
    </w:p>
    <w:p w:rsidR="00496C8B" w:rsidRPr="00D56546" w:rsidRDefault="00496C8B" w:rsidP="00496C8B">
      <w:pPr>
        <w:pStyle w:val="H1G"/>
      </w:pPr>
      <w:r w:rsidRPr="00524DAA">
        <w:tab/>
      </w:r>
      <w:r w:rsidRPr="00524DAA">
        <w:tab/>
        <w:t>Odpověď na otázku č. 22 b)</w:t>
      </w:r>
    </w:p>
    <w:p w:rsidR="00044DF1" w:rsidRPr="00524DAA" w:rsidRDefault="00E75192" w:rsidP="00044DF1">
      <w:pPr>
        <w:pStyle w:val="SingleTxtG"/>
      </w:pPr>
      <w:r>
        <w:t>2</w:t>
      </w:r>
      <w:r w:rsidR="001A1ACA">
        <w:t>6</w:t>
      </w:r>
      <w:r w:rsidR="00A20FD7">
        <w:t>2</w:t>
      </w:r>
      <w:r>
        <w:t>.</w:t>
      </w:r>
      <w:r w:rsidR="00044DF1" w:rsidRPr="00524DAA">
        <w:tab/>
        <w:t>Od roku 2017 byla přijata opatření, která přispěla ke zvýšení zaměstnanosti osob se ZP na volném trhu práce. Jednalo se o</w:t>
      </w:r>
      <w:r w:rsidR="00B452C4" w:rsidRPr="00524DAA">
        <w:t xml:space="preserve"> tato opatření</w:t>
      </w:r>
      <w:r w:rsidR="00044DF1" w:rsidRPr="00524DAA">
        <w:t>:</w:t>
      </w:r>
    </w:p>
    <w:p w:rsidR="00044DF1" w:rsidRPr="00524DAA" w:rsidRDefault="00044DF1" w:rsidP="00B452C4">
      <w:pPr>
        <w:pStyle w:val="Bullet1G"/>
      </w:pPr>
      <w:r w:rsidRPr="00524DAA">
        <w:t>úprav</w:t>
      </w:r>
      <w:r w:rsidR="00B452C4" w:rsidRPr="00524DAA">
        <w:t>a</w:t>
      </w:r>
      <w:r w:rsidRPr="00524DAA">
        <w:t xml:space="preserve"> parametrů povinného podílu zaměstnávání </w:t>
      </w:r>
      <w:r w:rsidR="00B452C4" w:rsidRPr="00524DAA">
        <w:t xml:space="preserve">osob se </w:t>
      </w:r>
      <w:r w:rsidRPr="00524DAA">
        <w:t xml:space="preserve">ZP </w:t>
      </w:r>
      <w:r w:rsidR="00B452C4" w:rsidRPr="00524DAA">
        <w:t>(</w:t>
      </w:r>
      <w:r w:rsidRPr="00524DAA">
        <w:t>od 1.</w:t>
      </w:r>
      <w:r w:rsidR="00B452C4" w:rsidRPr="00524DAA">
        <w:t> ledna</w:t>
      </w:r>
      <w:r w:rsidRPr="00524DAA">
        <w:t xml:space="preserve"> 2018 </w:t>
      </w:r>
      <w:r w:rsidR="00B452C4" w:rsidRPr="00524DAA">
        <w:t xml:space="preserve">byl </w:t>
      </w:r>
      <w:r w:rsidRPr="00524DAA">
        <w:t xml:space="preserve">snížen limit pro náhradní plnění, čímž došlo ke snížení celkového objemu náhradního plnění ve prospěch přímého zaměstnávání </w:t>
      </w:r>
      <w:r w:rsidR="00B452C4" w:rsidRPr="00524DAA">
        <w:t xml:space="preserve">osob se </w:t>
      </w:r>
      <w:r w:rsidRPr="00524DAA">
        <w:t>ZP na volném trhu práce,</w:t>
      </w:r>
    </w:p>
    <w:p w:rsidR="00044DF1" w:rsidRPr="00524DAA" w:rsidRDefault="00044DF1" w:rsidP="00B452C4">
      <w:pPr>
        <w:pStyle w:val="Bullet1G"/>
      </w:pPr>
      <w:r w:rsidRPr="00524DAA">
        <w:t xml:space="preserve">zavedení evidence náhradního plnění zaměstnávání </w:t>
      </w:r>
      <w:r w:rsidR="00B452C4" w:rsidRPr="00524DAA">
        <w:t xml:space="preserve">osob se </w:t>
      </w:r>
      <w:r w:rsidRPr="00524DAA">
        <w:t xml:space="preserve">ZP </w:t>
      </w:r>
      <w:r w:rsidR="00B452C4" w:rsidRPr="00524DAA">
        <w:t>(</w:t>
      </w:r>
      <w:r w:rsidRPr="00524DAA">
        <w:t>před zavedením evidence byl objem realizovaného náhradního plnění prakticky nekontrolovatelný</w:t>
      </w:r>
      <w:r w:rsidR="00B452C4" w:rsidRPr="00524DAA">
        <w:t>)</w:t>
      </w:r>
      <w:r w:rsidRPr="00524DAA">
        <w:t xml:space="preserve">; evidence náhradního plnění zajišťuje dodržování stanoveného limitu pro náhradní plnění, čímž v konečném důsledku snižuje objem náhradního plnění ve prospěch plnění formou přímého zaměstnávání </w:t>
      </w:r>
      <w:r w:rsidR="00B452C4" w:rsidRPr="00524DAA">
        <w:t xml:space="preserve">osob se </w:t>
      </w:r>
      <w:r w:rsidRPr="00524DAA">
        <w:t>ZP na volném trhu práce,</w:t>
      </w:r>
    </w:p>
    <w:p w:rsidR="00496C8B" w:rsidRDefault="00044DF1" w:rsidP="008C4D05">
      <w:pPr>
        <w:pStyle w:val="Bullet1G"/>
      </w:pPr>
      <w:r w:rsidRPr="00524DAA">
        <w:t>realizac</w:t>
      </w:r>
      <w:r w:rsidR="00B452C4" w:rsidRPr="00524DAA">
        <w:t>e</w:t>
      </w:r>
      <w:r w:rsidRPr="00524DAA">
        <w:t xml:space="preserve"> projektu „Rozvoj systému podpory zaměstnávání osob se zdravotním postižením na volném trhu práce“ - cílem projektu je podpora zaměstnávání </w:t>
      </w:r>
      <w:r w:rsidR="00B452C4" w:rsidRPr="00524DAA">
        <w:t xml:space="preserve">osob se </w:t>
      </w:r>
      <w:r w:rsidRPr="00524DAA">
        <w:t xml:space="preserve">ZP na volném trhu práce a zajištění spolupráce všech zainteresovaných subjektů, které ovlivňují zaměstnávání </w:t>
      </w:r>
      <w:r w:rsidR="00B452C4" w:rsidRPr="00524DAA">
        <w:t>těchto osob</w:t>
      </w:r>
      <w:r w:rsidRPr="00524DAA">
        <w:t>. V rámci projektu došlo k personálnímu posílení Ú</w:t>
      </w:r>
      <w:r w:rsidR="00655ABA">
        <w:t xml:space="preserve">P </w:t>
      </w:r>
      <w:r w:rsidRPr="00524DAA">
        <w:t>Č</w:t>
      </w:r>
      <w:r w:rsidR="001D1221">
        <w:t xml:space="preserve">R </w:t>
      </w:r>
      <w:r w:rsidRPr="00524DAA">
        <w:t xml:space="preserve">v oblasti poradenství pro podporu zaměstnávání </w:t>
      </w:r>
      <w:r w:rsidR="00B452C4" w:rsidRPr="00524DAA">
        <w:t xml:space="preserve">osob se </w:t>
      </w:r>
      <w:r w:rsidRPr="00524DAA">
        <w:t xml:space="preserve">ZP na volném trhu práce. </w:t>
      </w:r>
      <w:r w:rsidR="001374C6" w:rsidRPr="00524DAA">
        <w:t>D</w:t>
      </w:r>
      <w:r w:rsidRPr="00524DAA">
        <w:t>ošlo k náboru 99 nových zaměstnanců Ú</w:t>
      </w:r>
      <w:r w:rsidR="00655ABA">
        <w:t xml:space="preserve">P </w:t>
      </w:r>
      <w:r w:rsidRPr="00524DAA">
        <w:t>Č</w:t>
      </w:r>
      <w:r w:rsidR="001D1221">
        <w:t>R</w:t>
      </w:r>
      <w:r w:rsidRPr="00524DAA">
        <w:t xml:space="preserve">, kteří se zabývají poradenstvím </w:t>
      </w:r>
      <w:r w:rsidR="00B452C4" w:rsidRPr="00524DAA">
        <w:t xml:space="preserve">osobám se </w:t>
      </w:r>
      <w:r w:rsidRPr="00524DAA">
        <w:t>ZP pro pracovní uplatnění na volném trhu práce, navázáním spolupráce se zaměstnavateli a jejich osvět</w:t>
      </w:r>
      <w:r w:rsidR="00CA0D49">
        <w:t>o</w:t>
      </w:r>
      <w:r w:rsidRPr="00524DAA">
        <w:t xml:space="preserve">u. Konkrétně tito poradci </w:t>
      </w:r>
      <w:r w:rsidR="00B452C4" w:rsidRPr="00524DAA">
        <w:t xml:space="preserve">osob se </w:t>
      </w:r>
      <w:r w:rsidRPr="00524DAA">
        <w:t xml:space="preserve">ZP informují zaměstnavatele o zbytkovém pracovním potenciálu </w:t>
      </w:r>
      <w:r w:rsidR="00B452C4" w:rsidRPr="00524DAA">
        <w:t xml:space="preserve">osob se </w:t>
      </w:r>
      <w:r w:rsidRPr="00524DAA">
        <w:t>ZP, v jehož rámci mohou pracovat, o pracovních omezeních, o související</w:t>
      </w:r>
      <w:r w:rsidR="001374C6" w:rsidRPr="00524DAA">
        <w:t>ch právních předpisech</w:t>
      </w:r>
      <w:r w:rsidRPr="00524DAA">
        <w:t xml:space="preserve">, o výhodách a nevýhodách </w:t>
      </w:r>
      <w:r w:rsidR="00E66058">
        <w:t>plynoucích ze zaměstnávání osob</w:t>
      </w:r>
      <w:r w:rsidR="00E66058">
        <w:br/>
      </w:r>
      <w:r w:rsidRPr="00524DAA">
        <w:t>z cílové skupiny, zároveň pomáhají zaměstnavatelům s vytipováním vhodných pracovních pozic pro zaměstnávání cílové skupin</w:t>
      </w:r>
      <w:r w:rsidR="00E66058">
        <w:t>y, se zprostředkováním kontaktu</w:t>
      </w:r>
      <w:r w:rsidR="00E66058">
        <w:br/>
      </w:r>
      <w:r w:rsidRPr="00524DAA">
        <w:t>s potenciálními zaměstnanci a s využitím nástrojů aktivní politiky zaměstnanosti apod.</w:t>
      </w:r>
      <w:r w:rsidR="008C4D05">
        <w:t xml:space="preserve"> </w:t>
      </w:r>
      <w:r w:rsidR="008C4D05" w:rsidRPr="008C4D05">
        <w:t>Příjemcem projektu je Ú</w:t>
      </w:r>
      <w:r w:rsidR="00655ABA">
        <w:t xml:space="preserve">P </w:t>
      </w:r>
      <w:r w:rsidR="008C4D05" w:rsidRPr="008C4D05">
        <w:t>ČR, partnerem je MPSV. Projekt je realizován v</w:t>
      </w:r>
      <w:r w:rsidR="00655ABA">
        <w:t> </w:t>
      </w:r>
      <w:r w:rsidR="008C4D05" w:rsidRPr="008C4D05">
        <w:t xml:space="preserve">období od 1. </w:t>
      </w:r>
      <w:r w:rsidR="008C4D05">
        <w:t>června</w:t>
      </w:r>
      <w:r w:rsidR="008C4D05" w:rsidRPr="008C4D05">
        <w:t xml:space="preserve"> 2017 do 30. </w:t>
      </w:r>
      <w:r w:rsidR="008C4D05">
        <w:t>června</w:t>
      </w:r>
      <w:r w:rsidR="008C4D05" w:rsidRPr="008C4D05">
        <w:t xml:space="preserve"> 2022 a jeho celkový rozpočet </w:t>
      </w:r>
      <w:r w:rsidR="008C4D05">
        <w:t>činí</w:t>
      </w:r>
      <w:r w:rsidR="008C4D05" w:rsidRPr="008C4D05">
        <w:t xml:space="preserve"> 241,4</w:t>
      </w:r>
      <w:r w:rsidR="00655ABA">
        <w:t> </w:t>
      </w:r>
      <w:r w:rsidR="008C4D05" w:rsidRPr="008C4D05">
        <w:t>mil. Kč.</w:t>
      </w:r>
    </w:p>
    <w:p w:rsidR="00A142F6" w:rsidRPr="00524DAA" w:rsidRDefault="007577E1" w:rsidP="00A142F6">
      <w:pPr>
        <w:pStyle w:val="SingleTxtG"/>
      </w:pPr>
      <w:r>
        <w:t>2</w:t>
      </w:r>
      <w:r w:rsidR="001A1ACA">
        <w:t>6</w:t>
      </w:r>
      <w:r w:rsidR="00A20FD7">
        <w:t>3</w:t>
      </w:r>
      <w:r>
        <w:t>.</w:t>
      </w:r>
      <w:r w:rsidR="00A142F6">
        <w:tab/>
        <w:t xml:space="preserve">Na cílovou skupinu osoby se ZP je v rámci </w:t>
      </w:r>
      <w:r w:rsidR="003F67E2">
        <w:t xml:space="preserve">investiční priority </w:t>
      </w:r>
      <w:r w:rsidR="00A142F6">
        <w:t>1.1 OPZ</w:t>
      </w:r>
      <w:r w:rsidR="00E71FD4">
        <w:t>,</w:t>
      </w:r>
      <w:r w:rsidR="00A142F6">
        <w:t xml:space="preserve"> výzvy č. 10 „Realizace projektů zaměřených na řešení specifických problémů na regionální úrovni pomocí kombinace nástrojů APZ“ zaměřeno 7 regionálních individuálních projektů, které realizují </w:t>
      </w:r>
      <w:bookmarkStart w:id="2" w:name="OLE_LINK84"/>
      <w:proofErr w:type="spellStart"/>
      <w:r w:rsidR="003F67E2">
        <w:t>K</w:t>
      </w:r>
      <w:r w:rsidR="00A87B3D">
        <w:t>r</w:t>
      </w:r>
      <w:r w:rsidR="003F67E2">
        <w:t>P</w:t>
      </w:r>
      <w:proofErr w:type="spellEnd"/>
      <w:r w:rsidR="003F67E2">
        <w:t xml:space="preserve"> ÚP</w:t>
      </w:r>
      <w:r w:rsidR="00A142F6">
        <w:t xml:space="preserve">, </w:t>
      </w:r>
      <w:bookmarkEnd w:id="2"/>
      <w:r w:rsidR="00A142F6">
        <w:t>v celkové výši 381 mil. Kč. Jedná se o projekty: Práce bez bariér na Vysočině (</w:t>
      </w:r>
      <w:proofErr w:type="spellStart"/>
      <w:r w:rsidR="00A142F6">
        <w:t>KrP</w:t>
      </w:r>
      <w:proofErr w:type="spellEnd"/>
      <w:r w:rsidR="00A142F6">
        <w:t xml:space="preserve"> ÚP Jihlava); Pracujeme s omezením v Olomouckém kraji (</w:t>
      </w:r>
      <w:proofErr w:type="spellStart"/>
      <w:r w:rsidR="00A142F6">
        <w:t>KrP</w:t>
      </w:r>
      <w:proofErr w:type="spellEnd"/>
      <w:r w:rsidR="00A142F6">
        <w:t xml:space="preserve"> ÚP Olomouc); Zdravotní postižení není hendikep (</w:t>
      </w:r>
      <w:proofErr w:type="spellStart"/>
      <w:r w:rsidR="00A142F6">
        <w:t>KrP</w:t>
      </w:r>
      <w:proofErr w:type="spellEnd"/>
      <w:r w:rsidR="00A142F6">
        <w:t xml:space="preserve"> ÚP Karlovy Vary); Šance pro zdravotně postižené ve Středočeském kraji (</w:t>
      </w:r>
      <w:proofErr w:type="spellStart"/>
      <w:r w:rsidR="00A142F6">
        <w:t>KrP</w:t>
      </w:r>
      <w:proofErr w:type="spellEnd"/>
      <w:r w:rsidR="00A142F6">
        <w:t xml:space="preserve"> ÚP Příbram); Bez překážek ve Zlínském kraji (</w:t>
      </w:r>
      <w:proofErr w:type="spellStart"/>
      <w:r w:rsidR="00A142F6">
        <w:t>KrP</w:t>
      </w:r>
      <w:proofErr w:type="spellEnd"/>
      <w:r w:rsidR="00A142F6">
        <w:t xml:space="preserve"> ÚP Zlín); Život bez bariér v Jihomoravském kraji </w:t>
      </w:r>
      <w:r w:rsidR="00E66058">
        <w:t>(</w:t>
      </w:r>
      <w:proofErr w:type="spellStart"/>
      <w:r w:rsidR="00E66058">
        <w:t>KrP</w:t>
      </w:r>
      <w:proofErr w:type="spellEnd"/>
      <w:r w:rsidR="00E66058">
        <w:t xml:space="preserve"> ÚP Brno) a Návrat do práce</w:t>
      </w:r>
      <w:r w:rsidR="00E66058">
        <w:br/>
      </w:r>
      <w:r w:rsidR="00A142F6">
        <w:lastRenderedPageBreak/>
        <w:t>v Pardubickém kraji (</w:t>
      </w:r>
      <w:proofErr w:type="spellStart"/>
      <w:r w:rsidR="00A142F6">
        <w:t>KrP</w:t>
      </w:r>
      <w:proofErr w:type="spellEnd"/>
      <w:r w:rsidR="00A142F6">
        <w:t xml:space="preserve"> ÚP Pardubice). Projekty nabízejí účastníkům komplexní řešení jejich situace na trhu práce a zároveň individuální přístup ze strany ÚP ČR. Klienti mají možnost absolvovat např. motivační aktivity, poradenské činnosti (individuální či skupinové), dle potřeby rekvalifikaci či pracovní uplatnění formou SÚPM nebo VPP. Dále mají účastníci možnost absolvovat </w:t>
      </w:r>
      <w:proofErr w:type="spellStart"/>
      <w:r w:rsidR="00A142F6">
        <w:t>ergodiagnostiku</w:t>
      </w:r>
      <w:proofErr w:type="spellEnd"/>
      <w:r w:rsidR="00A142F6">
        <w:t xml:space="preserve"> a důležitou součásti projektů je úhrada doprovodných opatření, jedná se především o cestovné, stravné, ubytování, lékařské prohlídky, příspěvek na doprovod či tlumočení aj. Osoby se ZP se jako cílová skupina mohou rovněž hlásit do všech regionálních individuálních projektů výzvy č. 10, pokud jsou evidovány na ÚP ČR jako uchazeči nebo zájemci o zaměstnání.</w:t>
      </w:r>
    </w:p>
    <w:p w:rsidR="00B855B4" w:rsidRPr="00D56546" w:rsidRDefault="00E75192" w:rsidP="00B855B4">
      <w:pPr>
        <w:pStyle w:val="SingleTxtG"/>
      </w:pPr>
      <w:r>
        <w:t>2</w:t>
      </w:r>
      <w:r w:rsidR="001A1ACA">
        <w:t>6</w:t>
      </w:r>
      <w:r w:rsidR="00A20FD7">
        <w:t>4</w:t>
      </w:r>
      <w:r>
        <w:t>.</w:t>
      </w:r>
      <w:r w:rsidR="00B855B4" w:rsidRPr="00D56546">
        <w:tab/>
        <w:t>Od 1. ledna 2017 bylo zrušeno ustanovení, které stanovovalo nižší sazbu minimální mzdy pro poživatele invalidního důchodu. Od 1. ledna 2017 tedy platí minimální mzda ve stejné výši pro osoby se ZP i pro zaměstnance bez zdravotního postižení.</w:t>
      </w:r>
    </w:p>
    <w:p w:rsidR="00752290" w:rsidRPr="00524DAA" w:rsidRDefault="00E75192" w:rsidP="00752290">
      <w:pPr>
        <w:pStyle w:val="SingleTxtG"/>
      </w:pPr>
      <w:r>
        <w:t>2</w:t>
      </w:r>
      <w:r w:rsidR="007577E1">
        <w:t>6</w:t>
      </w:r>
      <w:r w:rsidR="00A20FD7">
        <w:t>5</w:t>
      </w:r>
      <w:r>
        <w:t>.</w:t>
      </w:r>
      <w:r w:rsidR="00E5026E" w:rsidRPr="00524DAA">
        <w:tab/>
        <w:t xml:space="preserve">K problematice </w:t>
      </w:r>
      <w:r w:rsidR="00752290" w:rsidRPr="00524DAA">
        <w:t xml:space="preserve">podpory </w:t>
      </w:r>
      <w:r w:rsidR="00E5026E" w:rsidRPr="00524DAA">
        <w:t>zaměstn</w:t>
      </w:r>
      <w:r w:rsidR="00752290" w:rsidRPr="00524DAA">
        <w:t xml:space="preserve">ávání </w:t>
      </w:r>
      <w:r w:rsidR="00E5026E" w:rsidRPr="00524DAA">
        <w:t>osob se ZP na volném trhu práce</w:t>
      </w:r>
      <w:r w:rsidR="00752290" w:rsidRPr="00524DAA">
        <w:t xml:space="preserve"> dále viz odpověď na otázku č. 22 c).</w:t>
      </w:r>
    </w:p>
    <w:p w:rsidR="00496C8B" w:rsidRPr="00524DAA" w:rsidRDefault="00496C8B" w:rsidP="001D4EF8">
      <w:pPr>
        <w:pStyle w:val="SingleTxtG"/>
      </w:pPr>
    </w:p>
    <w:p w:rsidR="00496C8B" w:rsidRPr="00D56546" w:rsidRDefault="00496C8B" w:rsidP="00496C8B">
      <w:pPr>
        <w:pStyle w:val="H1G"/>
      </w:pPr>
      <w:r w:rsidRPr="00524DAA">
        <w:tab/>
      </w:r>
      <w:r w:rsidRPr="00524DAA">
        <w:tab/>
        <w:t>Odpověď na otázku č. 22 c)</w:t>
      </w:r>
    </w:p>
    <w:p w:rsidR="00124325" w:rsidRPr="00524DAA" w:rsidRDefault="00E75192" w:rsidP="008803BE">
      <w:pPr>
        <w:pStyle w:val="SingleTxtG"/>
      </w:pPr>
      <w:r>
        <w:t>2</w:t>
      </w:r>
      <w:r w:rsidR="007577E1">
        <w:t>6</w:t>
      </w:r>
      <w:r w:rsidR="00A20FD7">
        <w:t>6</w:t>
      </w:r>
      <w:r>
        <w:t>.</w:t>
      </w:r>
      <w:r w:rsidR="00124325" w:rsidRPr="00524DAA">
        <w:tab/>
        <w:t>Problematice podpory zaměstnávání osob se ZP je ze strany M</w:t>
      </w:r>
      <w:r w:rsidR="00097DFA">
        <w:t xml:space="preserve">PSV </w:t>
      </w:r>
      <w:r w:rsidR="00124325" w:rsidRPr="00524DAA">
        <w:t xml:space="preserve">věnována mimořádná pozornost. V květnu roku 2014 byla na základě iniciativy sociálních partnerů zřízena </w:t>
      </w:r>
      <w:r w:rsidR="00097DFA">
        <w:t xml:space="preserve">při </w:t>
      </w:r>
      <w:r w:rsidR="00124325" w:rsidRPr="00524DAA">
        <w:t xml:space="preserve">MPSV pracovní skupina </w:t>
      </w:r>
      <w:r w:rsidR="00097DFA">
        <w:t xml:space="preserve">složená se zástupců </w:t>
      </w:r>
      <w:r w:rsidR="00124325" w:rsidRPr="00524DAA">
        <w:t xml:space="preserve">všech zainteresovaných institucí. Posláním této pracovní skupiny je řešení komplexní úpravy systému podpory zaměstnávání </w:t>
      </w:r>
      <w:r w:rsidR="00952028" w:rsidRPr="00524DAA">
        <w:t xml:space="preserve">osob se </w:t>
      </w:r>
      <w:r w:rsidR="00124325" w:rsidRPr="00524DAA">
        <w:t xml:space="preserve">ZP a jeho zefektivnění. Jednání pracovní skupiny doposud probíhají za účasti zástupců zaměstnavatelů </w:t>
      </w:r>
      <w:r w:rsidR="00952028" w:rsidRPr="00524DAA">
        <w:t xml:space="preserve">osob se </w:t>
      </w:r>
      <w:r w:rsidR="00124325" w:rsidRPr="00524DAA">
        <w:t xml:space="preserve">ZP jak z chráněného trhu práce, tak z volného trhu práce, zástupců Národní rady osob se </w:t>
      </w:r>
      <w:r w:rsidR="00ED4ACE">
        <w:t xml:space="preserve">ZP </w:t>
      </w:r>
      <w:r w:rsidR="00952028" w:rsidRPr="00524DAA">
        <w:t>ČR</w:t>
      </w:r>
      <w:r w:rsidR="00124325" w:rsidRPr="00524DAA">
        <w:t xml:space="preserve">, zástupců MPSV </w:t>
      </w:r>
      <w:r w:rsidR="00952028" w:rsidRPr="00524DAA">
        <w:t>či Ú</w:t>
      </w:r>
      <w:r w:rsidR="00655ABA">
        <w:t xml:space="preserve">P </w:t>
      </w:r>
      <w:r w:rsidR="00952028" w:rsidRPr="00524DAA">
        <w:t>Č</w:t>
      </w:r>
      <w:r w:rsidR="001D1221">
        <w:t>R</w:t>
      </w:r>
      <w:r w:rsidR="00952028" w:rsidRPr="00524DAA">
        <w:t xml:space="preserve">. </w:t>
      </w:r>
      <w:r w:rsidR="00124325" w:rsidRPr="00524DAA">
        <w:t>Tato spolupráce v</w:t>
      </w:r>
      <w:r w:rsidR="00655ABA">
        <w:t> </w:t>
      </w:r>
      <w:r w:rsidR="00124325" w:rsidRPr="00524DAA">
        <w:t>poslední době významn</w:t>
      </w:r>
      <w:r w:rsidR="00952028" w:rsidRPr="00524DAA">
        <w:t xml:space="preserve">ým způsobem </w:t>
      </w:r>
      <w:r w:rsidR="00124325" w:rsidRPr="00524DAA">
        <w:t xml:space="preserve">přispěla k několika výstupům ovlivňujícím efektivitu systému podpory zaměstnávání </w:t>
      </w:r>
      <w:r w:rsidR="00952028" w:rsidRPr="00524DAA">
        <w:t xml:space="preserve">osob se </w:t>
      </w:r>
      <w:r w:rsidR="00E66058">
        <w:t>ZP. Jedná se zejména</w:t>
      </w:r>
      <w:r w:rsidR="00655ABA">
        <w:t xml:space="preserve"> </w:t>
      </w:r>
      <w:r w:rsidR="00124325" w:rsidRPr="00524DAA">
        <w:t>o</w:t>
      </w:r>
      <w:r w:rsidR="00655ABA">
        <w:t> </w:t>
      </w:r>
      <w:r w:rsidR="00124325" w:rsidRPr="00524DAA">
        <w:t xml:space="preserve">zavedení elektronické evidence náhradního plnění, tj. evidence dodávek realizovaných mezi dodavateli a odběrateli pro účely plnění povinného podílu zaměstnávání </w:t>
      </w:r>
      <w:r w:rsidR="00952028" w:rsidRPr="00524DAA">
        <w:t xml:space="preserve">osob se </w:t>
      </w:r>
      <w:r w:rsidR="00124325" w:rsidRPr="00524DAA">
        <w:t>ZP</w:t>
      </w:r>
      <w:r w:rsidR="008803BE" w:rsidRPr="00524DAA">
        <w:t xml:space="preserve">, </w:t>
      </w:r>
      <w:r w:rsidR="00124325" w:rsidRPr="00524DAA">
        <w:t>nahrazení</w:t>
      </w:r>
      <w:r w:rsidR="00655ABA">
        <w:t>m</w:t>
      </w:r>
      <w:r w:rsidR="00124325" w:rsidRPr="00524DAA">
        <w:t xml:space="preserve"> systému vymezování jednotlivých chráněných pracovních míst systémem jednorázového uznání zaměstnavatele za zaměstna</w:t>
      </w:r>
      <w:r w:rsidR="008803BE" w:rsidRPr="00524DAA">
        <w:t>vatele na chráněném trhu práce.</w:t>
      </w:r>
    </w:p>
    <w:p w:rsidR="001A5F54" w:rsidRPr="00524DAA" w:rsidRDefault="00E75192" w:rsidP="00C64BAA">
      <w:pPr>
        <w:pStyle w:val="SingleTxtG"/>
      </w:pPr>
      <w:r>
        <w:t>2</w:t>
      </w:r>
      <w:r w:rsidR="007577E1">
        <w:t>6</w:t>
      </w:r>
      <w:r w:rsidR="00A20FD7">
        <w:t>7</w:t>
      </w:r>
      <w:r>
        <w:t>.</w:t>
      </w:r>
      <w:r w:rsidR="001A5F54" w:rsidRPr="00524DAA">
        <w:tab/>
        <w:t>Podpora zaměstnávání osob se ZP je realizována nástroji, které upravuje zákon č.</w:t>
      </w:r>
      <w:r w:rsidR="00E70D30" w:rsidRPr="00524DAA">
        <w:t> </w:t>
      </w:r>
      <w:r w:rsidR="001A5F54" w:rsidRPr="00524DAA">
        <w:t>435/2004 Sb., o zaměstnanosti, ve znění pozdějších předpisů (dále jen „zákon o</w:t>
      </w:r>
      <w:r w:rsidR="00041E4B">
        <w:t> </w:t>
      </w:r>
      <w:r w:rsidR="001A5F54" w:rsidRPr="00524DAA">
        <w:t>zaměstnanosti“).</w:t>
      </w:r>
    </w:p>
    <w:p w:rsidR="001A5F54" w:rsidRPr="00524DAA" w:rsidRDefault="00E75192" w:rsidP="001A5F54">
      <w:pPr>
        <w:pStyle w:val="SingleTxtG"/>
      </w:pPr>
      <w:r>
        <w:t>26</w:t>
      </w:r>
      <w:r w:rsidR="00A20FD7">
        <w:t>8</w:t>
      </w:r>
      <w:r>
        <w:t>.</w:t>
      </w:r>
      <w:r w:rsidR="001A5F54" w:rsidRPr="00524DAA">
        <w:tab/>
        <w:t>Nástroje a opatření zaměřené na podporu zaměstnávání osob se ZP realizuje Ú</w:t>
      </w:r>
      <w:r w:rsidR="00655ABA">
        <w:t xml:space="preserve">P </w:t>
      </w:r>
      <w:r w:rsidR="001A5F54" w:rsidRPr="00524DAA">
        <w:t>Č</w:t>
      </w:r>
      <w:r w:rsidR="00D14B26">
        <w:t>R</w:t>
      </w:r>
      <w:r w:rsidR="001A5F54" w:rsidRPr="00524DAA">
        <w:t>. Jedná se o:</w:t>
      </w:r>
    </w:p>
    <w:p w:rsidR="001A5F54" w:rsidRPr="00524DAA" w:rsidRDefault="001A5F54" w:rsidP="00380C5F">
      <w:pPr>
        <w:pStyle w:val="Bullet1G"/>
      </w:pPr>
      <w:r w:rsidRPr="00524DAA">
        <w:t xml:space="preserve">pracovní rehabilitaci, která se zaměřuje na získání a udržení vhodného zaměstnání </w:t>
      </w:r>
      <w:r w:rsidR="00380C5F" w:rsidRPr="00524DAA">
        <w:t xml:space="preserve">osob se </w:t>
      </w:r>
      <w:r w:rsidRPr="00524DAA">
        <w:t>ZP. Zahrnuje zejména poradenskou činnost zaměřenou na volbu povolání, volbu zaměstnání nebo jiné výdělečné činnosti, teoretickou a praktickou přípravu pro zaměstnání nebo jinou výdělečnou činnost, zprostředkování, udržení a změnu zaměstnání, změnu povolání a vytváření vhodných podmínek pro výkon zaměstnání nebo jiné výdělečné činnosti. Ú</w:t>
      </w:r>
      <w:r w:rsidR="00655ABA">
        <w:t xml:space="preserve">P </w:t>
      </w:r>
      <w:r w:rsidRPr="00524DAA">
        <w:t>Č</w:t>
      </w:r>
      <w:r w:rsidR="00D14B26">
        <w:t xml:space="preserve">R </w:t>
      </w:r>
      <w:r w:rsidRPr="00524DAA">
        <w:t>v součinnosti s</w:t>
      </w:r>
      <w:r w:rsidR="00380C5F" w:rsidRPr="00524DAA">
        <w:t xml:space="preserve"> osobou se </w:t>
      </w:r>
      <w:r w:rsidRPr="00524DAA">
        <w:t>ZP sestavuje individuální plán pracovní rehabilitace</w:t>
      </w:r>
      <w:r w:rsidR="00655ABA">
        <w:t>, a to</w:t>
      </w:r>
      <w:r w:rsidRPr="00524DAA">
        <w:t xml:space="preserve"> s ohledem na její zdravotní způsobilost, schopnost vykonávat soustavné zaměstnán</w:t>
      </w:r>
      <w:r w:rsidR="00E66058">
        <w:t>í nebo jinou výdělečnou činnost</w:t>
      </w:r>
      <w:r w:rsidR="00E66058">
        <w:br/>
      </w:r>
      <w:r w:rsidRPr="00524DAA">
        <w:t>a kvalifikaci a s ohledem na situaci na trhu práce. Mezi nejčastěji zabezpečované formy pracovní rehabilitace patř</w:t>
      </w:r>
      <w:r w:rsidR="0004477E" w:rsidRPr="00524DAA">
        <w:t xml:space="preserve">í </w:t>
      </w:r>
      <w:r w:rsidRPr="00524DAA">
        <w:t xml:space="preserve">příprava k práci, které se v roce 2018 účastnilo 247 </w:t>
      </w:r>
      <w:r w:rsidR="00392893" w:rsidRPr="00524DAA">
        <w:t xml:space="preserve">osob se </w:t>
      </w:r>
      <w:r w:rsidRPr="00524DAA">
        <w:t xml:space="preserve">ZP, v roce 2017 to bylo 185 </w:t>
      </w:r>
      <w:r w:rsidR="00392893" w:rsidRPr="00524DAA">
        <w:t>osob se ZP</w:t>
      </w:r>
      <w:r w:rsidRPr="00524DAA">
        <w:t>,</w:t>
      </w:r>
    </w:p>
    <w:p w:rsidR="001A5F54" w:rsidRPr="00524DAA" w:rsidRDefault="001A5F54" w:rsidP="00AE3EF6">
      <w:pPr>
        <w:pStyle w:val="Bullet1G"/>
      </w:pPr>
      <w:r w:rsidRPr="00524DAA">
        <w:t xml:space="preserve">příspěvek na zřízení pracovního místa pro </w:t>
      </w:r>
      <w:r w:rsidR="00AE3EF6" w:rsidRPr="00524DAA">
        <w:t xml:space="preserve">osobu se </w:t>
      </w:r>
      <w:r w:rsidRPr="00524DAA">
        <w:t xml:space="preserve">ZP, který může být poskytnut zaměstnavateli na volném i na chráněném trhu práce, přičemž chráněný trh je tvořen zaměstnavateli zaměstnávajícími více než 50 % </w:t>
      </w:r>
      <w:r w:rsidR="00AE3EF6" w:rsidRPr="00524DAA">
        <w:t xml:space="preserve">osob se </w:t>
      </w:r>
      <w:r w:rsidRPr="00524DAA">
        <w:t xml:space="preserve">ZP. Jedná se o příspěvek na pořízení vybavení potřebného pro vznik pracovního místa pro OZP. V rámci tohoto nástroje je možné podpořit také zahájení samostatné výdělečné činnosti </w:t>
      </w:r>
      <w:r w:rsidR="00AE3EF6" w:rsidRPr="00524DAA">
        <w:t xml:space="preserve">osoby se </w:t>
      </w:r>
      <w:r w:rsidRPr="00524DAA">
        <w:t>ZP. Příspěvek může být poskytnut až do výš</w:t>
      </w:r>
      <w:r w:rsidR="00E66058">
        <w:t>e čtrnáctinásobku průměrné mzdy</w:t>
      </w:r>
      <w:r w:rsidR="00E66058">
        <w:br/>
      </w:r>
      <w:r w:rsidRPr="00524DAA">
        <w:t xml:space="preserve">v národním hospodářství na jednu </w:t>
      </w:r>
      <w:r w:rsidR="00AE3EF6" w:rsidRPr="00524DAA">
        <w:t xml:space="preserve">osobu se </w:t>
      </w:r>
      <w:r w:rsidRPr="00524DAA">
        <w:t xml:space="preserve">ZP, tj. až do výše 437 150 Kč. V roce </w:t>
      </w:r>
      <w:r w:rsidRPr="00524DAA">
        <w:lastRenderedPageBreak/>
        <w:t xml:space="preserve">2018 bylo zřízeno 175 pracovních míst pro </w:t>
      </w:r>
      <w:r w:rsidR="00AE3EF6" w:rsidRPr="00524DAA">
        <w:t xml:space="preserve">osoby se </w:t>
      </w:r>
      <w:r w:rsidRPr="00524DAA">
        <w:t xml:space="preserve">ZP a na nich postupně umístěno 566 </w:t>
      </w:r>
      <w:r w:rsidR="00AE3EF6" w:rsidRPr="00524DAA">
        <w:t xml:space="preserve">osob se </w:t>
      </w:r>
      <w:r w:rsidRPr="00524DAA">
        <w:t>ZP. V roce 2017 se jednalo o 604 pracovních míst a 1 187 osob,</w:t>
      </w:r>
    </w:p>
    <w:p w:rsidR="001A5F54" w:rsidRPr="00524DAA" w:rsidRDefault="001A5F54" w:rsidP="00AE3EF6">
      <w:pPr>
        <w:pStyle w:val="Bullet1G"/>
      </w:pPr>
      <w:r w:rsidRPr="00524DAA">
        <w:t xml:space="preserve">příspěvek na úhradu provozních nákladů vynaložených v souvislosti se zaměstnáváním </w:t>
      </w:r>
      <w:r w:rsidR="00AE3EF6" w:rsidRPr="00524DAA">
        <w:t xml:space="preserve">osob se </w:t>
      </w:r>
      <w:r w:rsidRPr="00524DAA">
        <w:t>ZP, který může být poskytnut zaměstnavatelům na volném trhu práce. Tento příspěvek náleží zaměstnavateli na zvýšené správní náklady, náklady provozních zaměstnanců a pracovníc</w:t>
      </w:r>
      <w:r w:rsidR="00E66058">
        <w:t>h asistentů, náklady na dopravu</w:t>
      </w:r>
      <w:r w:rsidR="00E66058">
        <w:br/>
      </w:r>
      <w:r w:rsidRPr="00524DAA">
        <w:t xml:space="preserve">a přizpůsobení provozovny. Maximální výše příspěvku může činit 48 000 Kč ročně na jednu </w:t>
      </w:r>
      <w:r w:rsidR="00AE3EF6" w:rsidRPr="00524DAA">
        <w:t xml:space="preserve">osobu se </w:t>
      </w:r>
      <w:r w:rsidRPr="00524DAA">
        <w:t xml:space="preserve">ZP. V roce 2018 byl poskytnut příspěvek na úhradu provozních nákladů 237 pracovních míst zřízených pro </w:t>
      </w:r>
      <w:r w:rsidR="00AE3EF6" w:rsidRPr="00524DAA">
        <w:t xml:space="preserve">osoby se </w:t>
      </w:r>
      <w:r w:rsidRPr="00524DAA">
        <w:t>ZP, v roce 2017 to bylo 134 pracovních míst,</w:t>
      </w:r>
    </w:p>
    <w:p w:rsidR="00C64BAA" w:rsidRPr="00524DAA" w:rsidRDefault="00E75192" w:rsidP="00C64BAA">
      <w:pPr>
        <w:pStyle w:val="SingleTxtG"/>
      </w:pPr>
      <w:r>
        <w:t>2</w:t>
      </w:r>
      <w:r w:rsidR="007577E1">
        <w:t>6</w:t>
      </w:r>
      <w:r w:rsidR="00A20FD7">
        <w:t>9</w:t>
      </w:r>
      <w:r>
        <w:t>.</w:t>
      </w:r>
      <w:r w:rsidR="00314D32" w:rsidRPr="00524DAA">
        <w:tab/>
      </w:r>
      <w:r w:rsidR="001A5F54" w:rsidRPr="00524DAA">
        <w:t xml:space="preserve">Každý zaměstnavatel, který má v pracovním poměru více než 25 zaměstnanců, má povinnost zaměstnávat </w:t>
      </w:r>
      <w:r w:rsidR="00314D32" w:rsidRPr="00524DAA">
        <w:t xml:space="preserve">osoby se </w:t>
      </w:r>
      <w:r w:rsidR="001A5F54" w:rsidRPr="00524DAA">
        <w:t>ZP ve výši povinného</w:t>
      </w:r>
      <w:r w:rsidR="00E66058">
        <w:t xml:space="preserve"> podílu. Povinný podíl činí 4 %</w:t>
      </w:r>
      <w:r w:rsidR="00E66058">
        <w:br/>
      </w:r>
      <w:r w:rsidR="001A5F54" w:rsidRPr="00524DAA">
        <w:t>z celkového počtu zaměstnanců. Tuto povinnost lze pl</w:t>
      </w:r>
      <w:r w:rsidR="00C64BAA" w:rsidRPr="00524DAA">
        <w:t>nit třemi rovnocennými způsoby:</w:t>
      </w:r>
    </w:p>
    <w:p w:rsidR="00C64BAA" w:rsidRPr="00524DAA" w:rsidRDefault="00C64BAA" w:rsidP="0087275C">
      <w:pPr>
        <w:pStyle w:val="SingleTxtG"/>
        <w:numPr>
          <w:ilvl w:val="0"/>
          <w:numId w:val="11"/>
        </w:numPr>
      </w:pPr>
      <w:r w:rsidRPr="00524DAA">
        <w:t>zaměstnáváním osob se ZP v pracovním poměru,</w:t>
      </w:r>
    </w:p>
    <w:p w:rsidR="001A5F54" w:rsidRPr="00524DAA" w:rsidRDefault="004915D0" w:rsidP="0087275C">
      <w:pPr>
        <w:pStyle w:val="SingleTxtG"/>
        <w:numPr>
          <w:ilvl w:val="0"/>
          <w:numId w:val="11"/>
        </w:numPr>
      </w:pPr>
      <w:r>
        <w:t>o</w:t>
      </w:r>
      <w:r w:rsidR="001A5F54" w:rsidRPr="00524DAA">
        <w:t xml:space="preserve">debíráním výrobků nebo služeb od zaměstnavatelů na chráněném trhu práce, tj. od zaměstnavatelů zaměstnávajících více než 50 % </w:t>
      </w:r>
      <w:r w:rsidR="00C64BAA" w:rsidRPr="00524DAA">
        <w:t xml:space="preserve">osob se </w:t>
      </w:r>
      <w:r w:rsidR="001A5F54" w:rsidRPr="00524DAA">
        <w:t>ZP,</w:t>
      </w:r>
    </w:p>
    <w:p w:rsidR="001A5F54" w:rsidRPr="00524DAA" w:rsidRDefault="001A5F54" w:rsidP="0087275C">
      <w:pPr>
        <w:pStyle w:val="SingleTxtG"/>
        <w:numPr>
          <w:ilvl w:val="0"/>
          <w:numId w:val="11"/>
        </w:numPr>
      </w:pPr>
      <w:r w:rsidRPr="00524DAA">
        <w:t>odvodem do státního rozpočtu,</w:t>
      </w:r>
    </w:p>
    <w:p w:rsidR="001A5F54" w:rsidRPr="00524DAA" w:rsidRDefault="004915D0" w:rsidP="0087275C">
      <w:pPr>
        <w:pStyle w:val="SingleTxtG"/>
        <w:numPr>
          <w:ilvl w:val="0"/>
          <w:numId w:val="11"/>
        </w:numPr>
      </w:pPr>
      <w:r>
        <w:t>n</w:t>
      </w:r>
      <w:r w:rsidR="00C64BAA" w:rsidRPr="00524DAA">
        <w:t>ebo kombinací uvedených způsobů.</w:t>
      </w:r>
    </w:p>
    <w:p w:rsidR="00990A72" w:rsidRPr="00524DAA" w:rsidRDefault="00E75192" w:rsidP="00D56546">
      <w:pPr>
        <w:pStyle w:val="SingleTxtG"/>
      </w:pPr>
      <w:r>
        <w:t>2</w:t>
      </w:r>
      <w:r w:rsidR="00A20FD7">
        <w:t>70</w:t>
      </w:r>
      <w:r>
        <w:t>.</w:t>
      </w:r>
      <w:r w:rsidR="00C64BAA" w:rsidRPr="00524DAA">
        <w:tab/>
        <w:t>V</w:t>
      </w:r>
      <w:r w:rsidR="001A5F54" w:rsidRPr="00524DAA">
        <w:t xml:space="preserve"> neposlední řadě jsou k zaměstnávání </w:t>
      </w:r>
      <w:r w:rsidR="00C72760" w:rsidRPr="00524DAA">
        <w:t xml:space="preserve">osob se </w:t>
      </w:r>
      <w:r w:rsidR="001A5F54" w:rsidRPr="00524DAA">
        <w:t xml:space="preserve">ZP na volném trhu práce zaměstnavatelé motivováni prostřednictvím slev na dani z příjmů. Každému zaměstnavateli, který zaměstnává </w:t>
      </w:r>
      <w:r w:rsidR="00C72760" w:rsidRPr="00524DAA">
        <w:t xml:space="preserve">osobu se </w:t>
      </w:r>
      <w:r w:rsidR="001A5F54" w:rsidRPr="00524DAA">
        <w:t>ZP, se sníží daň o 18 000 Kč za každého zaměstnance, který je touto osobou (uznán invalidním v I. nebo II. stupni) a o 60</w:t>
      </w:r>
      <w:r w:rsidR="00C72760" w:rsidRPr="00524DAA">
        <w:t> </w:t>
      </w:r>
      <w:r w:rsidR="001A5F54" w:rsidRPr="00524DAA">
        <w:t>000 Kč, jedná-li se o zaměstnance s těžším zdravotním postižením (uznán invalidním ve III. stupni).</w:t>
      </w:r>
    </w:p>
    <w:p w:rsidR="001A5F54" w:rsidRPr="00524DAA" w:rsidRDefault="00E75192" w:rsidP="00D56546">
      <w:pPr>
        <w:pStyle w:val="SingleTxtG"/>
      </w:pPr>
      <w:r>
        <w:t>2</w:t>
      </w:r>
      <w:r w:rsidR="001A1ACA">
        <w:t>7</w:t>
      </w:r>
      <w:r w:rsidR="00A20FD7">
        <w:t>1</w:t>
      </w:r>
      <w:r>
        <w:t>.</w:t>
      </w:r>
      <w:r w:rsidR="005703C9" w:rsidRPr="00524DAA">
        <w:tab/>
        <w:t>Následující tabulka ukazuje vývoj počtu podpořených osob se ZP výše uvedenými nástroji:</w:t>
      </w:r>
    </w:p>
    <w:p w:rsidR="001A5F54" w:rsidRPr="00524DAA" w:rsidRDefault="001A5F54" w:rsidP="00F7267E">
      <w:pPr>
        <w:pStyle w:val="SingleTxtG"/>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8"/>
        <w:gridCol w:w="850"/>
        <w:gridCol w:w="792"/>
        <w:gridCol w:w="880"/>
        <w:gridCol w:w="880"/>
        <w:gridCol w:w="1000"/>
      </w:tblGrid>
      <w:tr w:rsidR="00FB19B0" w:rsidRPr="00524DAA" w:rsidTr="00FB19B0">
        <w:trPr>
          <w:trHeight w:val="495"/>
        </w:trPr>
        <w:tc>
          <w:tcPr>
            <w:tcW w:w="4238" w:type="dxa"/>
            <w:tcBorders>
              <w:top w:val="single" w:sz="4" w:space="0" w:color="auto"/>
              <w:left w:val="single" w:sz="4" w:space="0" w:color="auto"/>
              <w:bottom w:val="single" w:sz="4" w:space="0" w:color="auto"/>
              <w:right w:val="single" w:sz="4" w:space="0" w:color="auto"/>
            </w:tcBorders>
            <w:noWrap/>
            <w:vAlign w:val="center"/>
            <w:hideMark/>
          </w:tcPr>
          <w:p w:rsidR="00FB19B0" w:rsidRPr="00524DAA" w:rsidRDefault="00FB19B0" w:rsidP="004F3E22">
            <w:pPr>
              <w:spacing w:after="200" w:line="240" w:lineRule="auto"/>
              <w:jc w:val="both"/>
              <w:rPr>
                <w:rFonts w:cs="Arial"/>
                <w:b/>
                <w:bCs/>
                <w:color w:val="000000"/>
                <w:szCs w:val="24"/>
                <w:lang w:eastAsia="cs-CZ"/>
              </w:rPr>
            </w:pPr>
            <w:r w:rsidRPr="00524DAA">
              <w:rPr>
                <w:rFonts w:cs="Arial"/>
                <w:b/>
                <w:bCs/>
                <w:color w:val="000000"/>
                <w:szCs w:val="24"/>
                <w:lang w:eastAsia="cs-CZ"/>
              </w:rPr>
              <w:t xml:space="preserve">Nástroje na podporu zaměstnávání </w:t>
            </w:r>
            <w:r w:rsidR="004F3E22" w:rsidRPr="00524DAA">
              <w:rPr>
                <w:rFonts w:cs="Arial"/>
                <w:b/>
                <w:bCs/>
                <w:color w:val="000000"/>
                <w:szCs w:val="24"/>
                <w:lang w:eastAsia="cs-CZ"/>
              </w:rPr>
              <w:t xml:space="preserve">osob se </w:t>
            </w:r>
            <w:r w:rsidRPr="00524DAA">
              <w:rPr>
                <w:rFonts w:cs="Arial"/>
                <w:b/>
                <w:bCs/>
                <w:color w:val="000000"/>
                <w:szCs w:val="24"/>
                <w:lang w:eastAsia="cs-CZ"/>
              </w:rPr>
              <w:t>ZP</w:t>
            </w:r>
          </w:p>
        </w:tc>
        <w:tc>
          <w:tcPr>
            <w:tcW w:w="850" w:type="dxa"/>
            <w:tcBorders>
              <w:top w:val="single" w:sz="4" w:space="0" w:color="auto"/>
              <w:left w:val="single" w:sz="4" w:space="0" w:color="auto"/>
              <w:bottom w:val="single" w:sz="4" w:space="0" w:color="auto"/>
              <w:right w:val="single" w:sz="4" w:space="0" w:color="auto"/>
            </w:tcBorders>
            <w:vAlign w:val="center"/>
            <w:hideMark/>
          </w:tcPr>
          <w:p w:rsidR="00FB19B0" w:rsidRPr="00524DAA" w:rsidRDefault="00FB19B0">
            <w:pPr>
              <w:spacing w:after="200" w:line="240" w:lineRule="auto"/>
              <w:jc w:val="both"/>
              <w:rPr>
                <w:rFonts w:cs="Arial"/>
                <w:b/>
                <w:bCs/>
                <w:color w:val="000000"/>
                <w:szCs w:val="24"/>
                <w:lang w:eastAsia="cs-CZ"/>
              </w:rPr>
            </w:pPr>
            <w:r w:rsidRPr="00524DAA">
              <w:rPr>
                <w:rFonts w:cs="Arial"/>
                <w:b/>
                <w:bCs/>
                <w:color w:val="000000"/>
                <w:szCs w:val="24"/>
                <w:lang w:eastAsia="cs-CZ"/>
              </w:rPr>
              <w:t>2015</w:t>
            </w:r>
          </w:p>
        </w:tc>
        <w:tc>
          <w:tcPr>
            <w:tcW w:w="792" w:type="dxa"/>
            <w:tcBorders>
              <w:top w:val="single" w:sz="4" w:space="0" w:color="auto"/>
              <w:left w:val="single" w:sz="4" w:space="0" w:color="auto"/>
              <w:bottom w:val="single" w:sz="4" w:space="0" w:color="auto"/>
              <w:right w:val="single" w:sz="4" w:space="0" w:color="auto"/>
            </w:tcBorders>
            <w:vAlign w:val="center"/>
            <w:hideMark/>
          </w:tcPr>
          <w:p w:rsidR="00FB19B0" w:rsidRPr="00524DAA" w:rsidRDefault="00FB19B0">
            <w:pPr>
              <w:spacing w:after="200" w:line="240" w:lineRule="auto"/>
              <w:jc w:val="both"/>
              <w:rPr>
                <w:rFonts w:cs="Arial"/>
                <w:b/>
                <w:bCs/>
                <w:color w:val="000000"/>
                <w:szCs w:val="24"/>
                <w:lang w:eastAsia="cs-CZ"/>
              </w:rPr>
            </w:pPr>
            <w:r w:rsidRPr="00524DAA">
              <w:rPr>
                <w:rFonts w:cs="Arial"/>
                <w:b/>
                <w:bCs/>
                <w:color w:val="000000"/>
                <w:szCs w:val="24"/>
                <w:lang w:eastAsia="cs-CZ"/>
              </w:rPr>
              <w:t>2016</w:t>
            </w:r>
          </w:p>
        </w:tc>
        <w:tc>
          <w:tcPr>
            <w:tcW w:w="880" w:type="dxa"/>
            <w:tcBorders>
              <w:top w:val="single" w:sz="4" w:space="0" w:color="auto"/>
              <w:left w:val="single" w:sz="4" w:space="0" w:color="auto"/>
              <w:bottom w:val="single" w:sz="4" w:space="0" w:color="auto"/>
              <w:right w:val="single" w:sz="4" w:space="0" w:color="auto"/>
            </w:tcBorders>
            <w:vAlign w:val="center"/>
            <w:hideMark/>
          </w:tcPr>
          <w:p w:rsidR="00FB19B0" w:rsidRPr="00524DAA" w:rsidRDefault="00FB19B0">
            <w:pPr>
              <w:spacing w:after="200" w:line="240" w:lineRule="auto"/>
              <w:jc w:val="both"/>
              <w:rPr>
                <w:rFonts w:cs="Arial"/>
                <w:b/>
                <w:bCs/>
                <w:color w:val="000000"/>
                <w:szCs w:val="24"/>
                <w:lang w:eastAsia="cs-CZ"/>
              </w:rPr>
            </w:pPr>
            <w:r w:rsidRPr="00524DAA">
              <w:rPr>
                <w:rFonts w:cs="Arial"/>
                <w:b/>
                <w:bCs/>
                <w:color w:val="000000"/>
                <w:szCs w:val="24"/>
                <w:lang w:eastAsia="cs-CZ"/>
              </w:rPr>
              <w:t>2017</w:t>
            </w:r>
          </w:p>
        </w:tc>
        <w:tc>
          <w:tcPr>
            <w:tcW w:w="880" w:type="dxa"/>
            <w:tcBorders>
              <w:top w:val="single" w:sz="4" w:space="0" w:color="auto"/>
              <w:left w:val="single" w:sz="4" w:space="0" w:color="auto"/>
              <w:bottom w:val="single" w:sz="4" w:space="0" w:color="auto"/>
              <w:right w:val="single" w:sz="4" w:space="0" w:color="auto"/>
            </w:tcBorders>
            <w:vAlign w:val="center"/>
            <w:hideMark/>
          </w:tcPr>
          <w:p w:rsidR="00FB19B0" w:rsidRPr="00524DAA" w:rsidRDefault="00FB19B0">
            <w:pPr>
              <w:spacing w:after="200" w:line="240" w:lineRule="auto"/>
              <w:jc w:val="both"/>
              <w:rPr>
                <w:rFonts w:cs="Arial"/>
                <w:b/>
                <w:bCs/>
                <w:color w:val="000000"/>
                <w:szCs w:val="24"/>
                <w:lang w:eastAsia="cs-CZ"/>
              </w:rPr>
            </w:pPr>
            <w:r w:rsidRPr="00524DAA">
              <w:rPr>
                <w:rFonts w:cs="Arial"/>
                <w:b/>
                <w:bCs/>
                <w:color w:val="000000"/>
                <w:szCs w:val="24"/>
                <w:lang w:eastAsia="cs-CZ"/>
              </w:rPr>
              <w:t>2018</w:t>
            </w:r>
          </w:p>
        </w:tc>
        <w:tc>
          <w:tcPr>
            <w:tcW w:w="1000" w:type="dxa"/>
            <w:tcBorders>
              <w:top w:val="single" w:sz="4" w:space="0" w:color="auto"/>
              <w:left w:val="single" w:sz="4" w:space="0" w:color="auto"/>
              <w:bottom w:val="single" w:sz="4" w:space="0" w:color="auto"/>
              <w:right w:val="single" w:sz="4" w:space="0" w:color="auto"/>
            </w:tcBorders>
            <w:vAlign w:val="center"/>
            <w:hideMark/>
          </w:tcPr>
          <w:p w:rsidR="00FB19B0" w:rsidRPr="00524DAA" w:rsidRDefault="00FB19B0">
            <w:pPr>
              <w:spacing w:after="200" w:line="240" w:lineRule="auto"/>
              <w:jc w:val="both"/>
              <w:rPr>
                <w:rFonts w:cs="Arial"/>
                <w:b/>
                <w:bCs/>
                <w:color w:val="000000"/>
                <w:szCs w:val="24"/>
                <w:lang w:eastAsia="cs-CZ"/>
              </w:rPr>
            </w:pPr>
            <w:r w:rsidRPr="00524DAA">
              <w:rPr>
                <w:rFonts w:cs="Arial"/>
                <w:b/>
                <w:bCs/>
                <w:color w:val="000000"/>
                <w:szCs w:val="24"/>
                <w:lang w:eastAsia="cs-CZ"/>
              </w:rPr>
              <w:t>2019</w:t>
            </w:r>
          </w:p>
        </w:tc>
      </w:tr>
      <w:tr w:rsidR="005744C3" w:rsidRPr="00524DAA" w:rsidTr="00995C08">
        <w:trPr>
          <w:trHeight w:val="285"/>
        </w:trPr>
        <w:tc>
          <w:tcPr>
            <w:tcW w:w="4238"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rsidP="004F3E22">
            <w:pPr>
              <w:spacing w:after="200" w:line="240" w:lineRule="auto"/>
              <w:jc w:val="both"/>
              <w:rPr>
                <w:rFonts w:cs="Arial"/>
                <w:color w:val="000000"/>
                <w:szCs w:val="24"/>
                <w:lang w:eastAsia="cs-CZ"/>
              </w:rPr>
            </w:pPr>
            <w:r w:rsidRPr="00524DAA">
              <w:rPr>
                <w:rFonts w:cs="Arial"/>
                <w:color w:val="000000"/>
                <w:szCs w:val="24"/>
                <w:lang w:eastAsia="cs-CZ"/>
              </w:rPr>
              <w:t>Příspěvek na zřízení pracovního místa pro osoby se ZP</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pPr>
              <w:spacing w:after="200" w:line="240" w:lineRule="auto"/>
              <w:jc w:val="both"/>
              <w:rPr>
                <w:rFonts w:cs="Arial"/>
                <w:color w:val="000000"/>
                <w:szCs w:val="24"/>
                <w:lang w:eastAsia="cs-CZ"/>
              </w:rPr>
            </w:pPr>
            <w:r w:rsidRPr="00524DAA">
              <w:rPr>
                <w:rFonts w:cs="Arial"/>
                <w:color w:val="000000"/>
                <w:szCs w:val="24"/>
                <w:lang w:eastAsia="cs-CZ"/>
              </w:rPr>
              <w:t>1 254</w:t>
            </w:r>
          </w:p>
        </w:tc>
        <w:tc>
          <w:tcPr>
            <w:tcW w:w="792"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pPr>
              <w:spacing w:after="200" w:line="240" w:lineRule="auto"/>
              <w:jc w:val="both"/>
              <w:rPr>
                <w:rFonts w:cs="Arial"/>
                <w:color w:val="000000"/>
                <w:szCs w:val="24"/>
                <w:lang w:eastAsia="cs-CZ"/>
              </w:rPr>
            </w:pPr>
            <w:r w:rsidRPr="00524DAA">
              <w:rPr>
                <w:rFonts w:cs="Arial"/>
                <w:color w:val="000000"/>
                <w:szCs w:val="24"/>
                <w:lang w:eastAsia="cs-CZ"/>
              </w:rPr>
              <w:t>899</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pPr>
              <w:spacing w:after="200" w:line="240" w:lineRule="auto"/>
              <w:jc w:val="both"/>
              <w:rPr>
                <w:rFonts w:cs="Arial"/>
                <w:color w:val="000000"/>
                <w:szCs w:val="24"/>
                <w:lang w:eastAsia="cs-CZ"/>
              </w:rPr>
            </w:pPr>
            <w:r w:rsidRPr="00524DAA">
              <w:rPr>
                <w:rFonts w:cs="Arial"/>
                <w:color w:val="000000"/>
                <w:szCs w:val="24"/>
                <w:lang w:eastAsia="cs-CZ"/>
              </w:rPr>
              <w:t>1 187</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pPr>
              <w:spacing w:after="200" w:line="240" w:lineRule="auto"/>
              <w:jc w:val="both"/>
              <w:rPr>
                <w:rFonts w:cs="Arial"/>
                <w:color w:val="000000"/>
                <w:szCs w:val="24"/>
                <w:lang w:eastAsia="cs-CZ"/>
              </w:rPr>
            </w:pPr>
            <w:r w:rsidRPr="00524DAA">
              <w:rPr>
                <w:rFonts w:cs="Arial"/>
                <w:color w:val="000000"/>
                <w:szCs w:val="24"/>
                <w:lang w:eastAsia="cs-CZ"/>
              </w:rPr>
              <w:t>566</w:t>
            </w:r>
          </w:p>
        </w:tc>
        <w:tc>
          <w:tcPr>
            <w:tcW w:w="1000" w:type="dxa"/>
            <w:tcBorders>
              <w:top w:val="single" w:sz="4" w:space="0" w:color="auto"/>
              <w:left w:val="single" w:sz="4" w:space="0" w:color="auto"/>
              <w:bottom w:val="single" w:sz="4" w:space="0" w:color="auto"/>
              <w:right w:val="single" w:sz="4" w:space="0" w:color="auto"/>
            </w:tcBorders>
            <w:noWrap/>
            <w:hideMark/>
          </w:tcPr>
          <w:p w:rsidR="005744C3" w:rsidRPr="007F1955" w:rsidRDefault="005744C3" w:rsidP="00995C08">
            <w:r w:rsidRPr="007F1955">
              <w:t>364</w:t>
            </w:r>
          </w:p>
        </w:tc>
      </w:tr>
      <w:tr w:rsidR="005744C3" w:rsidRPr="00524DAA" w:rsidTr="00995C08">
        <w:trPr>
          <w:trHeight w:val="285"/>
        </w:trPr>
        <w:tc>
          <w:tcPr>
            <w:tcW w:w="4238"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rsidP="004F3E22">
            <w:pPr>
              <w:spacing w:after="200" w:line="240" w:lineRule="auto"/>
              <w:jc w:val="both"/>
              <w:rPr>
                <w:rFonts w:cs="Arial"/>
                <w:color w:val="000000"/>
                <w:szCs w:val="24"/>
                <w:lang w:eastAsia="cs-CZ"/>
              </w:rPr>
            </w:pPr>
            <w:r w:rsidRPr="00524DAA">
              <w:rPr>
                <w:rFonts w:cs="Arial"/>
                <w:color w:val="000000"/>
                <w:szCs w:val="24"/>
                <w:lang w:eastAsia="cs-CZ"/>
              </w:rPr>
              <w:t>Příspěvek na úhradu provozních nákladů vynaložených v souvislosti se zaměstnáváním osob se ZP</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pPr>
              <w:spacing w:after="200" w:line="240" w:lineRule="auto"/>
              <w:jc w:val="both"/>
              <w:rPr>
                <w:rFonts w:cs="Arial"/>
                <w:color w:val="000000"/>
                <w:szCs w:val="24"/>
                <w:lang w:eastAsia="cs-CZ"/>
              </w:rPr>
            </w:pPr>
            <w:r w:rsidRPr="00524DAA">
              <w:rPr>
                <w:rFonts w:cs="Arial"/>
                <w:color w:val="000000"/>
                <w:szCs w:val="24"/>
                <w:lang w:eastAsia="cs-CZ"/>
              </w:rPr>
              <w:t>115</w:t>
            </w:r>
          </w:p>
        </w:tc>
        <w:tc>
          <w:tcPr>
            <w:tcW w:w="792"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pPr>
              <w:spacing w:after="200" w:line="240" w:lineRule="auto"/>
              <w:jc w:val="both"/>
              <w:rPr>
                <w:rFonts w:cs="Arial"/>
                <w:color w:val="000000"/>
                <w:szCs w:val="24"/>
                <w:lang w:eastAsia="cs-CZ"/>
              </w:rPr>
            </w:pPr>
            <w:r w:rsidRPr="00524DAA">
              <w:rPr>
                <w:rFonts w:cs="Arial"/>
                <w:color w:val="000000"/>
                <w:szCs w:val="24"/>
                <w:lang w:eastAsia="cs-CZ"/>
              </w:rPr>
              <w:t>127</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pPr>
              <w:spacing w:after="200" w:line="240" w:lineRule="auto"/>
              <w:jc w:val="both"/>
              <w:rPr>
                <w:rFonts w:cs="Arial"/>
                <w:color w:val="000000"/>
                <w:szCs w:val="24"/>
                <w:lang w:eastAsia="cs-CZ"/>
              </w:rPr>
            </w:pPr>
            <w:r w:rsidRPr="00524DAA">
              <w:rPr>
                <w:rFonts w:cs="Arial"/>
                <w:color w:val="000000"/>
                <w:szCs w:val="24"/>
                <w:lang w:eastAsia="cs-CZ"/>
              </w:rPr>
              <w:t>134</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pPr>
              <w:spacing w:after="200" w:line="240" w:lineRule="auto"/>
              <w:jc w:val="both"/>
              <w:rPr>
                <w:rFonts w:cs="Arial"/>
                <w:color w:val="000000"/>
                <w:szCs w:val="24"/>
                <w:lang w:eastAsia="cs-CZ"/>
              </w:rPr>
            </w:pPr>
            <w:r w:rsidRPr="00524DAA">
              <w:rPr>
                <w:rFonts w:cs="Arial"/>
                <w:color w:val="000000"/>
                <w:szCs w:val="24"/>
                <w:lang w:eastAsia="cs-CZ"/>
              </w:rPr>
              <w:t>237</w:t>
            </w:r>
          </w:p>
        </w:tc>
        <w:tc>
          <w:tcPr>
            <w:tcW w:w="1000" w:type="dxa"/>
            <w:tcBorders>
              <w:top w:val="single" w:sz="4" w:space="0" w:color="auto"/>
              <w:left w:val="single" w:sz="4" w:space="0" w:color="auto"/>
              <w:bottom w:val="single" w:sz="4" w:space="0" w:color="auto"/>
              <w:right w:val="single" w:sz="4" w:space="0" w:color="auto"/>
            </w:tcBorders>
            <w:noWrap/>
            <w:hideMark/>
          </w:tcPr>
          <w:p w:rsidR="005744C3" w:rsidRPr="007F1955" w:rsidRDefault="005744C3" w:rsidP="00995C08">
            <w:r w:rsidRPr="007F1955">
              <w:t>134</w:t>
            </w:r>
          </w:p>
        </w:tc>
      </w:tr>
      <w:tr w:rsidR="005744C3" w:rsidRPr="00524DAA" w:rsidTr="00995C08">
        <w:trPr>
          <w:trHeight w:val="285"/>
        </w:trPr>
        <w:tc>
          <w:tcPr>
            <w:tcW w:w="4238"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pPr>
              <w:spacing w:after="200" w:line="240" w:lineRule="auto"/>
              <w:jc w:val="both"/>
              <w:rPr>
                <w:rFonts w:cs="Arial"/>
                <w:color w:val="000000"/>
                <w:szCs w:val="24"/>
                <w:lang w:eastAsia="cs-CZ"/>
              </w:rPr>
            </w:pPr>
            <w:r w:rsidRPr="00524DAA">
              <w:rPr>
                <w:rFonts w:cs="Arial"/>
                <w:color w:val="000000"/>
                <w:szCs w:val="24"/>
                <w:lang w:eastAsia="cs-CZ"/>
              </w:rPr>
              <w:t>Pracovní rehabilitace - příprava k práci</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pPr>
              <w:spacing w:after="200" w:line="240" w:lineRule="auto"/>
              <w:jc w:val="both"/>
              <w:rPr>
                <w:rFonts w:cs="Arial"/>
                <w:color w:val="000000"/>
                <w:szCs w:val="24"/>
                <w:lang w:eastAsia="cs-CZ"/>
              </w:rPr>
            </w:pPr>
            <w:r w:rsidRPr="00524DAA">
              <w:rPr>
                <w:rFonts w:cs="Arial"/>
                <w:color w:val="000000"/>
                <w:szCs w:val="24"/>
                <w:lang w:eastAsia="cs-CZ"/>
              </w:rPr>
              <w:t>113</w:t>
            </w:r>
          </w:p>
        </w:tc>
        <w:tc>
          <w:tcPr>
            <w:tcW w:w="792"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pPr>
              <w:spacing w:after="200" w:line="240" w:lineRule="auto"/>
              <w:jc w:val="both"/>
              <w:rPr>
                <w:rFonts w:cs="Arial"/>
                <w:color w:val="000000"/>
                <w:szCs w:val="24"/>
                <w:lang w:eastAsia="cs-CZ"/>
              </w:rPr>
            </w:pPr>
            <w:r w:rsidRPr="00524DAA">
              <w:rPr>
                <w:rFonts w:cs="Arial"/>
                <w:color w:val="000000"/>
                <w:szCs w:val="24"/>
                <w:lang w:eastAsia="cs-CZ"/>
              </w:rPr>
              <w:t>194</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pPr>
              <w:spacing w:after="200" w:line="240" w:lineRule="auto"/>
              <w:jc w:val="both"/>
              <w:rPr>
                <w:rFonts w:cs="Arial"/>
                <w:color w:val="000000"/>
                <w:szCs w:val="24"/>
                <w:lang w:eastAsia="cs-CZ"/>
              </w:rPr>
            </w:pPr>
            <w:r w:rsidRPr="00524DAA">
              <w:rPr>
                <w:rFonts w:cs="Arial"/>
                <w:color w:val="000000"/>
                <w:szCs w:val="24"/>
                <w:lang w:eastAsia="cs-CZ"/>
              </w:rPr>
              <w:t>185</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744C3" w:rsidRPr="00524DAA" w:rsidRDefault="005744C3">
            <w:pPr>
              <w:spacing w:after="200" w:line="240" w:lineRule="auto"/>
              <w:jc w:val="both"/>
              <w:rPr>
                <w:rFonts w:cs="Arial"/>
                <w:color w:val="000000"/>
                <w:szCs w:val="24"/>
                <w:lang w:eastAsia="cs-CZ"/>
              </w:rPr>
            </w:pPr>
            <w:r w:rsidRPr="00524DAA">
              <w:rPr>
                <w:rFonts w:cs="Arial"/>
                <w:color w:val="000000"/>
                <w:szCs w:val="24"/>
                <w:lang w:eastAsia="cs-CZ"/>
              </w:rPr>
              <w:t>247</w:t>
            </w:r>
          </w:p>
        </w:tc>
        <w:tc>
          <w:tcPr>
            <w:tcW w:w="1000" w:type="dxa"/>
            <w:tcBorders>
              <w:top w:val="single" w:sz="4" w:space="0" w:color="auto"/>
              <w:left w:val="single" w:sz="4" w:space="0" w:color="auto"/>
              <w:bottom w:val="single" w:sz="4" w:space="0" w:color="auto"/>
              <w:right w:val="single" w:sz="4" w:space="0" w:color="auto"/>
            </w:tcBorders>
            <w:noWrap/>
            <w:hideMark/>
          </w:tcPr>
          <w:p w:rsidR="005744C3" w:rsidRDefault="005744C3" w:rsidP="00995C08">
            <w:r w:rsidRPr="007F1955">
              <w:t>133</w:t>
            </w:r>
          </w:p>
        </w:tc>
      </w:tr>
    </w:tbl>
    <w:p w:rsidR="001A5F54" w:rsidRDefault="003854C0" w:rsidP="00F7267E">
      <w:pPr>
        <w:pStyle w:val="SingleTxtG"/>
      </w:pPr>
      <w:r>
        <w:t>* Zdroj: MPSV</w:t>
      </w:r>
    </w:p>
    <w:p w:rsidR="003854C0" w:rsidRPr="00524DAA" w:rsidRDefault="003854C0" w:rsidP="00F7267E">
      <w:pPr>
        <w:pStyle w:val="SingleTxtG"/>
      </w:pPr>
    </w:p>
    <w:p w:rsidR="00F0377D" w:rsidRPr="00524DAA" w:rsidRDefault="00E75192" w:rsidP="00D16E94">
      <w:pPr>
        <w:pStyle w:val="SingleTxtG"/>
      </w:pPr>
      <w:r>
        <w:t>2</w:t>
      </w:r>
      <w:r w:rsidR="007577E1">
        <w:t>7</w:t>
      </w:r>
      <w:r w:rsidR="00A20FD7">
        <w:t>2</w:t>
      </w:r>
      <w:r>
        <w:t>.</w:t>
      </w:r>
      <w:r w:rsidR="00F0377D" w:rsidRPr="00524DAA">
        <w:tab/>
      </w:r>
      <w:r w:rsidR="00D16E94" w:rsidRPr="00524DAA">
        <w:t>Dalším nástrojem je p</w:t>
      </w:r>
      <w:r w:rsidR="00F0377D" w:rsidRPr="00524DAA">
        <w:t xml:space="preserve">říspěvek na podporu zaměstnávání </w:t>
      </w:r>
      <w:r w:rsidR="00D16E94" w:rsidRPr="00524DAA">
        <w:t>osob se ZP na chráněném trhu práce, jehož p</w:t>
      </w:r>
      <w:r w:rsidR="00F0377D" w:rsidRPr="00524DAA">
        <w:t xml:space="preserve">oskytování upravuje § 78a zákona o zaměstnanosti. Příspěvek náleží zaměstnavatelům zaměstnávajícím více než 50 % </w:t>
      </w:r>
      <w:r w:rsidR="00D16E94" w:rsidRPr="00524DAA">
        <w:t xml:space="preserve">osob se </w:t>
      </w:r>
      <w:r w:rsidR="00F0377D" w:rsidRPr="00524DAA">
        <w:t xml:space="preserve">ZP z celkového počtu svých zaměstnanců. Příspěvek náleží zaměstnavateli ve výši 75 % skutečně vynaložených mzdových nákladů na zaměstnance se zdravotním postižením, maximálně však 12 </w:t>
      </w:r>
      <w:r w:rsidR="00C141D9">
        <w:t>8</w:t>
      </w:r>
      <w:r w:rsidR="00F0377D" w:rsidRPr="00524DAA">
        <w:t>00 Kč měsíčně. V případě osob zdravotně znevýhodněných činí maximální částka příspěvku 5</w:t>
      </w:r>
      <w:r w:rsidR="00ED4ACE">
        <w:t> </w:t>
      </w:r>
      <w:r w:rsidR="00F0377D" w:rsidRPr="00524DAA">
        <w:t>000</w:t>
      </w:r>
      <w:r w:rsidR="00ED4ACE">
        <w:t> </w:t>
      </w:r>
      <w:r w:rsidR="00F0377D" w:rsidRPr="00524DAA">
        <w:t xml:space="preserve">Kč. Zaměstnavateli k tomuto příspěvku náleží paušální částka 1 000 Kč měsíčně na každou </w:t>
      </w:r>
      <w:r w:rsidR="00D16E94" w:rsidRPr="00524DAA">
        <w:t xml:space="preserve">osobu se </w:t>
      </w:r>
      <w:r w:rsidR="00F0377D" w:rsidRPr="00524DAA">
        <w:t>ZP. Dále může zaměstnavatel uplatnit nárok na zvýšení příspěvku v</w:t>
      </w:r>
      <w:r w:rsidR="00ED4ACE">
        <w:t> </w:t>
      </w:r>
      <w:r w:rsidR="00F0377D" w:rsidRPr="00524DAA">
        <w:t xml:space="preserve">maximální měsíční výši představující rozdíl mezi částkou 12 000 Kč a částkou, kterou zaměstnavatel vyčerpal na mzdové náklady zaměstnanců, kteří jsou </w:t>
      </w:r>
      <w:r w:rsidR="00D16E94" w:rsidRPr="00524DAA">
        <w:t xml:space="preserve">osobami se </w:t>
      </w:r>
      <w:r w:rsidR="00F0377D" w:rsidRPr="00524DAA">
        <w:t xml:space="preserve">ZP. Toto zvýšení příspěvku lze uplatnit na náklady provozních zaměstnanců a pracovních asistentů, náklady na dopravu </w:t>
      </w:r>
      <w:r w:rsidR="00D16E94" w:rsidRPr="00524DAA">
        <w:t xml:space="preserve">osob se </w:t>
      </w:r>
      <w:r w:rsidR="00F0377D" w:rsidRPr="00524DAA">
        <w:t>ZP na pracoviště, náklady na přizpůsobení provozovny jako jsou přizpůsobení podmínek na pracovišti, pořízení technologických zařízení či pořízení počítačového vybavení.</w:t>
      </w:r>
    </w:p>
    <w:p w:rsidR="001A5F54" w:rsidRPr="00524DAA" w:rsidRDefault="00E75192" w:rsidP="00F7267E">
      <w:pPr>
        <w:pStyle w:val="SingleTxtG"/>
      </w:pPr>
      <w:r>
        <w:lastRenderedPageBreak/>
        <w:t>2</w:t>
      </w:r>
      <w:r w:rsidR="001A1ACA">
        <w:t>7</w:t>
      </w:r>
      <w:r w:rsidR="00A20FD7">
        <w:t>3</w:t>
      </w:r>
      <w:r>
        <w:t>.</w:t>
      </w:r>
      <w:r w:rsidR="00DE4D49" w:rsidRPr="00524DAA">
        <w:tab/>
        <w:t>Následující tabulka ukazuje vývoj počtu podpořených osob se ZP v rámci příspěvku poskytovaného na zaměstnávání osob se ZP na chráněném trhu práce:</w:t>
      </w:r>
    </w:p>
    <w:p w:rsidR="001A5F54" w:rsidRPr="00524DAA" w:rsidRDefault="001A5F54" w:rsidP="00F7267E">
      <w:pPr>
        <w:pStyle w:val="SingleTxtG"/>
      </w:pPr>
    </w:p>
    <w:tbl>
      <w:tblPr>
        <w:tblpPr w:leftFromText="141" w:rightFromText="141" w:bottomFromText="160" w:vertAnchor="text" w:horzAnchor="margin" w:tblpXSpec="center" w:tblpY="89"/>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843"/>
        <w:gridCol w:w="1559"/>
        <w:gridCol w:w="1418"/>
        <w:gridCol w:w="1701"/>
      </w:tblGrid>
      <w:tr w:rsidR="00700FC2" w:rsidRPr="00524DAA" w:rsidTr="00700FC2">
        <w:trPr>
          <w:trHeight w:val="300"/>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700FC2" w:rsidRPr="00524DAA" w:rsidRDefault="00700FC2">
            <w:pPr>
              <w:spacing w:after="200" w:line="240" w:lineRule="auto"/>
              <w:jc w:val="both"/>
              <w:rPr>
                <w:rFonts w:cs="Arial"/>
                <w:b/>
                <w:bCs/>
                <w:color w:val="000000"/>
                <w:szCs w:val="24"/>
              </w:rPr>
            </w:pPr>
            <w:r w:rsidRPr="00524DAA">
              <w:rPr>
                <w:rFonts w:cs="Arial"/>
                <w:b/>
                <w:bCs/>
                <w:color w:val="000000"/>
                <w:szCs w:val="24"/>
              </w:rPr>
              <w:t>2015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700FC2" w:rsidRPr="00524DAA" w:rsidRDefault="00700FC2">
            <w:pPr>
              <w:spacing w:after="200" w:line="240" w:lineRule="auto"/>
              <w:jc w:val="both"/>
              <w:rPr>
                <w:rFonts w:cs="Arial"/>
                <w:b/>
                <w:bCs/>
                <w:color w:val="000000"/>
                <w:szCs w:val="24"/>
              </w:rPr>
            </w:pPr>
            <w:r w:rsidRPr="00524DAA">
              <w:rPr>
                <w:rFonts w:cs="Arial"/>
                <w:b/>
                <w:bCs/>
                <w:color w:val="000000"/>
                <w:szCs w:val="24"/>
              </w:rPr>
              <w:t>2016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00FC2" w:rsidRPr="00524DAA" w:rsidRDefault="00700FC2">
            <w:pPr>
              <w:spacing w:after="200" w:line="240" w:lineRule="auto"/>
              <w:jc w:val="both"/>
              <w:rPr>
                <w:rFonts w:cs="Arial"/>
                <w:b/>
                <w:bCs/>
                <w:color w:val="000000"/>
                <w:szCs w:val="24"/>
              </w:rPr>
            </w:pPr>
            <w:r w:rsidRPr="00524DAA">
              <w:rPr>
                <w:rFonts w:cs="Arial"/>
                <w:b/>
                <w:bCs/>
                <w:color w:val="000000"/>
                <w:szCs w:val="24"/>
              </w:rPr>
              <w:t>2017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00FC2" w:rsidRPr="00524DAA" w:rsidRDefault="00700FC2">
            <w:pPr>
              <w:spacing w:after="200" w:line="240" w:lineRule="auto"/>
              <w:jc w:val="both"/>
              <w:rPr>
                <w:rFonts w:cs="Arial"/>
                <w:b/>
                <w:bCs/>
                <w:color w:val="000000"/>
                <w:szCs w:val="24"/>
              </w:rPr>
            </w:pPr>
            <w:r w:rsidRPr="00524DAA">
              <w:rPr>
                <w:rFonts w:cs="Arial"/>
                <w:b/>
                <w:bCs/>
                <w:color w:val="000000"/>
                <w:szCs w:val="24"/>
              </w:rPr>
              <w:t>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FC2" w:rsidRPr="00524DAA" w:rsidRDefault="00700FC2">
            <w:pPr>
              <w:spacing w:after="200" w:line="240" w:lineRule="auto"/>
              <w:jc w:val="both"/>
              <w:rPr>
                <w:rFonts w:cs="Arial"/>
                <w:b/>
                <w:bCs/>
                <w:color w:val="000000"/>
                <w:szCs w:val="24"/>
              </w:rPr>
            </w:pPr>
            <w:r w:rsidRPr="00524DAA">
              <w:rPr>
                <w:rFonts w:cs="Arial"/>
                <w:b/>
                <w:bCs/>
                <w:color w:val="000000"/>
                <w:szCs w:val="24"/>
              </w:rPr>
              <w:t>2019</w:t>
            </w:r>
          </w:p>
        </w:tc>
      </w:tr>
      <w:tr w:rsidR="00700FC2" w:rsidRPr="00524DAA" w:rsidTr="00700FC2">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0FC2" w:rsidRPr="00524DAA" w:rsidRDefault="00700FC2">
            <w:pPr>
              <w:spacing w:after="200" w:line="240" w:lineRule="auto"/>
              <w:jc w:val="both"/>
              <w:rPr>
                <w:rFonts w:cs="Arial"/>
                <w:color w:val="000000"/>
                <w:szCs w:val="24"/>
              </w:rPr>
            </w:pPr>
            <w:r w:rsidRPr="00524DAA">
              <w:rPr>
                <w:rFonts w:cs="Arial"/>
                <w:color w:val="000000"/>
                <w:szCs w:val="24"/>
              </w:rPr>
              <w:t>51 877</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0FC2" w:rsidRPr="00524DAA" w:rsidRDefault="00700FC2">
            <w:pPr>
              <w:spacing w:after="200" w:line="240" w:lineRule="auto"/>
              <w:jc w:val="both"/>
              <w:rPr>
                <w:rFonts w:cs="Arial"/>
                <w:color w:val="000000"/>
                <w:szCs w:val="24"/>
              </w:rPr>
            </w:pPr>
            <w:r w:rsidRPr="00524DAA">
              <w:rPr>
                <w:rFonts w:cs="Arial"/>
                <w:color w:val="000000"/>
                <w:szCs w:val="24"/>
              </w:rPr>
              <w:t>54 659</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0FC2" w:rsidRPr="00524DAA" w:rsidRDefault="00700FC2">
            <w:pPr>
              <w:spacing w:after="200" w:line="240" w:lineRule="auto"/>
              <w:jc w:val="both"/>
              <w:rPr>
                <w:rFonts w:cs="Arial"/>
                <w:color w:val="000000"/>
                <w:szCs w:val="24"/>
              </w:rPr>
            </w:pPr>
            <w:r w:rsidRPr="00524DAA">
              <w:rPr>
                <w:rFonts w:cs="Arial"/>
                <w:color w:val="000000"/>
                <w:szCs w:val="24"/>
              </w:rPr>
              <w:t>55 984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00FC2" w:rsidRPr="00524DAA" w:rsidRDefault="00700FC2">
            <w:pPr>
              <w:spacing w:after="200" w:line="240" w:lineRule="auto"/>
              <w:jc w:val="both"/>
              <w:rPr>
                <w:rFonts w:cs="Arial"/>
                <w:color w:val="000000"/>
                <w:szCs w:val="24"/>
              </w:rPr>
            </w:pPr>
            <w:r w:rsidRPr="00524DAA">
              <w:rPr>
                <w:rFonts w:cs="Arial"/>
                <w:color w:val="000000"/>
                <w:szCs w:val="24"/>
              </w:rPr>
              <w:t>53 273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0FC2" w:rsidRPr="00524DAA" w:rsidRDefault="005744C3">
            <w:pPr>
              <w:spacing w:after="200" w:line="240" w:lineRule="auto"/>
              <w:jc w:val="both"/>
              <w:rPr>
                <w:rFonts w:cs="Arial"/>
                <w:color w:val="000000"/>
                <w:szCs w:val="24"/>
              </w:rPr>
            </w:pPr>
            <w:r w:rsidRPr="005744C3">
              <w:rPr>
                <w:rFonts w:cs="Arial"/>
                <w:color w:val="000000"/>
                <w:szCs w:val="24"/>
              </w:rPr>
              <w:t>60 990</w:t>
            </w:r>
          </w:p>
        </w:tc>
      </w:tr>
    </w:tbl>
    <w:p w:rsidR="003854C0" w:rsidRDefault="003854C0" w:rsidP="003854C0">
      <w:pPr>
        <w:pStyle w:val="SingleTxtG"/>
      </w:pPr>
      <w:r>
        <w:t>* Zdroj: MPSV</w:t>
      </w:r>
    </w:p>
    <w:p w:rsidR="003854C0" w:rsidRDefault="003854C0" w:rsidP="00F7267E">
      <w:pPr>
        <w:pStyle w:val="SingleTxtG"/>
      </w:pPr>
    </w:p>
    <w:p w:rsidR="00F7267E" w:rsidRPr="00524DAA" w:rsidRDefault="00E75192" w:rsidP="00F7267E">
      <w:pPr>
        <w:pStyle w:val="SingleTxtG"/>
      </w:pPr>
      <w:r>
        <w:t>2</w:t>
      </w:r>
      <w:r w:rsidR="001A1ACA">
        <w:t>7</w:t>
      </w:r>
      <w:r w:rsidR="00A20FD7">
        <w:t>4</w:t>
      </w:r>
      <w:r>
        <w:t>.</w:t>
      </w:r>
      <w:r w:rsidR="00F7267E" w:rsidRPr="00524DAA">
        <w:tab/>
        <w:t>Dne 1. ledna 2018 nabyla účinnosti novela zákona o zaměstnanosti, která nahradila administrativně náročný systém vymezování chráněných pracovních míst systémem jednorázového uznání zaměstnavatele za zaměstnavatele na chráněném trhu práce. Od 1. ledna 2018 jsou tak benefity poskytované pro chráněný trh práce podmíněny uzavřením dohody mezi zaměstnavatelem a Ú</w:t>
      </w:r>
      <w:r w:rsidR="00655ABA">
        <w:t xml:space="preserve">P </w:t>
      </w:r>
      <w:r w:rsidR="00F7267E" w:rsidRPr="00524DAA">
        <w:t>Č</w:t>
      </w:r>
      <w:r w:rsidR="001D1221">
        <w:t xml:space="preserve">R </w:t>
      </w:r>
      <w:r w:rsidR="00F7267E" w:rsidRPr="00524DAA">
        <w:t>o uznání zaměstnavatele za zaměstnavatele na chráněném trhu práce</w:t>
      </w:r>
      <w:r w:rsidR="0005110C">
        <w:t xml:space="preserve">. </w:t>
      </w:r>
      <w:r w:rsidR="00F7267E" w:rsidRPr="00524DAA">
        <w:t xml:space="preserve">Uznávání zaměstnavatelů na chráněném trhu práce přispěje ke zlepšení kontrolní a monitorovací činnosti tohoto segmentu. Pojem </w:t>
      </w:r>
      <w:r w:rsidR="0005110C">
        <w:t>„</w:t>
      </w:r>
      <w:r w:rsidR="00F7267E" w:rsidRPr="00524DAA">
        <w:t xml:space="preserve">chráněný trh </w:t>
      </w:r>
      <w:r w:rsidR="00E66058">
        <w:t>práce</w:t>
      </w:r>
      <w:r w:rsidR="0005110C">
        <w:t>“</w:t>
      </w:r>
      <w:r w:rsidR="00E66058">
        <w:t xml:space="preserve"> je </w:t>
      </w:r>
      <w:r w:rsidR="00655ABA">
        <w:t xml:space="preserve">tak </w:t>
      </w:r>
      <w:r w:rsidR="00E66058">
        <w:t>používán výhradně</w:t>
      </w:r>
      <w:r w:rsidR="0005110C">
        <w:t xml:space="preserve"> </w:t>
      </w:r>
      <w:r w:rsidR="00F7267E" w:rsidRPr="00524DAA">
        <w:t>v souvislosti se zaměstnáváním více než 50 % osob se ZP z</w:t>
      </w:r>
      <w:r w:rsidR="0005110C">
        <w:t> </w:t>
      </w:r>
      <w:r w:rsidR="00F7267E" w:rsidRPr="00524DAA">
        <w:t>celkového počtu zaměstnanců zaměstnavatele, se kterým má Ú</w:t>
      </w:r>
      <w:r w:rsidR="00655ABA">
        <w:t xml:space="preserve">P </w:t>
      </w:r>
      <w:r w:rsidR="00F7267E" w:rsidRPr="00524DAA">
        <w:t xml:space="preserve">ČR uzavřenou </w:t>
      </w:r>
      <w:r w:rsidR="0005110C">
        <w:t xml:space="preserve">uvedenou </w:t>
      </w:r>
      <w:r w:rsidR="00F7267E" w:rsidRPr="00524DAA">
        <w:t>písemnou dohodu o uznání.</w:t>
      </w:r>
    </w:p>
    <w:p w:rsidR="00F7267E" w:rsidRPr="00524DAA" w:rsidRDefault="00E75192" w:rsidP="00F7267E">
      <w:pPr>
        <w:pStyle w:val="SingleTxtG"/>
      </w:pPr>
      <w:r>
        <w:t>2</w:t>
      </w:r>
      <w:r w:rsidR="007577E1">
        <w:t>7</w:t>
      </w:r>
      <w:r w:rsidR="00A20FD7">
        <w:t>5</w:t>
      </w:r>
      <w:r>
        <w:t>.</w:t>
      </w:r>
      <w:r w:rsidR="00E6456B" w:rsidRPr="00524DAA">
        <w:tab/>
      </w:r>
      <w:r w:rsidR="00F7267E" w:rsidRPr="00524DAA">
        <w:t>Od počátku roku 2018 mají zaměstnavatelé uznaní na chráněném trhu práce povinnost předkládat Ú</w:t>
      </w:r>
      <w:r w:rsidR="00031BCD">
        <w:t xml:space="preserve">P </w:t>
      </w:r>
      <w:r w:rsidR="00F7267E" w:rsidRPr="00524DAA">
        <w:t xml:space="preserve">ČR roční zprávu o své činnosti, která poskytne resortu </w:t>
      </w:r>
      <w:r w:rsidR="00A11FC6">
        <w:t xml:space="preserve">MPSV </w:t>
      </w:r>
      <w:r w:rsidR="00F7267E" w:rsidRPr="00524DAA">
        <w:t>přehled o struktuře a ekonomickém postavení segmentu zaměstnavatelů působícíc</w:t>
      </w:r>
      <w:r w:rsidR="00031BCD">
        <w:t>h na chráněném trhu práce.</w:t>
      </w:r>
    </w:p>
    <w:p w:rsidR="00F7267E" w:rsidRPr="00524DAA" w:rsidRDefault="00E75192" w:rsidP="00F7267E">
      <w:pPr>
        <w:pStyle w:val="SingleTxtG"/>
      </w:pPr>
      <w:r>
        <w:t>2</w:t>
      </w:r>
      <w:r w:rsidR="007577E1">
        <w:t>7</w:t>
      </w:r>
      <w:r w:rsidR="00A20FD7">
        <w:t>6</w:t>
      </w:r>
      <w:r>
        <w:t>.</w:t>
      </w:r>
      <w:r w:rsidR="00E6456B" w:rsidRPr="00524DAA">
        <w:tab/>
      </w:r>
      <w:r w:rsidR="00F7267E" w:rsidRPr="00524DAA">
        <w:t>Následující tabulka obsahuje seznam přísp</w:t>
      </w:r>
      <w:r w:rsidR="00E66058">
        <w:t>ěvků poskytovaných podle zákona</w:t>
      </w:r>
      <w:r w:rsidR="00E66058">
        <w:br/>
      </w:r>
      <w:r w:rsidR="00F7267E" w:rsidRPr="00524DAA">
        <w:t xml:space="preserve">o zaměstnanosti od 1. </w:t>
      </w:r>
      <w:r w:rsidR="00E6456B" w:rsidRPr="00524DAA">
        <w:t>ledna</w:t>
      </w:r>
      <w:r w:rsidR="00F7267E" w:rsidRPr="00524DAA">
        <w:t xml:space="preserve"> 2018 na podporu zaměstnávání osob se </w:t>
      </w:r>
      <w:r w:rsidR="00E6456B" w:rsidRPr="00524DAA">
        <w:t>ZP</w:t>
      </w:r>
      <w:r w:rsidR="00F7267E" w:rsidRPr="00524DAA">
        <w:t>. Zároveň udává přehled o možnostech poskytování jednotlivých příspěvků na chráněném trh</w:t>
      </w:r>
      <w:r w:rsidR="00E6456B" w:rsidRPr="00524DAA">
        <w:t>u práce a na volném trhu práce.</w:t>
      </w:r>
    </w:p>
    <w:p w:rsidR="00F7267E" w:rsidRPr="00524DAA" w:rsidRDefault="00F7267E" w:rsidP="00F7267E">
      <w:pPr>
        <w:pStyle w:val="SingleTxtG"/>
      </w:pPr>
    </w:p>
    <w:tbl>
      <w:tblPr>
        <w:tblStyle w:val="Mkatabulky"/>
        <w:tblW w:w="0" w:type="auto"/>
        <w:tblInd w:w="-5" w:type="dxa"/>
        <w:tblLook w:val="04A0" w:firstRow="1" w:lastRow="0" w:firstColumn="1" w:lastColumn="0" w:noHBand="0" w:noVBand="1"/>
      </w:tblPr>
      <w:tblGrid>
        <w:gridCol w:w="3751"/>
        <w:gridCol w:w="2658"/>
        <w:gridCol w:w="2658"/>
      </w:tblGrid>
      <w:tr w:rsidR="00E1691A" w:rsidRPr="00524DAA" w:rsidTr="00E1691A">
        <w:tc>
          <w:tcPr>
            <w:tcW w:w="3751" w:type="dxa"/>
            <w:tcBorders>
              <w:top w:val="single" w:sz="4" w:space="0" w:color="auto"/>
              <w:left w:val="single" w:sz="4" w:space="0" w:color="auto"/>
              <w:bottom w:val="single" w:sz="4" w:space="0" w:color="auto"/>
              <w:right w:val="single" w:sz="4" w:space="0" w:color="auto"/>
            </w:tcBorders>
          </w:tcPr>
          <w:p w:rsidR="00E1691A" w:rsidRPr="00524DAA" w:rsidRDefault="00E1691A">
            <w:pPr>
              <w:pStyle w:val="Nzev"/>
              <w:jc w:val="both"/>
              <w:outlineLvl w:val="0"/>
              <w:rPr>
                <w:rFonts w:cs="Arial"/>
                <w:bCs w:val="0"/>
                <w:sz w:val="20"/>
                <w:lang w:eastAsia="en-US"/>
              </w:rPr>
            </w:pPr>
          </w:p>
          <w:p w:rsidR="00E1691A" w:rsidRPr="00524DAA" w:rsidRDefault="00E1691A">
            <w:pPr>
              <w:pStyle w:val="Nzev"/>
              <w:jc w:val="both"/>
              <w:outlineLvl w:val="0"/>
              <w:rPr>
                <w:rFonts w:cs="Arial"/>
                <w:bCs w:val="0"/>
                <w:sz w:val="20"/>
                <w:lang w:eastAsia="en-US"/>
              </w:rPr>
            </w:pPr>
          </w:p>
          <w:p w:rsidR="00E1691A" w:rsidRPr="00524DAA" w:rsidRDefault="00E1691A">
            <w:pPr>
              <w:pStyle w:val="Nzev"/>
              <w:jc w:val="both"/>
              <w:outlineLvl w:val="0"/>
              <w:rPr>
                <w:rFonts w:cs="Arial"/>
                <w:bCs w:val="0"/>
                <w:sz w:val="20"/>
                <w:lang w:eastAsia="en-US"/>
              </w:rPr>
            </w:pPr>
            <w:r w:rsidRPr="00524DAA">
              <w:rPr>
                <w:rFonts w:cs="Arial"/>
                <w:bCs w:val="0"/>
                <w:sz w:val="20"/>
                <w:lang w:eastAsia="en-US"/>
              </w:rPr>
              <w:t>Příspěvek</w:t>
            </w:r>
          </w:p>
        </w:tc>
        <w:tc>
          <w:tcPr>
            <w:tcW w:w="2658" w:type="dxa"/>
            <w:tcBorders>
              <w:top w:val="single" w:sz="4" w:space="0" w:color="auto"/>
              <w:left w:val="single" w:sz="4" w:space="0" w:color="auto"/>
              <w:bottom w:val="single" w:sz="4" w:space="0" w:color="auto"/>
              <w:right w:val="single" w:sz="4" w:space="0" w:color="auto"/>
            </w:tcBorders>
            <w:hideMark/>
          </w:tcPr>
          <w:p w:rsidR="00E1691A" w:rsidRPr="00524DAA" w:rsidRDefault="00E1691A" w:rsidP="00E1691A">
            <w:pPr>
              <w:pStyle w:val="Nzev"/>
              <w:jc w:val="both"/>
              <w:outlineLvl w:val="0"/>
              <w:rPr>
                <w:rFonts w:cs="Arial"/>
                <w:b w:val="0"/>
                <w:bCs w:val="0"/>
                <w:sz w:val="20"/>
                <w:lang w:eastAsia="en-US"/>
              </w:rPr>
            </w:pPr>
            <w:r w:rsidRPr="00524DAA">
              <w:rPr>
                <w:rFonts w:cs="Arial"/>
                <w:b w:val="0"/>
                <w:bCs w:val="0"/>
                <w:sz w:val="20"/>
                <w:lang w:eastAsia="en-US"/>
              </w:rPr>
              <w:t xml:space="preserve">Zaměstnavatelé, kteří </w:t>
            </w:r>
            <w:r w:rsidRPr="00524DAA">
              <w:rPr>
                <w:rFonts w:cs="Arial"/>
                <w:bCs w:val="0"/>
                <w:sz w:val="20"/>
                <w:lang w:eastAsia="en-US"/>
              </w:rPr>
              <w:t>nezaměstnávají</w:t>
            </w:r>
            <w:r w:rsidRPr="00524DAA">
              <w:rPr>
                <w:rFonts w:cs="Arial"/>
                <w:b w:val="0"/>
                <w:bCs w:val="0"/>
                <w:sz w:val="20"/>
                <w:lang w:eastAsia="en-US"/>
              </w:rPr>
              <w:t xml:space="preserve"> více než 50 % osob se ZP z celkového počtu svých zaměstnanců (dále jen „</w:t>
            </w:r>
            <w:r w:rsidRPr="00524DAA">
              <w:rPr>
                <w:rFonts w:cs="Arial"/>
                <w:bCs w:val="0"/>
                <w:sz w:val="20"/>
                <w:lang w:eastAsia="en-US"/>
              </w:rPr>
              <w:t>volný trh práce</w:t>
            </w:r>
            <w:r w:rsidRPr="00524DAA">
              <w:rPr>
                <w:rFonts w:cs="Arial"/>
                <w:b w:val="0"/>
                <w:bCs w:val="0"/>
                <w:sz w:val="20"/>
                <w:lang w:eastAsia="en-US"/>
              </w:rPr>
              <w:t>“)</w:t>
            </w:r>
          </w:p>
        </w:tc>
        <w:tc>
          <w:tcPr>
            <w:tcW w:w="2658" w:type="dxa"/>
            <w:tcBorders>
              <w:top w:val="single" w:sz="4" w:space="0" w:color="auto"/>
              <w:left w:val="single" w:sz="4" w:space="0" w:color="auto"/>
              <w:bottom w:val="single" w:sz="4" w:space="0" w:color="auto"/>
              <w:right w:val="single" w:sz="4" w:space="0" w:color="auto"/>
            </w:tcBorders>
            <w:hideMark/>
          </w:tcPr>
          <w:p w:rsidR="00E1691A" w:rsidRPr="00524DAA" w:rsidRDefault="00E1691A" w:rsidP="00E1691A">
            <w:pPr>
              <w:pStyle w:val="Nzev"/>
              <w:jc w:val="both"/>
              <w:outlineLvl w:val="0"/>
              <w:rPr>
                <w:rFonts w:cs="Arial"/>
                <w:b w:val="0"/>
                <w:bCs w:val="0"/>
                <w:sz w:val="20"/>
                <w:lang w:eastAsia="en-US"/>
              </w:rPr>
            </w:pPr>
            <w:r w:rsidRPr="00524DAA">
              <w:rPr>
                <w:rFonts w:cs="Arial"/>
                <w:b w:val="0"/>
                <w:bCs w:val="0"/>
                <w:sz w:val="20"/>
                <w:lang w:eastAsia="en-US"/>
              </w:rPr>
              <w:t xml:space="preserve">Zaměstnavatelé, kteří </w:t>
            </w:r>
            <w:r w:rsidRPr="00524DAA">
              <w:rPr>
                <w:rFonts w:cs="Arial"/>
                <w:bCs w:val="0"/>
                <w:sz w:val="20"/>
                <w:lang w:eastAsia="en-US"/>
              </w:rPr>
              <w:t>zaměstnávají</w:t>
            </w:r>
            <w:r w:rsidRPr="00524DAA">
              <w:rPr>
                <w:rFonts w:cs="Arial"/>
                <w:b w:val="0"/>
                <w:bCs w:val="0"/>
                <w:sz w:val="20"/>
                <w:lang w:eastAsia="en-US"/>
              </w:rPr>
              <w:t xml:space="preserve"> více než </w:t>
            </w:r>
            <w:r w:rsidRPr="00524DAA">
              <w:rPr>
                <w:rFonts w:cs="Arial"/>
                <w:b w:val="0"/>
                <w:bCs w:val="0"/>
                <w:sz w:val="20"/>
                <w:lang w:eastAsia="en-US"/>
              </w:rPr>
              <w:br/>
              <w:t>50 % osob se ZP z celkového počtu svých zaměstnanců (dále jen „</w:t>
            </w:r>
            <w:r w:rsidRPr="00524DAA">
              <w:rPr>
                <w:rFonts w:cs="Arial"/>
                <w:bCs w:val="0"/>
                <w:sz w:val="20"/>
                <w:lang w:eastAsia="en-US"/>
              </w:rPr>
              <w:t>chráněný trh práce</w:t>
            </w:r>
            <w:r w:rsidRPr="00524DAA">
              <w:rPr>
                <w:rFonts w:cs="Arial"/>
                <w:b w:val="0"/>
                <w:bCs w:val="0"/>
                <w:sz w:val="20"/>
                <w:lang w:eastAsia="en-US"/>
              </w:rPr>
              <w:t>“)</w:t>
            </w:r>
          </w:p>
        </w:tc>
      </w:tr>
      <w:tr w:rsidR="00E1691A" w:rsidRPr="00524DAA" w:rsidTr="00E1691A">
        <w:tc>
          <w:tcPr>
            <w:tcW w:w="3751" w:type="dxa"/>
            <w:tcBorders>
              <w:top w:val="single" w:sz="4" w:space="0" w:color="auto"/>
              <w:left w:val="single" w:sz="4" w:space="0" w:color="auto"/>
              <w:bottom w:val="single" w:sz="4" w:space="0" w:color="auto"/>
              <w:right w:val="single" w:sz="4" w:space="0" w:color="auto"/>
            </w:tcBorders>
            <w:hideMark/>
          </w:tcPr>
          <w:p w:rsidR="00E1691A" w:rsidRPr="00524DAA" w:rsidRDefault="00E1691A" w:rsidP="009E5382">
            <w:pPr>
              <w:pStyle w:val="Nzev"/>
              <w:jc w:val="both"/>
              <w:outlineLvl w:val="0"/>
              <w:rPr>
                <w:rFonts w:cs="Arial"/>
                <w:b w:val="0"/>
                <w:bCs w:val="0"/>
                <w:sz w:val="20"/>
                <w:lang w:eastAsia="en-US"/>
              </w:rPr>
            </w:pPr>
            <w:r w:rsidRPr="00524DAA">
              <w:rPr>
                <w:rFonts w:cs="Arial"/>
                <w:bCs w:val="0"/>
                <w:sz w:val="20"/>
                <w:lang w:eastAsia="en-US"/>
              </w:rPr>
              <w:t xml:space="preserve">ustanovení § 75 zákona </w:t>
            </w:r>
            <w:r w:rsidRPr="00524DAA">
              <w:rPr>
                <w:rFonts w:cs="Arial"/>
                <w:bCs w:val="0"/>
                <w:sz w:val="20"/>
                <w:lang w:eastAsia="en-US"/>
              </w:rPr>
              <w:br/>
              <w:t>o zaměstnanosti</w:t>
            </w:r>
            <w:r w:rsidRPr="00524DAA">
              <w:rPr>
                <w:rFonts w:cs="Arial"/>
                <w:b w:val="0"/>
                <w:bCs w:val="0"/>
                <w:sz w:val="20"/>
                <w:lang w:eastAsia="en-US"/>
              </w:rPr>
              <w:t xml:space="preserve"> – příspěvek na zřízení pracovního místa pro osobu se </w:t>
            </w:r>
            <w:r w:rsidR="009E5382" w:rsidRPr="00524DAA">
              <w:rPr>
                <w:rFonts w:cs="Arial"/>
                <w:b w:val="0"/>
                <w:bCs w:val="0"/>
                <w:sz w:val="20"/>
                <w:lang w:eastAsia="en-US"/>
              </w:rPr>
              <w:t>ZP</w:t>
            </w:r>
          </w:p>
        </w:tc>
        <w:tc>
          <w:tcPr>
            <w:tcW w:w="2658" w:type="dxa"/>
            <w:tcBorders>
              <w:top w:val="single" w:sz="4" w:space="0" w:color="auto"/>
              <w:left w:val="single" w:sz="4" w:space="0" w:color="auto"/>
              <w:bottom w:val="single" w:sz="4" w:space="0" w:color="auto"/>
              <w:right w:val="single" w:sz="4" w:space="0" w:color="auto"/>
            </w:tcBorders>
          </w:tcPr>
          <w:p w:rsidR="00E1691A" w:rsidRPr="00524DAA" w:rsidRDefault="00E1691A">
            <w:pPr>
              <w:pStyle w:val="Nzev"/>
              <w:jc w:val="both"/>
              <w:outlineLvl w:val="0"/>
              <w:rPr>
                <w:rFonts w:cs="Arial"/>
                <w:b w:val="0"/>
                <w:bCs w:val="0"/>
                <w:sz w:val="20"/>
                <w:lang w:eastAsia="en-US"/>
              </w:rPr>
            </w:pPr>
          </w:p>
          <w:p w:rsidR="00E1691A" w:rsidRPr="00524DAA" w:rsidRDefault="00E1691A" w:rsidP="0087275C">
            <w:pPr>
              <w:pStyle w:val="Nzev"/>
              <w:numPr>
                <w:ilvl w:val="0"/>
                <w:numId w:val="4"/>
              </w:numPr>
              <w:ind w:left="0"/>
              <w:jc w:val="both"/>
              <w:outlineLvl w:val="0"/>
              <w:rPr>
                <w:rFonts w:cs="Arial"/>
                <w:b w:val="0"/>
                <w:bCs w:val="0"/>
                <w:sz w:val="20"/>
                <w:lang w:eastAsia="en-US"/>
              </w:rPr>
            </w:pPr>
          </w:p>
        </w:tc>
        <w:tc>
          <w:tcPr>
            <w:tcW w:w="2658" w:type="dxa"/>
            <w:tcBorders>
              <w:top w:val="single" w:sz="4" w:space="0" w:color="auto"/>
              <w:left w:val="single" w:sz="4" w:space="0" w:color="auto"/>
              <w:bottom w:val="single" w:sz="4" w:space="0" w:color="auto"/>
              <w:right w:val="single" w:sz="4" w:space="0" w:color="auto"/>
            </w:tcBorders>
          </w:tcPr>
          <w:p w:rsidR="00E1691A" w:rsidRPr="00524DAA" w:rsidRDefault="00E1691A">
            <w:pPr>
              <w:pStyle w:val="Nzev"/>
              <w:jc w:val="both"/>
              <w:outlineLvl w:val="0"/>
              <w:rPr>
                <w:rFonts w:cs="Arial"/>
                <w:b w:val="0"/>
                <w:bCs w:val="0"/>
                <w:sz w:val="20"/>
                <w:lang w:eastAsia="en-US"/>
              </w:rPr>
            </w:pPr>
          </w:p>
          <w:p w:rsidR="00E1691A" w:rsidRPr="00524DAA" w:rsidRDefault="00E1691A" w:rsidP="0087275C">
            <w:pPr>
              <w:pStyle w:val="Nzev"/>
              <w:numPr>
                <w:ilvl w:val="0"/>
                <w:numId w:val="4"/>
              </w:numPr>
              <w:ind w:left="0"/>
              <w:jc w:val="both"/>
              <w:outlineLvl w:val="0"/>
              <w:rPr>
                <w:rFonts w:cs="Arial"/>
                <w:b w:val="0"/>
                <w:bCs w:val="0"/>
                <w:sz w:val="20"/>
                <w:lang w:eastAsia="en-US"/>
              </w:rPr>
            </w:pPr>
          </w:p>
        </w:tc>
      </w:tr>
      <w:tr w:rsidR="00E1691A" w:rsidRPr="00524DAA" w:rsidTr="00E1691A">
        <w:tc>
          <w:tcPr>
            <w:tcW w:w="3751" w:type="dxa"/>
            <w:tcBorders>
              <w:top w:val="single" w:sz="4" w:space="0" w:color="auto"/>
              <w:left w:val="single" w:sz="4" w:space="0" w:color="auto"/>
              <w:bottom w:val="single" w:sz="4" w:space="0" w:color="auto"/>
              <w:right w:val="single" w:sz="4" w:space="0" w:color="auto"/>
            </w:tcBorders>
            <w:hideMark/>
          </w:tcPr>
          <w:p w:rsidR="00E1691A" w:rsidRPr="00524DAA" w:rsidRDefault="00E1691A" w:rsidP="009E5382">
            <w:pPr>
              <w:pStyle w:val="Nzev"/>
              <w:jc w:val="both"/>
              <w:outlineLvl w:val="0"/>
              <w:rPr>
                <w:rFonts w:cs="Arial"/>
                <w:b w:val="0"/>
                <w:bCs w:val="0"/>
                <w:sz w:val="20"/>
                <w:lang w:eastAsia="en-US"/>
              </w:rPr>
            </w:pPr>
            <w:r w:rsidRPr="00524DAA">
              <w:rPr>
                <w:rFonts w:cs="Arial"/>
                <w:bCs w:val="0"/>
                <w:sz w:val="20"/>
                <w:lang w:eastAsia="en-US"/>
              </w:rPr>
              <w:t xml:space="preserve">ustanovení § 76 zákona </w:t>
            </w:r>
            <w:r w:rsidRPr="00524DAA">
              <w:rPr>
                <w:rFonts w:cs="Arial"/>
                <w:bCs w:val="0"/>
                <w:sz w:val="20"/>
                <w:lang w:eastAsia="en-US"/>
              </w:rPr>
              <w:br/>
              <w:t>o zaměstnanosti</w:t>
            </w:r>
            <w:r w:rsidRPr="00524DAA">
              <w:rPr>
                <w:rFonts w:cs="Arial"/>
                <w:b w:val="0"/>
                <w:bCs w:val="0"/>
                <w:sz w:val="20"/>
                <w:lang w:eastAsia="en-US"/>
              </w:rPr>
              <w:t xml:space="preserve"> – příspěvek na úhradu provozních nákladů vynaložených v souvislosti se zaměstnáváním osoby se </w:t>
            </w:r>
            <w:r w:rsidR="009E5382" w:rsidRPr="00524DAA">
              <w:rPr>
                <w:rFonts w:cs="Arial"/>
                <w:b w:val="0"/>
                <w:bCs w:val="0"/>
                <w:sz w:val="20"/>
                <w:lang w:eastAsia="en-US"/>
              </w:rPr>
              <w:t xml:space="preserve">ZP </w:t>
            </w:r>
          </w:p>
        </w:tc>
        <w:tc>
          <w:tcPr>
            <w:tcW w:w="2658" w:type="dxa"/>
            <w:tcBorders>
              <w:top w:val="single" w:sz="4" w:space="0" w:color="auto"/>
              <w:left w:val="single" w:sz="4" w:space="0" w:color="auto"/>
              <w:bottom w:val="single" w:sz="4" w:space="0" w:color="auto"/>
              <w:right w:val="single" w:sz="4" w:space="0" w:color="auto"/>
            </w:tcBorders>
          </w:tcPr>
          <w:p w:rsidR="00E1691A" w:rsidRPr="00524DAA" w:rsidRDefault="00E1691A">
            <w:pPr>
              <w:pStyle w:val="Nzev"/>
              <w:jc w:val="both"/>
              <w:outlineLvl w:val="0"/>
              <w:rPr>
                <w:rFonts w:cs="Arial"/>
                <w:b w:val="0"/>
                <w:bCs w:val="0"/>
                <w:sz w:val="20"/>
                <w:lang w:eastAsia="en-US"/>
              </w:rPr>
            </w:pPr>
          </w:p>
          <w:p w:rsidR="00E1691A" w:rsidRPr="00524DAA" w:rsidRDefault="00E1691A">
            <w:pPr>
              <w:pStyle w:val="Nzev"/>
              <w:jc w:val="both"/>
              <w:outlineLvl w:val="0"/>
              <w:rPr>
                <w:rFonts w:cs="Arial"/>
                <w:b w:val="0"/>
                <w:bCs w:val="0"/>
                <w:sz w:val="20"/>
                <w:lang w:eastAsia="en-US"/>
              </w:rPr>
            </w:pPr>
          </w:p>
          <w:p w:rsidR="00E1691A" w:rsidRPr="00524DAA" w:rsidRDefault="00E1691A" w:rsidP="0087275C">
            <w:pPr>
              <w:pStyle w:val="Nzev"/>
              <w:numPr>
                <w:ilvl w:val="0"/>
                <w:numId w:val="4"/>
              </w:numPr>
              <w:ind w:left="0"/>
              <w:jc w:val="both"/>
              <w:outlineLvl w:val="0"/>
              <w:rPr>
                <w:rFonts w:cs="Arial"/>
                <w:b w:val="0"/>
                <w:bCs w:val="0"/>
                <w:sz w:val="20"/>
                <w:lang w:eastAsia="en-US"/>
              </w:rPr>
            </w:pPr>
          </w:p>
        </w:tc>
        <w:tc>
          <w:tcPr>
            <w:tcW w:w="2658" w:type="dxa"/>
            <w:tcBorders>
              <w:top w:val="single" w:sz="4" w:space="0" w:color="auto"/>
              <w:left w:val="single" w:sz="4" w:space="0" w:color="auto"/>
              <w:bottom w:val="single" w:sz="4" w:space="0" w:color="auto"/>
              <w:right w:val="single" w:sz="4" w:space="0" w:color="auto"/>
            </w:tcBorders>
          </w:tcPr>
          <w:p w:rsidR="00E1691A" w:rsidRPr="00524DAA" w:rsidRDefault="00E1691A">
            <w:pPr>
              <w:pStyle w:val="Nzev"/>
              <w:jc w:val="both"/>
              <w:outlineLvl w:val="0"/>
              <w:rPr>
                <w:rFonts w:cs="Arial"/>
                <w:bCs w:val="0"/>
                <w:sz w:val="20"/>
                <w:lang w:eastAsia="en-US"/>
              </w:rPr>
            </w:pPr>
          </w:p>
          <w:p w:rsidR="00E1691A" w:rsidRPr="00524DAA" w:rsidRDefault="00E1691A">
            <w:pPr>
              <w:pStyle w:val="Nzev"/>
              <w:jc w:val="both"/>
              <w:outlineLvl w:val="0"/>
              <w:rPr>
                <w:rFonts w:cs="Arial"/>
                <w:bCs w:val="0"/>
                <w:sz w:val="20"/>
                <w:lang w:eastAsia="en-US"/>
              </w:rPr>
            </w:pPr>
          </w:p>
          <w:p w:rsidR="00E1691A" w:rsidRPr="00524DAA" w:rsidRDefault="00E1691A">
            <w:pPr>
              <w:pStyle w:val="Nzev"/>
              <w:jc w:val="both"/>
              <w:outlineLvl w:val="0"/>
              <w:rPr>
                <w:rFonts w:cs="Arial"/>
                <w:bCs w:val="0"/>
                <w:sz w:val="20"/>
                <w:lang w:eastAsia="en-US"/>
              </w:rPr>
            </w:pPr>
            <w:r w:rsidRPr="00524DAA">
              <w:rPr>
                <w:rFonts w:cs="Arial"/>
                <w:bCs w:val="0"/>
                <w:sz w:val="20"/>
                <w:lang w:eastAsia="en-US"/>
              </w:rPr>
              <w:t>X</w:t>
            </w:r>
          </w:p>
          <w:p w:rsidR="00E1691A" w:rsidRPr="00524DAA" w:rsidRDefault="00E1691A">
            <w:pPr>
              <w:pStyle w:val="Nzev"/>
              <w:jc w:val="both"/>
              <w:outlineLvl w:val="0"/>
              <w:rPr>
                <w:rFonts w:cs="Arial"/>
                <w:b w:val="0"/>
                <w:bCs w:val="0"/>
                <w:sz w:val="20"/>
                <w:lang w:eastAsia="en-US"/>
              </w:rPr>
            </w:pPr>
            <w:r w:rsidRPr="00524DAA">
              <w:rPr>
                <w:rFonts w:cs="Arial"/>
                <w:b w:val="0"/>
                <w:bCs w:val="0"/>
                <w:sz w:val="20"/>
                <w:lang w:eastAsia="en-US"/>
              </w:rPr>
              <w:t xml:space="preserve">resp. ustanovením § 78a odst. 7 písm. c) je vyloučen souběh poskytování příspěvku podle ustanovení § 78a a příspěvku podle ustanovení § 76 </w:t>
            </w:r>
          </w:p>
        </w:tc>
      </w:tr>
      <w:tr w:rsidR="00E1691A" w:rsidRPr="00524DAA" w:rsidTr="00E1691A">
        <w:tc>
          <w:tcPr>
            <w:tcW w:w="3751" w:type="dxa"/>
            <w:tcBorders>
              <w:top w:val="single" w:sz="4" w:space="0" w:color="auto"/>
              <w:left w:val="single" w:sz="4" w:space="0" w:color="auto"/>
              <w:bottom w:val="single" w:sz="4" w:space="0" w:color="auto"/>
              <w:right w:val="single" w:sz="4" w:space="0" w:color="auto"/>
            </w:tcBorders>
            <w:hideMark/>
          </w:tcPr>
          <w:p w:rsidR="00E1691A" w:rsidRPr="00524DAA" w:rsidRDefault="00E1691A" w:rsidP="009E5382">
            <w:pPr>
              <w:pStyle w:val="Nzev"/>
              <w:jc w:val="both"/>
              <w:outlineLvl w:val="0"/>
              <w:rPr>
                <w:rFonts w:cs="Arial"/>
                <w:b w:val="0"/>
                <w:bCs w:val="0"/>
                <w:sz w:val="20"/>
                <w:lang w:eastAsia="en-US"/>
              </w:rPr>
            </w:pPr>
            <w:r w:rsidRPr="00524DAA">
              <w:rPr>
                <w:rFonts w:cs="Arial"/>
                <w:bCs w:val="0"/>
                <w:sz w:val="20"/>
                <w:lang w:eastAsia="en-US"/>
              </w:rPr>
              <w:t xml:space="preserve">Ustanovení § 78a zákona </w:t>
            </w:r>
            <w:r w:rsidRPr="00524DAA">
              <w:rPr>
                <w:rFonts w:cs="Arial"/>
                <w:bCs w:val="0"/>
                <w:sz w:val="20"/>
                <w:lang w:eastAsia="en-US"/>
              </w:rPr>
              <w:br/>
              <w:t>o zaměstnanosti</w:t>
            </w:r>
            <w:r w:rsidRPr="00524DAA">
              <w:rPr>
                <w:rFonts w:cs="Arial"/>
                <w:b w:val="0"/>
                <w:bCs w:val="0"/>
                <w:sz w:val="20"/>
                <w:lang w:eastAsia="en-US"/>
              </w:rPr>
              <w:t xml:space="preserve"> – příspěvek na podporu zaměstnávání osob se </w:t>
            </w:r>
            <w:r w:rsidR="009E5382" w:rsidRPr="00524DAA">
              <w:rPr>
                <w:rFonts w:cs="Arial"/>
                <w:b w:val="0"/>
                <w:bCs w:val="0"/>
                <w:sz w:val="20"/>
                <w:lang w:eastAsia="en-US"/>
              </w:rPr>
              <w:t xml:space="preserve">ZP </w:t>
            </w:r>
            <w:r w:rsidRPr="00524DAA">
              <w:rPr>
                <w:rFonts w:cs="Arial"/>
                <w:b w:val="0"/>
                <w:bCs w:val="0"/>
                <w:sz w:val="20"/>
                <w:lang w:eastAsia="en-US"/>
              </w:rPr>
              <w:t>na chráněném trhu práce</w:t>
            </w:r>
          </w:p>
        </w:tc>
        <w:tc>
          <w:tcPr>
            <w:tcW w:w="2658" w:type="dxa"/>
            <w:tcBorders>
              <w:top w:val="single" w:sz="4" w:space="0" w:color="auto"/>
              <w:left w:val="single" w:sz="4" w:space="0" w:color="auto"/>
              <w:bottom w:val="single" w:sz="4" w:space="0" w:color="auto"/>
              <w:right w:val="single" w:sz="4" w:space="0" w:color="auto"/>
            </w:tcBorders>
          </w:tcPr>
          <w:p w:rsidR="00E1691A" w:rsidRPr="00524DAA" w:rsidRDefault="00E1691A">
            <w:pPr>
              <w:pStyle w:val="Nzev"/>
              <w:jc w:val="both"/>
              <w:outlineLvl w:val="0"/>
              <w:rPr>
                <w:rFonts w:cs="Arial"/>
                <w:bCs w:val="0"/>
                <w:sz w:val="20"/>
                <w:lang w:eastAsia="en-US"/>
              </w:rPr>
            </w:pPr>
          </w:p>
          <w:p w:rsidR="00E1691A" w:rsidRPr="00524DAA" w:rsidRDefault="00E1691A">
            <w:pPr>
              <w:pStyle w:val="Nzev"/>
              <w:jc w:val="both"/>
              <w:outlineLvl w:val="0"/>
              <w:rPr>
                <w:rFonts w:cs="Arial"/>
                <w:bCs w:val="0"/>
                <w:sz w:val="20"/>
                <w:lang w:eastAsia="en-US"/>
              </w:rPr>
            </w:pPr>
            <w:r w:rsidRPr="00524DAA">
              <w:rPr>
                <w:rFonts w:cs="Arial"/>
                <w:bCs w:val="0"/>
                <w:sz w:val="20"/>
                <w:lang w:eastAsia="en-US"/>
              </w:rPr>
              <w:t>X</w:t>
            </w:r>
          </w:p>
          <w:p w:rsidR="00E1691A" w:rsidRPr="00524DAA" w:rsidRDefault="00E1691A">
            <w:pPr>
              <w:pStyle w:val="Nzev"/>
              <w:jc w:val="both"/>
              <w:outlineLvl w:val="0"/>
              <w:rPr>
                <w:rFonts w:cs="Arial"/>
                <w:b w:val="0"/>
                <w:bCs w:val="0"/>
                <w:sz w:val="20"/>
                <w:lang w:eastAsia="en-US"/>
              </w:rPr>
            </w:pPr>
            <w:r w:rsidRPr="00524DAA">
              <w:rPr>
                <w:rFonts w:cs="Arial"/>
                <w:b w:val="0"/>
                <w:bCs w:val="0"/>
                <w:sz w:val="20"/>
                <w:lang w:eastAsia="en-US"/>
              </w:rPr>
              <w:t>pro volný trh práce vyloučeno ustanovením § 78a odst. 1</w:t>
            </w:r>
          </w:p>
        </w:tc>
        <w:tc>
          <w:tcPr>
            <w:tcW w:w="2658" w:type="dxa"/>
            <w:tcBorders>
              <w:top w:val="single" w:sz="4" w:space="0" w:color="auto"/>
              <w:left w:val="single" w:sz="4" w:space="0" w:color="auto"/>
              <w:bottom w:val="single" w:sz="4" w:space="0" w:color="auto"/>
              <w:right w:val="single" w:sz="4" w:space="0" w:color="auto"/>
            </w:tcBorders>
          </w:tcPr>
          <w:p w:rsidR="00E1691A" w:rsidRPr="00524DAA" w:rsidRDefault="00E1691A">
            <w:pPr>
              <w:pStyle w:val="Nzev"/>
              <w:jc w:val="both"/>
              <w:outlineLvl w:val="0"/>
              <w:rPr>
                <w:rFonts w:cs="Arial"/>
                <w:b w:val="0"/>
                <w:bCs w:val="0"/>
                <w:sz w:val="20"/>
                <w:lang w:eastAsia="en-US"/>
              </w:rPr>
            </w:pPr>
          </w:p>
          <w:p w:rsidR="00E1691A" w:rsidRPr="00524DAA" w:rsidRDefault="00E1691A" w:rsidP="0087275C">
            <w:pPr>
              <w:pStyle w:val="Nzev"/>
              <w:numPr>
                <w:ilvl w:val="0"/>
                <w:numId w:val="4"/>
              </w:numPr>
              <w:ind w:left="0"/>
              <w:jc w:val="both"/>
              <w:outlineLvl w:val="0"/>
              <w:rPr>
                <w:rFonts w:cs="Arial"/>
                <w:b w:val="0"/>
                <w:bCs w:val="0"/>
                <w:sz w:val="20"/>
                <w:lang w:eastAsia="en-US"/>
              </w:rPr>
            </w:pPr>
          </w:p>
        </w:tc>
      </w:tr>
    </w:tbl>
    <w:p w:rsidR="00E6456B" w:rsidRPr="00524DAA" w:rsidRDefault="00E6456B" w:rsidP="00F7267E">
      <w:pPr>
        <w:pStyle w:val="SingleTxtG"/>
      </w:pPr>
    </w:p>
    <w:p w:rsidR="00E1691A" w:rsidRPr="00524DAA" w:rsidRDefault="00E75192" w:rsidP="00F7267E">
      <w:pPr>
        <w:pStyle w:val="SingleTxtG"/>
      </w:pPr>
      <w:r>
        <w:t>2</w:t>
      </w:r>
      <w:r w:rsidR="007577E1">
        <w:t>7</w:t>
      </w:r>
      <w:r w:rsidR="00A20FD7">
        <w:t>7</w:t>
      </w:r>
      <w:r>
        <w:t>.</w:t>
      </w:r>
      <w:r w:rsidR="005961DF" w:rsidRPr="00524DAA">
        <w:tab/>
        <w:t xml:space="preserve">Dále došlo ke změně struktury příspěvku na podporu zaměstnávání osob se ZP poskytovaného zaměstnavatelům na chráněném trhu práce, a to zvýšením flexibility jeho čerpání. Zaměstnavatel tak může příspěvek čerpat v maximální výši 13 </w:t>
      </w:r>
      <w:r w:rsidR="00C405B6">
        <w:t>8</w:t>
      </w:r>
      <w:r w:rsidR="005961DF" w:rsidRPr="00524DAA">
        <w:t>00 Kč měsíčně na jednu osobu se ZP v libovolném poměru mzdových a provozních nákladů.</w:t>
      </w:r>
    </w:p>
    <w:p w:rsidR="00E16C6B" w:rsidRDefault="00E75192" w:rsidP="00E16C6B">
      <w:pPr>
        <w:pStyle w:val="SingleTxtG"/>
      </w:pPr>
      <w:r>
        <w:lastRenderedPageBreak/>
        <w:t>2</w:t>
      </w:r>
      <w:r w:rsidR="0020148B">
        <w:t>7</w:t>
      </w:r>
      <w:r w:rsidR="00A20FD7">
        <w:t>8</w:t>
      </w:r>
      <w:r>
        <w:t>.</w:t>
      </w:r>
      <w:r w:rsidR="00E16C6B">
        <w:tab/>
        <w:t>Zaměstnanost osob se ZP - uchazečů o zaměstnání podporuje Ú</w:t>
      </w:r>
      <w:r w:rsidR="00031BCD">
        <w:t xml:space="preserve">P </w:t>
      </w:r>
      <w:r w:rsidR="00E16C6B">
        <w:t xml:space="preserve">ČR též prostřednictvím úzké spolupráce s organizacemi a svazy, které osoby se </w:t>
      </w:r>
      <w:r w:rsidR="00661CA9">
        <w:t xml:space="preserve">ZP </w:t>
      </w:r>
      <w:r w:rsidR="00E16C6B">
        <w:t>zastupují. Konkrétním příkladem je Memorandum, které v l</w:t>
      </w:r>
      <w:r w:rsidR="00E66058">
        <w:t>ednu 2018 uzavřel Ú</w:t>
      </w:r>
      <w:r w:rsidR="00031BCD">
        <w:t xml:space="preserve">P </w:t>
      </w:r>
      <w:r w:rsidR="00E66058">
        <w:t>ČR</w:t>
      </w:r>
      <w:r w:rsidR="00E66058">
        <w:br/>
      </w:r>
      <w:r w:rsidR="00E16C6B">
        <w:t>s Národní radou osob se ZP ČR. Jeho obsahem je dlouhodobá spolupráce a koordinace aktivit směřujících k navýšení podílu zaměstnanosti osob se ZP.</w:t>
      </w:r>
    </w:p>
    <w:p w:rsidR="00496C8B" w:rsidRPr="00524DAA" w:rsidRDefault="00496C8B" w:rsidP="001D4EF8">
      <w:pPr>
        <w:pStyle w:val="SingleTxtG"/>
      </w:pPr>
    </w:p>
    <w:p w:rsidR="00496C8B" w:rsidRPr="00464437" w:rsidRDefault="00496C8B" w:rsidP="00496C8B">
      <w:pPr>
        <w:pStyle w:val="H1G"/>
      </w:pPr>
      <w:r w:rsidRPr="00524DAA">
        <w:tab/>
      </w:r>
      <w:r w:rsidRPr="00524DAA">
        <w:tab/>
        <w:t>Odpověď na otázku č. 22 d)</w:t>
      </w:r>
    </w:p>
    <w:p w:rsidR="004A3846" w:rsidRPr="00524DAA" w:rsidRDefault="00E75192" w:rsidP="00A15881">
      <w:pPr>
        <w:pStyle w:val="SingleTxtG"/>
      </w:pPr>
      <w:r>
        <w:t>2</w:t>
      </w:r>
      <w:r w:rsidR="0020148B">
        <w:t>7</w:t>
      </w:r>
      <w:r w:rsidR="00A20FD7">
        <w:t>9</w:t>
      </w:r>
      <w:r>
        <w:t>.</w:t>
      </w:r>
      <w:r w:rsidR="00A15881" w:rsidRPr="00524DAA">
        <w:tab/>
        <w:t xml:space="preserve">Zákon o zaměstnanosti </w:t>
      </w:r>
      <w:r w:rsidR="008B57DD" w:rsidRPr="00524DAA">
        <w:t xml:space="preserve">stále </w:t>
      </w:r>
      <w:r w:rsidR="00A15881" w:rsidRPr="00524DAA">
        <w:t>rozlišuje pojem „z</w:t>
      </w:r>
      <w:r w:rsidR="00E66058">
        <w:t>ájemce o zaměstnání“ a „uchazeč</w:t>
      </w:r>
      <w:r w:rsidR="00E66058">
        <w:br/>
      </w:r>
      <w:r w:rsidR="00A15881" w:rsidRPr="00524DAA">
        <w:t>o zaměstnání“</w:t>
      </w:r>
      <w:r w:rsidR="0005110C">
        <w:t>,</w:t>
      </w:r>
      <w:r w:rsidR="004A3846" w:rsidRPr="00524DAA">
        <w:t xml:space="preserve"> </w:t>
      </w:r>
      <w:r w:rsidR="0005110C">
        <w:t xml:space="preserve">ačkoliv </w:t>
      </w:r>
      <w:r w:rsidR="004A3846" w:rsidRPr="00524DAA">
        <w:t xml:space="preserve">je účelem </w:t>
      </w:r>
      <w:r w:rsidR="00A15881" w:rsidRPr="00524DAA">
        <w:t xml:space="preserve">obou </w:t>
      </w:r>
      <w:r w:rsidR="004A3846" w:rsidRPr="00524DAA">
        <w:t xml:space="preserve">kategorií </w:t>
      </w:r>
      <w:r w:rsidR="00A15881" w:rsidRPr="00524DAA">
        <w:t>zprostředkování za</w:t>
      </w:r>
      <w:r w:rsidR="00E66058">
        <w:t>městnání. Uchazečem</w:t>
      </w:r>
      <w:r w:rsidR="00E66058">
        <w:br/>
      </w:r>
      <w:r w:rsidR="00A15881" w:rsidRPr="00524DAA">
        <w:t xml:space="preserve">o zaměstnání se nemůže stát fyzická osoba invalidní ve </w:t>
      </w:r>
      <w:r w:rsidR="004A3846" w:rsidRPr="00524DAA">
        <w:t>III.</w:t>
      </w:r>
      <w:r w:rsidR="00A15881" w:rsidRPr="00524DAA">
        <w:t xml:space="preserve"> stupni, s výjimkou osoby, která je invalidní ve </w:t>
      </w:r>
      <w:r w:rsidR="004A3846" w:rsidRPr="00524DAA">
        <w:t xml:space="preserve">III. </w:t>
      </w:r>
      <w:r w:rsidR="00A15881" w:rsidRPr="00524DAA">
        <w:t>stupni a je schopna výdělečné činnosti za zcela mimořádných podmínek.</w:t>
      </w:r>
    </w:p>
    <w:p w:rsidR="004A3846" w:rsidRPr="00524DAA" w:rsidRDefault="00E75192" w:rsidP="00A15881">
      <w:pPr>
        <w:pStyle w:val="SingleTxtG"/>
      </w:pPr>
      <w:r>
        <w:t>2</w:t>
      </w:r>
      <w:r w:rsidR="00A20FD7">
        <w:t>80</w:t>
      </w:r>
      <w:r>
        <w:t>.</w:t>
      </w:r>
      <w:r w:rsidR="004A3846" w:rsidRPr="00524DAA">
        <w:tab/>
        <w:t xml:space="preserve">Osoby invalidní ve III. stupni jsou </w:t>
      </w:r>
      <w:r w:rsidR="00A15881" w:rsidRPr="00524DAA">
        <w:t>osoby s</w:t>
      </w:r>
      <w:r w:rsidR="004A3846" w:rsidRPr="00524DAA">
        <w:t> </w:t>
      </w:r>
      <w:r w:rsidR="00A15881" w:rsidRPr="00524DAA">
        <w:t>nejzávažnějším</w:t>
      </w:r>
      <w:r w:rsidR="004A3846" w:rsidRPr="00524DAA">
        <w:t>i druhy zdravotního postižení</w:t>
      </w:r>
      <w:r w:rsidR="00A15881" w:rsidRPr="00524DAA">
        <w:t>, kter</w:t>
      </w:r>
      <w:r w:rsidR="001D1221">
        <w:t>é</w:t>
      </w:r>
      <w:r w:rsidR="00A15881" w:rsidRPr="00524DAA">
        <w:t xml:space="preserve"> v</w:t>
      </w:r>
      <w:r w:rsidR="001D1221">
        <w:t>e</w:t>
      </w:r>
      <w:r w:rsidR="00A15881" w:rsidRPr="00524DAA">
        <w:t xml:space="preserve"> </w:t>
      </w:r>
      <w:r w:rsidR="001D1221">
        <w:t xml:space="preserve">spojení </w:t>
      </w:r>
      <w:r w:rsidR="00A15881" w:rsidRPr="00524DAA">
        <w:t xml:space="preserve">se ztíženou mobilitou neumožňují těmto osobám plnit povinnosti uchazečů o zaměstnání. Uchazeči o zaměstnání se </w:t>
      </w:r>
      <w:r w:rsidR="001D1221">
        <w:t xml:space="preserve">mj. </w:t>
      </w:r>
      <w:r w:rsidR="00A15881" w:rsidRPr="00524DAA">
        <w:t>musí pravidelně dostavovat ve stanovených termínech na příslušné pracoviště Ú</w:t>
      </w:r>
      <w:r w:rsidR="00031BCD">
        <w:t xml:space="preserve">P </w:t>
      </w:r>
      <w:r w:rsidR="00A15881" w:rsidRPr="00524DAA">
        <w:t>Č</w:t>
      </w:r>
      <w:r w:rsidR="001D1221">
        <w:t>R</w:t>
      </w:r>
      <w:r w:rsidR="00A15881" w:rsidRPr="00524DAA">
        <w:t>.</w:t>
      </w:r>
    </w:p>
    <w:p w:rsidR="00A15881" w:rsidRPr="00524DAA" w:rsidRDefault="00E75192" w:rsidP="00A15881">
      <w:pPr>
        <w:pStyle w:val="SingleTxtG"/>
      </w:pPr>
      <w:r>
        <w:t>2</w:t>
      </w:r>
      <w:r w:rsidR="001A1ACA">
        <w:t>8</w:t>
      </w:r>
      <w:r w:rsidR="00A20FD7">
        <w:t>1</w:t>
      </w:r>
      <w:r>
        <w:t>.</w:t>
      </w:r>
      <w:r w:rsidR="004A3846" w:rsidRPr="00524DAA">
        <w:tab/>
      </w:r>
      <w:r w:rsidR="00A15881" w:rsidRPr="00524DAA">
        <w:t xml:space="preserve">Dalším důvodem je ta skutečnost, že evidence uchazečů o zaměstnání je vázána na zprostředkování tzv. vhodného zaměstnání podle ustanovení § 20 zákona o zaměstnanosti, přičemž vhodným zaměstnáním </w:t>
      </w:r>
      <w:r w:rsidR="004A3846" w:rsidRPr="00524DAA">
        <w:t xml:space="preserve">je takové </w:t>
      </w:r>
      <w:r w:rsidR="00A15881" w:rsidRPr="00524DAA">
        <w:t>zaměstnání, které zakládá povinnost odvádět pojistné na důchodové pojištění a příspěvek na státní politiku zaměstnanosti, jehož délka pracovní doby činí nejméně 80 % stanovené týdenní pracovní doby, které je sjednáno na dobu neurčitou, nebo na dobu určitou delší než 3 měsíce a které odpovídá zdravotní způsobilosti fyzické osoby a pokud možno její kvalifikaci, schopnostem, dosavadní délce doby zaměstnání, možnosti ubytování a dopravní dosažite</w:t>
      </w:r>
      <w:r w:rsidR="00E66058">
        <w:t>lnosti zaměstnání. Pro uchazeče</w:t>
      </w:r>
      <w:r w:rsidR="00E66058">
        <w:br/>
      </w:r>
      <w:r w:rsidR="00A15881" w:rsidRPr="00524DAA">
        <w:t>o zaměstnání, který je veden v evidenci uchazečů o zaměstnání po dobu delší než 1 rok, je vhodným zaměstnáním i zaměstnání, které splňuje výše uvedené podmínky a délka jeho pracovní doby činí nejméně 50 % stanovené týde</w:t>
      </w:r>
      <w:r w:rsidR="00E66058">
        <w:t>nní pracovní doby. Pro uchazeče</w:t>
      </w:r>
      <w:r w:rsidR="00E66058">
        <w:br/>
      </w:r>
      <w:r w:rsidR="00A15881" w:rsidRPr="00524DAA">
        <w:t>o zaměstnání, který má být umístěn na veřejně prospěšné práce, je vhodným za</w:t>
      </w:r>
      <w:r w:rsidR="00E66058">
        <w:t>městnáním</w:t>
      </w:r>
      <w:r w:rsidR="00E66058">
        <w:br/>
      </w:r>
      <w:r w:rsidR="00A15881" w:rsidRPr="00524DAA">
        <w:t>i takové zaměstnání, jehož délka pracovní doby činí nejvýše polovinu délky stanovené týdenní pracovní doby, a které odpovídá jeho zdravotní způsobilosti.</w:t>
      </w:r>
    </w:p>
    <w:p w:rsidR="00496C8B" w:rsidRPr="00524DAA" w:rsidRDefault="00E75192" w:rsidP="00A15881">
      <w:pPr>
        <w:pStyle w:val="SingleTxtG"/>
      </w:pPr>
      <w:r>
        <w:t>2</w:t>
      </w:r>
      <w:r w:rsidR="001A1ACA">
        <w:t>8</w:t>
      </w:r>
      <w:r w:rsidR="00A20FD7">
        <w:t>2</w:t>
      </w:r>
      <w:r>
        <w:t>.</w:t>
      </w:r>
      <w:r w:rsidR="00211C85" w:rsidRPr="00524DAA">
        <w:tab/>
      </w:r>
      <w:r w:rsidR="00A15881" w:rsidRPr="00524DAA">
        <w:t>Vzhledem k</w:t>
      </w:r>
      <w:r w:rsidR="008434CD">
        <w:t xml:space="preserve"> uvedeným </w:t>
      </w:r>
      <w:r w:rsidR="00A15881" w:rsidRPr="00524DAA">
        <w:t xml:space="preserve">skutečnostem je tedy pro osoby invalidní ve </w:t>
      </w:r>
      <w:r w:rsidR="00211C85" w:rsidRPr="00524DAA">
        <w:t xml:space="preserve">III. </w:t>
      </w:r>
      <w:r w:rsidR="00E66058">
        <w:t>stupni,</w:t>
      </w:r>
      <w:r w:rsidR="00E66058">
        <w:br/>
      </w:r>
      <w:r w:rsidR="00A15881" w:rsidRPr="00524DAA">
        <w:t>u kterých se nepřipouští výkon práce za zcela mimořádných podmínek, výhodnější požádat Ú</w:t>
      </w:r>
      <w:r w:rsidR="00031BCD">
        <w:t>P </w:t>
      </w:r>
      <w:r w:rsidR="00A15881" w:rsidRPr="00524DAA">
        <w:t>Č</w:t>
      </w:r>
      <w:r w:rsidR="00D14B26">
        <w:t xml:space="preserve">R </w:t>
      </w:r>
      <w:r w:rsidR="00A15881" w:rsidRPr="00524DAA">
        <w:t>o zařazení do evidence zájemců o zaměstnání. Tato evidence, stejně jako evidence uchazečů o zaměstnání, slouží ke zprostředkování zaměstnání osobám, které o to Ú</w:t>
      </w:r>
      <w:r w:rsidR="00031BCD">
        <w:t xml:space="preserve">P </w:t>
      </w:r>
      <w:r w:rsidR="00A15881" w:rsidRPr="00524DAA">
        <w:t>Č</w:t>
      </w:r>
      <w:r w:rsidR="00D14B26">
        <w:t xml:space="preserve">R </w:t>
      </w:r>
      <w:r w:rsidR="00A15881" w:rsidRPr="00524DAA">
        <w:t>požádají. O zařazení do této evidence lze požádat na kterémkoliv pracovišti Ú</w:t>
      </w:r>
      <w:r w:rsidR="00031BCD">
        <w:t xml:space="preserve">P </w:t>
      </w:r>
      <w:r w:rsidR="00A15881" w:rsidRPr="00524DAA">
        <w:t>Č</w:t>
      </w:r>
      <w:r w:rsidR="00D14B26">
        <w:t>R</w:t>
      </w:r>
      <w:r w:rsidR="00A15881" w:rsidRPr="00524DAA">
        <w:t>, což je vzhledem ke ztížené mobilitě těchto osob výhodnější oproti evidenci uchazečů o</w:t>
      </w:r>
      <w:r w:rsidR="00031BCD">
        <w:t> </w:t>
      </w:r>
      <w:r w:rsidR="00A15881" w:rsidRPr="00524DAA">
        <w:t>zaměstnání. Zároveň tato evidence vykazuje „volnější režim“ oproti evidenci uchazečů o</w:t>
      </w:r>
      <w:r w:rsidR="00031BCD">
        <w:t> </w:t>
      </w:r>
      <w:r w:rsidR="00A15881" w:rsidRPr="00524DAA">
        <w:t>zaměstnání, pokud jde o povinnosti osob vedených v obou evidencích. Zejména pokud jde o pravidelné termíny kontaktních schůzek na Ú</w:t>
      </w:r>
      <w:r w:rsidR="00031BCD">
        <w:t xml:space="preserve">P </w:t>
      </w:r>
      <w:r w:rsidR="00A15881" w:rsidRPr="00524DAA">
        <w:t>Č</w:t>
      </w:r>
      <w:r w:rsidR="00E66058">
        <w:t>R</w:t>
      </w:r>
      <w:r w:rsidR="00031BCD">
        <w:t xml:space="preserve"> </w:t>
      </w:r>
      <w:r w:rsidR="00A15881" w:rsidRPr="00524DAA">
        <w:t>a</w:t>
      </w:r>
      <w:r w:rsidR="00031BCD">
        <w:t> </w:t>
      </w:r>
      <w:r w:rsidR="00A15881" w:rsidRPr="00524DAA">
        <w:t>vyřizování doporučenek na volná pracovní místa.</w:t>
      </w:r>
    </w:p>
    <w:p w:rsidR="00496C8B" w:rsidRPr="00524DAA" w:rsidRDefault="00496C8B" w:rsidP="001D4EF8">
      <w:pPr>
        <w:pStyle w:val="SingleTxtG"/>
      </w:pPr>
    </w:p>
    <w:p w:rsidR="00615BA7" w:rsidRPr="00464437" w:rsidRDefault="00615BA7" w:rsidP="00615BA7">
      <w:pPr>
        <w:pStyle w:val="H1G"/>
      </w:pPr>
      <w:r w:rsidRPr="00524DAA">
        <w:tab/>
      </w:r>
      <w:r w:rsidRPr="00524DAA">
        <w:tab/>
        <w:t>Odpověď na otázku č. 23 a)</w:t>
      </w:r>
    </w:p>
    <w:p w:rsidR="00FA35D9" w:rsidRPr="00524DAA" w:rsidRDefault="00E75192" w:rsidP="00A321D9">
      <w:pPr>
        <w:pStyle w:val="SingleTxtG"/>
      </w:pPr>
      <w:r>
        <w:t>2</w:t>
      </w:r>
      <w:r w:rsidR="001A1ACA">
        <w:t>8</w:t>
      </w:r>
      <w:r w:rsidR="00A20FD7">
        <w:t>3</w:t>
      </w:r>
      <w:r>
        <w:t>.</w:t>
      </w:r>
      <w:r w:rsidR="006E5FBA" w:rsidRPr="00524DAA">
        <w:tab/>
      </w:r>
      <w:r w:rsidR="00FA35D9" w:rsidRPr="00524DAA">
        <w:t>Pokud jde o oblast důchodového pojištění</w:t>
      </w:r>
      <w:r w:rsidR="006E5FBA" w:rsidRPr="00524DAA">
        <w:t xml:space="preserve">, není ve vztahu k osobám se </w:t>
      </w:r>
      <w:r w:rsidR="00591A42">
        <w:t xml:space="preserve">ZP </w:t>
      </w:r>
      <w:r w:rsidR="001911EB" w:rsidRPr="00524DAA">
        <w:t xml:space="preserve">třeba </w:t>
      </w:r>
      <w:r w:rsidR="006E5FBA" w:rsidRPr="00524DAA">
        <w:t xml:space="preserve">přijímat žádné další zvláštní opatření nad rámec </w:t>
      </w:r>
      <w:r w:rsidR="001911EB" w:rsidRPr="00524DAA">
        <w:t xml:space="preserve">stávající právní úpravy. Ze </w:t>
      </w:r>
      <w:r w:rsidR="00FA35D9" w:rsidRPr="00524DAA">
        <w:t xml:space="preserve">statistických údajů </w:t>
      </w:r>
      <w:r w:rsidR="001911EB" w:rsidRPr="00524DAA">
        <w:t xml:space="preserve">ze </w:t>
      </w:r>
      <w:r w:rsidR="00FA35D9" w:rsidRPr="00524DAA">
        <w:t>srp</w:t>
      </w:r>
      <w:r w:rsidR="001911EB" w:rsidRPr="00524DAA">
        <w:t>na</w:t>
      </w:r>
      <w:r w:rsidR="00FA35D9" w:rsidRPr="00524DAA">
        <w:t>2019</w:t>
      </w:r>
      <w:r w:rsidR="001911EB" w:rsidRPr="00524DAA">
        <w:t xml:space="preserve"> plyne, že</w:t>
      </w:r>
      <w:r w:rsidR="00FA35D9" w:rsidRPr="00524DAA">
        <w:t xml:space="preserve"> z celkového počtu důchodců (2 892 tis.) činí 83 % poživatelů starobních důchodů, 15 % poživatelů invalidních důchodů </w:t>
      </w:r>
      <w:r w:rsidR="00A321D9" w:rsidRPr="00524DAA">
        <w:t xml:space="preserve">[z toho činí 6 % poživatelů invalidních důchodů pro invaliditu </w:t>
      </w:r>
      <w:r w:rsidR="00F9095B" w:rsidRPr="00524DAA">
        <w:t>III.</w:t>
      </w:r>
      <w:r w:rsidR="00A321D9" w:rsidRPr="00524DAA">
        <w:t xml:space="preserve"> stupně (pokles pracovní schopnosti nejméně o 70 %), 3 % poživatelů invalidních důchodů pro invaliditu druhého stupně (pokles pracovní schopnosti nejméně o 50 %, avšak nejvíce o 69 %) a 6 % poživatelů invalidních důchodů pro invaliditu prvního stupně (pokles pracovní schopnost</w:t>
      </w:r>
      <w:r w:rsidR="00E66058">
        <w:t>i nejméně o 35 %, avšak nejvíce</w:t>
      </w:r>
      <w:r w:rsidR="00E66058">
        <w:br/>
      </w:r>
      <w:r w:rsidR="00A321D9" w:rsidRPr="00524DAA">
        <w:t xml:space="preserve">o 49 %)] </w:t>
      </w:r>
      <w:r w:rsidR="00FA35D9" w:rsidRPr="00524DAA">
        <w:t>a 2 % poživatelů pozůstalostních důchodů.</w:t>
      </w:r>
      <w:r w:rsidR="00A321D9" w:rsidRPr="00524DAA">
        <w:t xml:space="preserve"> </w:t>
      </w:r>
      <w:r w:rsidR="00FA35D9" w:rsidRPr="00524DAA">
        <w:t>Pokud jde o srovnávání průměrné výše invalidních důchodů a starobních důchodů, lze s</w:t>
      </w:r>
      <w:r w:rsidR="00E66058">
        <w:t>rovnávat pouze starobní důchody</w:t>
      </w:r>
      <w:r w:rsidR="00E66058">
        <w:br/>
      </w:r>
      <w:r w:rsidR="00FA35D9" w:rsidRPr="00524DAA">
        <w:t xml:space="preserve">a invalidní důchody pro invaliditu </w:t>
      </w:r>
      <w:r w:rsidR="00F9095B" w:rsidRPr="00524DAA">
        <w:t>III.</w:t>
      </w:r>
      <w:r w:rsidR="00FA35D9" w:rsidRPr="00524DAA">
        <w:t xml:space="preserve"> stupně – v těchto případech je procentní sazba pro </w:t>
      </w:r>
      <w:r w:rsidR="00FA35D9" w:rsidRPr="00524DAA">
        <w:lastRenderedPageBreak/>
        <w:t xml:space="preserve">stanovení výše důchodu za každý rok pojištění stejná; průměrná výše invalidních důchodů pro invaliditu </w:t>
      </w:r>
      <w:r w:rsidR="00F9095B" w:rsidRPr="00524DAA">
        <w:t>III</w:t>
      </w:r>
      <w:r w:rsidR="00251982" w:rsidRPr="00524DAA">
        <w:t>.</w:t>
      </w:r>
      <w:r w:rsidR="00F9095B" w:rsidRPr="00524DAA">
        <w:t xml:space="preserve"> </w:t>
      </w:r>
      <w:r w:rsidR="00FA35D9" w:rsidRPr="00524DAA">
        <w:t>stupně činí 89 % průměrné výše důchodů starobních. Roční objem finančních prostředků vyplacených na invalidní důchody činil v roce 2018 53</w:t>
      </w:r>
      <w:r w:rsidR="00251982" w:rsidRPr="00524DAA">
        <w:t> </w:t>
      </w:r>
      <w:r w:rsidR="00FA35D9" w:rsidRPr="00524DAA">
        <w:t>297</w:t>
      </w:r>
      <w:r w:rsidR="00591A42">
        <w:t> </w:t>
      </w:r>
      <w:r w:rsidR="00FA35D9" w:rsidRPr="00524DAA">
        <w:t>719</w:t>
      </w:r>
      <w:r w:rsidR="00591A42">
        <w:t> </w:t>
      </w:r>
      <w:r w:rsidR="00FA35D9" w:rsidRPr="00524DAA">
        <w:t>000</w:t>
      </w:r>
      <w:r w:rsidR="00591A42">
        <w:t> </w:t>
      </w:r>
      <w:r w:rsidR="00FA35D9" w:rsidRPr="00524DAA">
        <w:t>Kč.</w:t>
      </w:r>
    </w:p>
    <w:p w:rsidR="00FA35D9" w:rsidRPr="00524DAA" w:rsidRDefault="00E75192" w:rsidP="00FA35D9">
      <w:pPr>
        <w:pStyle w:val="SingleTxtG"/>
      </w:pPr>
      <w:r>
        <w:t>2</w:t>
      </w:r>
      <w:r w:rsidR="001A1ACA">
        <w:t>8</w:t>
      </w:r>
      <w:r w:rsidR="00A20FD7">
        <w:t>4</w:t>
      </w:r>
      <w:r>
        <w:t>.</w:t>
      </w:r>
      <w:r w:rsidR="005E0EE1" w:rsidRPr="00524DAA">
        <w:tab/>
      </w:r>
      <w:r w:rsidR="00FA35D9" w:rsidRPr="00524DAA">
        <w:t xml:space="preserve">Z konstrukce stanovení výše procentní výměry invalidního důchodu pro invaliditu prvního stupně nebo druhého stupně, která je odstupňována podle míry poklesu pracovní schopnosti, vyplývá, že v případě těchto invalidních důchodů se výdělečná činnost jejich poživatelů podle jejich možností a schopností přímo předpokládá. Z toho vyplývá, že tyto invalidní důchody by tedy neměly být jediným příjmem osoby a jejich pobírání bez dalšího nezakládá účast na důchodovém pojištění. Jinak je tomu v případě pobírání invalidního důchodu pro invaliditu </w:t>
      </w:r>
      <w:r w:rsidR="00251982" w:rsidRPr="00524DAA">
        <w:t>III.</w:t>
      </w:r>
      <w:r w:rsidR="00FA35D9" w:rsidRPr="00524DAA">
        <w:t xml:space="preserve"> stupně, která je dobou účasti na důchodovém pojištění; jde o tzv. náhradní (nepříspěvkovou) dobu pojištění, za ktero</w:t>
      </w:r>
      <w:r w:rsidR="00E66058">
        <w:t>u nejsou odváděny žádné platby,</w:t>
      </w:r>
      <w:r w:rsidR="00E66058">
        <w:br/>
      </w:r>
      <w:r w:rsidR="00FA35D9" w:rsidRPr="00524DAA">
        <w:t xml:space="preserve">a přesto se započítává do doby pojištění v rozsahu 80 %. </w:t>
      </w:r>
    </w:p>
    <w:p w:rsidR="005E0EE1" w:rsidRPr="00524DAA" w:rsidRDefault="00E75192" w:rsidP="005E0EE1">
      <w:pPr>
        <w:pStyle w:val="SingleTxtG"/>
      </w:pPr>
      <w:r>
        <w:t>2</w:t>
      </w:r>
      <w:r w:rsidR="0020148B">
        <w:t>8</w:t>
      </w:r>
      <w:r w:rsidR="00A20FD7">
        <w:t>5</w:t>
      </w:r>
      <w:r>
        <w:t>.</w:t>
      </w:r>
      <w:r w:rsidR="005E0EE1" w:rsidRPr="00524DAA">
        <w:tab/>
      </w:r>
      <w:r w:rsidR="00FA35D9" w:rsidRPr="00524DAA">
        <w:t>Výše důchodu se skládá ze dvou složek, a to ze základní výměry a z procentní výměry. Základní výměra, která plní sociální funkci, je p</w:t>
      </w:r>
      <w:r w:rsidR="00E66058">
        <w:t>ro všechny druhy důchodů stejná</w:t>
      </w:r>
      <w:r w:rsidR="00E66058">
        <w:br/>
      </w:r>
      <w:r w:rsidR="00FA35D9" w:rsidRPr="00524DAA">
        <w:t xml:space="preserve">a v současné době činí 3 270 Kč. Výše procentní výměry je závislá na délce doby pojištění a výši výdělků dosažených v rozhodném období před přiznáním důchodu. Především je třeba zdůraznit, že konstrukce výpočtu invalidního důchodu přiznaného pro invaliditu </w:t>
      </w:r>
      <w:r w:rsidR="00251982" w:rsidRPr="00524DAA">
        <w:t xml:space="preserve">III. </w:t>
      </w:r>
      <w:r w:rsidR="00FA35D9" w:rsidRPr="00524DAA">
        <w:t>stupně je stejná jako v případě starobního důchodu s tím, že ke skutečně získané době pojištění ke dni přiznání důchodu se přičítá tzv. dopočtená doba stejně jako doba faktického pojištění. Jde o dobu ode dne vzniku nároku na invalidní důchod do dosažení důchodového věku stanoveného pro ženy, které nevychovaly žádné dítě. Přitom platí, že dopočtená doba se nezapočítává, jestliže invalidita vznikla následkem úmyslného poškození zdraví, které si pojištěnec způsobil nebo nechal způsobit, nebo poškození zdraví pojištěnce, které vzniklo jako následek jeho úmyslného trestného činu. Podle právní úpravy účinné před 1.</w:t>
      </w:r>
      <w:r w:rsidR="00251982" w:rsidRPr="00524DAA">
        <w:t> lednem </w:t>
      </w:r>
      <w:r w:rsidR="00FA35D9" w:rsidRPr="00524DAA">
        <w:t xml:space="preserve">2010 nebyla délka dopočtené doby nijak závislá na délce doby pojištění získané do vzniku nároku na důchod a i pojištěnci s minimální dobou pojištění potřebnou vzhledem k jeho věku pro nárok na důchod se dopočtená doba hodnotila od vzniku nároku na důchod do dosažení důchodového věku plně. S účinností od 1. </w:t>
      </w:r>
      <w:r w:rsidR="00251982" w:rsidRPr="00524DAA">
        <w:t>ledna</w:t>
      </w:r>
      <w:r w:rsidR="00FA35D9" w:rsidRPr="00524DAA">
        <w:t xml:space="preserve"> 2010 se krátí délka dopočtené doby v případech, kdy pojištěnec nemá dobu od dosažení 18 let věku do vzniku nároku na invalidní důchod plně pokrytu dobou pojištění nebo náhradní dobou pojištění a nepokrytá doba činí více než jeden, dva anebo tři roky podle věku pojištěnce, ve kterém se stal invalidním. V takovém případě se „plná“ dopočtená doba krátí v poměru doby pojištění nebo náhradní doby pojištění získané v uvedeném období k době, která uplynula od dosažení 18 let věku do vzniku nároku na invalidní důchod. Tím, že se délka dopočtené doby stala závislá na délce doby pojištění, </w:t>
      </w:r>
      <w:r w:rsidR="00251982" w:rsidRPr="00524DAA">
        <w:t>po</w:t>
      </w:r>
      <w:r w:rsidR="00FA35D9" w:rsidRPr="00524DAA">
        <w:t>př</w:t>
      </w:r>
      <w:r w:rsidR="00251982" w:rsidRPr="00524DAA">
        <w:t>.</w:t>
      </w:r>
      <w:r w:rsidR="00FA35D9" w:rsidRPr="00524DAA">
        <w:t xml:space="preserve"> náhradní doby pojištění, kterou pojištěnec získal v období před vznikem invalidity, ve kterém reálně mohl být účasten důchodového pojištění, došlo k posílení principu ekvivalence v základním důchodovém pojištění. Pojištěnci, který má stanovené období zcela nebo s výjimkou doby nepřesahující jeden, dva nebo tři roky podle věku pojištěnce pokryto dobou pojištění, vč</w:t>
      </w:r>
      <w:r w:rsidR="007E17DF">
        <w:t>.</w:t>
      </w:r>
      <w:r w:rsidR="00FA35D9" w:rsidRPr="00524DAA">
        <w:t xml:space="preserve"> náhradní doby pojištění, je dopočtená doba zhodnocena v plném rozsahu, na rozdíl od pojištěnce, který nemá ve stanovené době kryt</w:t>
      </w:r>
      <w:r w:rsidR="00251982" w:rsidRPr="00524DAA">
        <w:t>ý</w:t>
      </w:r>
      <w:r w:rsidR="00FA35D9" w:rsidRPr="00524DAA">
        <w:t xml:space="preserve"> dobou pojištění aspoň jeden rok, resp. dva anebo tři roky. Krácení dopočtené doby se přitom ze sociálních důvodů neaplikuje v případech, kdy invalidita vznikla následkem pracovního úrazu nebo nemoci z povolání; v těchto případech se dopočtená doba z</w:t>
      </w:r>
      <w:r w:rsidR="005E0EE1" w:rsidRPr="00524DAA">
        <w:t>apočítává vždy v plném rozsahu.</w:t>
      </w:r>
    </w:p>
    <w:p w:rsidR="004615E5" w:rsidRPr="00524DAA" w:rsidRDefault="00E75192" w:rsidP="005E0EE1">
      <w:pPr>
        <w:pStyle w:val="SingleTxtG"/>
      </w:pPr>
      <w:r>
        <w:t>2</w:t>
      </w:r>
      <w:r w:rsidR="0020148B">
        <w:t>8</w:t>
      </w:r>
      <w:r w:rsidR="00A20FD7">
        <w:t>6</w:t>
      </w:r>
      <w:r>
        <w:t>.</w:t>
      </w:r>
      <w:r w:rsidR="005E0EE1" w:rsidRPr="00524DAA">
        <w:tab/>
      </w:r>
      <w:r w:rsidR="006D166B" w:rsidRPr="00524DAA">
        <w:t>Zákonem č. 310/2017 Sb.</w:t>
      </w:r>
      <w:r w:rsidR="0027195D" w:rsidRPr="00524DAA">
        <w:t>, kterým se mění zákon č. 187/2006 Sb., o nemocenském pojištění, ve znění pozdějších předpisů, a další související zákony</w:t>
      </w:r>
      <w:r w:rsidR="006D166B" w:rsidRPr="00524DAA">
        <w:t xml:space="preserve"> byla s účinností od 1.</w:t>
      </w:r>
      <w:r w:rsidR="0027195D" w:rsidRPr="00524DAA">
        <w:t> </w:t>
      </w:r>
      <w:r w:rsidR="006D166B" w:rsidRPr="00524DAA">
        <w:t xml:space="preserve">června 2018 zavedena v nemocenském pojištění nová dávka – dlouhodobé ošetřovné, jejímž účelem je zajistit po stanovenou podpůrčí dobu zabezpečení osob, které poskytují dlouhodobou péči jiným osobám v domácím prostředí po propuštění z hospitalizace ve zdravotnickém zařízení. </w:t>
      </w:r>
      <w:r w:rsidR="00FA35D9" w:rsidRPr="00524DAA">
        <w:t>U</w:t>
      </w:r>
      <w:r w:rsidR="006D166B" w:rsidRPr="00524DAA">
        <w:t> </w:t>
      </w:r>
      <w:r w:rsidR="00FA35D9" w:rsidRPr="00524DAA">
        <w:t>dlouhodobého ošetřovného jsou stanoveny podmínky jednak pro ošetřovanou osobu a jednak pro osobu ošetřující. U ošetřované osoby mus</w:t>
      </w:r>
      <w:r w:rsidR="005E0EE1" w:rsidRPr="00524DAA">
        <w:t xml:space="preserve">í </w:t>
      </w:r>
      <w:r w:rsidR="00E66058">
        <w:t>dojít</w:t>
      </w:r>
      <w:r w:rsidR="00E66058">
        <w:br/>
      </w:r>
      <w:r w:rsidR="00FA35D9" w:rsidRPr="00524DAA">
        <w:t>k závažnému zhoršení zdravotního stavu, který vyžad</w:t>
      </w:r>
      <w:r w:rsidR="005E0EE1" w:rsidRPr="00524DAA">
        <w:t>uje</w:t>
      </w:r>
      <w:r w:rsidR="00FA35D9" w:rsidRPr="00524DAA">
        <w:t xml:space="preserve"> alespoň 7 denní hospitali</w:t>
      </w:r>
      <w:r w:rsidR="00E66058">
        <w:t>zaci</w:t>
      </w:r>
      <w:r w:rsidR="00E66058">
        <w:br/>
      </w:r>
      <w:r w:rsidR="00FA35D9" w:rsidRPr="00524DAA">
        <w:t xml:space="preserve">v nemocnici a v den propuštění </w:t>
      </w:r>
      <w:r w:rsidR="005E0EE1" w:rsidRPr="00524DAA">
        <w:t>je</w:t>
      </w:r>
      <w:r w:rsidR="00FA35D9" w:rsidRPr="00524DAA">
        <w:t xml:space="preserve"> potvrzeno, že potřeba celodenní péče bude trvat nejméně dalších 30 dnů. Ošetřovaná osoba musí dát písemný souhlas k ošetřování konkrétní osobě. Ošetřující osoba může být manželem (manželkou) ošetřované osoby nebo registrovaným partnerem (registrovanou partnerkou) ošetřované</w:t>
      </w:r>
      <w:r w:rsidR="00E66058">
        <w:t xml:space="preserve"> osoby, příbuzným v linii přímé</w:t>
      </w:r>
      <w:r w:rsidR="00E66058">
        <w:br/>
      </w:r>
      <w:r w:rsidR="00FA35D9" w:rsidRPr="00524DAA">
        <w:t xml:space="preserve">s ošetřovanou osobou nebo je její sourozenec, tchyně, tchán, snacha, zeť, neteř, synovec, teta </w:t>
      </w:r>
      <w:r w:rsidR="00FA35D9" w:rsidRPr="00524DAA">
        <w:lastRenderedPageBreak/>
        <w:t>nebo strýc. U těchto příbuzných se nevyžaduje podmínka společné domácnosti. Dále se může jednat o manžela (manželku), registrovaného partnera (registrovanou partnerku) nebo druha (družku) fyzické osoby výše uvedené, nebo druha (družku) ošetřované osoby nebo jinou fyzickou osobu žijící s ošetřovanou osobou v domácnosti. Tyto osoby musí mít shodné místo trvalého pobytu. U ošetřující osoby se vyžaduje čekací doba; nemocenské pojištění mus</w:t>
      </w:r>
      <w:r w:rsidR="005E0EE1" w:rsidRPr="00524DAA">
        <w:t xml:space="preserve">í </w:t>
      </w:r>
      <w:r w:rsidR="00FA35D9" w:rsidRPr="00524DAA">
        <w:t>u zaměstnance trvat v posledních 4 měsících alespoň 90 dnů, OSVČ mus</w:t>
      </w:r>
      <w:r w:rsidR="005E0EE1" w:rsidRPr="00524DAA">
        <w:t xml:space="preserve">í </w:t>
      </w:r>
      <w:r w:rsidR="00FA35D9" w:rsidRPr="00524DAA">
        <w:t xml:space="preserve">být nemocensky pojištěna v posledních 3 měsících. Ošetřující osoba nesmí po dobu ošetřování vykonávat žádnou výdělečnou činnost, ani nepojištěnou. V průběhu 90 dnů se mohou ošetřující osoby libovolně střídat v ošetřování osoby vyžadující dlouhodobou péči po celých dnech. Při střídání a opakovaném poskytování péče se dávka nevypočítává znovu. Výplata dávky nenáleží po dobu, kdy byla ošetřovaná osoba znovu hospitalizována. Nárok na další dlouhodobé ošetřovné vznikne ošetřující osobě nejdříve po uplynutí 12 měsíců od skončení předchozí dlouhodobé péče. Podpůrčí doba (doba výplaty dávky) činí maximálně 90 kalendářních dnů. Doba těchto 90 dnů se neprodlužuje ani z důvodu hospitalizace ošetřované osoby v průběhu podpůrčí doby. Zaměstnavatel nemá povinnost omluvit nepřítomnost zaměstnance v práci po dobu poskytování dlouhodobé péče pouze </w:t>
      </w:r>
      <w:r w:rsidR="00417F58" w:rsidRPr="00524DAA">
        <w:t>tehdy</w:t>
      </w:r>
      <w:r w:rsidR="00FA35D9" w:rsidRPr="00524DAA">
        <w:t>, brání-li tomu vážné provozní důvody, které musí sdělit zaměstnanci písemně. Nárok na dlouhodobé ošetřovné nemají zaměstnanci činní na základě dohody o provedení práce, zaměstnanci vykonávající zaměstnání malého rozsahu, žáci a studenti jen v době školních prázdnin a pěstouni.</w:t>
      </w:r>
    </w:p>
    <w:p w:rsidR="00240CD2" w:rsidRDefault="00240CD2" w:rsidP="00240CD2">
      <w:pPr>
        <w:pStyle w:val="SingleTxtG"/>
      </w:pPr>
      <w:r>
        <w:t>2</w:t>
      </w:r>
      <w:r w:rsidR="0020148B">
        <w:t>8</w:t>
      </w:r>
      <w:r w:rsidR="00A20FD7">
        <w:t>7</w:t>
      </w:r>
      <w:r>
        <w:t>.</w:t>
      </w:r>
      <w:r>
        <w:tab/>
        <w:t xml:space="preserve">S účinností od 1. ledna 2012 nahradil zákon o poskytování dávek osobám se ZP do té doby roztříštěnou úpravu dávkové pomoci osobám se ZP. Kompetenci k jejímu poskytování svěřil jednomu orgánu – </w:t>
      </w:r>
      <w:proofErr w:type="spellStart"/>
      <w:r w:rsidR="005C76B9">
        <w:t>KrP</w:t>
      </w:r>
      <w:proofErr w:type="spellEnd"/>
      <w:r w:rsidR="005C76B9">
        <w:t xml:space="preserve"> </w:t>
      </w:r>
      <w:r>
        <w:t>Ú</w:t>
      </w:r>
      <w:r w:rsidR="00031BCD">
        <w:t>P</w:t>
      </w:r>
      <w:r>
        <w:t xml:space="preserve">. V předchozím období se osoby s žádostí </w:t>
      </w:r>
      <w:r w:rsidR="00BE6C05">
        <w:t>s</w:t>
      </w:r>
      <w:r>
        <w:t>o</w:t>
      </w:r>
      <w:r w:rsidR="005C76B9">
        <w:t> </w:t>
      </w:r>
      <w:r>
        <w:t>poskytnutí různých dávek obracely na více orgánů, což bylo nejen pro osoby se ZP samé, ale i jejich rodiny, zatěžující. Zákon o poskytování dávek osobám se ZP upravuje příspěvek na mobilitu, příspěvek na zvláštní pomůcku, průkaz osoby se ZP a</w:t>
      </w:r>
      <w:r w:rsidR="00031BCD">
        <w:t> </w:t>
      </w:r>
      <w:r>
        <w:t>některé nároky z něj plynoucí.</w:t>
      </w:r>
      <w:r w:rsidR="00E66058">
        <w:t xml:space="preserve"> Dávky poskytované podle zákona</w:t>
      </w:r>
      <w:r w:rsidR="00031BCD">
        <w:t xml:space="preserve"> </w:t>
      </w:r>
      <w:r>
        <w:t>o</w:t>
      </w:r>
      <w:r w:rsidR="00031BCD">
        <w:t> </w:t>
      </w:r>
      <w:r>
        <w:t>poskytování dávek osobám se ZP jsou určeny ke zmírnění sociálních důsledků zdravotního postižení a</w:t>
      </w:r>
      <w:r w:rsidR="00031BCD">
        <w:t> </w:t>
      </w:r>
      <w:r>
        <w:t>k</w:t>
      </w:r>
      <w:r w:rsidR="00031BCD">
        <w:t> </w:t>
      </w:r>
      <w:r>
        <w:t>podpoře sociálního začleňování. Na zákon o dávkách pro osoby se ZP navazuje vyhláška č. 388/2011 Sb.</w:t>
      </w:r>
    </w:p>
    <w:p w:rsidR="00240CD2" w:rsidRDefault="00240CD2" w:rsidP="00240CD2">
      <w:pPr>
        <w:pStyle w:val="SingleTxtG"/>
      </w:pPr>
      <w:r>
        <w:t>2</w:t>
      </w:r>
      <w:r w:rsidR="0020148B">
        <w:t>8</w:t>
      </w:r>
      <w:r w:rsidR="00A20FD7">
        <w:t>8</w:t>
      </w:r>
      <w:r>
        <w:t>.</w:t>
      </w:r>
      <w:r>
        <w:tab/>
        <w:t>Výdaje na dávky upravené zákonem o poskytování dávek osobám se ZP se od roku 2012 každým rokem zvyšují a roste také počet jejich příjemců. V roce 2018 činily výdaje na dávky poskytované podle tohoto zákona cca 2,6 mld. Kč a v roce 2017 cca 1,9 mld. Kč.</w:t>
      </w:r>
    </w:p>
    <w:p w:rsidR="00240CD2" w:rsidRDefault="00240CD2" w:rsidP="00240CD2">
      <w:pPr>
        <w:pStyle w:val="SingleTxtG"/>
      </w:pPr>
      <w:r>
        <w:t>2</w:t>
      </w:r>
      <w:r w:rsidR="0020148B">
        <w:t>8</w:t>
      </w:r>
      <w:r w:rsidR="00A20FD7">
        <w:t>9</w:t>
      </w:r>
      <w:r>
        <w:t>.</w:t>
      </w:r>
      <w:r>
        <w:tab/>
        <w:t>V souladu s požadavky zástupců osob se ZP byl posléze opuštěn původní model víceúčelového využití posudku o závislosti pro účely zákona o poskytování dávek osobám se ZP. Od roku 2014 přestalo být posudkové schéma závislosti využíváno pro účely průkazu osoby se ZP a příspěvku na mobilitu. Tzv. zdravotní podmínka nároku na příspěvek na mobilitu byla navázána na nárok na průkaz osoby se ZP ZTP a ZTP/P. Od roku 2018 došlo ke zvýšení příspěvku na mobilitu ze 400 na 550 Kč měsíčně.</w:t>
      </w:r>
    </w:p>
    <w:p w:rsidR="00240CD2" w:rsidRDefault="00240CD2" w:rsidP="00240CD2">
      <w:pPr>
        <w:pStyle w:val="SingleTxtG"/>
      </w:pPr>
      <w:r>
        <w:t>2</w:t>
      </w:r>
      <w:r w:rsidR="001A1ACA">
        <w:t>9</w:t>
      </w:r>
      <w:r w:rsidR="00A20FD7">
        <w:t>0</w:t>
      </w:r>
      <w:r>
        <w:t>.</w:t>
      </w:r>
      <w:r>
        <w:tab/>
        <w:t>Rovněž příspěvek na zvláštní pomůcku doznal během doby změn s pozitivním dopadem na osoby se ZP a jejich rodiny. Byl zrušen nefunkční institut výpůjčky zvláštní pomůcky. Byla výrazně snížena cena pomůcky určující, zda se pro nárok na příspěvek na zvláštní pomůcku zjišťuje příjem či nikoli. Zásadní změna byla přijata v oblasti stanovení výše příspěvku na zvláštní pomůcku na pořízení motorového vozidla. Od roku 2018 má na výši dávky vliv pouze příjem. Maximální výše dávky činí 200 000 Kč, minimální 100 000 Kč. Nastavené hladiny příjmu, které určují výši dávky, jsou takové, že průměrná výše dávky byla 197 000 Kč (rok 2018). V březnu 2020 nabyla účinnosti zněna, která hladiny příjmu zvyšuje natolik, že až na výjimky v řádu jednotlivců, bude činit výše příspěvku na zvláštní pomůcku na pořízení motorového vozidla 200 000 Kč. Provedené legislativně</w:t>
      </w:r>
      <w:r>
        <w:noBreakHyphen/>
        <w:t>technické (terminologické) úpravy ve spojení s novinkami na trhu a zvýšením položek – pomůcek obsažených v příloze č. 1 k vyhlášce č. 388/2011 Sb. vedou k tomu, že dochází k rozšiřování podpory. Pro řadu položek – pomůcek platí, že do dané kategorie lze zařadit více produktů. Navíc je možné zmínit, že krajská pobočka Ú</w:t>
      </w:r>
      <w:r w:rsidR="002A0E8A">
        <w:t xml:space="preserve">P </w:t>
      </w:r>
      <w:r>
        <w:t>ČR při rozhodování o</w:t>
      </w:r>
      <w:r w:rsidR="002A0E8A">
        <w:t> </w:t>
      </w:r>
      <w:r>
        <w:t>poskytnutí příspěvku na zvláštní pomůcku na pomůcku, která není uvedena v příloze k</w:t>
      </w:r>
      <w:r w:rsidR="002A0E8A">
        <w:t> </w:t>
      </w:r>
      <w:r>
        <w:t>vyhlášce č. 388/2011 Sb., posuzuje, zda je tato konkrétní pomůcka z hlediska využití srovnatelná s druhy a typy zvláštních pomůcek uvedenými v příloze. Dá se tak konstatovat, že je přispíváno na více a více produktů. Ve vztahu k dětem je třeba vyzdvihnout § 4 zákona o poskytování dávek osobám se ZP, který krajským pobočkám Ú</w:t>
      </w:r>
      <w:r w:rsidR="002A0E8A">
        <w:t xml:space="preserve">P </w:t>
      </w:r>
      <w:r>
        <w:t xml:space="preserve">ČR ukládá povinnost při </w:t>
      </w:r>
      <w:r>
        <w:lastRenderedPageBreak/>
        <w:t>rozhodování o nároku na příspěvek na zvláštní pomůcku a její výši vždy sledovat nejlepší zájem dítěte.</w:t>
      </w:r>
    </w:p>
    <w:p w:rsidR="00615BA7" w:rsidRDefault="00240CD2" w:rsidP="00240CD2">
      <w:pPr>
        <w:pStyle w:val="SingleTxtG"/>
      </w:pPr>
      <w:r>
        <w:t>2</w:t>
      </w:r>
      <w:r w:rsidR="001A1ACA">
        <w:t>9</w:t>
      </w:r>
      <w:r w:rsidR="00A20FD7">
        <w:t>1</w:t>
      </w:r>
      <w:r>
        <w:t>.</w:t>
      </w:r>
      <w:r>
        <w:tab/>
        <w:t>Dne 1. ledna 2007 nabyl účinnosti zákon o sociální</w:t>
      </w:r>
      <w:r w:rsidR="00613F62">
        <w:t>ch službách, který mj. upravuje</w:t>
      </w:r>
      <w:r w:rsidR="00613F62">
        <w:br/>
      </w:r>
      <w:r>
        <w:t>i poskytování příspěvku na péči. Počet příjemců příspěvku na péči i objemu vynakládaných prostředků každým rokem roste, a to nejen díky demografickým trendům, ale i v důsledku pro-klientských změn právní úpravy (zákona o sociálních službách a jeho prováděcí vyhlášky) nebo metodických postupů. V roce 2016 došlo k 10% zvýšení částek příspěvku na péči ve všech stupních. V roce 2019 došlo k výraznému navýšení částek příspěvku pro osoby ve stupni závislosti III a IV, které nevyužívají pobytové sociální služby. U osob ve stupni závislosti IV nevyužívajících pobytové sociální služby byla výše příspěvku na péči zvýšena o 6 000 Kč (z původních 13 200 Kč na 19 200 Kč). U osob ve stupni závislosti III nevyužívajících pobytové sociální služby byla výše přísp</w:t>
      </w:r>
      <w:r w:rsidR="00613F62">
        <w:t>ěvku zvýšena o 4 000 Kč (u dětí</w:t>
      </w:r>
      <w:r w:rsidR="00613F62">
        <w:br/>
      </w:r>
      <w:r>
        <w:t>z původních 9 900 Kč na 13 900 Kč a u dospělých osob starších 18 let z původních 8 800 Kč na 12 800 Kč).</w:t>
      </w:r>
    </w:p>
    <w:p w:rsidR="00240CD2" w:rsidRPr="00524DAA" w:rsidRDefault="00240CD2" w:rsidP="00240CD2">
      <w:pPr>
        <w:pStyle w:val="SingleTxtG"/>
      </w:pPr>
    </w:p>
    <w:p w:rsidR="00615BA7" w:rsidRPr="00464437" w:rsidRDefault="00615BA7" w:rsidP="00615BA7">
      <w:pPr>
        <w:pStyle w:val="H1G"/>
      </w:pPr>
      <w:r w:rsidRPr="00524DAA">
        <w:tab/>
      </w:r>
      <w:r w:rsidRPr="00524DAA">
        <w:tab/>
        <w:t>Odpověď na otázku č. 23 b)</w:t>
      </w:r>
    </w:p>
    <w:p w:rsidR="00615BA7" w:rsidRPr="00524DAA" w:rsidRDefault="00E75192" w:rsidP="001D4EF8">
      <w:pPr>
        <w:pStyle w:val="SingleTxtG"/>
      </w:pPr>
      <w:r>
        <w:t>2</w:t>
      </w:r>
      <w:r w:rsidR="001A1ACA">
        <w:t>9</w:t>
      </w:r>
      <w:r w:rsidR="00A20FD7">
        <w:t>2</w:t>
      </w:r>
      <w:r>
        <w:t>.</w:t>
      </w:r>
      <w:r w:rsidR="00FA4D0F" w:rsidRPr="00524DAA">
        <w:tab/>
        <w:t xml:space="preserve">Pokud jde o problematiku opětovného zavedení doplňkové sociální dávky s cílem zvýšit životní úroveň rodin s dětmi se </w:t>
      </w:r>
      <w:r w:rsidR="00F576B7">
        <w:t xml:space="preserve">ZP </w:t>
      </w:r>
      <w:r w:rsidR="00FA4D0F" w:rsidRPr="00524DAA">
        <w:t xml:space="preserve">nad existenční minimum, </w:t>
      </w:r>
      <w:r w:rsidR="00AC653A" w:rsidRPr="00524DAA">
        <w:t xml:space="preserve">o tom </w:t>
      </w:r>
      <w:r w:rsidR="00E119C2" w:rsidRPr="00524DAA">
        <w:t xml:space="preserve">v tuto chvíli </w:t>
      </w:r>
      <w:r w:rsidR="00AC653A" w:rsidRPr="00524DAA">
        <w:t>Č</w:t>
      </w:r>
      <w:r w:rsidR="00014A7D" w:rsidRPr="00524DAA">
        <w:t xml:space="preserve">R </w:t>
      </w:r>
      <w:r w:rsidR="00AC653A" w:rsidRPr="00524DAA">
        <w:t xml:space="preserve">neuvažuje. </w:t>
      </w:r>
      <w:r w:rsidR="00EF7176" w:rsidRPr="00524DAA">
        <w:t>V dané souvislosti je třeba uvést, že v</w:t>
      </w:r>
      <w:r w:rsidR="00FA4D0F" w:rsidRPr="00524DAA">
        <w:t xml:space="preserve">ěcné důvody pro existenci sociálního příplatku u rodin se zdravotně postiženým členem výrazně poklesly </w:t>
      </w:r>
      <w:r w:rsidR="00F576B7">
        <w:t xml:space="preserve">po </w:t>
      </w:r>
      <w:r w:rsidR="00FA4D0F" w:rsidRPr="00524DAA">
        <w:t>zavedení příspěvku na péči. Po určitou dobu byly tyto dávky poskytovány současně. Zrušení sociálního příplatku bylo kompenzováno institutem zvýšení příspěvku na péči. Zvýšení příspěvku na péči (§ 12 zákona o sociálních službách) o 2 000 Kč (měsíčně) náleží nezaopatřenému dítěti do 18 let věku, kterému náleží příspěvek, a rodiči, kterému náleží příspěvek, a který pečuje o nezaopatřené dítě do 18 let věku, jestliže rozhodný příjem oprávněné osoby a osob s ní společně posuzovaných je nižší než 2násobek částky ž</w:t>
      </w:r>
      <w:r w:rsidR="00613F62">
        <w:t>ivotního minima oprávněné osoby</w:t>
      </w:r>
      <w:r w:rsidR="00613F62">
        <w:br/>
      </w:r>
      <w:r w:rsidR="00FA4D0F" w:rsidRPr="00524DAA">
        <w:t xml:space="preserve">a osob s ní společně posuzovaných podle zákona o životním a existenčním minimu. Zvýšení příspěvku náleží v kalendářním měsíci, v němž se vyplácí příspěvek na péči. Návrat k sociálnímu příplatku nebo zavedení nové nepojistné sociální dávky se nepředpokládá. Zvyšování počtu dávek je společensko-politicky citlivé téma. Příspěvek na péči ani částka, kterou z příspěvku na péči poskytne jeho příjemce osobě pečující, která spadá do okruhu společně posuzovaných osob, nejsou započítávány do příjmů rodiny pro účely ostatních nepojistných sociálních dávek. Na rodinu, která díky příspěvku na péči fakticky disponuje např. částkou 19 200 Kč, je pohlíženo, jako kdyby tuto disponibilní částku neměla. Rodina má výrazně zlepšený přístup k příjmově testovaným dávkám státní sociální podpory či dávkám pomoci v hmotné nouzi (příspěvek na živobytí, doplatek na bydlení, mimořádná okamžitá pomoc). Ochrana osob se </w:t>
      </w:r>
      <w:r w:rsidR="00F576B7">
        <w:t xml:space="preserve">ZP </w:t>
      </w:r>
      <w:r w:rsidR="00613F62">
        <w:t>a dětí je obsažena i v zákoně</w:t>
      </w:r>
      <w:r w:rsidR="00613F62">
        <w:br/>
      </w:r>
      <w:r w:rsidR="00FA4D0F" w:rsidRPr="00524DAA">
        <w:t xml:space="preserve">o životním a existenčním minimu, který stanoví, že </w:t>
      </w:r>
      <w:r w:rsidR="00613F62">
        <w:t>existenční minimum nelze použít</w:t>
      </w:r>
      <w:r w:rsidR="00613F62">
        <w:br/>
      </w:r>
      <w:r w:rsidR="00FA4D0F" w:rsidRPr="00524DAA">
        <w:t xml:space="preserve">u nezaopatřeného dítěte, u osoby invalidní ve </w:t>
      </w:r>
      <w:r w:rsidR="00F9095B" w:rsidRPr="00524DAA">
        <w:t xml:space="preserve">III. </w:t>
      </w:r>
      <w:r w:rsidR="00FA4D0F" w:rsidRPr="00524DAA">
        <w:t xml:space="preserve">stupni invalidity (a rovněž u poživatele starobního důchodu a osoby starší 68 let). Finanční stabilita rodin s nezaopatřením dítětem nebo rodičem se </w:t>
      </w:r>
      <w:r w:rsidR="00F576B7">
        <w:t>ZP</w:t>
      </w:r>
      <w:r w:rsidR="00FA4D0F" w:rsidRPr="00524DAA">
        <w:t xml:space="preserve"> je tedy zajištěna. Mají přístup ke všem nepojistným sociálním dávkám, a to za řady „změkčujících“ podmínek.</w:t>
      </w:r>
    </w:p>
    <w:p w:rsidR="00615BA7" w:rsidRPr="00524DAA" w:rsidRDefault="00615BA7" w:rsidP="001D4EF8">
      <w:pPr>
        <w:pStyle w:val="SingleTxtG"/>
      </w:pPr>
    </w:p>
    <w:p w:rsidR="0012221A" w:rsidRPr="00464437" w:rsidRDefault="0012221A" w:rsidP="0012221A">
      <w:pPr>
        <w:pStyle w:val="H1G"/>
      </w:pPr>
      <w:r w:rsidRPr="00524DAA">
        <w:tab/>
      </w:r>
      <w:r w:rsidRPr="00524DAA">
        <w:tab/>
        <w:t>Odpověď na otázku č. 24 a)</w:t>
      </w:r>
    </w:p>
    <w:p w:rsidR="001D084D" w:rsidRDefault="00E75192" w:rsidP="00F94E42">
      <w:pPr>
        <w:pStyle w:val="SingleTxtG"/>
      </w:pPr>
      <w:r>
        <w:t>2</w:t>
      </w:r>
      <w:r w:rsidR="001A1ACA">
        <w:t>9</w:t>
      </w:r>
      <w:r w:rsidR="00A20FD7">
        <w:t>3</w:t>
      </w:r>
      <w:r>
        <w:t>.</w:t>
      </w:r>
      <w:r w:rsidR="00B00E6B" w:rsidRPr="00524DAA">
        <w:tab/>
      </w:r>
      <w:r w:rsidR="00F94E42">
        <w:t>Problematika regulace omezení svéprávnosti osob se ZP doznala v ČR ve sledovaném období významného posunu. Namísto úplného zbavení nebo omezení způsobilosti k právním úkonům upravuje občanský zákoník od 1. ledna 2014 institut omezení svéprávnosti, k němuž se může přistoupit: „jen v zájmu člověka, jehož se to týká, po jeho zhlédnutí a s plným uznáváním jeho práv a jeho osobní jedinečnosti. Přitom musí být důkladně vzaty v úvahu rozsah i stupeň neschopnosti člověka postarat se o vlastní záležitosti.“ (§ 55 odst. 1</w:t>
      </w:r>
      <w:r w:rsidR="00123890">
        <w:t xml:space="preserve"> občanského zákoníku</w:t>
      </w:r>
      <w:r w:rsidR="00437572">
        <w:t>)</w:t>
      </w:r>
      <w:r w:rsidR="00F94E42">
        <w:t>.</w:t>
      </w:r>
      <w:r w:rsidR="002C55C2">
        <w:t xml:space="preserve"> </w:t>
      </w:r>
      <w:r w:rsidR="00F94E42">
        <w:t>Z</w:t>
      </w:r>
      <w:r w:rsidR="002C55C2">
        <w:t xml:space="preserve"> této </w:t>
      </w:r>
      <w:r w:rsidR="00F94E42">
        <w:t>právní úpravy vyplývá, že k</w:t>
      </w:r>
      <w:r w:rsidR="002C55C2">
        <w:t> </w:t>
      </w:r>
      <w:r w:rsidR="00F94E42">
        <w:t>omezení svéprávnosti nesmí docházet např</w:t>
      </w:r>
      <w:r w:rsidR="002C55C2">
        <w:t>.</w:t>
      </w:r>
      <w:r w:rsidR="00F94E42">
        <w:t xml:space="preserve"> ve veřejném zájmu, nebo z důvodu ochrany osob blízkých. Zároveň se </w:t>
      </w:r>
      <w:r w:rsidR="00F94E42">
        <w:lastRenderedPageBreak/>
        <w:t>stanovuje, že omezit svéprávnost člověka lze jen tehdy, hrozila-li by mu jinak závažná újma a nepostačí-li vzhledem k jeho zájmům mírnější a méně omezující opatření.</w:t>
      </w:r>
    </w:p>
    <w:p w:rsidR="00F94E42" w:rsidRDefault="001D084D" w:rsidP="00F94E42">
      <w:pPr>
        <w:pStyle w:val="SingleTxtG"/>
      </w:pPr>
      <w:r>
        <w:t>2</w:t>
      </w:r>
      <w:r w:rsidR="00D94CA1">
        <w:t>9</w:t>
      </w:r>
      <w:r w:rsidR="00A20FD7">
        <w:t>4</w:t>
      </w:r>
      <w:r>
        <w:t>.</w:t>
      </w:r>
      <w:r>
        <w:tab/>
      </w:r>
      <w:r w:rsidR="00F94E42">
        <w:t>V návaznosti na to byla s účinností od 7. dubna 2014 přijata novelizace jednotlivých volebních zákonů, kterou se překážka ve výkonu volebního práva spočívající ve zbavení způsobilosti k právním úkonům terminologicky změnila na překážku omezení svépráv</w:t>
      </w:r>
      <w:r>
        <w:t xml:space="preserve">nosti k výkonu volebního práva. </w:t>
      </w:r>
      <w:r w:rsidR="00F94E42">
        <w:t xml:space="preserve">Důsledkem </w:t>
      </w:r>
      <w:r>
        <w:t xml:space="preserve">uvedené </w:t>
      </w:r>
      <w:r w:rsidR="00F94E42">
        <w:t xml:space="preserve">nové </w:t>
      </w:r>
      <w:r>
        <w:t xml:space="preserve">právní úpravy </w:t>
      </w:r>
      <w:r w:rsidR="00F94E42">
        <w:t>bylo, že v roce 2019 obce v</w:t>
      </w:r>
      <w:r>
        <w:t> </w:t>
      </w:r>
      <w:r w:rsidR="00F94E42">
        <w:t>Č</w:t>
      </w:r>
      <w:r>
        <w:t xml:space="preserve">R </w:t>
      </w:r>
      <w:r w:rsidR="00F94E42">
        <w:t>evidovaly ve stálých seznamech voličů pouze 10 309 osob s překážkou ve výkonu aktivního volebního práva. Legitimita této překážky byla potvrzena sjednocujícím stanoviskem Nejvyššího soudu (</w:t>
      </w:r>
      <w:proofErr w:type="spellStart"/>
      <w:r w:rsidR="00F94E42">
        <w:t>Cpjn</w:t>
      </w:r>
      <w:proofErr w:type="spellEnd"/>
      <w:r w:rsidR="00F94E42">
        <w:t xml:space="preserve"> 23/2016 ze dne 15. </w:t>
      </w:r>
      <w:r w:rsidR="001B4F77">
        <w:t>února</w:t>
      </w:r>
      <w:r w:rsidR="00F94E42">
        <w:t xml:space="preserve"> 2017), které odkazuje i na dřívější nález Ústavního soudu s tím, že existence překážky se pohybuje i v intencích toho, co judikoval Evropský soud pro lidská práva.</w:t>
      </w:r>
      <w:r w:rsidR="001B4F77">
        <w:t xml:space="preserve"> </w:t>
      </w:r>
      <w:r w:rsidR="00F94E42">
        <w:t>Důležitá jsou následující hlediska:</w:t>
      </w:r>
    </w:p>
    <w:p w:rsidR="00F94E42" w:rsidRDefault="00F94E42" w:rsidP="001B4F77">
      <w:pPr>
        <w:pStyle w:val="Bullet1G"/>
      </w:pPr>
      <w:r>
        <w:t>j</w:t>
      </w:r>
      <w:r w:rsidR="001B4F77">
        <w:t>de o omezení stanovené zákonem,</w:t>
      </w:r>
    </w:p>
    <w:p w:rsidR="00F94E42" w:rsidRDefault="00F94E42" w:rsidP="001B4F77">
      <w:pPr>
        <w:pStyle w:val="Bullet1G"/>
      </w:pPr>
      <w:r>
        <w:t>omezení musí být založeno na výslovném rozhodnutí soudu po posouzení individuálního případu a</w:t>
      </w:r>
    </w:p>
    <w:p w:rsidR="00F94E42" w:rsidRDefault="00F94E42" w:rsidP="001B4F77">
      <w:pPr>
        <w:pStyle w:val="Bullet1G"/>
      </w:pPr>
      <w:r>
        <w:t>musí být respektován princip proporcionality.</w:t>
      </w:r>
    </w:p>
    <w:p w:rsidR="00F94E42" w:rsidRPr="00524DAA" w:rsidRDefault="00684387" w:rsidP="00F94E42">
      <w:pPr>
        <w:pStyle w:val="SingleTxtG"/>
      </w:pPr>
      <w:r>
        <w:t>29</w:t>
      </w:r>
      <w:r w:rsidR="00A20FD7">
        <w:t>5</w:t>
      </w:r>
      <w:r>
        <w:t>.</w:t>
      </w:r>
      <w:r>
        <w:tab/>
      </w:r>
      <w:r w:rsidR="00F94E42">
        <w:t>Garance naplňování Úmluvy ve vztahu k osobám, jejichž zdravotní postižení zavdává příčinu k možnému omezení svéprávnosti, tudíž spočívá především v kvalitě samotné občanskoprávní úpravy omezení svéprávnosti a rozhodovací praxe soudů.</w:t>
      </w:r>
      <w:r>
        <w:t xml:space="preserve"> </w:t>
      </w:r>
      <w:r w:rsidR="00F94E42">
        <w:t>Překážka výkonu volebního práva spočívající v omezení svéprávnosti proto zatím zůstává ve volebních zákonech zachována. Do budoucna je ovšem na místě vést diskusi a zkou</w:t>
      </w:r>
      <w:r>
        <w:t>mat možnosti jejího odstranění.</w:t>
      </w:r>
    </w:p>
    <w:p w:rsidR="0012221A" w:rsidRPr="00524DAA" w:rsidRDefault="0012221A" w:rsidP="001D4EF8">
      <w:pPr>
        <w:pStyle w:val="SingleTxtG"/>
      </w:pPr>
    </w:p>
    <w:p w:rsidR="0012221A" w:rsidRPr="00464437" w:rsidRDefault="0012221A" w:rsidP="0012221A">
      <w:pPr>
        <w:pStyle w:val="H1G"/>
      </w:pPr>
      <w:r w:rsidRPr="00524DAA">
        <w:tab/>
      </w:r>
      <w:r w:rsidRPr="00524DAA">
        <w:tab/>
        <w:t>Odpověď na otázku č. 24 b)</w:t>
      </w:r>
    </w:p>
    <w:p w:rsidR="00A41428" w:rsidRPr="00524DAA" w:rsidRDefault="00E75192" w:rsidP="00A41428">
      <w:pPr>
        <w:pStyle w:val="SingleTxtG"/>
      </w:pPr>
      <w:r>
        <w:t>2</w:t>
      </w:r>
      <w:r w:rsidR="0020148B">
        <w:t>9</w:t>
      </w:r>
      <w:r w:rsidR="00A20FD7">
        <w:t>6</w:t>
      </w:r>
      <w:r>
        <w:t>.</w:t>
      </w:r>
      <w:r w:rsidR="00636243" w:rsidRPr="00524DAA">
        <w:tab/>
      </w:r>
      <w:r w:rsidR="00A41428" w:rsidRPr="00524DAA">
        <w:t xml:space="preserve">Jde-li o informování voličů se </w:t>
      </w:r>
      <w:r w:rsidR="008214C7">
        <w:t>ZP</w:t>
      </w:r>
      <w:r w:rsidR="00A41428" w:rsidRPr="00524DAA">
        <w:t>, spolupracuje M</w:t>
      </w:r>
      <w:r w:rsidR="00166E2F">
        <w:t xml:space="preserve">V </w:t>
      </w:r>
      <w:r w:rsidR="00A41428" w:rsidRPr="00524DAA">
        <w:t>od roku 2017 s</w:t>
      </w:r>
      <w:r w:rsidR="008214C7">
        <w:t> </w:t>
      </w:r>
      <w:r w:rsidR="00A41428" w:rsidRPr="00524DAA">
        <w:t>V</w:t>
      </w:r>
      <w:r w:rsidR="008214C7">
        <w:t>VOZP</w:t>
      </w:r>
      <w:r w:rsidR="00A41428" w:rsidRPr="00524DAA">
        <w:t>, jehož prostřednictvím jsou organizacím sdružujícím osoby s určitým typem zdravotního postižení v předstihu poskytovány informace o způsobu hlasování tak, aby mohly být převedeny do formátu, který je čitelný a srozumitelný např. osobám se zrakovým či sluchovým postižením. V souvislosti s konáním voleb do Evropského parlamentu v roce 2019 se M</w:t>
      </w:r>
      <w:r w:rsidR="00166E2F">
        <w:t>V</w:t>
      </w:r>
      <w:r w:rsidR="00A41428" w:rsidRPr="00524DAA">
        <w:t xml:space="preserve"> v</w:t>
      </w:r>
      <w:r w:rsidR="00166E2F">
        <w:t> </w:t>
      </w:r>
      <w:r w:rsidR="00A41428" w:rsidRPr="00524DAA">
        <w:t>přímé spolupráci se Společností pro podporu lidí s mentálním postižením v</w:t>
      </w:r>
      <w:r w:rsidR="008214C7">
        <w:t> </w:t>
      </w:r>
      <w:r w:rsidR="00A41428" w:rsidRPr="00524DAA">
        <w:t>Č</w:t>
      </w:r>
      <w:r w:rsidR="008214C7">
        <w:t xml:space="preserve">R </w:t>
      </w:r>
      <w:r w:rsidR="00A41428" w:rsidRPr="00524DAA">
        <w:t>podílelo na přípravě informačního letáku pro voliče s mentálním postižením, který byl zpracován ve formě tzv. snadného čtení. M</w:t>
      </w:r>
      <w:r w:rsidR="00166E2F">
        <w:t xml:space="preserve">V zveřejnilo </w:t>
      </w:r>
      <w:r w:rsidR="00A41428" w:rsidRPr="00524DAA">
        <w:t xml:space="preserve">tento informační leták na svých webových stránkách pod nadpisem „Informace pro voliče – text pro snadné čtení“ </w:t>
      </w:r>
      <w:hyperlink r:id="rId22" w:history="1">
        <w:r w:rsidR="008B32C5" w:rsidRPr="00524DAA">
          <w:rPr>
            <w:rStyle w:val="Hypertextovodkaz"/>
          </w:rPr>
          <w:t>https://www.mvcr.cz/clanek/volbyvolby-do-evropskeho-parlamentu.aspx</w:t>
        </w:r>
      </w:hyperlink>
      <w:r w:rsidR="008B32C5" w:rsidRPr="00524DAA">
        <w:t xml:space="preserve"> </w:t>
      </w:r>
      <w:r w:rsidR="00A41428" w:rsidRPr="00524DAA">
        <w:t xml:space="preserve">a doporučilo zejména obcím a dále zařízením určeným pro osoby </w:t>
      </w:r>
      <w:r w:rsidR="008B32C5" w:rsidRPr="00524DAA">
        <w:t xml:space="preserve">se </w:t>
      </w:r>
      <w:r w:rsidR="00613F62">
        <w:t>ZP</w:t>
      </w:r>
      <w:r w:rsidR="00613F62">
        <w:br/>
      </w:r>
      <w:r w:rsidR="00A41428" w:rsidRPr="00524DAA">
        <w:t>a pečujícím osobám, aby leták zprostředkovaly těm voličům, kterým může usnadnit výkon volebního práva.</w:t>
      </w:r>
    </w:p>
    <w:p w:rsidR="00A41428" w:rsidRPr="00524DAA" w:rsidRDefault="00E75192" w:rsidP="00A41428">
      <w:pPr>
        <w:pStyle w:val="SingleTxtG"/>
      </w:pPr>
      <w:r>
        <w:t>2</w:t>
      </w:r>
      <w:r w:rsidR="0020148B">
        <w:t>9</w:t>
      </w:r>
      <w:r w:rsidR="00A20FD7">
        <w:t>7</w:t>
      </w:r>
      <w:r>
        <w:t>.</w:t>
      </w:r>
      <w:r w:rsidR="008B32C5" w:rsidRPr="00524DAA">
        <w:tab/>
      </w:r>
      <w:r w:rsidR="00A41428" w:rsidRPr="00524DAA">
        <w:t>M</w:t>
      </w:r>
      <w:r w:rsidR="00166E2F">
        <w:t xml:space="preserve">V </w:t>
      </w:r>
      <w:r w:rsidR="00A41428" w:rsidRPr="00524DAA">
        <w:t xml:space="preserve">aktivně komunikuje se zástupci </w:t>
      </w:r>
      <w:r w:rsidR="008B32C5" w:rsidRPr="00524DAA">
        <w:t xml:space="preserve">organizací a spolků osob se </w:t>
      </w:r>
      <w:r w:rsidR="00613F62">
        <w:t>ZP</w:t>
      </w:r>
      <w:r w:rsidR="00613F62">
        <w:br/>
      </w:r>
      <w:r w:rsidR="00A41428" w:rsidRPr="00524DAA">
        <w:t>a je v pracovním kontaktu i s kolegy z Kanceláře veřejné</w:t>
      </w:r>
      <w:r w:rsidR="008B32C5" w:rsidRPr="00524DAA">
        <w:t>ho</w:t>
      </w:r>
      <w:r w:rsidR="00A41428" w:rsidRPr="00524DAA">
        <w:t xml:space="preserve"> ochrán</w:t>
      </w:r>
      <w:r w:rsidR="008B32C5" w:rsidRPr="00524DAA">
        <w:t>ce</w:t>
      </w:r>
      <w:r w:rsidR="00A41428" w:rsidRPr="00524DAA">
        <w:t xml:space="preserve"> práv. Má proto zprostředkované konkrétní poznatky z praxe, které jsou shrnuty do následujících opatření, jež hodlá prosazovat:</w:t>
      </w:r>
    </w:p>
    <w:p w:rsidR="00A41428" w:rsidRPr="00524DAA" w:rsidRDefault="00002BFD" w:rsidP="00002BFD">
      <w:pPr>
        <w:pStyle w:val="SingleTxtG"/>
      </w:pPr>
      <w:r w:rsidRPr="00524DAA">
        <w:t>(a)</w:t>
      </w:r>
      <w:r w:rsidRPr="00524DAA">
        <w:tab/>
      </w:r>
      <w:r w:rsidR="00E23A9D" w:rsidRPr="00524DAA">
        <w:t>P</w:t>
      </w:r>
      <w:r w:rsidR="00A41428" w:rsidRPr="00524DAA">
        <w:t>řístup k volbám pro osoby s mentálním postižením</w:t>
      </w:r>
    </w:p>
    <w:p w:rsidR="00A41428" w:rsidRPr="00524DAA" w:rsidRDefault="00A41428" w:rsidP="00002BFD">
      <w:pPr>
        <w:pStyle w:val="Bullet1G"/>
      </w:pPr>
      <w:r w:rsidRPr="00524DAA">
        <w:t>dále podporovat vznik, aktualizaci a distribuci textů volebních materiálů upravených pro snadné čtení (tento úkol má přesah i směrem k jiným kategoriím znevýhodněných osob, které případně mohou využít texty uzpůsobené pro snadné čtení)</w:t>
      </w:r>
    </w:p>
    <w:p w:rsidR="00A41428" w:rsidRPr="00524DAA" w:rsidRDefault="00002BFD" w:rsidP="00002BFD">
      <w:pPr>
        <w:pStyle w:val="SingleTxtG"/>
      </w:pPr>
      <w:r w:rsidRPr="00524DAA">
        <w:t>(b)</w:t>
      </w:r>
      <w:r w:rsidRPr="00524DAA">
        <w:tab/>
        <w:t>P</w:t>
      </w:r>
      <w:r w:rsidR="00A41428" w:rsidRPr="00524DAA">
        <w:t>řístup k volbám pro osoby se sluchovým postižením</w:t>
      </w:r>
    </w:p>
    <w:p w:rsidR="00A41428" w:rsidRPr="00524DAA" w:rsidRDefault="00A41428" w:rsidP="009C0CEE">
      <w:pPr>
        <w:pStyle w:val="Bullet1G"/>
      </w:pPr>
      <w:r w:rsidRPr="00524DAA">
        <w:t>zajistit dostupnost informačních videí o postupech ve volební místnosti a o zásadách hlasování s tlumočením do českého znakového jazyka a s titulky</w:t>
      </w:r>
    </w:p>
    <w:p w:rsidR="00A41428" w:rsidRPr="00524DAA" w:rsidRDefault="00A41428" w:rsidP="009C0CEE">
      <w:pPr>
        <w:pStyle w:val="Bullet1G"/>
      </w:pPr>
      <w:r w:rsidRPr="00524DAA">
        <w:t xml:space="preserve">opatřit instruktážní videa </w:t>
      </w:r>
      <w:r w:rsidR="007F05D7">
        <w:t xml:space="preserve">volebních orgánů </w:t>
      </w:r>
      <w:r w:rsidRPr="00524DAA">
        <w:t>titulky</w:t>
      </w:r>
    </w:p>
    <w:p w:rsidR="00A41428" w:rsidRPr="00524DAA" w:rsidRDefault="009C0CEE" w:rsidP="00A41428">
      <w:pPr>
        <w:pStyle w:val="SingleTxtG"/>
      </w:pPr>
      <w:r w:rsidRPr="00524DAA">
        <w:t>(c)</w:t>
      </w:r>
      <w:r w:rsidRPr="00524DAA">
        <w:tab/>
      </w:r>
      <w:r w:rsidR="00E23A9D" w:rsidRPr="00524DAA">
        <w:t>P</w:t>
      </w:r>
      <w:r w:rsidR="00A41428" w:rsidRPr="00524DAA">
        <w:t>řístup k volbám pro osoby se zrakovým postižením</w:t>
      </w:r>
    </w:p>
    <w:p w:rsidR="00A41428" w:rsidRPr="00524DAA" w:rsidRDefault="00A41428" w:rsidP="009C0CEE">
      <w:pPr>
        <w:pStyle w:val="Bullet1G"/>
      </w:pPr>
      <w:r w:rsidRPr="00524DAA">
        <w:lastRenderedPageBreak/>
        <w:t>v případě, že bude navrhována změna distribuce hlasovacích lístků a hlasovací lístky již nebudou doručovány do domácností, zajistit, aby si volič v případě potřeby mohl na základě neformální žádosti snadno opatřit hlasovací lístky domů, a to nejpozději na začátku volebního týdne</w:t>
      </w:r>
    </w:p>
    <w:p w:rsidR="00A41428" w:rsidRPr="00524DAA" w:rsidRDefault="00A41428" w:rsidP="009C0CEE">
      <w:pPr>
        <w:pStyle w:val="Bullet1G"/>
      </w:pPr>
      <w:r w:rsidRPr="00524DAA">
        <w:t>metodicky i legislativně podporovat mechanismy asistence ve volební místnosti (např. zrušit podmínku, že asistentem může být jedině jiný volič)</w:t>
      </w:r>
    </w:p>
    <w:p w:rsidR="00A41428" w:rsidRPr="00524DAA" w:rsidRDefault="009C0CEE" w:rsidP="00A41428">
      <w:pPr>
        <w:pStyle w:val="SingleTxtG"/>
      </w:pPr>
      <w:r w:rsidRPr="00524DAA">
        <w:t>(d)</w:t>
      </w:r>
      <w:r w:rsidRPr="00524DAA">
        <w:tab/>
      </w:r>
      <w:r w:rsidR="00BB7C55" w:rsidRPr="00524DAA">
        <w:t>F</w:t>
      </w:r>
      <w:r w:rsidR="00A41428" w:rsidRPr="00524DAA">
        <w:t>yzická přístupnost volebních místností</w:t>
      </w:r>
    </w:p>
    <w:p w:rsidR="00A41428" w:rsidRPr="00524DAA" w:rsidRDefault="00A41428" w:rsidP="009C0CEE">
      <w:pPr>
        <w:pStyle w:val="Bullet1G"/>
      </w:pPr>
      <w:r w:rsidRPr="00524DAA">
        <w:t>podporovat obce v zavádění bezbariérového přístupu do volebních místností, resp. výběru bezbariérových prostor</w:t>
      </w:r>
    </w:p>
    <w:p w:rsidR="00A41428" w:rsidRPr="00524DAA" w:rsidRDefault="00A41428" w:rsidP="009C0CEE">
      <w:pPr>
        <w:pStyle w:val="Bullet1G"/>
      </w:pPr>
      <w:r w:rsidRPr="00524DAA">
        <w:t>v centrální databázi evidovat a zveřejňovat in</w:t>
      </w:r>
      <w:r w:rsidR="00613F62">
        <w:t>formace o volebních místnostech</w:t>
      </w:r>
      <w:r w:rsidR="00613F62">
        <w:br/>
      </w:r>
      <w:r w:rsidRPr="00524DAA">
        <w:t>a jejich bezbariérovosti</w:t>
      </w:r>
    </w:p>
    <w:p w:rsidR="00A41428" w:rsidRPr="00524DAA" w:rsidRDefault="00A41428" w:rsidP="009C0CEE">
      <w:pPr>
        <w:pStyle w:val="Bullet1G"/>
      </w:pPr>
      <w:r w:rsidRPr="00524DAA">
        <w:t>umožnit voličům změnu příslušnosti k volebnímu okrsku v rámci volebního obvodu, aby si mohli vybrat a využít volební místnost s bezbariérovým přístupem</w:t>
      </w:r>
    </w:p>
    <w:p w:rsidR="00A41428" w:rsidRPr="00524DAA" w:rsidRDefault="00A41428" w:rsidP="009C0CEE">
      <w:pPr>
        <w:pStyle w:val="Bullet1G"/>
      </w:pPr>
      <w:r w:rsidRPr="00524DAA">
        <w:t>zachovat možnost hlasování do přenosné volební</w:t>
      </w:r>
      <w:r w:rsidR="00613F62">
        <w:t xml:space="preserve"> schránky mimo volební místnost</w:t>
      </w:r>
      <w:r w:rsidR="00613F62">
        <w:br/>
      </w:r>
      <w:r w:rsidRPr="00524DAA">
        <w:t xml:space="preserve">a rozšířit ji o možnost takto hlasovat i před volební místností pokud volič </w:t>
      </w:r>
      <w:r w:rsidR="009C0CEE" w:rsidRPr="00524DAA">
        <w:t xml:space="preserve">se zdravotním postižením </w:t>
      </w:r>
      <w:r w:rsidRPr="00524DAA">
        <w:t>až na místě zjistí, že není bezbariérová</w:t>
      </w:r>
    </w:p>
    <w:p w:rsidR="00A41428" w:rsidRPr="00524DAA" w:rsidRDefault="009C0CEE" w:rsidP="00A41428">
      <w:pPr>
        <w:pStyle w:val="SingleTxtG"/>
      </w:pPr>
      <w:r w:rsidRPr="00524DAA">
        <w:t>(e)</w:t>
      </w:r>
      <w:r w:rsidRPr="00524DAA">
        <w:tab/>
      </w:r>
      <w:r w:rsidR="00BB7C55" w:rsidRPr="00524DAA">
        <w:t>D</w:t>
      </w:r>
      <w:r w:rsidR="00A41428" w:rsidRPr="00524DAA">
        <w:t>alší podpůrná opatření</w:t>
      </w:r>
    </w:p>
    <w:p w:rsidR="00A41428" w:rsidRPr="00524DAA" w:rsidRDefault="00A41428" w:rsidP="00BB7C55">
      <w:pPr>
        <w:pStyle w:val="Bullet1G"/>
      </w:pPr>
      <w:r w:rsidRPr="00524DAA">
        <w:t xml:space="preserve">do metodických materiálů a do obsahu školení pro okrskové volební komise zapracovat informace o správných postupech při komunikaci s osobami se </w:t>
      </w:r>
      <w:r w:rsidR="00ED4ACE">
        <w:t xml:space="preserve">ZP </w:t>
      </w:r>
      <w:r w:rsidRPr="00524DAA">
        <w:t>a o poskytování nezbytné pomoci, vč</w:t>
      </w:r>
      <w:r w:rsidR="007E17DF">
        <w:t>.</w:t>
      </w:r>
      <w:r w:rsidRPr="00524DAA">
        <w:t xml:space="preserve"> asistence</w:t>
      </w:r>
    </w:p>
    <w:p w:rsidR="00A41428" w:rsidRPr="00524DAA" w:rsidRDefault="00A41428" w:rsidP="00BB7C55">
      <w:pPr>
        <w:pStyle w:val="Bullet1G"/>
      </w:pPr>
      <w:r w:rsidRPr="00524DAA">
        <w:t>asistenci ve volební místnosti umožnit i osob</w:t>
      </w:r>
      <w:r w:rsidR="00BB7C55" w:rsidRPr="00524DAA">
        <w:t>ám</w:t>
      </w:r>
      <w:r w:rsidRPr="00524DAA">
        <w:t>, které ji potřebují z jiných důvodů než je nemožnost číst nebo psát</w:t>
      </w:r>
    </w:p>
    <w:p w:rsidR="00A41428" w:rsidRPr="00524DAA" w:rsidRDefault="00A41428" w:rsidP="00BB7C55">
      <w:pPr>
        <w:pStyle w:val="Bullet1G"/>
      </w:pPr>
      <w:r w:rsidRPr="00524DAA">
        <w:t>v prostředí nemocnic a zařízení sociální péče propagovat praxi, která bude dávat přednost hlasování voliče ve volební místnosti, zatímco přenosná volební schránka bude řešením až pro případy, kdy zdravotní stav voliče docházku do volební místnosti skutečně neumožňuje</w:t>
      </w:r>
    </w:p>
    <w:p w:rsidR="00A41428" w:rsidRPr="00524DAA" w:rsidRDefault="00A41428" w:rsidP="00BB7C55">
      <w:pPr>
        <w:pStyle w:val="Bullet1G"/>
      </w:pPr>
      <w:r w:rsidRPr="00524DAA">
        <w:t>v metodických materiálech a školeních posílit důraz na odpovědnost členů okrskové volební komise za zajištění podmínek pro tajnost hlasování do přenosné volební schránky</w:t>
      </w:r>
    </w:p>
    <w:p w:rsidR="00A41428" w:rsidRPr="00524DAA" w:rsidRDefault="00A41428" w:rsidP="00BB7C55">
      <w:pPr>
        <w:pStyle w:val="Bullet1G"/>
      </w:pPr>
      <w:r w:rsidRPr="00524DAA">
        <w:t xml:space="preserve">nadále rozvíjet spolupráci s organizacemi, které sdružují osoby se </w:t>
      </w:r>
      <w:r w:rsidR="00ED4ACE">
        <w:t>ZP</w:t>
      </w:r>
      <w:r w:rsidRPr="00524DAA">
        <w:t>.</w:t>
      </w:r>
    </w:p>
    <w:p w:rsidR="00A41428" w:rsidRPr="00524DAA" w:rsidRDefault="00E75192" w:rsidP="00A41428">
      <w:pPr>
        <w:pStyle w:val="SingleTxtG"/>
      </w:pPr>
      <w:r>
        <w:t>2</w:t>
      </w:r>
      <w:r w:rsidR="0020148B">
        <w:t>9</w:t>
      </w:r>
      <w:r w:rsidR="00A20FD7">
        <w:t>8</w:t>
      </w:r>
      <w:r>
        <w:t>.</w:t>
      </w:r>
      <w:r w:rsidR="00BB7C55" w:rsidRPr="00524DAA">
        <w:tab/>
      </w:r>
      <w:r w:rsidR="00A41428" w:rsidRPr="00524DAA">
        <w:t>Č</w:t>
      </w:r>
      <w:r w:rsidR="00A455A0" w:rsidRPr="00A455A0">
        <w:t>ást z výše uvedených opatření vyžaduje legislativní zakotvení, které je vloženo do návrhu zákona o správě voleb, který v samostatné části obsahuje ustanovení směřující k</w:t>
      </w:r>
      <w:r w:rsidR="00A455A0">
        <w:t> </w:t>
      </w:r>
      <w:r w:rsidR="00A455A0" w:rsidRPr="00A455A0">
        <w:t>podpoře osob se znevýhodněním při výkonu práva volit, když zejména</w:t>
      </w:r>
      <w:r w:rsidR="00A41428" w:rsidRPr="00524DAA">
        <w:t>:</w:t>
      </w:r>
    </w:p>
    <w:p w:rsidR="00A41428" w:rsidRPr="00524DAA" w:rsidRDefault="00CE52A3" w:rsidP="00CE52A3">
      <w:pPr>
        <w:pStyle w:val="Bullet1G"/>
      </w:pPr>
      <w:r w:rsidRPr="00524DAA">
        <w:t>z</w:t>
      </w:r>
      <w:r w:rsidR="00A41428" w:rsidRPr="00524DAA">
        <w:t>přesňuje pravidla pro asistenci ve volební místnosti – odstraňuje některá neúčelná omezení, mimo jiné nevyžaduje, aby asistent měl aktivní volební právo v daném druhu voleb, a nevylučuje nově ani, aby asistenci poskytl člen okrskové volební komise (o čemž se však musí provést záznam); asistence se pak umožňuje i osobám, které ji potřebují z jakéhokoli legitimního důvodu, tedy i osobám, které sice mohou číst a psát a nejsou omezené v pohybu, ale třeba mají v důsledku duševní choroby ztíženou schopnost zvládnout pro ně neobvyklou situaci ve volební místnosti; zákon zdůrazní vázanost asistenta pokyny voliče a mlčenlivost asistenta,</w:t>
      </w:r>
    </w:p>
    <w:p w:rsidR="00A41428" w:rsidRPr="00524DAA" w:rsidRDefault="00A41428" w:rsidP="00CE52A3">
      <w:pPr>
        <w:pStyle w:val="Bullet1G"/>
      </w:pPr>
      <w:r w:rsidRPr="00524DAA">
        <w:t>v návaznosti na zrušení distribuce hlasovacích lístků do domácností umožňuje voličům zajistit si hlasovací lístky u obecního úřadu již ve dnech, kdy bude probíhat hlasování v předstihu; volič tím nepřijde o možnost seznámit se s hlasovacími lístky v klidu doma, což je nezbytné zejména u voličů se zrakovým postižením; obecní úřad však nebude evidovat důvod ani příjemce hlasovacích lístků a nebude dotčeno voličovo právo obdržet lístky ještě ve volební místnosti,</w:t>
      </w:r>
    </w:p>
    <w:p w:rsidR="00A41428" w:rsidRPr="00524DAA" w:rsidRDefault="00A41428" w:rsidP="00CE52A3">
      <w:pPr>
        <w:pStyle w:val="Bullet1G"/>
      </w:pPr>
      <w:r w:rsidRPr="00524DAA">
        <w:t>umožňuje hlasování do přenosné volební schránky i v blízkosti volební místnosti</w:t>
      </w:r>
      <w:r w:rsidR="00613F62">
        <w:br/>
      </w:r>
      <w:r w:rsidRPr="00524DAA">
        <w:t xml:space="preserve">v případě, že by nebyl fyzicky možný přístup voliče do volební místnosti (do budoucna však má být především systémově podporována dostupnost volebních místností pro zdravotně postižené – přispějí k tomu také veřejně dostupné informace </w:t>
      </w:r>
      <w:r w:rsidRPr="00524DAA">
        <w:lastRenderedPageBreak/>
        <w:t>o přístupnosti volebních místností a možnost ad hoc si změnit volební okrsek, kdy jedním z kritérií výběru jiného okrsku může být právě voličova potřeba bezbariérového přístupu do volební místnosti),</w:t>
      </w:r>
    </w:p>
    <w:p w:rsidR="00A41428" w:rsidRPr="00524DAA" w:rsidRDefault="00A41428" w:rsidP="00CE52A3">
      <w:pPr>
        <w:pStyle w:val="Bullet1G"/>
      </w:pPr>
      <w:r w:rsidRPr="00524DAA">
        <w:t>reguluje nadužívání hlasování do přenosné volební schránky v případě pobytových zdravotnických zařízení a zařízení sociálních služeb; správě těchto zařízení, zprostředkovává-li žádosti pacientů nebo klientů o hlasování do přenosné schránky, se nově ukládá prověřit, zda je to potřeba a případně vytvořit podmínky pro hlasování ve volební místnosti,</w:t>
      </w:r>
    </w:p>
    <w:p w:rsidR="00A41428" w:rsidRPr="00524DAA" w:rsidRDefault="00A41428" w:rsidP="00CE52A3">
      <w:pPr>
        <w:pStyle w:val="Bullet1G"/>
      </w:pPr>
      <w:r w:rsidRPr="00524DAA">
        <w:t>ukládá M</w:t>
      </w:r>
      <w:r w:rsidR="00166E2F">
        <w:t xml:space="preserve">V </w:t>
      </w:r>
      <w:r w:rsidRPr="00524DAA">
        <w:t>zveřejňovat v informačním systému správy voleb informace o bezbariérové přístupnosti volebních místností,</w:t>
      </w:r>
    </w:p>
    <w:p w:rsidR="00A41428" w:rsidRPr="00524DAA" w:rsidRDefault="00A41428" w:rsidP="00CE52A3">
      <w:pPr>
        <w:pStyle w:val="Bullet1G"/>
      </w:pPr>
      <w:r w:rsidRPr="00524DAA">
        <w:t>ukládá M</w:t>
      </w:r>
      <w:r w:rsidR="00166E2F">
        <w:t xml:space="preserve">V </w:t>
      </w:r>
      <w:r w:rsidRPr="00524DAA">
        <w:t>zveřejňovat v informačním systému správy voleb zásady hlasování v českém znakovém jazyce.</w:t>
      </w:r>
    </w:p>
    <w:p w:rsidR="0012221A" w:rsidRPr="00524DAA" w:rsidRDefault="00A41428" w:rsidP="00A41428">
      <w:pPr>
        <w:pStyle w:val="SingleTxtG"/>
      </w:pPr>
      <w:r w:rsidRPr="00524DAA">
        <w:t xml:space="preserve">Návrh zákona o správě voleb </w:t>
      </w:r>
      <w:r w:rsidR="00FD7BAA" w:rsidRPr="00524DAA">
        <w:t>před</w:t>
      </w:r>
      <w:r w:rsidR="00003772" w:rsidRPr="00524DAA">
        <w:t xml:space="preserve">ložilo </w:t>
      </w:r>
      <w:r w:rsidRPr="00524DAA">
        <w:t>M</w:t>
      </w:r>
      <w:r w:rsidR="00961A8B">
        <w:t xml:space="preserve">V </w:t>
      </w:r>
      <w:r w:rsidRPr="00524DAA">
        <w:t>vlád</w:t>
      </w:r>
      <w:r w:rsidR="00003772" w:rsidRPr="00524DAA">
        <w:t>ě</w:t>
      </w:r>
      <w:r w:rsidRPr="00524DAA">
        <w:t xml:space="preserve"> </w:t>
      </w:r>
      <w:r w:rsidR="00FD7BAA" w:rsidRPr="00524DAA">
        <w:t>v lednu 2020</w:t>
      </w:r>
      <w:r w:rsidRPr="00524DAA">
        <w:t>.</w:t>
      </w:r>
    </w:p>
    <w:p w:rsidR="0012221A" w:rsidRPr="00524DAA" w:rsidRDefault="0012221A" w:rsidP="001D4EF8">
      <w:pPr>
        <w:pStyle w:val="SingleTxtG"/>
      </w:pPr>
    </w:p>
    <w:p w:rsidR="0012221A" w:rsidRPr="00464437" w:rsidRDefault="0012221A" w:rsidP="0012221A">
      <w:pPr>
        <w:pStyle w:val="H1G"/>
      </w:pPr>
      <w:r w:rsidRPr="00524DAA">
        <w:tab/>
      </w:r>
      <w:r w:rsidRPr="00524DAA">
        <w:tab/>
        <w:t>Odpověď na otázku č. 24 c)</w:t>
      </w:r>
    </w:p>
    <w:p w:rsidR="00540B25" w:rsidRPr="00524DAA" w:rsidRDefault="00D73125" w:rsidP="002C5816">
      <w:pPr>
        <w:pStyle w:val="SingleTxtG"/>
      </w:pPr>
      <w:r>
        <w:t>2</w:t>
      </w:r>
      <w:r w:rsidR="0020148B">
        <w:t>9</w:t>
      </w:r>
      <w:r w:rsidR="00A20FD7">
        <w:t>9</w:t>
      </w:r>
      <w:r>
        <w:t>.</w:t>
      </w:r>
      <w:r w:rsidR="00A169A2" w:rsidRPr="00524DAA">
        <w:tab/>
      </w:r>
      <w:r w:rsidR="00540B25" w:rsidRPr="00524DAA">
        <w:t xml:space="preserve">Počet (podíl) zvolených kandidátů se </w:t>
      </w:r>
      <w:r w:rsidR="00E37529">
        <w:t xml:space="preserve">ZP </w:t>
      </w:r>
      <w:r w:rsidR="00540B25" w:rsidRPr="00524DAA">
        <w:t>není v rámci zpracování výsledků voleb zjišťován a M</w:t>
      </w:r>
      <w:r w:rsidR="00961A8B">
        <w:t xml:space="preserve">V </w:t>
      </w:r>
      <w:r w:rsidR="00540B25" w:rsidRPr="00524DAA">
        <w:t xml:space="preserve">ho nezjišťuje ani jiným </w:t>
      </w:r>
      <w:r w:rsidR="00A169A2" w:rsidRPr="00524DAA">
        <w:t>způsobem</w:t>
      </w:r>
      <w:r w:rsidR="00540B25" w:rsidRPr="00524DAA">
        <w:t xml:space="preserve">. Žádná opatření za účelem podpory kandidátů se </w:t>
      </w:r>
      <w:r w:rsidR="00E37529">
        <w:t>ZP</w:t>
      </w:r>
      <w:r w:rsidR="00540B25" w:rsidRPr="00524DAA">
        <w:t xml:space="preserve">, a zejména žen se </w:t>
      </w:r>
      <w:r w:rsidR="00E37529">
        <w:t>ZP</w:t>
      </w:r>
      <w:r w:rsidR="00540B25" w:rsidRPr="00524DAA">
        <w:t>, nebyla ze strany M</w:t>
      </w:r>
      <w:r w:rsidR="00961A8B">
        <w:t xml:space="preserve">V </w:t>
      </w:r>
      <w:r w:rsidR="00540B25" w:rsidRPr="00524DAA">
        <w:t>přijata. Úkolem M</w:t>
      </w:r>
      <w:r w:rsidR="00961A8B">
        <w:t xml:space="preserve">V </w:t>
      </w:r>
      <w:r w:rsidR="00540B25" w:rsidRPr="00524DAA">
        <w:t>je řídit, zajiš</w:t>
      </w:r>
      <w:r w:rsidR="00613F62">
        <w:t>ťovat a kontrolovat organizační</w:t>
      </w:r>
      <w:r w:rsidR="00961A8B">
        <w:t xml:space="preserve"> </w:t>
      </w:r>
      <w:r w:rsidR="00540B25" w:rsidRPr="00524DAA">
        <w:t>a technickou přípravu, průběh a provedení voleb, avšak nemůže nijak zasahovat do procesu výběru kandidátů, který probíhá uvnitř volebních stran. Politické strany (politická hnutí) jsou na státu a státní moci nezávislé a stát by v zájmu zachování této jejich pozice měl autoritativně do jejich fungování zasahovat co nejméně.</w:t>
      </w:r>
    </w:p>
    <w:p w:rsidR="0012221A" w:rsidRPr="00524DAA" w:rsidRDefault="0012221A" w:rsidP="001D4EF8">
      <w:pPr>
        <w:pStyle w:val="SingleTxtG"/>
      </w:pPr>
    </w:p>
    <w:p w:rsidR="0012221A" w:rsidRPr="00464437" w:rsidRDefault="0012221A" w:rsidP="0012221A">
      <w:pPr>
        <w:pStyle w:val="H1G"/>
      </w:pPr>
      <w:r w:rsidRPr="00524DAA">
        <w:tab/>
      </w:r>
      <w:r w:rsidRPr="00524DAA">
        <w:tab/>
        <w:t>Odpověď na otázku č. 2</w:t>
      </w:r>
      <w:r w:rsidR="00301EF3" w:rsidRPr="00524DAA">
        <w:t>5</w:t>
      </w:r>
    </w:p>
    <w:p w:rsidR="0012221A" w:rsidRPr="00524DAA" w:rsidRDefault="00A20FD7" w:rsidP="00464437">
      <w:pPr>
        <w:pStyle w:val="SingleTxtG"/>
      </w:pPr>
      <w:r>
        <w:t>300</w:t>
      </w:r>
      <w:r w:rsidR="00D73125">
        <w:t>.</w:t>
      </w:r>
      <w:r w:rsidR="000E3FCB" w:rsidRPr="00524DAA">
        <w:tab/>
      </w:r>
      <w:r w:rsidR="00B85591" w:rsidRPr="00524DAA">
        <w:t>Dne</w:t>
      </w:r>
      <w:r w:rsidR="00276E6E" w:rsidRPr="00524DAA">
        <w:t>m</w:t>
      </w:r>
      <w:r w:rsidR="00B85591" w:rsidRPr="00524DAA">
        <w:t xml:space="preserve"> 15. února 2019 nabyl </w:t>
      </w:r>
      <w:r w:rsidR="000E3FCB" w:rsidRPr="00524DAA">
        <w:t>účinnost</w:t>
      </w:r>
      <w:r w:rsidR="00B85591" w:rsidRPr="00524DAA">
        <w:t>i</w:t>
      </w:r>
      <w:r w:rsidR="000E3FCB" w:rsidRPr="00524DAA">
        <w:t xml:space="preserve"> zákon č. 50/2019 Sb., </w:t>
      </w:r>
      <w:r w:rsidR="00B85591" w:rsidRPr="00524DAA">
        <w:t>kterým se mění zákon č. 121/2000 Sb., o právu autorském, o právech souvisejících s právem autorským a o změně některých zákonů (autorský zákon), ve znění pozdějších předpisů</w:t>
      </w:r>
      <w:r w:rsidR="002817CB" w:rsidRPr="00524DAA">
        <w:t xml:space="preserve">. </w:t>
      </w:r>
      <w:r w:rsidR="006B6000" w:rsidRPr="00524DAA">
        <w:t xml:space="preserve">Přijetím </w:t>
      </w:r>
      <w:r w:rsidR="00276E6E" w:rsidRPr="00524DAA">
        <w:t xml:space="preserve">této novely autorského zákona </w:t>
      </w:r>
      <w:r w:rsidR="006B6000" w:rsidRPr="00524DAA">
        <w:t>došlo v</w:t>
      </w:r>
      <w:r w:rsidR="00BB62AD">
        <w:t> </w:t>
      </w:r>
      <w:r w:rsidR="006B6000" w:rsidRPr="00524DAA">
        <w:t>Č</w:t>
      </w:r>
      <w:r w:rsidR="00BB62AD">
        <w:t xml:space="preserve">R </w:t>
      </w:r>
      <w:r w:rsidR="006B6000" w:rsidRPr="00524DAA">
        <w:t>k </w:t>
      </w:r>
      <w:r w:rsidR="000E3FCB" w:rsidRPr="00524DAA">
        <w:t>implement</w:t>
      </w:r>
      <w:r w:rsidR="00276E6E" w:rsidRPr="00524DAA">
        <w:t>ac</w:t>
      </w:r>
      <w:r w:rsidR="006B6000" w:rsidRPr="00524DAA">
        <w:t>i</w:t>
      </w:r>
      <w:r w:rsidR="00276E6E" w:rsidRPr="00524DAA">
        <w:t xml:space="preserve"> </w:t>
      </w:r>
      <w:r w:rsidR="000E3FCB" w:rsidRPr="00524DAA">
        <w:t>směrnice a nařízení E</w:t>
      </w:r>
      <w:r w:rsidR="004B60A5">
        <w:t xml:space="preserve">U </w:t>
      </w:r>
      <w:r w:rsidR="000E3FCB" w:rsidRPr="00524DAA">
        <w:t>k</w:t>
      </w:r>
      <w:r w:rsidR="004B60A5">
        <w:t> </w:t>
      </w:r>
      <w:r w:rsidR="000E3FCB" w:rsidRPr="00524DAA">
        <w:t>provedení Marrákešské smlouvy - Smlouvy Světové organizace duševního vlastnictví o</w:t>
      </w:r>
      <w:r w:rsidR="004B60A5">
        <w:t> </w:t>
      </w:r>
      <w:r w:rsidR="000E3FCB" w:rsidRPr="00524DAA">
        <w:t xml:space="preserve">usnadnění přístupu k publikovaným dílům nevidomým osobám, osobám se zrakovým postižením nebo </w:t>
      </w:r>
      <w:r w:rsidR="004B60A5">
        <w:t xml:space="preserve">osobám </w:t>
      </w:r>
      <w:r w:rsidR="000E3FCB" w:rsidRPr="00524DAA">
        <w:t>s poruchami čtení.</w:t>
      </w:r>
    </w:p>
    <w:p w:rsidR="00BB40D2" w:rsidRPr="00524DAA" w:rsidRDefault="00BB40D2" w:rsidP="001D4EF8">
      <w:pPr>
        <w:pStyle w:val="SingleTxtG"/>
      </w:pPr>
    </w:p>
    <w:p w:rsidR="00144385" w:rsidRPr="00524DAA" w:rsidRDefault="00144385" w:rsidP="00144385">
      <w:pPr>
        <w:pStyle w:val="H1G"/>
      </w:pPr>
      <w:r w:rsidRPr="00524DAA">
        <w:tab/>
        <w:t>C.</w:t>
      </w:r>
      <w:r w:rsidRPr="00524DAA">
        <w:tab/>
        <w:t>Zvláštní povinnosti (články 31</w:t>
      </w:r>
      <w:r w:rsidR="006F408B" w:rsidRPr="00524DAA">
        <w:t>-</w:t>
      </w:r>
      <w:r w:rsidRPr="00524DAA">
        <w:t>33)</w:t>
      </w:r>
    </w:p>
    <w:p w:rsidR="00144385" w:rsidRPr="00524DAA" w:rsidRDefault="00144385" w:rsidP="001D4EF8">
      <w:pPr>
        <w:pStyle w:val="SingleTxtG"/>
      </w:pPr>
    </w:p>
    <w:p w:rsidR="00817B85" w:rsidRPr="00464437" w:rsidRDefault="00817B85" w:rsidP="00817B85">
      <w:pPr>
        <w:pStyle w:val="H1G"/>
      </w:pPr>
      <w:r w:rsidRPr="00524DAA">
        <w:tab/>
      </w:r>
      <w:r w:rsidRPr="00524DAA">
        <w:tab/>
        <w:t>Odpověď na otázku č. 26 a)</w:t>
      </w:r>
    </w:p>
    <w:p w:rsidR="004739CC" w:rsidRPr="00524DAA" w:rsidRDefault="001A1ACA" w:rsidP="00C87739">
      <w:pPr>
        <w:pStyle w:val="SingleTxtG"/>
      </w:pPr>
      <w:r>
        <w:t>30</w:t>
      </w:r>
      <w:r w:rsidR="00A20FD7">
        <w:t>1</w:t>
      </w:r>
      <w:r w:rsidR="00D73125">
        <w:t>.</w:t>
      </w:r>
      <w:r w:rsidR="00604077" w:rsidRPr="00524DAA">
        <w:tab/>
      </w:r>
      <w:r w:rsidR="004739CC" w:rsidRPr="00524DAA">
        <w:t xml:space="preserve">V ČR jsou statistické informace o osobách se </w:t>
      </w:r>
      <w:r w:rsidR="00E13438">
        <w:t>ZP</w:t>
      </w:r>
      <w:r w:rsidR="004739CC" w:rsidRPr="00524DAA">
        <w:t xml:space="preserve"> dostupné z mnoha roz</w:t>
      </w:r>
      <w:r w:rsidR="00BC28C9" w:rsidRPr="00524DAA">
        <w:t xml:space="preserve">dílných </w:t>
      </w:r>
      <w:r w:rsidR="004739CC" w:rsidRPr="00524DAA">
        <w:t xml:space="preserve">administrativních a agendových zdrojů. Při tom každý z těchto zdrojů definuje osobu se </w:t>
      </w:r>
      <w:r w:rsidR="00E13438">
        <w:t xml:space="preserve">ZP </w:t>
      </w:r>
      <w:r w:rsidR="004739CC" w:rsidRPr="00524DAA">
        <w:t xml:space="preserve">podle účelu, ke kterému byl určen a ke kterému podle </w:t>
      </w:r>
      <w:r w:rsidR="00604077" w:rsidRPr="00524DAA">
        <w:t xml:space="preserve">daného </w:t>
      </w:r>
      <w:r w:rsidR="004739CC" w:rsidRPr="00524DAA">
        <w:t>zákona slouží.</w:t>
      </w:r>
      <w:r w:rsidR="00C87739" w:rsidRPr="00524DAA">
        <w:t xml:space="preserve"> </w:t>
      </w:r>
      <w:r w:rsidR="004739CC" w:rsidRPr="00524DAA">
        <w:t>Odlišné vymezení je u příjemců příspěvku na péči, u příjemců in</w:t>
      </w:r>
      <w:r w:rsidR="00613F62">
        <w:t>validního důchodu (invalidita),</w:t>
      </w:r>
      <w:r w:rsidR="00613F62">
        <w:br/>
      </w:r>
      <w:r w:rsidR="004739CC" w:rsidRPr="00524DAA">
        <w:t xml:space="preserve">u držitelů průkazu osob se </w:t>
      </w:r>
      <w:r w:rsidR="00E13438">
        <w:t xml:space="preserve">ZP </w:t>
      </w:r>
      <w:r w:rsidR="004739CC" w:rsidRPr="00524DAA">
        <w:t xml:space="preserve">nebo u zaměstnaných osob se </w:t>
      </w:r>
      <w:r w:rsidR="00E13438">
        <w:t xml:space="preserve">ZP </w:t>
      </w:r>
      <w:r w:rsidR="00613F62">
        <w:t>podle zákona</w:t>
      </w:r>
      <w:r w:rsidR="00613F62">
        <w:br/>
      </w:r>
      <w:r w:rsidR="004739CC" w:rsidRPr="00524DAA">
        <w:t xml:space="preserve">o zaměstnanosti. Jiné vymezení je také u dětí, žáků a studentů se </w:t>
      </w:r>
      <w:r w:rsidR="00E13438">
        <w:t xml:space="preserve">ZP </w:t>
      </w:r>
      <w:r w:rsidR="004739CC" w:rsidRPr="00524DAA">
        <w:t xml:space="preserve">(se speciálními vzdělávacími potřebami) podle školského zákona. </w:t>
      </w:r>
      <w:r w:rsidR="00F30950">
        <w:t>L</w:t>
      </w:r>
      <w:r w:rsidR="004739CC" w:rsidRPr="00524DAA">
        <w:t xml:space="preserve">iší </w:t>
      </w:r>
      <w:r w:rsidR="00F30950">
        <w:t xml:space="preserve">se i </w:t>
      </w:r>
      <w:r w:rsidR="004739CC" w:rsidRPr="00524DAA">
        <w:t>instituce, která má pravomoc dané osobě výše jmenovanou dávku, důchod, průkaz či status přiznat.</w:t>
      </w:r>
    </w:p>
    <w:p w:rsidR="004739CC" w:rsidRPr="00524DAA" w:rsidRDefault="001A1ACA" w:rsidP="00464437">
      <w:pPr>
        <w:pStyle w:val="SingleTxtG"/>
      </w:pPr>
      <w:r>
        <w:t>30</w:t>
      </w:r>
      <w:r w:rsidR="00A20FD7">
        <w:t>2</w:t>
      </w:r>
      <w:r w:rsidR="00D73125">
        <w:t>.</w:t>
      </w:r>
      <w:r w:rsidR="00604077" w:rsidRPr="00524DAA">
        <w:tab/>
      </w:r>
      <w:r w:rsidR="00CF3C8B">
        <w:t>V</w:t>
      </w:r>
      <w:r w:rsidR="004739CC" w:rsidRPr="00524DAA">
        <w:t xml:space="preserve">e Výběrovém šetření o osobách se </w:t>
      </w:r>
      <w:r w:rsidR="00E13438">
        <w:t xml:space="preserve">ZP </w:t>
      </w:r>
      <w:r w:rsidR="004739CC" w:rsidRPr="00524DAA">
        <w:t>v roce 2018 (</w:t>
      </w:r>
      <w:r w:rsidR="00C87739" w:rsidRPr="00524DAA">
        <w:t>dále jen „</w:t>
      </w:r>
      <w:r w:rsidR="004739CC" w:rsidRPr="00524DAA">
        <w:t>VŠPO 2018</w:t>
      </w:r>
      <w:r w:rsidR="00C87739" w:rsidRPr="00524DAA">
        <w:t>“</w:t>
      </w:r>
      <w:r w:rsidR="004739CC" w:rsidRPr="00524DAA">
        <w:t xml:space="preserve">) </w:t>
      </w:r>
      <w:r w:rsidR="00CF3C8B">
        <w:t xml:space="preserve">se ČSÚ </w:t>
      </w:r>
      <w:r w:rsidR="004739CC" w:rsidRPr="00524DAA">
        <w:t>zaměřil na osoby, které samy podle principu „</w:t>
      </w:r>
      <w:proofErr w:type="spellStart"/>
      <w:r w:rsidR="004739CC" w:rsidRPr="00524DAA">
        <w:t>self-reported</w:t>
      </w:r>
      <w:proofErr w:type="spellEnd"/>
      <w:r w:rsidR="004739CC" w:rsidRPr="00524DAA">
        <w:t>“ uvedl</w:t>
      </w:r>
      <w:r w:rsidR="009451F2" w:rsidRPr="00524DAA">
        <w:t>y</w:t>
      </w:r>
      <w:r w:rsidR="004739CC" w:rsidRPr="00524DAA">
        <w:t xml:space="preserve"> dlouhodobé omezení ve </w:t>
      </w:r>
      <w:r w:rsidR="004739CC" w:rsidRPr="00524DAA">
        <w:lastRenderedPageBreak/>
        <w:t>vykonávání běžných činností kvůli zdravotním důvodům. Tento způsob je využívám také k mezinárodnímu srovnávání disability, jelikož se jedná o harmonizovanou otázku v jednotném evropském šetření EU-SILC a v šetření o zdraví EHIS.</w:t>
      </w:r>
    </w:p>
    <w:p w:rsidR="0012221A" w:rsidRPr="00524DAA" w:rsidRDefault="001A1ACA" w:rsidP="00464437">
      <w:pPr>
        <w:pStyle w:val="SingleTxtG"/>
      </w:pPr>
      <w:r>
        <w:t>30</w:t>
      </w:r>
      <w:r w:rsidR="00A20FD7">
        <w:t>3</w:t>
      </w:r>
      <w:r w:rsidR="00D73125">
        <w:t>.</w:t>
      </w:r>
      <w:r w:rsidR="009451F2" w:rsidRPr="00524DAA">
        <w:tab/>
      </w:r>
      <w:r w:rsidR="004739CC" w:rsidRPr="00524DAA">
        <w:t xml:space="preserve">Vzhledem k tomu, že ve VŠPO 2018 nebyly pokryty osoby žijící mimo soukromé domácnosti a vzhledem k velké roztříštěnosti dostupných dat o osobách se </w:t>
      </w:r>
      <w:r w:rsidR="00E13438">
        <w:t xml:space="preserve">ZP </w:t>
      </w:r>
      <w:r w:rsidR="004739CC" w:rsidRPr="00524DAA">
        <w:t xml:space="preserve">byla vypracována studie Děti se </w:t>
      </w:r>
      <w:r w:rsidR="00E13438">
        <w:t xml:space="preserve">ZP </w:t>
      </w:r>
      <w:r w:rsidR="004739CC" w:rsidRPr="00524DAA">
        <w:t xml:space="preserve">a osoby se </w:t>
      </w:r>
      <w:r w:rsidR="00E13438">
        <w:t xml:space="preserve">ZP </w:t>
      </w:r>
      <w:r w:rsidR="004739CC" w:rsidRPr="00524DAA">
        <w:t>žijící mimo soukromé domácnosti - 2017, 2018, jejíž součástí je i Příloha: Přehled a popis zdrojů dat</w:t>
      </w:r>
      <w:r w:rsidR="00613F62">
        <w:t>. V této příloze jsou zmapovány</w:t>
      </w:r>
      <w:r w:rsidR="00613F62">
        <w:br/>
      </w:r>
      <w:r w:rsidR="004739CC" w:rsidRPr="00524DAA">
        <w:t xml:space="preserve">a popsány dostupné zdroje dat o osobách se </w:t>
      </w:r>
      <w:r w:rsidR="00E13438">
        <w:t xml:space="preserve">ZP </w:t>
      </w:r>
      <w:r w:rsidR="004739CC" w:rsidRPr="00524DAA">
        <w:t>M</w:t>
      </w:r>
      <w:r w:rsidR="00E13438">
        <w:t>PSV</w:t>
      </w:r>
      <w:r w:rsidR="004739CC" w:rsidRPr="00524DAA">
        <w:t xml:space="preserve">, </w:t>
      </w:r>
      <w:r w:rsidR="00E13438">
        <w:t>MŠMT</w:t>
      </w:r>
      <w:r w:rsidR="004739CC" w:rsidRPr="00524DAA">
        <w:t>, M</w:t>
      </w:r>
      <w:r w:rsidR="00201FD0">
        <w:t xml:space="preserve">Z </w:t>
      </w:r>
      <w:r w:rsidR="004739CC" w:rsidRPr="00524DAA">
        <w:t>i Č</w:t>
      </w:r>
      <w:r w:rsidR="00AC3165">
        <w:t>SU</w:t>
      </w:r>
      <w:r w:rsidR="009451F2" w:rsidRPr="00524DAA">
        <w:t>,</w:t>
      </w:r>
      <w:r w:rsidR="004739CC" w:rsidRPr="00524DAA">
        <w:t xml:space="preserve"> vč</w:t>
      </w:r>
      <w:r w:rsidR="00AC3165">
        <w:t>.</w:t>
      </w:r>
      <w:r w:rsidR="004739CC" w:rsidRPr="00524DAA">
        <w:t xml:space="preserve"> zhodnocení využitelnosti datových zdrojů. Tato studie je dostupná na webových stránkách ČSÚ zde: </w:t>
      </w:r>
      <w:hyperlink r:id="rId23" w:history="1">
        <w:r w:rsidR="009451F2" w:rsidRPr="00464437">
          <w:t>https://www.czso.cz/csu/czso/deti-se-zdravotnim-postizenim-a-osoby-se-zdravotnim-postizenim-zijici-mimo-soukrome-domacnosti-2017-2018</w:t>
        </w:r>
      </w:hyperlink>
      <w:r w:rsidR="00A46F5C" w:rsidRPr="00524DAA">
        <w:t>.</w:t>
      </w:r>
    </w:p>
    <w:p w:rsidR="00817B85" w:rsidRPr="00464437" w:rsidRDefault="00817B85" w:rsidP="00817B85">
      <w:pPr>
        <w:pStyle w:val="H1G"/>
      </w:pPr>
      <w:r w:rsidRPr="00524DAA">
        <w:tab/>
      </w:r>
      <w:r w:rsidRPr="00524DAA">
        <w:tab/>
        <w:t>Odpověď na otázku č. 26 b)</w:t>
      </w:r>
    </w:p>
    <w:p w:rsidR="004739CC" w:rsidRPr="00524DAA" w:rsidRDefault="001A1ACA" w:rsidP="00464437">
      <w:pPr>
        <w:pStyle w:val="SingleTxtG"/>
      </w:pPr>
      <w:r>
        <w:t>30</w:t>
      </w:r>
      <w:r w:rsidR="00A20FD7">
        <w:t>4</w:t>
      </w:r>
      <w:r w:rsidR="00D73125">
        <w:t>.</w:t>
      </w:r>
      <w:r w:rsidR="00A46F5C" w:rsidRPr="00524DAA">
        <w:tab/>
      </w:r>
      <w:r w:rsidR="004739CC" w:rsidRPr="00524DAA">
        <w:t xml:space="preserve">V roce 2018 provedl </w:t>
      </w:r>
      <w:r w:rsidR="00A46F5C" w:rsidRPr="00524DAA">
        <w:t>Č</w:t>
      </w:r>
      <w:r w:rsidR="004739CC" w:rsidRPr="00524DAA">
        <w:t>SÚ ve spolupráci s</w:t>
      </w:r>
      <w:r w:rsidR="00534ECE">
        <w:t xml:space="preserve"> </w:t>
      </w:r>
      <w:r w:rsidR="00534ECE" w:rsidRPr="00534ECE">
        <w:t>Ústav</w:t>
      </w:r>
      <w:r w:rsidR="00534ECE">
        <w:t>em</w:t>
      </w:r>
      <w:r w:rsidR="00534ECE" w:rsidRPr="00534ECE">
        <w:t xml:space="preserve"> zdravotnických informací a</w:t>
      </w:r>
      <w:r w:rsidR="00534ECE">
        <w:t> </w:t>
      </w:r>
      <w:r w:rsidR="00534ECE" w:rsidRPr="00534ECE">
        <w:t>statistiky</w:t>
      </w:r>
      <w:r w:rsidR="004739CC" w:rsidRPr="00524DAA">
        <w:t xml:space="preserve"> </w:t>
      </w:r>
      <w:r w:rsidR="00534ECE">
        <w:t xml:space="preserve">ČR </w:t>
      </w:r>
      <w:r w:rsidR="004739CC" w:rsidRPr="00524DAA">
        <w:t xml:space="preserve">výběrové šetření o osobách se </w:t>
      </w:r>
      <w:r w:rsidR="00AC3165">
        <w:t xml:space="preserve">ZP </w:t>
      </w:r>
      <w:r w:rsidR="004739CC" w:rsidRPr="00524DAA">
        <w:t xml:space="preserve">(VŠPO 2018) žijících v soukromých domácnostech. Výběrové šetření osob se </w:t>
      </w:r>
      <w:r w:rsidR="00AC3165">
        <w:t xml:space="preserve">ZP </w:t>
      </w:r>
      <w:r w:rsidR="004739CC" w:rsidRPr="00524DAA">
        <w:t>se metodou šetření u domácností konalo v</w:t>
      </w:r>
      <w:r w:rsidR="00AC3165">
        <w:t> </w:t>
      </w:r>
      <w:r w:rsidR="004739CC" w:rsidRPr="00524DAA">
        <w:t>Č</w:t>
      </w:r>
      <w:r w:rsidR="00AC3165">
        <w:t xml:space="preserve">R </w:t>
      </w:r>
      <w:r w:rsidR="004739CC" w:rsidRPr="00524DAA">
        <w:t xml:space="preserve">v roce 2018 poprvé. Díky tomuto způsobu bylo možné zaměřit se i na subjektivně vnímané potíže a potřeby těchto lidí a také jejich vlastní hodnocení zdraví, potíží při vykonávání konkrétních činností a kde vnímají překážky svého plného zapojení do života společnosti podle svých přání. </w:t>
      </w:r>
    </w:p>
    <w:p w:rsidR="00817B85" w:rsidRPr="00524DAA" w:rsidRDefault="00081BDE" w:rsidP="00464437">
      <w:pPr>
        <w:pStyle w:val="SingleTxtG"/>
      </w:pPr>
      <w:r>
        <w:t>30</w:t>
      </w:r>
      <w:r w:rsidR="00A20FD7">
        <w:t>5</w:t>
      </w:r>
      <w:r w:rsidR="00D73125">
        <w:t>.</w:t>
      </w:r>
      <w:r w:rsidR="00A46F5C" w:rsidRPr="00524DAA">
        <w:tab/>
      </w:r>
      <w:r w:rsidR="004739CC" w:rsidRPr="00524DAA">
        <w:t xml:space="preserve">Pro výslednou analýzu a zpracování dat jsou k dispozici údaje o souboru 6,8 tisíc osob se zdravotním omezením. Z výstupů byla vydána publikace Výběrové šetření osob se zdravotním postižením – 2018 s podrobnými tabulkami s výsledky šetření, textovým komentářem s grafy i metodickými poznámkami, která byla zveřejněna na webových stránkách ČSÚ: </w:t>
      </w:r>
      <w:hyperlink r:id="rId24" w:history="1">
        <w:r w:rsidR="00A46F5C" w:rsidRPr="00464437">
          <w:t>https://www.czso.cz/csu/czso/vyberove-setreni-osob-se-zdravotnim-postizenim-2018</w:t>
        </w:r>
      </w:hyperlink>
      <w:r w:rsidR="004739CC" w:rsidRPr="00524DAA">
        <w:t>.</w:t>
      </w:r>
    </w:p>
    <w:p w:rsidR="00A46F5C" w:rsidRPr="00524DAA" w:rsidRDefault="00A46F5C" w:rsidP="00A46F5C">
      <w:pPr>
        <w:pStyle w:val="SingleTxtG"/>
        <w:ind w:left="0"/>
      </w:pPr>
    </w:p>
    <w:p w:rsidR="00817B85" w:rsidRPr="00464437" w:rsidRDefault="00817B85" w:rsidP="00817B85">
      <w:pPr>
        <w:pStyle w:val="H1G"/>
      </w:pPr>
      <w:r w:rsidRPr="00524DAA">
        <w:tab/>
      </w:r>
      <w:r w:rsidRPr="00524DAA">
        <w:tab/>
        <w:t>Odpověď na otázku č. 26 c)</w:t>
      </w:r>
    </w:p>
    <w:p w:rsidR="00817B85" w:rsidRPr="00524DAA" w:rsidRDefault="00081BDE" w:rsidP="00FE2B81">
      <w:pPr>
        <w:pStyle w:val="SingleTxtG"/>
      </w:pPr>
      <w:r>
        <w:t>30</w:t>
      </w:r>
      <w:r w:rsidR="00A20FD7">
        <w:t>6</w:t>
      </w:r>
      <w:r w:rsidR="00D73125">
        <w:t>.</w:t>
      </w:r>
      <w:r w:rsidR="00C64602" w:rsidRPr="00524DAA">
        <w:tab/>
      </w:r>
      <w:r w:rsidR="004739CC" w:rsidRPr="00524DAA">
        <w:t>Otázky z „</w:t>
      </w:r>
      <w:proofErr w:type="spellStart"/>
      <w:r w:rsidR="004739CC" w:rsidRPr="00524DAA">
        <w:t>The</w:t>
      </w:r>
      <w:proofErr w:type="spellEnd"/>
      <w:r w:rsidR="004739CC" w:rsidRPr="00524DAA">
        <w:t xml:space="preserve"> Washington Group </w:t>
      </w:r>
      <w:proofErr w:type="spellStart"/>
      <w:r w:rsidR="004739CC" w:rsidRPr="00524DAA">
        <w:t>Short</w:t>
      </w:r>
      <w:proofErr w:type="spellEnd"/>
      <w:r w:rsidR="004739CC" w:rsidRPr="00524DAA">
        <w:t xml:space="preserve"> Set </w:t>
      </w:r>
      <w:proofErr w:type="spellStart"/>
      <w:r w:rsidR="004739CC" w:rsidRPr="00524DAA">
        <w:t>of</w:t>
      </w:r>
      <w:proofErr w:type="spellEnd"/>
      <w:r w:rsidR="004739CC" w:rsidRPr="00524DAA">
        <w:t xml:space="preserve"> </w:t>
      </w:r>
      <w:proofErr w:type="spellStart"/>
      <w:r w:rsidR="004739CC" w:rsidRPr="00524DAA">
        <w:t>Questions</w:t>
      </w:r>
      <w:proofErr w:type="spellEnd"/>
      <w:r w:rsidR="004739CC" w:rsidRPr="00524DAA">
        <w:t xml:space="preserve"> on Disability“ byly inspirací při tvorbě dotazníku VŠPO 2018 a z velké části v něm byly využity. Tato sada otázek je téměř kompletně zahrnuta i do Evropského šetření o zdraví EHIS, které proběhlo v roce 2019. Cílovými osobami šetření EHIS jsou všechny osoby starší 15 let ž</w:t>
      </w:r>
      <w:r w:rsidR="00613F62">
        <w:t>ijící</w:t>
      </w:r>
      <w:r w:rsidR="00613F62">
        <w:br/>
      </w:r>
      <w:r w:rsidR="004739CC" w:rsidRPr="00524DAA">
        <w:t>v soukromých domácnostech, v čemž je základní rozdíl od VŠPO</w:t>
      </w:r>
      <w:r w:rsidR="002D439A">
        <w:t xml:space="preserve"> 2018</w:t>
      </w:r>
      <w:r w:rsidR="004739CC" w:rsidRPr="00524DAA">
        <w:t xml:space="preserve">, kterého se účastnily jen předem vybrané osoby se </w:t>
      </w:r>
      <w:r w:rsidR="0046265F">
        <w:t>ZP</w:t>
      </w:r>
      <w:r w:rsidR="004739CC" w:rsidRPr="00524DAA">
        <w:t>. Krátká sada otázek Washington Group nebude součástí Sčítání lidu, domů a bytů v roce 2021, v němž je počet otázek výrazně snížen na nezbytné minimum.</w:t>
      </w:r>
    </w:p>
    <w:p w:rsidR="0012221A" w:rsidRPr="00524DAA" w:rsidRDefault="0012221A" w:rsidP="001D4EF8">
      <w:pPr>
        <w:pStyle w:val="SingleTxtG"/>
      </w:pPr>
    </w:p>
    <w:p w:rsidR="00087EAA" w:rsidRPr="00FE2B81" w:rsidRDefault="00087EAA" w:rsidP="00087EAA">
      <w:pPr>
        <w:pStyle w:val="H1G"/>
      </w:pPr>
      <w:r w:rsidRPr="00524DAA">
        <w:tab/>
      </w:r>
      <w:r w:rsidRPr="00524DAA">
        <w:tab/>
        <w:t>Odpověď na otázku č. 27 a)</w:t>
      </w:r>
    </w:p>
    <w:p w:rsidR="0012221A" w:rsidRPr="00524DAA" w:rsidRDefault="00081BDE" w:rsidP="001D4EF8">
      <w:pPr>
        <w:pStyle w:val="SingleTxtG"/>
      </w:pPr>
      <w:r>
        <w:t>30</w:t>
      </w:r>
      <w:r w:rsidR="00A20FD7">
        <w:t>7</w:t>
      </w:r>
      <w:r w:rsidR="00D73125">
        <w:t>.</w:t>
      </w:r>
      <w:r w:rsidR="00B22373" w:rsidRPr="00524DAA">
        <w:tab/>
      </w:r>
      <w:r w:rsidR="007B7BA5">
        <w:t xml:space="preserve">Hlavní principy pro realizaci zahraniční rozvojové spolupráce a humanitární pomoci stanoví v období platnosti Agendy OSN pro udržitelný rozvoj </w:t>
      </w:r>
      <w:r w:rsidR="00B22373" w:rsidRPr="00524DAA">
        <w:t xml:space="preserve">Strategie zahraniční rozvojové spolupráce České republiky na období 2018 – 2030, kterou </w:t>
      </w:r>
      <w:r w:rsidR="007B7BA5">
        <w:t xml:space="preserve">schválila </w:t>
      </w:r>
      <w:r w:rsidR="00B22373" w:rsidRPr="00524DAA">
        <w:t>vláda ČR svým usnesením ze dne 21. srpna 2017 č. 591</w:t>
      </w:r>
      <w:r w:rsidR="007B7BA5">
        <w:t>.</w:t>
      </w:r>
      <w:r w:rsidR="00B22373" w:rsidRPr="00524DAA">
        <w:t xml:space="preserve"> Jako jeden</w:t>
      </w:r>
      <w:r w:rsidR="00613F62">
        <w:t xml:space="preserve"> z hlavních cílů pro rozvojovou</w:t>
      </w:r>
      <w:r w:rsidR="00613F62">
        <w:br/>
      </w:r>
      <w:r w:rsidR="00B22373" w:rsidRPr="00524DAA">
        <w:t>a humanitární oblast definuje strategie tzv. Inkluzivní sociální rozvoj. V rámci této tematické oblasti se aktivity zaměřují především na zdravotnictví, vzdělávání a podporu sociální inkluze. Cílem je mj. vytváření společnosti otevřené všem skupinám obyvatelstva</w:t>
      </w:r>
      <w:r w:rsidR="007E17DF">
        <w:t>,</w:t>
      </w:r>
      <w:r w:rsidR="00B22373" w:rsidRPr="00524DAA">
        <w:t xml:space="preserve"> vč</w:t>
      </w:r>
      <w:r w:rsidR="007E17DF">
        <w:t>.</w:t>
      </w:r>
      <w:r w:rsidR="00B22373" w:rsidRPr="00524DAA">
        <w:t xml:space="preserve"> sociálně vyloučených a jinak znevýhodněných skupin. V průběhu období 2018-2030 bude naplňování Strategie na základě projednání v Radě pro zahraniční rozvojovou spolupráci alespoň dvakrát vyhodnoceno.</w:t>
      </w:r>
    </w:p>
    <w:p w:rsidR="00C063A9" w:rsidRPr="00524DAA" w:rsidRDefault="00C063A9" w:rsidP="001D4EF8">
      <w:pPr>
        <w:pStyle w:val="SingleTxtG"/>
      </w:pPr>
    </w:p>
    <w:p w:rsidR="00C063A9" w:rsidRPr="00FE2B81" w:rsidRDefault="00C063A9" w:rsidP="00C063A9">
      <w:pPr>
        <w:pStyle w:val="H1G"/>
      </w:pPr>
      <w:r w:rsidRPr="00524DAA">
        <w:lastRenderedPageBreak/>
        <w:tab/>
      </w:r>
      <w:r w:rsidRPr="00524DAA">
        <w:tab/>
        <w:t>Odpověď na otázku č. 27 b)</w:t>
      </w:r>
    </w:p>
    <w:p w:rsidR="00B22373" w:rsidRPr="00524DAA" w:rsidRDefault="00081BDE" w:rsidP="00B22373">
      <w:pPr>
        <w:pStyle w:val="SingleTxtG"/>
      </w:pPr>
      <w:r>
        <w:t>30</w:t>
      </w:r>
      <w:r w:rsidR="00A20FD7">
        <w:t>8</w:t>
      </w:r>
      <w:r w:rsidR="00D73125">
        <w:t>.</w:t>
      </w:r>
      <w:r w:rsidR="00B22373" w:rsidRPr="00524DAA">
        <w:tab/>
        <w:t>V rámci šesti prioritních zemí Zahraniční rozvojové spolupráce Č</w:t>
      </w:r>
      <w:r w:rsidR="007B7BA5">
        <w:t xml:space="preserve">R </w:t>
      </w:r>
      <w:r w:rsidR="00B22373" w:rsidRPr="00524DAA">
        <w:t xml:space="preserve">je téma zlepšování podmínek života osob se </w:t>
      </w:r>
      <w:r w:rsidR="007B7BA5">
        <w:t xml:space="preserve">ZP </w:t>
      </w:r>
      <w:r w:rsidR="00B22373" w:rsidRPr="00524DAA">
        <w:t xml:space="preserve">částečně zohledněno v rámci programů spolupráce s Bosnou a Hercegovinou, Moldavskou republikou a Gruzií. </w:t>
      </w:r>
    </w:p>
    <w:p w:rsidR="00B22373" w:rsidRPr="00524DAA" w:rsidRDefault="00081BDE" w:rsidP="00B22373">
      <w:pPr>
        <w:pStyle w:val="SingleTxtG"/>
      </w:pPr>
      <w:r>
        <w:t>30</w:t>
      </w:r>
      <w:r w:rsidR="00A20FD7">
        <w:t>9</w:t>
      </w:r>
      <w:r w:rsidR="00D73125">
        <w:t>.</w:t>
      </w:r>
      <w:r w:rsidR="00B22373" w:rsidRPr="00524DAA">
        <w:tab/>
        <w:t xml:space="preserve">V Bosně a Hercegovině usiluje zahraniční rozvojová spolupráce o zlepšení podmínek života osob se </w:t>
      </w:r>
      <w:r w:rsidR="007B7BA5">
        <w:t xml:space="preserve">ZP </w:t>
      </w:r>
      <w:r w:rsidR="00B22373" w:rsidRPr="00524DAA">
        <w:t xml:space="preserve">prostřednictvím implementace projektů v rámci tematické priority řádná správa věcí veřejných. Projekt „Podpora začleňování osob se </w:t>
      </w:r>
      <w:r w:rsidR="007B7BA5">
        <w:t xml:space="preserve">ZP </w:t>
      </w:r>
      <w:r w:rsidR="00B22373" w:rsidRPr="00524DAA">
        <w:t xml:space="preserve">do společnosti v Bosně a Hercegovině“, jehož realizace byla ukončena v roce 2019, reagoval na potřeby bosenských center pro inkluzi osob se </w:t>
      </w:r>
      <w:r w:rsidR="007B7BA5">
        <w:t xml:space="preserve">ZP </w:t>
      </w:r>
      <w:r w:rsidR="00B22373" w:rsidRPr="00524DAA">
        <w:t>po</w:t>
      </w:r>
      <w:r w:rsidR="00613F62">
        <w:t>mocí přenosu českých zkušeností</w:t>
      </w:r>
      <w:r w:rsidR="00613F62">
        <w:br/>
      </w:r>
      <w:r w:rsidR="00B22373" w:rsidRPr="00524DAA">
        <w:t xml:space="preserve">a know-how, zejména v oblasti zaměstnávání těchto osob. V roce 2020 naváže na tento projekt nově připravovaná iniciativa s názvem „Zvýšení kvality života osob se </w:t>
      </w:r>
      <w:r w:rsidR="007B7BA5">
        <w:t xml:space="preserve">ZP </w:t>
      </w:r>
      <w:r w:rsidR="00B22373" w:rsidRPr="00524DAA">
        <w:t>v Bosně a Hercegovině“. Tyto projekty přímo navazuj</w:t>
      </w:r>
      <w:r w:rsidR="00613F62">
        <w:t>í na Úmluvu, která byla v Bosně</w:t>
      </w:r>
      <w:r w:rsidR="00613F62">
        <w:br/>
      </w:r>
      <w:r w:rsidR="00B22373" w:rsidRPr="00524DAA">
        <w:t>a Hercegovině ratifikována v roce 2010, avšak její implementace je až doposud nedostatečná.</w:t>
      </w:r>
    </w:p>
    <w:p w:rsidR="00C063A9" w:rsidRPr="00524DAA" w:rsidRDefault="00081BDE" w:rsidP="00B22373">
      <w:pPr>
        <w:pStyle w:val="SingleTxtG"/>
      </w:pPr>
      <w:r>
        <w:t>3</w:t>
      </w:r>
      <w:r w:rsidR="00A20FD7">
        <w:t>1</w:t>
      </w:r>
      <w:r w:rsidR="00D73125">
        <w:t>0.</w:t>
      </w:r>
      <w:r w:rsidR="00B22373" w:rsidRPr="00524DAA">
        <w:tab/>
        <w:t xml:space="preserve">V Moldavské republice a Gruzii je téma zlepšení života osob se </w:t>
      </w:r>
      <w:r w:rsidR="007B7BA5">
        <w:t xml:space="preserve">ZP </w:t>
      </w:r>
      <w:r w:rsidR="00B22373" w:rsidRPr="00524DAA">
        <w:t>částečně reflektováno v rámci tematické priority inkluzivní sociální rozvoj. Aktivity v rámci této tematické priority se zaměřují především na zlepšování systémů sociální ochrany pro znevýhodněné skupiny obyvatelstva. Doposud tak byly podpořeny např. osoby s mentálním postižením, osoby s poruchami autistického spektra, či osoby v domácí péči se závislostí na pomoci druhých. Konkrétní projekty přímo navazující na Úmluvu však doposud realizovány nebyly.</w:t>
      </w:r>
    </w:p>
    <w:p w:rsidR="00817B85" w:rsidRPr="00524DAA" w:rsidRDefault="00817B85" w:rsidP="001D4EF8">
      <w:pPr>
        <w:pStyle w:val="SingleTxtG"/>
      </w:pPr>
    </w:p>
    <w:p w:rsidR="00D67D50" w:rsidRPr="00FE2B81" w:rsidRDefault="00604077" w:rsidP="00D67D50">
      <w:pPr>
        <w:pStyle w:val="H1G"/>
      </w:pPr>
      <w:r w:rsidRPr="00524DAA">
        <w:tab/>
      </w:r>
      <w:r w:rsidR="005A098B" w:rsidRPr="00524DAA">
        <w:tab/>
      </w:r>
      <w:r w:rsidR="00D67D50" w:rsidRPr="00524DAA">
        <w:t>Odpověď na otázku č. 28</w:t>
      </w:r>
    </w:p>
    <w:p w:rsidR="00AE6F15" w:rsidRPr="00524DAA" w:rsidRDefault="00081BDE" w:rsidP="00BC28C9">
      <w:pPr>
        <w:pStyle w:val="SingleTxtG"/>
      </w:pPr>
      <w:r>
        <w:t>3</w:t>
      </w:r>
      <w:r w:rsidR="001A1ACA">
        <w:t>1</w:t>
      </w:r>
      <w:r w:rsidR="00A20FD7">
        <w:t>1</w:t>
      </w:r>
      <w:r w:rsidR="00D73125">
        <w:t>.</w:t>
      </w:r>
      <w:r w:rsidR="00C90460" w:rsidRPr="00524DAA">
        <w:tab/>
      </w:r>
      <w:r w:rsidR="00AE6F15" w:rsidRPr="00524DAA">
        <w:t xml:space="preserve">V rámci </w:t>
      </w:r>
      <w:r w:rsidR="008C05C9" w:rsidRPr="00524DAA">
        <w:t xml:space="preserve">monitorování </w:t>
      </w:r>
      <w:r w:rsidR="00430F0E" w:rsidRPr="00524DAA">
        <w:t xml:space="preserve">naplňování </w:t>
      </w:r>
      <w:r w:rsidR="008C05C9" w:rsidRPr="00524DAA">
        <w:t xml:space="preserve">Úmluvy </w:t>
      </w:r>
      <w:r w:rsidR="00430F0E" w:rsidRPr="00524DAA">
        <w:t xml:space="preserve">na vnitrostátní úrovni </w:t>
      </w:r>
      <w:r w:rsidR="00AE6F15" w:rsidRPr="00524DAA">
        <w:t xml:space="preserve">provádí </w:t>
      </w:r>
      <w:r w:rsidR="008C05C9" w:rsidRPr="00524DAA">
        <w:t>ochránce</w:t>
      </w:r>
      <w:r w:rsidR="00430F0E" w:rsidRPr="00524DAA">
        <w:t xml:space="preserve"> </w:t>
      </w:r>
      <w:r w:rsidR="00AE6F15" w:rsidRPr="00524DAA">
        <w:t xml:space="preserve">výzkumy a výzkumná šetření, navštěvuje zařízení, </w:t>
      </w:r>
      <w:r w:rsidR="008C05C9" w:rsidRPr="00524DAA">
        <w:t xml:space="preserve">v nichž žijí </w:t>
      </w:r>
      <w:r w:rsidR="00AE6F15" w:rsidRPr="00524DAA">
        <w:t xml:space="preserve">lidé se ZP, zajišťuje osvětové aktivity v oblasti práv lidí se ZP, úzce spolupracuje s osobami se ZP a jejich organizacemi a stejně tak s Výborem </w:t>
      </w:r>
      <w:r w:rsidR="000463D5">
        <w:t xml:space="preserve">OSN </w:t>
      </w:r>
      <w:r w:rsidR="00AE6F15" w:rsidRPr="00524DAA">
        <w:t xml:space="preserve">pro práva osob se </w:t>
      </w:r>
      <w:r w:rsidR="004257E8">
        <w:t>zdravotním postižením</w:t>
      </w:r>
      <w:r w:rsidR="00AE6F15" w:rsidRPr="00524DAA">
        <w:t xml:space="preserve">. </w:t>
      </w:r>
    </w:p>
    <w:p w:rsidR="00C90460" w:rsidRPr="00524DAA" w:rsidRDefault="00081BDE" w:rsidP="00A22B49">
      <w:pPr>
        <w:pStyle w:val="SingleTxtG"/>
      </w:pPr>
      <w:r>
        <w:t>3</w:t>
      </w:r>
      <w:r w:rsidR="001A1ACA">
        <w:t>1</w:t>
      </w:r>
      <w:r w:rsidR="00A20FD7">
        <w:t>2</w:t>
      </w:r>
      <w:r w:rsidR="00D73125">
        <w:t>.</w:t>
      </w:r>
      <w:r w:rsidR="000E3FCB" w:rsidRPr="00524DAA">
        <w:tab/>
      </w:r>
      <w:r w:rsidR="00AE6F15" w:rsidRPr="00524DAA">
        <w:t xml:space="preserve">Za účelem zapojení osob se ZP do sledování naplňování Úmluvy zřizuje </w:t>
      </w:r>
      <w:r w:rsidR="001C354A">
        <w:t xml:space="preserve">ochránce </w:t>
      </w:r>
      <w:r w:rsidR="00AE6F15" w:rsidRPr="00524DAA">
        <w:t xml:space="preserve">poradní orgán. Poradní orgán předkládá </w:t>
      </w:r>
      <w:r w:rsidR="001C354A">
        <w:t xml:space="preserve">ochránci </w:t>
      </w:r>
      <w:r w:rsidR="00AE6F15" w:rsidRPr="00524DAA">
        <w:t xml:space="preserve">systémová témata v oblasti ochrany práv osob se ZP, poskytuje </w:t>
      </w:r>
      <w:r w:rsidR="001C354A">
        <w:t xml:space="preserve">ochránci </w:t>
      </w:r>
      <w:r w:rsidR="00AE6F15" w:rsidRPr="00524DAA">
        <w:t xml:space="preserve">konzultace a praktické informace, podílí se na připomínkování právních předpisů </w:t>
      </w:r>
      <w:r w:rsidR="001C354A">
        <w:t xml:space="preserve">ochráncem </w:t>
      </w:r>
      <w:r w:rsidR="00AE6F15" w:rsidRPr="00524DAA">
        <w:t>a zaujímá stanoviska k jeho strategickým dokumentům týkajícím se práv osob se ZP.</w:t>
      </w:r>
      <w:r w:rsidR="00C90460" w:rsidRPr="00524DAA">
        <w:t xml:space="preserve"> </w:t>
      </w:r>
      <w:r w:rsidR="00AE6F15" w:rsidRPr="00524DAA">
        <w:t xml:space="preserve">Poradní orgán má 11 členů. Jeho členy jsou lidé se ZP a lidé hájící práva osob se ZP. Při jmenování členů poradního orgánu přihlíží </w:t>
      </w:r>
      <w:r w:rsidR="001C354A">
        <w:t xml:space="preserve">ochránce </w:t>
      </w:r>
      <w:r w:rsidR="00AE6F15" w:rsidRPr="00524DAA">
        <w:t>zejména k jejich odbornosti a angažovanosti v o</w:t>
      </w:r>
      <w:r w:rsidR="00C90460" w:rsidRPr="00524DAA">
        <w:t>blasti ochrany práv osob se ZP.</w:t>
      </w:r>
    </w:p>
    <w:p w:rsidR="00AE6F15" w:rsidRPr="00524DAA" w:rsidRDefault="00081BDE" w:rsidP="00A22B49">
      <w:pPr>
        <w:pStyle w:val="SingleTxtG"/>
      </w:pPr>
      <w:r>
        <w:t>3</w:t>
      </w:r>
      <w:r w:rsidR="001A1ACA">
        <w:t>1</w:t>
      </w:r>
      <w:r w:rsidR="00A20FD7">
        <w:t>3</w:t>
      </w:r>
      <w:r w:rsidR="00D73125">
        <w:t>.</w:t>
      </w:r>
      <w:r w:rsidR="00C90460" w:rsidRPr="00524DAA">
        <w:tab/>
      </w:r>
      <w:r w:rsidR="00AE6F15" w:rsidRPr="00524DAA">
        <w:t xml:space="preserve">V rámci své činnosti realizuje </w:t>
      </w:r>
      <w:r w:rsidR="001C354A">
        <w:t xml:space="preserve">ochránce </w:t>
      </w:r>
      <w:r w:rsidR="00AE6F15" w:rsidRPr="00524DAA">
        <w:t>následující výzkumy z oblasti osob se ZP:</w:t>
      </w:r>
    </w:p>
    <w:p w:rsidR="00AE6F15" w:rsidRPr="00524DAA" w:rsidRDefault="00AE6F15" w:rsidP="00F73725">
      <w:pPr>
        <w:pStyle w:val="Bullet1G"/>
      </w:pPr>
      <w:r w:rsidRPr="00524DAA">
        <w:t>Výzkum dostupnosti sociálních služeb pro rodiny s dětmi s postižením - Cílem výzkumu dostupnosti terénních a ambulantních sociálních služeb pro rodiny s dětmi s postižením je zjistit, zda podpora a rozvoj těchto služeb patří mezi strategické priority krajů a státu, kraje vytvářejí odpovídající nástroje, aby včas uspokojily poptávku rodin s dětmi s postižením po těchto sociálních službách.</w:t>
      </w:r>
    </w:p>
    <w:p w:rsidR="00AE6F15" w:rsidRPr="00524DAA" w:rsidRDefault="00AE6F15" w:rsidP="00430F0E">
      <w:pPr>
        <w:pStyle w:val="Bullet1G"/>
      </w:pPr>
      <w:r w:rsidRPr="00524DAA">
        <w:t xml:space="preserve">Výzkum dostupnosti nástroje pracovní rehabilitace lidem s postižením – Jde o snahu zmapovat práci tzv. odborných skupin podílejících se na rozhodování o formě pracovní rehabilitace konkrétního zájemce o podporu při návratu na otevřený trh práce. </w:t>
      </w:r>
      <w:r w:rsidR="002D439A">
        <w:t xml:space="preserve">Organizační složky </w:t>
      </w:r>
      <w:r w:rsidRPr="00524DAA">
        <w:t>Ú</w:t>
      </w:r>
      <w:r w:rsidR="002D439A">
        <w:t>P</w:t>
      </w:r>
      <w:r w:rsidRPr="00524DAA">
        <w:t xml:space="preserve"> </w:t>
      </w:r>
      <w:r w:rsidR="002D439A">
        <w:t xml:space="preserve">ČR </w:t>
      </w:r>
      <w:r w:rsidRPr="00524DAA">
        <w:t>obdržely žádost o vyplnění dotazníku (jak rozhoduje odborná skupina, kdo je jejím členem, dostupnost stanovisek skupiny žadatelům o pracovní rehabilitaci a další).</w:t>
      </w:r>
    </w:p>
    <w:p w:rsidR="00AE6F15" w:rsidRPr="00524DAA" w:rsidRDefault="00AE6F15" w:rsidP="00AE6F15">
      <w:pPr>
        <w:pStyle w:val="Bullet1G"/>
      </w:pPr>
      <w:r w:rsidRPr="00524DAA">
        <w:t>Výzkum zaměstnávání lidí s</w:t>
      </w:r>
      <w:r w:rsidR="00374372">
        <w:t>e</w:t>
      </w:r>
      <w:r w:rsidRPr="00524DAA">
        <w:t xml:space="preserve"> </w:t>
      </w:r>
      <w:r w:rsidR="00374372">
        <w:t xml:space="preserve">ZP </w:t>
      </w:r>
      <w:r w:rsidRPr="00524DAA">
        <w:t xml:space="preserve">ve veřejném sektoru - Cílem zahájeného výzkumu je zjistit, za jakých podmínek jsou zaměstnáváni lidé se ZP ve veřejném sektoru. Je zaměřen na to, zda jsou tato pracoviště přístupná </w:t>
      </w:r>
      <w:r w:rsidR="002D439A">
        <w:t>osobám se ZP</w:t>
      </w:r>
      <w:r w:rsidRPr="00524DAA">
        <w:t>, jsou zaměstnavatelé schopni a ochotni přizpůsobit pracovní místo a náplň práce možnostem zaměstnanců s</w:t>
      </w:r>
      <w:r w:rsidR="001C354A">
        <w:t>e</w:t>
      </w:r>
      <w:r w:rsidRPr="00524DAA">
        <w:t xml:space="preserve"> </w:t>
      </w:r>
      <w:r w:rsidR="001C354A">
        <w:t>ZP</w:t>
      </w:r>
      <w:r w:rsidRPr="00524DAA">
        <w:t xml:space="preserve">, zaměstnavatelé plní povinný podíl zaměstnávání </w:t>
      </w:r>
      <w:r w:rsidR="00F37DF2">
        <w:t>osob</w:t>
      </w:r>
      <w:r w:rsidRPr="00524DAA">
        <w:t xml:space="preserve"> s</w:t>
      </w:r>
      <w:r w:rsidR="00374372">
        <w:t>e</w:t>
      </w:r>
      <w:r w:rsidRPr="00524DAA">
        <w:t xml:space="preserve"> </w:t>
      </w:r>
      <w:r w:rsidR="00374372">
        <w:t>ZP</w:t>
      </w:r>
      <w:r w:rsidRPr="00524DAA">
        <w:t xml:space="preserve"> nebo preferují náhradní plnění a je výběrové řízení uzpůsobeno potřebám </w:t>
      </w:r>
      <w:r w:rsidR="00F37DF2">
        <w:t xml:space="preserve">osob se ZP </w:t>
      </w:r>
      <w:r w:rsidRPr="00524DAA">
        <w:t xml:space="preserve">a jak. V rámci </w:t>
      </w:r>
      <w:r w:rsidRPr="00524DAA">
        <w:lastRenderedPageBreak/>
        <w:t>dotazníkového šetření byla oslovena všechna ministerstva, krajské úřady a všechny organizační složky státu.</w:t>
      </w:r>
    </w:p>
    <w:p w:rsidR="00AE6F15" w:rsidRPr="00524DAA" w:rsidRDefault="00AE6F15" w:rsidP="00AE6F15">
      <w:pPr>
        <w:pStyle w:val="Bullet1G"/>
      </w:pPr>
      <w:r w:rsidRPr="00524DAA">
        <w:t xml:space="preserve">Výzkum dostupnosti sociální služby azylové bydlení a noclehárny pro </w:t>
      </w:r>
      <w:r w:rsidR="003403F8" w:rsidRPr="00524DAA">
        <w:t xml:space="preserve">osoby se </w:t>
      </w:r>
      <w:r w:rsidR="00374372">
        <w:t>ZP</w:t>
      </w:r>
      <w:r w:rsidR="00613F62">
        <w:t xml:space="preserve"> </w:t>
      </w:r>
      <w:r w:rsidRPr="00524DAA">
        <w:t>– Jde o dlouhodobou snahu zmapovat dostupnost různých forem bydlení pro lidi s</w:t>
      </w:r>
      <w:r w:rsidR="00374372">
        <w:t>e ZP</w:t>
      </w:r>
      <w:r w:rsidRPr="00524DAA">
        <w:t>. Nyní se zjišťuje, zda je i lidem s</w:t>
      </w:r>
      <w:r w:rsidR="00374372">
        <w:t>e</w:t>
      </w:r>
      <w:r w:rsidRPr="00524DAA">
        <w:t xml:space="preserve"> </w:t>
      </w:r>
      <w:r w:rsidR="00374372">
        <w:t>ZP</w:t>
      </w:r>
      <w:r w:rsidRPr="00524DAA">
        <w:t xml:space="preserve"> dostupná sociální služba azylového bydlení a dále sociální služba noclehárny a za j</w:t>
      </w:r>
      <w:r w:rsidR="00613F62">
        <w:t>akých podmínek. Zaměření je zde</w:t>
      </w:r>
      <w:r w:rsidR="00613F62">
        <w:br/>
      </w:r>
      <w:r w:rsidRPr="00524DAA">
        <w:t>i na opakující se překážky v poskytnut</w:t>
      </w:r>
      <w:r w:rsidR="003403F8" w:rsidRPr="00524DAA">
        <w:t>í těchto služeb uvedeným osobám</w:t>
      </w:r>
      <w:r w:rsidR="00066F92" w:rsidRPr="00524DAA">
        <w:t>.</w:t>
      </w:r>
    </w:p>
    <w:p w:rsidR="00AE6F15" w:rsidRPr="00524DAA" w:rsidRDefault="00AE6F15" w:rsidP="00430F0E">
      <w:pPr>
        <w:pStyle w:val="Bullet1G"/>
      </w:pPr>
      <w:r w:rsidRPr="00524DAA">
        <w:t>Výzkum podmínek lidí žijících v</w:t>
      </w:r>
      <w:r w:rsidR="00F37DF2">
        <w:t xml:space="preserve"> DOZP </w:t>
      </w:r>
      <w:r w:rsidRPr="00524DAA">
        <w:t xml:space="preserve">- Počátkem září </w:t>
      </w:r>
      <w:r w:rsidR="00430F0E" w:rsidRPr="00524DAA">
        <w:t xml:space="preserve">2019 </w:t>
      </w:r>
      <w:r w:rsidRPr="00524DAA">
        <w:t xml:space="preserve">byl zahájen výzkum, v rámci kterého mají být zmapovány některé aspekty poskytování služby </w:t>
      </w:r>
      <w:r w:rsidR="00F37DF2">
        <w:t>DOZP</w:t>
      </w:r>
      <w:r w:rsidRPr="00524DAA">
        <w:t xml:space="preserve">. Tento výzkum navazuje na poznatky získané při návštěvách </w:t>
      </w:r>
      <w:r w:rsidR="00F37DF2">
        <w:t>DOZP</w:t>
      </w:r>
      <w:r w:rsidRPr="00524DAA">
        <w:t xml:space="preserve">, které během roku 2019 </w:t>
      </w:r>
      <w:r w:rsidR="001C354A">
        <w:t xml:space="preserve">ochránce </w:t>
      </w:r>
      <w:r w:rsidRPr="00524DAA">
        <w:t xml:space="preserve">realizoval. V rámci dotazníkového šetření byly osloveny všechny </w:t>
      </w:r>
      <w:r w:rsidR="00F37DF2">
        <w:t xml:space="preserve">DOZP </w:t>
      </w:r>
      <w:r w:rsidRPr="00524DAA">
        <w:t>v ČR. V rámci výzkumu je mapováno hned několik oblastí života, např. specifika poskytování služby dětským klientů, podmínky a možnosti zaměstnávání klientů nebo specifika dostupnosti zdravotní péče pro lidi žijící v ústavní službě</w:t>
      </w:r>
      <w:r w:rsidR="00066F92" w:rsidRPr="00524DAA">
        <w:t>.</w:t>
      </w:r>
    </w:p>
    <w:p w:rsidR="00767C79" w:rsidRDefault="00AE6F15" w:rsidP="0062636A">
      <w:pPr>
        <w:pStyle w:val="Bullet1G"/>
      </w:pPr>
      <w:r w:rsidRPr="00524DAA">
        <w:t>Výzkum dostupnosti vlakové přepravy pro lidi používající vozík - V rámci výzkumu se mapují bariéry znemožňující cestování vlakem lidem používající</w:t>
      </w:r>
      <w:r w:rsidR="00D913D7">
        <w:t>m</w:t>
      </w:r>
      <w:r w:rsidRPr="00524DAA">
        <w:t xml:space="preserve"> vozík. Bylo osloveno pět předních společností zajišťujících železniční dopravu na území ČR, dále Správ</w:t>
      </w:r>
      <w:r w:rsidR="001C354A">
        <w:t>a</w:t>
      </w:r>
      <w:r w:rsidRPr="00524DAA">
        <w:t xml:space="preserve"> železni</w:t>
      </w:r>
      <w:r w:rsidR="00B97BB2">
        <w:t>c</w:t>
      </w:r>
      <w:r w:rsidRPr="00524DAA">
        <w:t xml:space="preserve">, </w:t>
      </w:r>
      <w:proofErr w:type="spellStart"/>
      <w:r w:rsidR="00B97BB2">
        <w:t>s.o</w:t>
      </w:r>
      <w:proofErr w:type="spellEnd"/>
      <w:r w:rsidR="00B97BB2">
        <w:t xml:space="preserve">., </w:t>
      </w:r>
      <w:r w:rsidRPr="00524DAA">
        <w:t>Drážní úřad a Ministerstvo dopravy. Předběžné výsledky výzkumu ukazují, že i přes existující právní předpisy, které upravují podmínky pro bezbariérovou přepravu lidí s</w:t>
      </w:r>
      <w:r w:rsidR="00F37DF2">
        <w:t>e</w:t>
      </w:r>
      <w:r w:rsidRPr="00524DAA">
        <w:t xml:space="preserve"> </w:t>
      </w:r>
      <w:r w:rsidR="00F37DF2">
        <w:t>ZP</w:t>
      </w:r>
      <w:r w:rsidRPr="00524DAA">
        <w:t>, přetrvávají bariéry v oblasti přístupnosti vlakové dopravy. Jedná se zejména o nedo</w:t>
      </w:r>
      <w:r w:rsidR="00613F62">
        <w:t>statečně přístupné vlakové vozy</w:t>
      </w:r>
      <w:r w:rsidR="00613F62">
        <w:br/>
      </w:r>
      <w:r w:rsidRPr="00524DAA">
        <w:t xml:space="preserve">a nedostatečný počet bezbariérových železničních staveb, což může mít významný dopad do dalších oblastí života </w:t>
      </w:r>
      <w:r w:rsidR="00F37DF2">
        <w:t>osob se ZP</w:t>
      </w:r>
      <w:r w:rsidRPr="00524DAA">
        <w:t>. Jmenovitě se jedná o právo na práci a zaměstnání, právo na vzdělání apod</w:t>
      </w:r>
      <w:r w:rsidR="00F21581" w:rsidRPr="00524DAA">
        <w:t>.</w:t>
      </w:r>
    </w:p>
    <w:p w:rsidR="0062636A" w:rsidRDefault="00767C79" w:rsidP="00B51D08">
      <w:pPr>
        <w:pStyle w:val="H1G"/>
      </w:pPr>
      <w:r>
        <w:br w:type="page"/>
      </w:r>
      <w:r>
        <w:lastRenderedPageBreak/>
        <w:t>Příloha č. 1 – Seznam použitých zkratek</w:t>
      </w:r>
    </w:p>
    <w:p w:rsidR="00767C79" w:rsidRDefault="00767C79" w:rsidP="00767C79">
      <w:pPr>
        <w:pStyle w:val="SingleTxtG"/>
        <w:ind w:left="0"/>
      </w:pPr>
    </w:p>
    <w:tbl>
      <w:tblPr>
        <w:tblStyle w:val="Mkatabulky"/>
        <w:tblW w:w="0" w:type="auto"/>
        <w:tblLook w:val="04A0" w:firstRow="1" w:lastRow="0" w:firstColumn="1" w:lastColumn="0" w:noHBand="0" w:noVBand="1"/>
      </w:tblPr>
      <w:tblGrid>
        <w:gridCol w:w="2427"/>
        <w:gridCol w:w="7202"/>
      </w:tblGrid>
      <w:tr w:rsidR="00EB1816" w:rsidRPr="00EB1816" w:rsidTr="00EB1816">
        <w:tc>
          <w:tcPr>
            <w:tcW w:w="0" w:type="auto"/>
          </w:tcPr>
          <w:p w:rsidR="00EB1816" w:rsidRPr="00EB1816" w:rsidRDefault="00EB1816" w:rsidP="00166E2F">
            <w:pPr>
              <w:pStyle w:val="SingleTxtG"/>
              <w:ind w:left="0"/>
              <w:rPr>
                <w:b/>
              </w:rPr>
            </w:pPr>
            <w:r w:rsidRPr="00EB1816">
              <w:rPr>
                <w:b/>
              </w:rPr>
              <w:t>Zkratka</w:t>
            </w:r>
          </w:p>
        </w:tc>
        <w:tc>
          <w:tcPr>
            <w:tcW w:w="0" w:type="auto"/>
          </w:tcPr>
          <w:p w:rsidR="00EB1816" w:rsidRPr="00EB1816" w:rsidRDefault="00EB1816" w:rsidP="00166E2F">
            <w:pPr>
              <w:pStyle w:val="SingleTxtG"/>
              <w:ind w:left="0"/>
              <w:rPr>
                <w:b/>
              </w:rPr>
            </w:pPr>
            <w:r w:rsidRPr="00EB1816">
              <w:rPr>
                <w:b/>
              </w:rPr>
              <w:t>Význam</w:t>
            </w:r>
          </w:p>
        </w:tc>
      </w:tr>
      <w:tr w:rsidR="00EB1816" w:rsidRPr="00EB1816" w:rsidTr="00EB1816">
        <w:tc>
          <w:tcPr>
            <w:tcW w:w="0" w:type="auto"/>
          </w:tcPr>
          <w:p w:rsidR="00EB1816" w:rsidRPr="00EB1816" w:rsidRDefault="00EB1816" w:rsidP="00166E2F">
            <w:pPr>
              <w:pStyle w:val="SingleTxtG"/>
              <w:ind w:left="0"/>
            </w:pPr>
            <w:r w:rsidRPr="00EB1816">
              <w:t>Akční plán</w:t>
            </w:r>
          </w:p>
        </w:tc>
        <w:tc>
          <w:tcPr>
            <w:tcW w:w="0" w:type="auto"/>
          </w:tcPr>
          <w:p w:rsidR="00EB1816" w:rsidRPr="00EB1816" w:rsidRDefault="00EB1816" w:rsidP="00EB1816">
            <w:pPr>
              <w:pStyle w:val="SingleTxtG"/>
              <w:ind w:left="0"/>
            </w:pPr>
            <w:r w:rsidRPr="00EB1816">
              <w:t>Akční plán prevence domácího a genderově podmíněného násilí na léta 2019</w:t>
            </w:r>
            <w:r>
              <w:noBreakHyphen/>
            </w:r>
            <w:r w:rsidRPr="00EB1816">
              <w:t>2022</w:t>
            </w:r>
          </w:p>
        </w:tc>
      </w:tr>
      <w:tr w:rsidR="00EB1816" w:rsidRPr="00EB1816" w:rsidTr="00EB1816">
        <w:tc>
          <w:tcPr>
            <w:tcW w:w="0" w:type="auto"/>
          </w:tcPr>
          <w:p w:rsidR="00EB1816" w:rsidRPr="00EB1816" w:rsidRDefault="00EB1816" w:rsidP="00166E2F">
            <w:pPr>
              <w:pStyle w:val="SingleTxtG"/>
              <w:ind w:left="0"/>
            </w:pPr>
            <w:r w:rsidRPr="00EB1816">
              <w:t>APZ</w:t>
            </w:r>
          </w:p>
        </w:tc>
        <w:tc>
          <w:tcPr>
            <w:tcW w:w="0" w:type="auto"/>
          </w:tcPr>
          <w:p w:rsidR="00EB1816" w:rsidRPr="00EB1816" w:rsidRDefault="00EB1816" w:rsidP="00166E2F">
            <w:pPr>
              <w:pStyle w:val="SingleTxtG"/>
              <w:ind w:left="0"/>
            </w:pPr>
            <w:r w:rsidRPr="00EB1816">
              <w:t>Aktivní politika zaměstnanosti</w:t>
            </w:r>
          </w:p>
        </w:tc>
      </w:tr>
      <w:tr w:rsidR="00BE6C05" w:rsidRPr="00EB1816" w:rsidTr="00EB1816">
        <w:tc>
          <w:tcPr>
            <w:tcW w:w="0" w:type="auto"/>
          </w:tcPr>
          <w:p w:rsidR="00BE6C05" w:rsidRPr="00EB1816" w:rsidRDefault="001D4A23" w:rsidP="00BE6C05">
            <w:pPr>
              <w:pStyle w:val="SingleTxtG"/>
              <w:ind w:left="0"/>
            </w:pPr>
            <w:r>
              <w:t>B</w:t>
            </w:r>
            <w:r w:rsidR="00BE6C05">
              <w:t>ezbariérová vyhláška</w:t>
            </w:r>
          </w:p>
        </w:tc>
        <w:tc>
          <w:tcPr>
            <w:tcW w:w="0" w:type="auto"/>
          </w:tcPr>
          <w:p w:rsidR="00BE6C05" w:rsidRPr="00EB1816" w:rsidRDefault="00BE6C05" w:rsidP="00166E2F">
            <w:pPr>
              <w:pStyle w:val="SingleTxtG"/>
              <w:ind w:left="0"/>
            </w:pPr>
            <w:r w:rsidRPr="00BE6C05">
              <w:t>Vyhláška MMR č. 398/2009 Sb., o obecných technických požadavcích zabezpečujících bezbariérové užívání staveb, ve znění pozdějších předpisů</w:t>
            </w:r>
          </w:p>
        </w:tc>
      </w:tr>
      <w:tr w:rsidR="00EB1816" w:rsidRPr="00EB1816" w:rsidTr="00EB1816">
        <w:tc>
          <w:tcPr>
            <w:tcW w:w="0" w:type="auto"/>
          </w:tcPr>
          <w:p w:rsidR="00EB1816" w:rsidRPr="00EB1816" w:rsidRDefault="00EB1816" w:rsidP="00166E2F">
            <w:pPr>
              <w:pStyle w:val="SingleTxtG"/>
              <w:ind w:left="0"/>
            </w:pPr>
            <w:r w:rsidRPr="00EB1816">
              <w:t>ČR</w:t>
            </w:r>
          </w:p>
        </w:tc>
        <w:tc>
          <w:tcPr>
            <w:tcW w:w="0" w:type="auto"/>
          </w:tcPr>
          <w:p w:rsidR="00EB1816" w:rsidRPr="00EB1816" w:rsidRDefault="00EB1816" w:rsidP="00166E2F">
            <w:pPr>
              <w:pStyle w:val="SingleTxtG"/>
              <w:ind w:left="0"/>
            </w:pPr>
            <w:r w:rsidRPr="00EB1816">
              <w:t>Česká republika</w:t>
            </w:r>
          </w:p>
        </w:tc>
      </w:tr>
      <w:tr w:rsidR="00991C31" w:rsidRPr="00EB1816" w:rsidTr="00EB1816">
        <w:tc>
          <w:tcPr>
            <w:tcW w:w="0" w:type="auto"/>
          </w:tcPr>
          <w:p w:rsidR="00991C31" w:rsidRPr="00EB1816" w:rsidRDefault="00991C31" w:rsidP="00166E2F">
            <w:pPr>
              <w:pStyle w:val="SingleTxtG"/>
              <w:ind w:left="0"/>
            </w:pPr>
            <w:r>
              <w:t>ČSN</w:t>
            </w:r>
          </w:p>
        </w:tc>
        <w:tc>
          <w:tcPr>
            <w:tcW w:w="0" w:type="auto"/>
          </w:tcPr>
          <w:p w:rsidR="00991C31" w:rsidRPr="00EB1816" w:rsidRDefault="00991C31" w:rsidP="00166E2F">
            <w:pPr>
              <w:pStyle w:val="SingleTxtG"/>
              <w:ind w:left="0"/>
            </w:pPr>
            <w:r>
              <w:t>Česká státní norma</w:t>
            </w:r>
          </w:p>
        </w:tc>
      </w:tr>
      <w:tr w:rsidR="008C1637" w:rsidRPr="00EB1816" w:rsidTr="00EB1816">
        <w:tc>
          <w:tcPr>
            <w:tcW w:w="0" w:type="auto"/>
          </w:tcPr>
          <w:p w:rsidR="008C1637" w:rsidRPr="00EB1816" w:rsidRDefault="008C1637" w:rsidP="00166E2F">
            <w:pPr>
              <w:pStyle w:val="SingleTxtG"/>
              <w:ind w:left="0"/>
            </w:pPr>
            <w:r>
              <w:t>ČTN</w:t>
            </w:r>
          </w:p>
        </w:tc>
        <w:tc>
          <w:tcPr>
            <w:tcW w:w="0" w:type="auto"/>
          </w:tcPr>
          <w:p w:rsidR="008C1637" w:rsidRPr="00EB1816" w:rsidRDefault="008C1637" w:rsidP="00166E2F">
            <w:pPr>
              <w:pStyle w:val="SingleTxtG"/>
              <w:ind w:left="0"/>
            </w:pPr>
            <w:r>
              <w:t>Česká technická norma</w:t>
            </w:r>
          </w:p>
        </w:tc>
      </w:tr>
      <w:tr w:rsidR="00EB1816" w:rsidRPr="00EB1816" w:rsidTr="00EB1816">
        <w:tc>
          <w:tcPr>
            <w:tcW w:w="0" w:type="auto"/>
          </w:tcPr>
          <w:p w:rsidR="00EB1816" w:rsidRPr="00EB1816" w:rsidRDefault="00EB1816" w:rsidP="00166E2F">
            <w:pPr>
              <w:pStyle w:val="SingleTxtG"/>
              <w:ind w:left="0"/>
            </w:pPr>
            <w:r w:rsidRPr="00EB1816">
              <w:t>ČSÚ</w:t>
            </w:r>
          </w:p>
        </w:tc>
        <w:tc>
          <w:tcPr>
            <w:tcW w:w="0" w:type="auto"/>
          </w:tcPr>
          <w:p w:rsidR="00EB1816" w:rsidRPr="00EB1816" w:rsidRDefault="00EB1816" w:rsidP="00166E2F">
            <w:pPr>
              <w:pStyle w:val="SingleTxtG"/>
              <w:ind w:left="0"/>
            </w:pPr>
            <w:r w:rsidRPr="00EB1816">
              <w:t>Český Statistický Úřad</w:t>
            </w:r>
          </w:p>
        </w:tc>
      </w:tr>
      <w:tr w:rsidR="00EB1816" w:rsidRPr="00EB1816" w:rsidTr="00EB1816">
        <w:tc>
          <w:tcPr>
            <w:tcW w:w="0" w:type="auto"/>
          </w:tcPr>
          <w:p w:rsidR="00EB1816" w:rsidRPr="00EB1816" w:rsidRDefault="00EB1816" w:rsidP="00166E2F">
            <w:pPr>
              <w:pStyle w:val="SingleTxtG"/>
              <w:ind w:left="0"/>
            </w:pPr>
            <w:r w:rsidRPr="00EB1816">
              <w:t>DOZP</w:t>
            </w:r>
          </w:p>
        </w:tc>
        <w:tc>
          <w:tcPr>
            <w:tcW w:w="0" w:type="auto"/>
          </w:tcPr>
          <w:p w:rsidR="00EB1816" w:rsidRPr="00EB1816" w:rsidRDefault="00EB1816" w:rsidP="00166E2F">
            <w:pPr>
              <w:pStyle w:val="SingleTxtG"/>
              <w:ind w:left="0"/>
            </w:pPr>
            <w:r w:rsidRPr="00EB1816">
              <w:t>domov pro osoby se ZP</w:t>
            </w:r>
          </w:p>
        </w:tc>
      </w:tr>
      <w:tr w:rsidR="00EB1816" w:rsidRPr="00EB1816" w:rsidTr="00EB1816">
        <w:tc>
          <w:tcPr>
            <w:tcW w:w="0" w:type="auto"/>
          </w:tcPr>
          <w:p w:rsidR="00EB1816" w:rsidRPr="00EB1816" w:rsidRDefault="00EB1816" w:rsidP="00166E2F">
            <w:pPr>
              <w:pStyle w:val="SingleTxtG"/>
              <w:ind w:left="0"/>
            </w:pPr>
            <w:r w:rsidRPr="00EB1816">
              <w:t>ETR</w:t>
            </w:r>
          </w:p>
        </w:tc>
        <w:tc>
          <w:tcPr>
            <w:tcW w:w="0" w:type="auto"/>
          </w:tcPr>
          <w:p w:rsidR="00EB1816" w:rsidRPr="00EB1816" w:rsidRDefault="00EB1816" w:rsidP="00166E2F">
            <w:pPr>
              <w:pStyle w:val="SingleTxtG"/>
              <w:ind w:left="0"/>
            </w:pPr>
            <w:proofErr w:type="spellStart"/>
            <w:r w:rsidRPr="00EB1816">
              <w:t>Easy</w:t>
            </w:r>
            <w:proofErr w:type="spellEnd"/>
            <w:r w:rsidRPr="00EB1816">
              <w:t xml:space="preserve"> to </w:t>
            </w:r>
            <w:proofErr w:type="spellStart"/>
            <w:r w:rsidRPr="00EB1816">
              <w:t>read</w:t>
            </w:r>
            <w:proofErr w:type="spellEnd"/>
            <w:r w:rsidRPr="00EB1816">
              <w:t xml:space="preserve"> formát textu</w:t>
            </w:r>
          </w:p>
        </w:tc>
      </w:tr>
      <w:tr w:rsidR="00EB1816" w:rsidRPr="00EB1816" w:rsidTr="00EB1816">
        <w:tc>
          <w:tcPr>
            <w:tcW w:w="0" w:type="auto"/>
          </w:tcPr>
          <w:p w:rsidR="00EB1816" w:rsidRPr="00EB1816" w:rsidRDefault="00EB1816" w:rsidP="00166E2F">
            <w:pPr>
              <w:pStyle w:val="SingleTxtG"/>
              <w:ind w:left="0"/>
            </w:pPr>
            <w:r w:rsidRPr="00EB1816">
              <w:t>EU</w:t>
            </w:r>
          </w:p>
        </w:tc>
        <w:tc>
          <w:tcPr>
            <w:tcW w:w="0" w:type="auto"/>
          </w:tcPr>
          <w:p w:rsidR="00EB1816" w:rsidRPr="00EB1816" w:rsidRDefault="00EB1816" w:rsidP="00166E2F">
            <w:pPr>
              <w:pStyle w:val="SingleTxtG"/>
              <w:ind w:left="0"/>
            </w:pPr>
            <w:r w:rsidRPr="00EB1816">
              <w:t>Evropská unie</w:t>
            </w:r>
          </w:p>
        </w:tc>
      </w:tr>
      <w:tr w:rsidR="00EB1816" w:rsidRPr="00EB1816" w:rsidTr="00EB1816">
        <w:tc>
          <w:tcPr>
            <w:tcW w:w="0" w:type="auto"/>
          </w:tcPr>
          <w:p w:rsidR="00EB1816" w:rsidRPr="00EB1816" w:rsidRDefault="00EB1816" w:rsidP="00166E2F">
            <w:pPr>
              <w:pStyle w:val="SingleTxtG"/>
              <w:ind w:left="0"/>
            </w:pPr>
            <w:r w:rsidRPr="00EB1816">
              <w:t>HZS ČR</w:t>
            </w:r>
          </w:p>
        </w:tc>
        <w:tc>
          <w:tcPr>
            <w:tcW w:w="0" w:type="auto"/>
          </w:tcPr>
          <w:p w:rsidR="00EB1816" w:rsidRPr="00EB1816" w:rsidRDefault="00EB1816" w:rsidP="00166E2F">
            <w:pPr>
              <w:pStyle w:val="SingleTxtG"/>
              <w:ind w:left="0"/>
            </w:pPr>
            <w:r w:rsidRPr="00EB1816">
              <w:t>Hasičský záchranný sbor ČR</w:t>
            </w:r>
          </w:p>
        </w:tc>
      </w:tr>
      <w:tr w:rsidR="00EB1816" w:rsidRPr="00EB1816" w:rsidTr="00EB1816">
        <w:tc>
          <w:tcPr>
            <w:tcW w:w="0" w:type="auto"/>
          </w:tcPr>
          <w:p w:rsidR="00EB1816" w:rsidRPr="00EB1816" w:rsidRDefault="00EB1816" w:rsidP="00166E2F">
            <w:pPr>
              <w:pStyle w:val="SingleTxtG"/>
              <w:ind w:left="0"/>
            </w:pPr>
            <w:r w:rsidRPr="00EB1816">
              <w:t>KA</w:t>
            </w:r>
          </w:p>
        </w:tc>
        <w:tc>
          <w:tcPr>
            <w:tcW w:w="0" w:type="auto"/>
          </w:tcPr>
          <w:p w:rsidR="00EB1816" w:rsidRPr="00EB1816" w:rsidRDefault="00EB1816" w:rsidP="00166E2F">
            <w:pPr>
              <w:pStyle w:val="SingleTxtG"/>
              <w:ind w:left="0"/>
            </w:pPr>
            <w:r w:rsidRPr="00EB1816">
              <w:t>Klíčová aktivita</w:t>
            </w:r>
          </w:p>
        </w:tc>
      </w:tr>
      <w:tr w:rsidR="00EB1816" w:rsidRPr="00EB1816" w:rsidTr="00EB1816">
        <w:tc>
          <w:tcPr>
            <w:tcW w:w="0" w:type="auto"/>
          </w:tcPr>
          <w:p w:rsidR="00EB1816" w:rsidRPr="00EB1816" w:rsidRDefault="00EB1816" w:rsidP="00166E2F">
            <w:pPr>
              <w:pStyle w:val="SingleTxtG"/>
              <w:ind w:left="0"/>
            </w:pPr>
            <w:proofErr w:type="spellStart"/>
            <w:r w:rsidRPr="00EB1816">
              <w:t>KrP</w:t>
            </w:r>
            <w:proofErr w:type="spellEnd"/>
            <w:r w:rsidRPr="00EB1816">
              <w:t xml:space="preserve"> ÚP</w:t>
            </w:r>
          </w:p>
        </w:tc>
        <w:tc>
          <w:tcPr>
            <w:tcW w:w="0" w:type="auto"/>
          </w:tcPr>
          <w:p w:rsidR="00EB1816" w:rsidRPr="00EB1816" w:rsidRDefault="00EB1816" w:rsidP="00166E2F">
            <w:pPr>
              <w:pStyle w:val="SingleTxtG"/>
              <w:ind w:left="0"/>
            </w:pPr>
            <w:r w:rsidRPr="00EB1816">
              <w:t>Krajská pobočka Úřadu práce ČR</w:t>
            </w:r>
          </w:p>
        </w:tc>
      </w:tr>
      <w:tr w:rsidR="0089523E" w:rsidRPr="00EB1816" w:rsidTr="00EB1816">
        <w:tc>
          <w:tcPr>
            <w:tcW w:w="0" w:type="auto"/>
          </w:tcPr>
          <w:p w:rsidR="0089523E" w:rsidRPr="00EB1816" w:rsidRDefault="0089523E" w:rsidP="00166E2F">
            <w:pPr>
              <w:pStyle w:val="SingleTxtG"/>
              <w:ind w:left="0"/>
            </w:pPr>
            <w:r>
              <w:t>MK</w:t>
            </w:r>
          </w:p>
        </w:tc>
        <w:tc>
          <w:tcPr>
            <w:tcW w:w="0" w:type="auto"/>
          </w:tcPr>
          <w:p w:rsidR="0089523E" w:rsidRPr="00EB1816" w:rsidRDefault="0089523E" w:rsidP="00166E2F">
            <w:pPr>
              <w:pStyle w:val="SingleTxtG"/>
              <w:ind w:left="0"/>
            </w:pPr>
            <w:r>
              <w:t>Ministerstvo kultury</w:t>
            </w:r>
          </w:p>
        </w:tc>
      </w:tr>
      <w:tr w:rsidR="00EB1816" w:rsidRPr="00EB1816" w:rsidTr="00EB1816">
        <w:tc>
          <w:tcPr>
            <w:tcW w:w="0" w:type="auto"/>
          </w:tcPr>
          <w:p w:rsidR="00EB1816" w:rsidRPr="00EB1816" w:rsidRDefault="00EB1816" w:rsidP="00166E2F">
            <w:pPr>
              <w:pStyle w:val="SingleTxtG"/>
              <w:ind w:left="0"/>
            </w:pPr>
            <w:r w:rsidRPr="00EB1816">
              <w:t>MMR</w:t>
            </w:r>
          </w:p>
        </w:tc>
        <w:tc>
          <w:tcPr>
            <w:tcW w:w="0" w:type="auto"/>
          </w:tcPr>
          <w:p w:rsidR="00EB1816" w:rsidRPr="00EB1816" w:rsidRDefault="00EB1816" w:rsidP="00166E2F">
            <w:pPr>
              <w:pStyle w:val="SingleTxtG"/>
              <w:ind w:left="0"/>
            </w:pPr>
            <w:r w:rsidRPr="00EB1816">
              <w:t>Ministerstvo pro místní rozvoj</w:t>
            </w:r>
          </w:p>
        </w:tc>
      </w:tr>
      <w:tr w:rsidR="00EB1816" w:rsidRPr="00EB1816" w:rsidTr="00EB1816">
        <w:tc>
          <w:tcPr>
            <w:tcW w:w="0" w:type="auto"/>
          </w:tcPr>
          <w:p w:rsidR="00EB1816" w:rsidRPr="00EB1816" w:rsidRDefault="00EB1816" w:rsidP="00166E2F">
            <w:pPr>
              <w:pStyle w:val="SingleTxtG"/>
              <w:ind w:left="0"/>
            </w:pPr>
            <w:r w:rsidRPr="00EB1816">
              <w:t>MPSV</w:t>
            </w:r>
          </w:p>
        </w:tc>
        <w:tc>
          <w:tcPr>
            <w:tcW w:w="0" w:type="auto"/>
          </w:tcPr>
          <w:p w:rsidR="00EB1816" w:rsidRPr="00EB1816" w:rsidRDefault="00EB1816" w:rsidP="00166E2F">
            <w:pPr>
              <w:pStyle w:val="SingleTxtG"/>
              <w:ind w:left="0"/>
            </w:pPr>
            <w:r w:rsidRPr="00EB1816">
              <w:t>Ministerstvo práce a sociálních věcí</w:t>
            </w:r>
          </w:p>
        </w:tc>
      </w:tr>
      <w:tr w:rsidR="00EB1816" w:rsidRPr="00EB1816" w:rsidTr="00EB1816">
        <w:tc>
          <w:tcPr>
            <w:tcW w:w="0" w:type="auto"/>
          </w:tcPr>
          <w:p w:rsidR="00EB1816" w:rsidRPr="00EB1816" w:rsidRDefault="00EB1816" w:rsidP="00166E2F">
            <w:pPr>
              <w:pStyle w:val="SingleTxtG"/>
              <w:ind w:left="0"/>
            </w:pPr>
            <w:r w:rsidRPr="00EB1816">
              <w:t>MS</w:t>
            </w:r>
          </w:p>
        </w:tc>
        <w:tc>
          <w:tcPr>
            <w:tcW w:w="0" w:type="auto"/>
          </w:tcPr>
          <w:p w:rsidR="00EB1816" w:rsidRPr="00EB1816" w:rsidRDefault="00EB1816" w:rsidP="00166E2F">
            <w:pPr>
              <w:pStyle w:val="SingleTxtG"/>
              <w:ind w:left="0"/>
            </w:pPr>
            <w:r w:rsidRPr="00EB1816">
              <w:t>Ministerstvo spravedlnosti</w:t>
            </w:r>
          </w:p>
        </w:tc>
      </w:tr>
      <w:tr w:rsidR="00EB1816" w:rsidRPr="00EB1816" w:rsidTr="00EB1816">
        <w:tc>
          <w:tcPr>
            <w:tcW w:w="0" w:type="auto"/>
          </w:tcPr>
          <w:p w:rsidR="00EB1816" w:rsidRPr="00EB1816" w:rsidRDefault="00EB1816" w:rsidP="00166E2F">
            <w:pPr>
              <w:pStyle w:val="SingleTxtG"/>
              <w:ind w:left="0"/>
            </w:pPr>
            <w:r w:rsidRPr="00EB1816">
              <w:t>MŠMT</w:t>
            </w:r>
          </w:p>
        </w:tc>
        <w:tc>
          <w:tcPr>
            <w:tcW w:w="0" w:type="auto"/>
          </w:tcPr>
          <w:p w:rsidR="00EB1816" w:rsidRPr="00EB1816" w:rsidRDefault="00EB1816" w:rsidP="00166E2F">
            <w:pPr>
              <w:pStyle w:val="SingleTxtG"/>
              <w:ind w:left="0"/>
            </w:pPr>
            <w:r w:rsidRPr="00EB1816">
              <w:t>Ministerstvo školství, mládeže a tělovýchovy</w:t>
            </w:r>
          </w:p>
        </w:tc>
      </w:tr>
      <w:tr w:rsidR="00EB1816" w:rsidRPr="00EB1816" w:rsidTr="00EB1816">
        <w:tc>
          <w:tcPr>
            <w:tcW w:w="0" w:type="auto"/>
          </w:tcPr>
          <w:p w:rsidR="00EB1816" w:rsidRPr="00EB1816" w:rsidRDefault="00EB1816" w:rsidP="00166E2F">
            <w:pPr>
              <w:pStyle w:val="SingleTxtG"/>
              <w:ind w:left="0"/>
            </w:pPr>
            <w:r w:rsidRPr="00EB1816">
              <w:t>MV</w:t>
            </w:r>
          </w:p>
        </w:tc>
        <w:tc>
          <w:tcPr>
            <w:tcW w:w="0" w:type="auto"/>
          </w:tcPr>
          <w:p w:rsidR="00EB1816" w:rsidRPr="00EB1816" w:rsidRDefault="00EB1816" w:rsidP="00166E2F">
            <w:pPr>
              <w:pStyle w:val="SingleTxtG"/>
              <w:ind w:left="0"/>
            </w:pPr>
            <w:r w:rsidRPr="00EB1816">
              <w:t>Ministerstvo vnitra</w:t>
            </w:r>
          </w:p>
        </w:tc>
      </w:tr>
      <w:tr w:rsidR="00EB1816" w:rsidRPr="00EB1816" w:rsidTr="00EB1816">
        <w:tc>
          <w:tcPr>
            <w:tcW w:w="0" w:type="auto"/>
          </w:tcPr>
          <w:p w:rsidR="00EB1816" w:rsidRPr="00EB1816" w:rsidRDefault="00EB1816" w:rsidP="00166E2F">
            <w:pPr>
              <w:pStyle w:val="SingleTxtG"/>
              <w:ind w:left="0"/>
            </w:pPr>
            <w:r w:rsidRPr="00EB1816">
              <w:t>MZ</w:t>
            </w:r>
          </w:p>
        </w:tc>
        <w:tc>
          <w:tcPr>
            <w:tcW w:w="0" w:type="auto"/>
          </w:tcPr>
          <w:p w:rsidR="00EB1816" w:rsidRPr="00EB1816" w:rsidRDefault="00EB1816" w:rsidP="00166E2F">
            <w:pPr>
              <w:pStyle w:val="SingleTxtG"/>
              <w:ind w:left="0"/>
            </w:pPr>
            <w:r w:rsidRPr="00EB1816">
              <w:t>Ministerstvo zdravotnictví</w:t>
            </w:r>
          </w:p>
        </w:tc>
      </w:tr>
      <w:tr w:rsidR="00EB1816" w:rsidRPr="00EB1816" w:rsidTr="00EB1816">
        <w:tc>
          <w:tcPr>
            <w:tcW w:w="0" w:type="auto"/>
          </w:tcPr>
          <w:p w:rsidR="00EB1816" w:rsidRPr="00EB1816" w:rsidRDefault="00EB1816" w:rsidP="00166E2F">
            <w:pPr>
              <w:pStyle w:val="SingleTxtG"/>
              <w:ind w:left="0"/>
            </w:pPr>
            <w:r w:rsidRPr="00EB1816">
              <w:t>NRP</w:t>
            </w:r>
          </w:p>
        </w:tc>
        <w:tc>
          <w:tcPr>
            <w:tcW w:w="0" w:type="auto"/>
          </w:tcPr>
          <w:p w:rsidR="00EB1816" w:rsidRPr="00EB1816" w:rsidRDefault="00EB1816" w:rsidP="00166E2F">
            <w:pPr>
              <w:pStyle w:val="SingleTxtG"/>
              <w:ind w:left="0"/>
            </w:pPr>
            <w:r w:rsidRPr="00EB1816">
              <w:t>Náhradní rodinná péče</w:t>
            </w:r>
          </w:p>
        </w:tc>
      </w:tr>
      <w:tr w:rsidR="00EB1816" w:rsidRPr="00EB1816" w:rsidTr="00EB1816">
        <w:tc>
          <w:tcPr>
            <w:tcW w:w="0" w:type="auto"/>
          </w:tcPr>
          <w:p w:rsidR="00EB1816" w:rsidRPr="00EB1816" w:rsidRDefault="00EB1816" w:rsidP="00166E2F">
            <w:pPr>
              <w:pStyle w:val="SingleTxtG"/>
              <w:ind w:left="0"/>
            </w:pPr>
            <w:r w:rsidRPr="00EB1816">
              <w:t>Národní plán</w:t>
            </w:r>
          </w:p>
        </w:tc>
        <w:tc>
          <w:tcPr>
            <w:tcW w:w="0" w:type="auto"/>
          </w:tcPr>
          <w:p w:rsidR="00EB1816" w:rsidRPr="00EB1816" w:rsidRDefault="00EB1816" w:rsidP="00EB1816">
            <w:pPr>
              <w:pStyle w:val="SingleTxtG"/>
              <w:ind w:left="0"/>
            </w:pPr>
            <w:r w:rsidRPr="00EB1816">
              <w:t>Národní plán podpory rovných příležitostí pro osoby se zdravotním postižením na období 2015</w:t>
            </w:r>
            <w:r>
              <w:noBreakHyphen/>
            </w:r>
            <w:r w:rsidRPr="00EB1816">
              <w:t>2020</w:t>
            </w:r>
          </w:p>
        </w:tc>
      </w:tr>
      <w:tr w:rsidR="00C42998" w:rsidRPr="00EB1816" w:rsidTr="00EB1816">
        <w:tc>
          <w:tcPr>
            <w:tcW w:w="0" w:type="auto"/>
          </w:tcPr>
          <w:p w:rsidR="00C42998" w:rsidRPr="00EB1816" w:rsidRDefault="00C42998" w:rsidP="00166E2F">
            <w:pPr>
              <w:pStyle w:val="SingleTxtG"/>
              <w:ind w:left="0"/>
            </w:pPr>
            <w:r>
              <w:t>Ochránce</w:t>
            </w:r>
          </w:p>
        </w:tc>
        <w:tc>
          <w:tcPr>
            <w:tcW w:w="0" w:type="auto"/>
          </w:tcPr>
          <w:p w:rsidR="00C42998" w:rsidRPr="00EB1816" w:rsidRDefault="00C42998" w:rsidP="00166E2F">
            <w:pPr>
              <w:pStyle w:val="SingleTxtG"/>
              <w:ind w:left="0"/>
            </w:pPr>
            <w:r>
              <w:t>Veřejný ochránce práv</w:t>
            </w:r>
          </w:p>
        </w:tc>
      </w:tr>
      <w:tr w:rsidR="00EB1816" w:rsidRPr="00EB1816" w:rsidTr="00EB1816">
        <w:tc>
          <w:tcPr>
            <w:tcW w:w="0" w:type="auto"/>
          </w:tcPr>
          <w:p w:rsidR="00EB1816" w:rsidRPr="00EB1816" w:rsidRDefault="00EB1816" w:rsidP="00166E2F">
            <w:pPr>
              <w:pStyle w:val="SingleTxtG"/>
              <w:ind w:left="0"/>
            </w:pPr>
            <w:r w:rsidRPr="00EB1816">
              <w:t>OPZ</w:t>
            </w:r>
          </w:p>
        </w:tc>
        <w:tc>
          <w:tcPr>
            <w:tcW w:w="0" w:type="auto"/>
          </w:tcPr>
          <w:p w:rsidR="00EB1816" w:rsidRPr="00EB1816" w:rsidRDefault="00EB1816" w:rsidP="00166E2F">
            <w:pPr>
              <w:pStyle w:val="SingleTxtG"/>
              <w:ind w:left="0"/>
            </w:pPr>
            <w:r w:rsidRPr="00EB1816">
              <w:t>Operační program Zaměstnanost</w:t>
            </w:r>
          </w:p>
        </w:tc>
      </w:tr>
      <w:tr w:rsidR="00EB1816" w:rsidRPr="00EB1816" w:rsidTr="00EB1816">
        <w:tc>
          <w:tcPr>
            <w:tcW w:w="0" w:type="auto"/>
          </w:tcPr>
          <w:p w:rsidR="00EB1816" w:rsidRPr="00EB1816" w:rsidRDefault="00EB1816" w:rsidP="00166E2F">
            <w:pPr>
              <w:pStyle w:val="SingleTxtG"/>
              <w:ind w:left="0"/>
            </w:pPr>
            <w:r w:rsidRPr="00EB1816">
              <w:t>OP VVV</w:t>
            </w:r>
          </w:p>
        </w:tc>
        <w:tc>
          <w:tcPr>
            <w:tcW w:w="0" w:type="auto"/>
          </w:tcPr>
          <w:p w:rsidR="00EB1816" w:rsidRPr="00EB1816" w:rsidRDefault="00EB1816" w:rsidP="00166E2F">
            <w:pPr>
              <w:pStyle w:val="SingleTxtG"/>
              <w:ind w:left="0"/>
            </w:pPr>
            <w:r w:rsidRPr="00EB1816">
              <w:t>Operační program Výzkum, vývoj a vzdělávání</w:t>
            </w:r>
          </w:p>
        </w:tc>
      </w:tr>
      <w:tr w:rsidR="00EB1816" w:rsidRPr="00EB1816" w:rsidTr="00EB1816">
        <w:tc>
          <w:tcPr>
            <w:tcW w:w="0" w:type="auto"/>
          </w:tcPr>
          <w:p w:rsidR="00EB1816" w:rsidRPr="00EB1816" w:rsidRDefault="00EB1816" w:rsidP="00166E2F">
            <w:pPr>
              <w:pStyle w:val="SingleTxtG"/>
              <w:ind w:left="0"/>
            </w:pPr>
            <w:r w:rsidRPr="00EB1816">
              <w:t>OSPOD</w:t>
            </w:r>
          </w:p>
        </w:tc>
        <w:tc>
          <w:tcPr>
            <w:tcW w:w="0" w:type="auto"/>
          </w:tcPr>
          <w:p w:rsidR="00EB1816" w:rsidRPr="00EB1816" w:rsidRDefault="00EB1816" w:rsidP="00EB1816">
            <w:pPr>
              <w:pStyle w:val="SingleTxtG"/>
              <w:ind w:left="0"/>
            </w:pPr>
            <w:r w:rsidRPr="00EB1816">
              <w:t>Orgán sociálně</w:t>
            </w:r>
            <w:r>
              <w:noBreakHyphen/>
            </w:r>
            <w:r w:rsidRPr="00EB1816">
              <w:t>právní ochrany dětí</w:t>
            </w:r>
          </w:p>
        </w:tc>
      </w:tr>
      <w:tr w:rsidR="00EB1816" w:rsidRPr="00EB1816" w:rsidTr="00EB1816">
        <w:tc>
          <w:tcPr>
            <w:tcW w:w="0" w:type="auto"/>
          </w:tcPr>
          <w:p w:rsidR="00EB1816" w:rsidRPr="00EB1816" w:rsidRDefault="00EB1816" w:rsidP="00166E2F">
            <w:pPr>
              <w:pStyle w:val="SingleTxtG"/>
              <w:ind w:left="0"/>
            </w:pPr>
            <w:r w:rsidRPr="00EB1816">
              <w:t>Osoby se ZP</w:t>
            </w:r>
          </w:p>
        </w:tc>
        <w:tc>
          <w:tcPr>
            <w:tcW w:w="0" w:type="auto"/>
          </w:tcPr>
          <w:p w:rsidR="00EB1816" w:rsidRPr="00EB1816" w:rsidRDefault="00EB1816" w:rsidP="00166E2F">
            <w:pPr>
              <w:pStyle w:val="SingleTxtG"/>
              <w:ind w:left="0"/>
            </w:pPr>
            <w:r w:rsidRPr="00EB1816">
              <w:t>Osoby se zdravotním postižením</w:t>
            </w:r>
          </w:p>
        </w:tc>
      </w:tr>
      <w:tr w:rsidR="00E74249" w:rsidRPr="00EB1816" w:rsidTr="00EB1816">
        <w:tc>
          <w:tcPr>
            <w:tcW w:w="0" w:type="auto"/>
          </w:tcPr>
          <w:p w:rsidR="00E74249" w:rsidRPr="00142A55" w:rsidRDefault="00E74249" w:rsidP="00166E2F">
            <w:pPr>
              <w:pStyle w:val="SingleTxtG"/>
              <w:ind w:left="0"/>
            </w:pPr>
            <w:r>
              <w:t>RIA</w:t>
            </w:r>
          </w:p>
        </w:tc>
        <w:tc>
          <w:tcPr>
            <w:tcW w:w="0" w:type="auto"/>
          </w:tcPr>
          <w:p w:rsidR="00E74249" w:rsidRPr="00142A55" w:rsidRDefault="00E74249" w:rsidP="00166E2F">
            <w:pPr>
              <w:pStyle w:val="SingleTxtG"/>
              <w:ind w:left="0"/>
            </w:pPr>
            <w:r w:rsidRPr="00E74249">
              <w:t>Zpráva z hodnocení dopadů regulace</w:t>
            </w:r>
          </w:p>
        </w:tc>
      </w:tr>
      <w:tr w:rsidR="007B6946" w:rsidRPr="00EB1816" w:rsidTr="00EB1816">
        <w:tc>
          <w:tcPr>
            <w:tcW w:w="0" w:type="auto"/>
          </w:tcPr>
          <w:p w:rsidR="007B6946" w:rsidRPr="00EB1816" w:rsidRDefault="00142A55" w:rsidP="00166E2F">
            <w:pPr>
              <w:pStyle w:val="SingleTxtG"/>
              <w:ind w:left="0"/>
            </w:pPr>
            <w:r w:rsidRPr="00142A55">
              <w:t>RVP ZV LMP</w:t>
            </w:r>
          </w:p>
        </w:tc>
        <w:tc>
          <w:tcPr>
            <w:tcW w:w="0" w:type="auto"/>
          </w:tcPr>
          <w:p w:rsidR="007B6946" w:rsidRPr="00EB1816" w:rsidRDefault="00142A55" w:rsidP="00166E2F">
            <w:pPr>
              <w:pStyle w:val="SingleTxtG"/>
              <w:ind w:left="0"/>
            </w:pPr>
            <w:r w:rsidRPr="00142A55">
              <w:t>Rámcový vzdělávací program pro základní vzdělávání upravující vzdělávání žáků s lehkým mentálním postižením</w:t>
            </w:r>
          </w:p>
        </w:tc>
      </w:tr>
      <w:tr w:rsidR="00A96C9B" w:rsidRPr="00EB1816" w:rsidTr="00EB1816">
        <w:tc>
          <w:tcPr>
            <w:tcW w:w="0" w:type="auto"/>
          </w:tcPr>
          <w:p w:rsidR="00A96C9B" w:rsidRPr="00142A55" w:rsidRDefault="00A96C9B" w:rsidP="00166E2F">
            <w:pPr>
              <w:pStyle w:val="SingleTxtG"/>
              <w:ind w:left="0"/>
            </w:pPr>
            <w:r w:rsidRPr="00A96C9B">
              <w:t>RVP ZV UV</w:t>
            </w:r>
          </w:p>
        </w:tc>
        <w:tc>
          <w:tcPr>
            <w:tcW w:w="0" w:type="auto"/>
          </w:tcPr>
          <w:p w:rsidR="00A96C9B" w:rsidRPr="00142A55" w:rsidRDefault="00A96C9B" w:rsidP="00166E2F">
            <w:pPr>
              <w:pStyle w:val="SingleTxtG"/>
              <w:ind w:left="0"/>
            </w:pPr>
            <w:r w:rsidRPr="00A96C9B">
              <w:t>Rámcový vzdělávací program se sníženými nároky na výstupy ze vzdělávání z důvodu mentálního postižení</w:t>
            </w:r>
          </w:p>
        </w:tc>
      </w:tr>
      <w:tr w:rsidR="00EB1816" w:rsidRPr="00EB1816" w:rsidTr="00EB1816">
        <w:tc>
          <w:tcPr>
            <w:tcW w:w="0" w:type="auto"/>
          </w:tcPr>
          <w:p w:rsidR="00EB1816" w:rsidRPr="00EB1816" w:rsidRDefault="00EB1816" w:rsidP="00166E2F">
            <w:pPr>
              <w:pStyle w:val="SingleTxtG"/>
              <w:ind w:left="0"/>
            </w:pPr>
            <w:r w:rsidRPr="00EB1816">
              <w:t>SPOD</w:t>
            </w:r>
          </w:p>
        </w:tc>
        <w:tc>
          <w:tcPr>
            <w:tcW w:w="0" w:type="auto"/>
          </w:tcPr>
          <w:p w:rsidR="00EB1816" w:rsidRPr="00EB1816" w:rsidRDefault="00EB1816" w:rsidP="00EB1816">
            <w:pPr>
              <w:pStyle w:val="SingleTxtG"/>
              <w:ind w:left="0"/>
            </w:pPr>
            <w:r w:rsidRPr="00EB1816">
              <w:t>Sociálně</w:t>
            </w:r>
            <w:r>
              <w:noBreakHyphen/>
            </w:r>
            <w:r w:rsidRPr="00EB1816">
              <w:t>právní ochrana dětí</w:t>
            </w:r>
          </w:p>
        </w:tc>
      </w:tr>
      <w:tr w:rsidR="002D63B4" w:rsidRPr="00EB1816" w:rsidTr="00EB1816">
        <w:tc>
          <w:tcPr>
            <w:tcW w:w="0" w:type="auto"/>
          </w:tcPr>
          <w:p w:rsidR="002D63B4" w:rsidRPr="00EB1816" w:rsidRDefault="002D63B4" w:rsidP="00166E2F">
            <w:pPr>
              <w:pStyle w:val="SingleTxtG"/>
              <w:ind w:left="0"/>
            </w:pPr>
            <w:bookmarkStart w:id="3" w:name="_Hlk44364843"/>
            <w:r>
              <w:lastRenderedPageBreak/>
              <w:t>TSI PRM</w:t>
            </w:r>
          </w:p>
        </w:tc>
        <w:tc>
          <w:tcPr>
            <w:tcW w:w="0" w:type="auto"/>
          </w:tcPr>
          <w:p w:rsidR="002D63B4" w:rsidRPr="00EB1816" w:rsidRDefault="002D63B4" w:rsidP="00166E2F">
            <w:pPr>
              <w:pStyle w:val="SingleTxtG"/>
              <w:ind w:left="0"/>
            </w:pPr>
            <w:r w:rsidRPr="002D63B4">
              <w:t>Nařízení Komise (EU) č. 1300/2014 o technických specifikacích pro interoperabilitu týkajících se přístupnosti železničního systému Unie pro osoby se zdravotním postižením a osoby s omezenou schopností pohybu a orientace</w:t>
            </w:r>
          </w:p>
        </w:tc>
      </w:tr>
      <w:bookmarkEnd w:id="3"/>
      <w:tr w:rsidR="00EB1816" w:rsidRPr="00EB1816" w:rsidTr="00EB1816">
        <w:tc>
          <w:tcPr>
            <w:tcW w:w="0" w:type="auto"/>
          </w:tcPr>
          <w:p w:rsidR="00EB1816" w:rsidRPr="00EB1816" w:rsidRDefault="00EB1816" w:rsidP="00166E2F">
            <w:pPr>
              <w:pStyle w:val="SingleTxtG"/>
              <w:ind w:left="0"/>
            </w:pPr>
            <w:r w:rsidRPr="00EB1816">
              <w:t>Úmluva</w:t>
            </w:r>
          </w:p>
        </w:tc>
        <w:tc>
          <w:tcPr>
            <w:tcW w:w="0" w:type="auto"/>
          </w:tcPr>
          <w:p w:rsidR="00EB1816" w:rsidRPr="00EB1816" w:rsidRDefault="00EB1816" w:rsidP="00166E2F">
            <w:pPr>
              <w:pStyle w:val="SingleTxtG"/>
              <w:ind w:left="0"/>
            </w:pPr>
            <w:r w:rsidRPr="00EB1816">
              <w:t>Úmluva o právech osob se zdravotním postižením</w:t>
            </w:r>
          </w:p>
        </w:tc>
      </w:tr>
      <w:tr w:rsidR="00EB1816" w:rsidRPr="00EB1816" w:rsidTr="00EB1816">
        <w:tc>
          <w:tcPr>
            <w:tcW w:w="0" w:type="auto"/>
          </w:tcPr>
          <w:p w:rsidR="00EB1816" w:rsidRPr="00EB1816" w:rsidRDefault="00EB1816" w:rsidP="00166E2F">
            <w:pPr>
              <w:pStyle w:val="SingleTxtG"/>
              <w:ind w:left="0"/>
            </w:pPr>
            <w:r w:rsidRPr="00EB1816">
              <w:t>ÚP ČR</w:t>
            </w:r>
          </w:p>
        </w:tc>
        <w:tc>
          <w:tcPr>
            <w:tcW w:w="0" w:type="auto"/>
          </w:tcPr>
          <w:p w:rsidR="00EB1816" w:rsidRPr="00EB1816" w:rsidRDefault="00EB1816" w:rsidP="00166E2F">
            <w:pPr>
              <w:pStyle w:val="SingleTxtG"/>
              <w:ind w:left="0"/>
            </w:pPr>
            <w:r w:rsidRPr="00EB1816">
              <w:t>Úřad práce České republiky</w:t>
            </w:r>
          </w:p>
        </w:tc>
      </w:tr>
      <w:tr w:rsidR="00EB1816" w:rsidRPr="00EB1816" w:rsidTr="00EB1816">
        <w:tc>
          <w:tcPr>
            <w:tcW w:w="0" w:type="auto"/>
          </w:tcPr>
          <w:p w:rsidR="00EB1816" w:rsidRPr="00EB1816" w:rsidRDefault="00EB1816" w:rsidP="00166E2F">
            <w:pPr>
              <w:pStyle w:val="SingleTxtG"/>
              <w:ind w:left="0"/>
            </w:pPr>
            <w:r>
              <w:t>VVOZP</w:t>
            </w:r>
          </w:p>
        </w:tc>
        <w:tc>
          <w:tcPr>
            <w:tcW w:w="0" w:type="auto"/>
          </w:tcPr>
          <w:p w:rsidR="00EB1816" w:rsidRPr="00EB1816" w:rsidRDefault="00EB1816" w:rsidP="00166E2F">
            <w:pPr>
              <w:pStyle w:val="SingleTxtG"/>
              <w:ind w:left="0"/>
            </w:pPr>
            <w:r w:rsidRPr="00EB1816">
              <w:t>Vládní výbor pro osoby se ZP</w:t>
            </w:r>
          </w:p>
        </w:tc>
      </w:tr>
      <w:tr w:rsidR="00EB1816" w:rsidRPr="00EB1816" w:rsidTr="00EB1816">
        <w:tc>
          <w:tcPr>
            <w:tcW w:w="0" w:type="auto"/>
          </w:tcPr>
          <w:p w:rsidR="00EB1816" w:rsidRDefault="00EB1816" w:rsidP="00166E2F">
            <w:pPr>
              <w:pStyle w:val="SingleTxtG"/>
              <w:ind w:left="0"/>
            </w:pPr>
            <w:r>
              <w:t>VŠPO 2018</w:t>
            </w:r>
          </w:p>
        </w:tc>
        <w:tc>
          <w:tcPr>
            <w:tcW w:w="0" w:type="auto"/>
          </w:tcPr>
          <w:p w:rsidR="00EB1816" w:rsidRPr="00EB1816" w:rsidRDefault="00EB1816" w:rsidP="00166E2F">
            <w:pPr>
              <w:pStyle w:val="SingleTxtG"/>
              <w:ind w:left="0"/>
            </w:pPr>
            <w:r w:rsidRPr="00EB1816">
              <w:t>Výběrové šetření o osobách se ZP v roce 2018</w:t>
            </w:r>
          </w:p>
        </w:tc>
      </w:tr>
      <w:tr w:rsidR="00D10749" w:rsidRPr="00EB1816" w:rsidTr="00EB1816">
        <w:tc>
          <w:tcPr>
            <w:tcW w:w="0" w:type="auto"/>
          </w:tcPr>
          <w:p w:rsidR="00D10749" w:rsidRDefault="00D10749" w:rsidP="00166E2F">
            <w:pPr>
              <w:pStyle w:val="SingleTxtG"/>
              <w:ind w:left="0"/>
            </w:pPr>
            <w:r>
              <w:t>WCAG</w:t>
            </w:r>
          </w:p>
        </w:tc>
        <w:tc>
          <w:tcPr>
            <w:tcW w:w="0" w:type="auto"/>
          </w:tcPr>
          <w:p w:rsidR="00D10749" w:rsidRPr="00EB1816" w:rsidRDefault="00D10749" w:rsidP="00D10749">
            <w:pPr>
              <w:pStyle w:val="SingleTxtG"/>
              <w:ind w:left="0"/>
            </w:pPr>
            <w:r w:rsidRPr="00D10749">
              <w:t xml:space="preserve">Web </w:t>
            </w:r>
            <w:proofErr w:type="spellStart"/>
            <w:r w:rsidRPr="00D10749">
              <w:t>Content</w:t>
            </w:r>
            <w:proofErr w:type="spellEnd"/>
            <w:r w:rsidRPr="00D10749">
              <w:t xml:space="preserve"> </w:t>
            </w:r>
            <w:proofErr w:type="spellStart"/>
            <w:r w:rsidRPr="00D10749">
              <w:t>Accessibility</w:t>
            </w:r>
            <w:proofErr w:type="spellEnd"/>
            <w:r w:rsidRPr="00D10749">
              <w:t xml:space="preserve"> </w:t>
            </w:r>
            <w:proofErr w:type="spellStart"/>
            <w:r w:rsidRPr="00D10749">
              <w:t>Guidelines</w:t>
            </w:r>
            <w:proofErr w:type="spellEnd"/>
            <w:r>
              <w:t xml:space="preserve"> (mezinárodní standard přístupnosti webových stránek</w:t>
            </w:r>
          </w:p>
        </w:tc>
      </w:tr>
    </w:tbl>
    <w:p w:rsidR="00E82989" w:rsidRDefault="00E82989" w:rsidP="00767C79">
      <w:pPr>
        <w:pStyle w:val="SingleTxtG"/>
        <w:ind w:left="0"/>
      </w:pPr>
    </w:p>
    <w:p w:rsidR="00767C79" w:rsidRDefault="004446DE" w:rsidP="0089523E">
      <w:pPr>
        <w:pStyle w:val="H1G"/>
      </w:pPr>
      <w:r>
        <w:br w:type="page"/>
      </w:r>
      <w:r w:rsidR="004C4BCF">
        <w:lastRenderedPageBreak/>
        <w:t xml:space="preserve">Příloha č. 2 – </w:t>
      </w:r>
      <w:r w:rsidR="00763DC4">
        <w:t xml:space="preserve">Přehled pomůcek vydaných </w:t>
      </w:r>
      <w:r w:rsidR="00C367F8">
        <w:t xml:space="preserve">MMR </w:t>
      </w:r>
      <w:r w:rsidR="00763DC4">
        <w:t>k problematice bezbariérovosti</w:t>
      </w:r>
    </w:p>
    <w:p w:rsidR="004C4BCF" w:rsidRDefault="004C4BCF" w:rsidP="004C4BCF">
      <w:pPr>
        <w:pStyle w:val="SingleTxtG"/>
      </w:pPr>
    </w:p>
    <w:p w:rsidR="00763DC4" w:rsidRDefault="00457CE5" w:rsidP="00457CE5">
      <w:pPr>
        <w:pStyle w:val="SingleTxtG"/>
        <w:ind w:left="0"/>
      </w:pPr>
      <w:r>
        <w:t xml:space="preserve">Níže je uveden přehled metodických pomůcek vydaných MMR k problematice bezbariérovosti </w:t>
      </w:r>
      <w:r w:rsidR="00B51D08">
        <w:t xml:space="preserve">spolu </w:t>
      </w:r>
      <w:r>
        <w:t>s uvedením internetových odkazů, který je k </w:t>
      </w:r>
      <w:r w:rsidR="00763DC4">
        <w:t xml:space="preserve">dispozici </w:t>
      </w:r>
      <w:r>
        <w:t>na webových stránkách MMR</w:t>
      </w:r>
      <w:r w:rsidR="00763DC4">
        <w:t>:</w:t>
      </w:r>
    </w:p>
    <w:p w:rsidR="00763DC4" w:rsidRDefault="00763DC4" w:rsidP="00763DC4">
      <w:pPr>
        <w:pStyle w:val="Bullet1G"/>
        <w:numPr>
          <w:ilvl w:val="0"/>
          <w:numId w:val="31"/>
        </w:numPr>
      </w:pPr>
      <w:r>
        <w:t xml:space="preserve">Přehled příspěvků a témat k problematice bezbariérového užívání staveb za období 2010 až 2014: </w:t>
      </w:r>
      <w:hyperlink r:id="rId25" w:history="1">
        <w:r>
          <w:rPr>
            <w:rStyle w:val="Hypertextovodkaz"/>
          </w:rPr>
          <w:t>http://www.mmr.cz/getmedia/90c0f750-0a64-4dac-a262-105fb3657863/Prehled-prispevku_bezbarierovost.pdf</w:t>
        </w:r>
      </w:hyperlink>
    </w:p>
    <w:p w:rsidR="00763DC4" w:rsidRDefault="00763DC4" w:rsidP="00763DC4">
      <w:pPr>
        <w:pStyle w:val="Bullet1G"/>
        <w:numPr>
          <w:ilvl w:val="0"/>
          <w:numId w:val="31"/>
        </w:numPr>
      </w:pPr>
      <w:r>
        <w:t xml:space="preserve">Nestátní neziskové organizace - dotace pro rok 2015: </w:t>
      </w:r>
      <w:hyperlink r:id="rId26" w:history="1">
        <w:r>
          <w:rPr>
            <w:rStyle w:val="Hypertextovodkaz"/>
          </w:rPr>
          <w:t>http://www.mmr.cz/getmedia/44938cab-c27c-4835-a40a-357cf62177bb/01-NNO-2015.pdf</w:t>
        </w:r>
      </w:hyperlink>
    </w:p>
    <w:p w:rsidR="00763DC4" w:rsidRDefault="00763DC4" w:rsidP="00763DC4">
      <w:pPr>
        <w:pStyle w:val="Bullet1G"/>
        <w:numPr>
          <w:ilvl w:val="0"/>
          <w:numId w:val="31"/>
        </w:numPr>
      </w:pPr>
      <w:r>
        <w:t xml:space="preserve">Bezbariérová vyhláška se nevztahuje na vozidla!: </w:t>
      </w:r>
      <w:hyperlink r:id="rId27" w:history="1">
        <w:r>
          <w:rPr>
            <w:rStyle w:val="Hypertextovodkaz"/>
          </w:rPr>
          <w:t>http://www.mmr.cz/getmedia/5de085c1-a3ea-436e-b441-e6d924f3bd93/02-vozidla.pdf</w:t>
        </w:r>
      </w:hyperlink>
    </w:p>
    <w:p w:rsidR="00763DC4" w:rsidRDefault="00763DC4" w:rsidP="00763DC4">
      <w:pPr>
        <w:pStyle w:val="Bullet1G"/>
        <w:numPr>
          <w:ilvl w:val="0"/>
          <w:numId w:val="31"/>
        </w:numPr>
      </w:pPr>
      <w:r>
        <w:t xml:space="preserve">Nové technické specifikace pro interoperabilitu o přístupnosti železničního systému v EU: </w:t>
      </w:r>
      <w:hyperlink r:id="rId28" w:history="1">
        <w:r>
          <w:rPr>
            <w:rStyle w:val="Hypertextovodkaz"/>
          </w:rPr>
          <w:t>http://www.mmr.cz/getmedia/35cbcf05-392e-4d92-9e80-fd64286c7871/03-TSI-PRM.pdf</w:t>
        </w:r>
      </w:hyperlink>
    </w:p>
    <w:p w:rsidR="00763DC4" w:rsidRDefault="00763DC4" w:rsidP="00763DC4">
      <w:pPr>
        <w:pStyle w:val="Bullet1G"/>
        <w:numPr>
          <w:ilvl w:val="0"/>
          <w:numId w:val="31"/>
        </w:numPr>
      </w:pPr>
      <w:r>
        <w:t xml:space="preserve">Bezbariérová vyhláška - prostory pro dětskou skupinu: </w:t>
      </w:r>
      <w:hyperlink r:id="rId29" w:history="1">
        <w:r>
          <w:rPr>
            <w:rStyle w:val="Hypertextovodkaz"/>
          </w:rPr>
          <w:t>http://www.mmr.cz/getmedia/d6e533ef-e11f-4f4b-904e-ffa88c28dfbf/04-DS.pdf</w:t>
        </w:r>
      </w:hyperlink>
    </w:p>
    <w:p w:rsidR="00763DC4" w:rsidRDefault="00763DC4" w:rsidP="00763DC4">
      <w:pPr>
        <w:pStyle w:val="Bullet1G"/>
        <w:numPr>
          <w:ilvl w:val="0"/>
          <w:numId w:val="31"/>
        </w:numPr>
      </w:pPr>
      <w:r>
        <w:t xml:space="preserve">Bezbariérová vyhláška ve vztahu ke stavbám pro cyklistickou infrastrukturu: </w:t>
      </w:r>
      <w:hyperlink r:id="rId30" w:history="1">
        <w:r>
          <w:rPr>
            <w:rStyle w:val="Hypertextovodkaz"/>
          </w:rPr>
          <w:t>http://www.mmr.cz/getmedia/3eab9c68-2254-4a58-b251-785fb00cf83c/05-cyklo.pdf</w:t>
        </w:r>
      </w:hyperlink>
    </w:p>
    <w:p w:rsidR="00763DC4" w:rsidRDefault="00763DC4" w:rsidP="00763DC4">
      <w:pPr>
        <w:pStyle w:val="Bullet1G"/>
        <w:numPr>
          <w:ilvl w:val="0"/>
          <w:numId w:val="31"/>
        </w:numPr>
      </w:pPr>
      <w:r>
        <w:t xml:space="preserve">Přehled příspěvků a témat k problematice bezbariérového užívání staveb za období 2010 až 2015: </w:t>
      </w:r>
      <w:hyperlink r:id="rId31" w:history="1">
        <w:r>
          <w:rPr>
            <w:rStyle w:val="Hypertextovodkaz"/>
          </w:rPr>
          <w:t>http://www.mmr.cz/getmedia/053a7486-5533-470d-b9e8-a16d146daa4a/Prehled-prispevku_bezbarierovost-2010-2015.pdf</w:t>
        </w:r>
      </w:hyperlink>
    </w:p>
    <w:p w:rsidR="00763DC4" w:rsidRDefault="00763DC4" w:rsidP="00763DC4">
      <w:pPr>
        <w:pStyle w:val="Bullet1G"/>
        <w:numPr>
          <w:ilvl w:val="0"/>
          <w:numId w:val="31"/>
        </w:numPr>
      </w:pPr>
      <w:r>
        <w:t xml:space="preserve">Nestátní neziskové organizace - dotace pro rok 2016: </w:t>
      </w:r>
      <w:hyperlink r:id="rId32" w:history="1">
        <w:r>
          <w:rPr>
            <w:rStyle w:val="Hypertextovodkaz"/>
          </w:rPr>
          <w:t>http://www.mmr.cz/getmedia/36cd43c9-19ad-4f47-ae04-da820436bd5b/07-NNO-2016.pdf</w:t>
        </w:r>
      </w:hyperlink>
    </w:p>
    <w:p w:rsidR="00763DC4" w:rsidRDefault="00763DC4" w:rsidP="00763DC4">
      <w:pPr>
        <w:pStyle w:val="Bullet1G"/>
        <w:numPr>
          <w:ilvl w:val="0"/>
          <w:numId w:val="31"/>
        </w:numPr>
      </w:pPr>
      <w:r>
        <w:t xml:space="preserve">Mapování přístupnosti prostředí: </w:t>
      </w:r>
      <w:hyperlink r:id="rId33" w:history="1">
        <w:r>
          <w:rPr>
            <w:rStyle w:val="Hypertextovodkaz"/>
          </w:rPr>
          <w:t>http://www.mmr.cz/cs/Uzemni-a-bytova-politika/Uzemni-planovani-a-stavebni-rad/Informace-z-oblasti-stavebniho-radu/Informace-z-oblasti-Bezbarieroveho-uzivani-staveb/Mapovani-pristupnosti-prostredi</w:t>
        </w:r>
      </w:hyperlink>
    </w:p>
    <w:p w:rsidR="00763DC4" w:rsidRDefault="00763DC4" w:rsidP="00763DC4">
      <w:pPr>
        <w:pStyle w:val="Bullet1G"/>
        <w:numPr>
          <w:ilvl w:val="0"/>
          <w:numId w:val="31"/>
        </w:numPr>
      </w:pPr>
      <w:r>
        <w:t xml:space="preserve">Aplikační vztah mezi bezbariérovou vyhláškou a novými pravidly provozu: </w:t>
      </w:r>
      <w:hyperlink r:id="rId34" w:history="1">
        <w:r>
          <w:rPr>
            <w:rStyle w:val="Hypertextovodkaz"/>
          </w:rPr>
          <w:t>http://www.mmr.cz/getmedia/1fbbc3e1-ecdd-4847-bd4a-d7f858c532a9/06_pravidla_provozu.pdf</w:t>
        </w:r>
      </w:hyperlink>
    </w:p>
    <w:p w:rsidR="00763DC4" w:rsidRDefault="00763DC4" w:rsidP="00763DC4">
      <w:pPr>
        <w:pStyle w:val="Bullet1G"/>
        <w:numPr>
          <w:ilvl w:val="0"/>
          <w:numId w:val="31"/>
        </w:numPr>
      </w:pPr>
      <w:r>
        <w:t xml:space="preserve">Provozovny obchodů a služeb v rámci staveb pro bydlení (Výstavba bytového domu s provozovnami různých obchodů a služeb a Výstavba rodinného domu s provozovnou obchodu nebo služby rodinné živnosti): </w:t>
      </w:r>
      <w:hyperlink r:id="rId35" w:history="1">
        <w:r>
          <w:rPr>
            <w:rStyle w:val="Hypertextovodkaz"/>
          </w:rPr>
          <w:t>http://www.mmr.cz/getmedia/0da28cc9-68d8-4cc8-b40b-2d13b09a5a6c/07_Provozovny.pdf</w:t>
        </w:r>
      </w:hyperlink>
    </w:p>
    <w:p w:rsidR="00763DC4" w:rsidRDefault="00763DC4" w:rsidP="00763DC4">
      <w:pPr>
        <w:pStyle w:val="Bullet1G"/>
        <w:numPr>
          <w:ilvl w:val="0"/>
          <w:numId w:val="31"/>
        </w:numPr>
      </w:pPr>
      <w:r>
        <w:t xml:space="preserve">Požadavky na bezbariérové užívání staveb? Poradíme Vám: </w:t>
      </w:r>
      <w:hyperlink r:id="rId36" w:history="1">
        <w:r>
          <w:rPr>
            <w:rStyle w:val="Hypertextovodkaz"/>
          </w:rPr>
          <w:t>http://www.mmr.cz/cs/Ministerstvo/Ministerstvo/Pro-media/Tiskove-zpravy/2016/Pozadavky-na-bezbarierove-uzivani-staveb-Poradime-Vam</w:t>
        </w:r>
      </w:hyperlink>
    </w:p>
    <w:p w:rsidR="00763DC4" w:rsidRDefault="00763DC4" w:rsidP="00763DC4">
      <w:pPr>
        <w:pStyle w:val="Bullet1G"/>
        <w:numPr>
          <w:ilvl w:val="0"/>
          <w:numId w:val="31"/>
        </w:numPr>
      </w:pPr>
      <w:r>
        <w:t xml:space="preserve">Povolování výjimek z obecných požadavků na výstavbu: </w:t>
      </w:r>
      <w:hyperlink r:id="rId37" w:history="1">
        <w:r>
          <w:rPr>
            <w:rStyle w:val="Hypertextovodkaz"/>
          </w:rPr>
          <w:t>http://www.mmr.cz/cs/Uzemni-a-bytova-politika/Uzemni-planovani-a-stavebni-rad/Stanoviska-a-metodiky/Uzemni-rozhodovani-a-stavebni-rad/Povolovani-vyjimek-z-obecnych-pozadavku-na-vystavbu-Pracovni-pomucka</w:t>
        </w:r>
      </w:hyperlink>
    </w:p>
    <w:p w:rsidR="00763DC4" w:rsidRDefault="00763DC4" w:rsidP="00763DC4">
      <w:pPr>
        <w:pStyle w:val="Bullet1G"/>
        <w:numPr>
          <w:ilvl w:val="0"/>
          <w:numId w:val="31"/>
        </w:numPr>
      </w:pPr>
      <w:r>
        <w:t xml:space="preserve">Domovy a ústavy - bezbariérové pokoje: </w:t>
      </w:r>
      <w:hyperlink r:id="rId38" w:history="1">
        <w:r>
          <w:rPr>
            <w:rStyle w:val="Hypertextovodkaz"/>
          </w:rPr>
          <w:t>http://www.mmr.cz/getmedia/631fb966-f698-455e-95d0-381af308955c/12_DoUS-pokoje.pdf</w:t>
        </w:r>
      </w:hyperlink>
    </w:p>
    <w:p w:rsidR="00763DC4" w:rsidRDefault="00763DC4" w:rsidP="00763DC4">
      <w:pPr>
        <w:pStyle w:val="Bullet1G"/>
        <w:numPr>
          <w:ilvl w:val="0"/>
          <w:numId w:val="31"/>
        </w:numPr>
      </w:pPr>
      <w:r>
        <w:lastRenderedPageBreak/>
        <w:t xml:space="preserve">Bezbariérová parkovací místa - bytový dům: </w:t>
      </w:r>
      <w:hyperlink r:id="rId39" w:history="1">
        <w:r>
          <w:rPr>
            <w:rStyle w:val="Hypertextovodkaz"/>
          </w:rPr>
          <w:t>http://www.mmr.cz/getmedia/6b9251a4-49b2-4b8b-8123-aa3db8eb919d/13_parkoviste-BD.pdf</w:t>
        </w:r>
      </w:hyperlink>
    </w:p>
    <w:p w:rsidR="00763DC4" w:rsidRDefault="00763DC4" w:rsidP="00763DC4">
      <w:pPr>
        <w:pStyle w:val="Bullet1G"/>
        <w:numPr>
          <w:ilvl w:val="0"/>
          <w:numId w:val="31"/>
        </w:numPr>
      </w:pPr>
      <w:r>
        <w:t xml:space="preserve">Bezbariérová parkovací místa - zřizování vyhrazeného parkování: </w:t>
      </w:r>
      <w:hyperlink r:id="rId40" w:history="1">
        <w:r>
          <w:rPr>
            <w:rStyle w:val="Hypertextovodkaz"/>
          </w:rPr>
          <w:t>http://www.mmr.cz/getmedia/372dbf83-7928-48b0-81f9-7b7a86e61dc1/14_parkoviste-ZU.pdf</w:t>
        </w:r>
      </w:hyperlink>
    </w:p>
    <w:p w:rsidR="00763DC4" w:rsidRDefault="00763DC4" w:rsidP="00763DC4">
      <w:pPr>
        <w:pStyle w:val="Bullet1G"/>
        <w:numPr>
          <w:ilvl w:val="0"/>
          <w:numId w:val="31"/>
        </w:numPr>
      </w:pPr>
      <w:r>
        <w:t xml:space="preserve">Přehled příspěvků a témat k problematice bezbariérového užívání staveb za období 2010 až 2016: </w:t>
      </w:r>
      <w:hyperlink r:id="rId41" w:history="1">
        <w:r>
          <w:rPr>
            <w:rStyle w:val="Hypertextovodkaz"/>
          </w:rPr>
          <w:t>http://www.mmr.cz/getmedia/135ac7c9-2d83-4613-ae4c-99044f9d02d8/Prehled-prispevku_bezbarierovost-2010-2016.pdf</w:t>
        </w:r>
      </w:hyperlink>
    </w:p>
    <w:p w:rsidR="00763DC4" w:rsidRDefault="00763DC4" w:rsidP="00763DC4">
      <w:pPr>
        <w:pStyle w:val="Bullet1G"/>
        <w:numPr>
          <w:ilvl w:val="0"/>
          <w:numId w:val="31"/>
        </w:numPr>
      </w:pPr>
      <w:r>
        <w:t xml:space="preserve">Nestátní neziskové organizace - dotace pro rok 2017 (I. kolo): </w:t>
      </w:r>
      <w:hyperlink r:id="rId42" w:history="1">
        <w:r>
          <w:rPr>
            <w:rStyle w:val="Hypertextovodkaz"/>
          </w:rPr>
          <w:t>http://www.mmr.cz/getmedia/b501ad7f-9cdd-42a4-86f1-d91625744300/NNO-2017.pdf</w:t>
        </w:r>
      </w:hyperlink>
      <w:r>
        <w:br/>
        <w:t xml:space="preserve">Nestátní neziskové organizace - dotace pro rok 2017 (II. kolo): </w:t>
      </w:r>
      <w:hyperlink r:id="rId43" w:history="1">
        <w:r>
          <w:rPr>
            <w:rStyle w:val="Hypertextovodkaz"/>
          </w:rPr>
          <w:t>http://www.mmr.cz/getmedia/2e1680ba-2f5b-4b68-ab47-d2e3abef9ca2/NNO-2017_II.pdf</w:t>
        </w:r>
      </w:hyperlink>
    </w:p>
    <w:p w:rsidR="00763DC4" w:rsidRDefault="00763DC4" w:rsidP="00763DC4">
      <w:pPr>
        <w:pStyle w:val="Bullet1G"/>
        <w:numPr>
          <w:ilvl w:val="0"/>
          <w:numId w:val="31"/>
        </w:numPr>
      </w:pPr>
      <w:r>
        <w:t xml:space="preserve">Novostavba čtyřpodlažního bytového domu s výtahem: </w:t>
      </w:r>
      <w:hyperlink r:id="rId44" w:history="1">
        <w:r>
          <w:rPr>
            <w:rStyle w:val="Hypertextovodkaz"/>
          </w:rPr>
          <w:t>http://www.mmr.cz/getmedia/ccce56ee-dba5-46b8-bb4a-df99c7334df4/vytah-BD_4P.pdf</w:t>
        </w:r>
      </w:hyperlink>
    </w:p>
    <w:p w:rsidR="00763DC4" w:rsidRDefault="00763DC4" w:rsidP="00763DC4">
      <w:pPr>
        <w:pStyle w:val="Bullet1G"/>
        <w:numPr>
          <w:ilvl w:val="0"/>
          <w:numId w:val="31"/>
        </w:numPr>
      </w:pPr>
      <w:r>
        <w:t xml:space="preserve">Byt zvláštního určení pro osoby s pohybovým postižením - prostor pro uskladnění vozíku: </w:t>
      </w:r>
      <w:hyperlink r:id="rId45" w:history="1">
        <w:r>
          <w:rPr>
            <w:rStyle w:val="Hypertextovodkaz"/>
          </w:rPr>
          <w:t>http://www.mmr.cz/getmedia/c1080d3f-e346-4527-b991-ef4db203b22b/BZU-vozik.pdf</w:t>
        </w:r>
      </w:hyperlink>
    </w:p>
    <w:p w:rsidR="00763DC4" w:rsidRDefault="00763DC4" w:rsidP="00763DC4">
      <w:pPr>
        <w:pStyle w:val="Bullet1G"/>
        <w:numPr>
          <w:ilvl w:val="0"/>
          <w:numId w:val="31"/>
        </w:numPr>
      </w:pPr>
      <w:r>
        <w:t xml:space="preserve">Centrální přechody v železničních stanicích - hmatové a akustické prvky: </w:t>
      </w:r>
      <w:hyperlink r:id="rId46" w:history="1">
        <w:r>
          <w:rPr>
            <w:rStyle w:val="Hypertextovodkaz"/>
          </w:rPr>
          <w:t>http://www.mmr.cz/getmedia/90de4bd0-7773-4332-a1c1-2d2dc6f04f40/15_central_prechody.pdf</w:t>
        </w:r>
      </w:hyperlink>
    </w:p>
    <w:p w:rsidR="00763DC4" w:rsidRDefault="00763DC4" w:rsidP="00763DC4">
      <w:pPr>
        <w:pStyle w:val="Bullet1G"/>
        <w:numPr>
          <w:ilvl w:val="0"/>
          <w:numId w:val="31"/>
        </w:numPr>
      </w:pPr>
      <w:r>
        <w:t xml:space="preserve">Školy - navrhování a provádění záchodů: </w:t>
      </w:r>
      <w:hyperlink r:id="rId47" w:history="1">
        <w:r>
          <w:rPr>
            <w:rStyle w:val="Hypertextovodkaz"/>
          </w:rPr>
          <w:t>http://www.mmr.cz/getmedia/3e1fbd50-2f6f-4ab7-8d3f-791759105041/Skoly_WC.pdf</w:t>
        </w:r>
      </w:hyperlink>
    </w:p>
    <w:p w:rsidR="00763DC4" w:rsidRDefault="00763DC4" w:rsidP="00763DC4">
      <w:pPr>
        <w:pStyle w:val="Bullet1G"/>
        <w:numPr>
          <w:ilvl w:val="0"/>
          <w:numId w:val="31"/>
        </w:numPr>
      </w:pPr>
      <w:r>
        <w:t xml:space="preserve">Koridor pro přecházení tramvajového pásu - hmatové prvky pro nevidomé: </w:t>
      </w:r>
      <w:hyperlink r:id="rId48" w:history="1">
        <w:r>
          <w:rPr>
            <w:rStyle w:val="Hypertextovodkaz"/>
          </w:rPr>
          <w:t>http://www.mmr.cz/getmedia/556109c7-7d41-45a9-b4b8-43324a8c0812/16_Koridor.pdf</w:t>
        </w:r>
      </w:hyperlink>
    </w:p>
    <w:p w:rsidR="00763DC4" w:rsidRDefault="00763DC4" w:rsidP="00763DC4">
      <w:pPr>
        <w:pStyle w:val="Bullet1G"/>
        <w:numPr>
          <w:ilvl w:val="0"/>
          <w:numId w:val="31"/>
        </w:numPr>
      </w:pPr>
      <w:r>
        <w:t xml:space="preserve">Přehled příspěvků a témat k problematice bezbariérového užívání staveb za období 2010 až 2017: </w:t>
      </w:r>
      <w:hyperlink r:id="rId49" w:history="1">
        <w:r>
          <w:rPr>
            <w:rStyle w:val="Hypertextovodkaz"/>
          </w:rPr>
          <w:t>http://www.mmr.cz/getmedia/91fd9808-43af-4032-ac37-11e67c9dbdbf/Prehled-prispevku_bezbarierovost-2010-2017.pdf</w:t>
        </w:r>
      </w:hyperlink>
    </w:p>
    <w:p w:rsidR="00763DC4" w:rsidRDefault="00763DC4" w:rsidP="00763DC4">
      <w:pPr>
        <w:pStyle w:val="Bullet1G"/>
        <w:numPr>
          <w:ilvl w:val="0"/>
          <w:numId w:val="31"/>
        </w:numPr>
      </w:pPr>
      <w:r>
        <w:t xml:space="preserve">Nestátní neziskové organizace - dotace pro rok 2018: </w:t>
      </w:r>
      <w:hyperlink r:id="rId50" w:history="1">
        <w:r>
          <w:rPr>
            <w:rStyle w:val="Hypertextovodkaz"/>
          </w:rPr>
          <w:t>http://www.mmr.cz/getmedia/dc936bd0-fc01-41e7-b604-bf5b37da2952/NNO-2018.pdf.aspx?ext=.pdf</w:t>
        </w:r>
      </w:hyperlink>
    </w:p>
    <w:p w:rsidR="00763DC4" w:rsidRDefault="00763DC4" w:rsidP="00763DC4">
      <w:pPr>
        <w:pStyle w:val="Bullet1G"/>
        <w:numPr>
          <w:ilvl w:val="0"/>
          <w:numId w:val="31"/>
        </w:numPr>
      </w:pPr>
      <w:r>
        <w:t xml:space="preserve">Seznam ČSN k vyhlášce č. 398/2009 Sb. - aktualizace 2018: </w:t>
      </w:r>
      <w:hyperlink r:id="rId51" w:history="1">
        <w:r>
          <w:rPr>
            <w:rStyle w:val="Hypertextovodkaz"/>
          </w:rPr>
          <w:t>http://www.mmr.cz/getmedia/e0adb6e7-1813-4a62-b263-a7c9975e8b93/398-2009_CSN_k2018_05.doc</w:t>
        </w:r>
      </w:hyperlink>
    </w:p>
    <w:p w:rsidR="00763DC4" w:rsidRDefault="00763DC4" w:rsidP="00763DC4">
      <w:pPr>
        <w:pStyle w:val="Bullet1G"/>
        <w:numPr>
          <w:ilvl w:val="0"/>
          <w:numId w:val="31"/>
        </w:numPr>
      </w:pPr>
      <w:r>
        <w:t xml:space="preserve">Mapování přístupnosti prostředí – aktualizace 2018: </w:t>
      </w:r>
      <w:hyperlink r:id="rId52" w:history="1">
        <w:r>
          <w:rPr>
            <w:rStyle w:val="Hypertextovodkaz"/>
          </w:rPr>
          <w:t>http://www.mmr.cz/getmedia/234a236d-7459-4f7e-b06a-0a1df444fda9/mapovani_2018.docx.aspx?ext=.docx</w:t>
        </w:r>
      </w:hyperlink>
    </w:p>
    <w:p w:rsidR="00763DC4" w:rsidRDefault="00763DC4" w:rsidP="00763DC4">
      <w:pPr>
        <w:pStyle w:val="Bullet1G"/>
        <w:numPr>
          <w:ilvl w:val="0"/>
          <w:numId w:val="31"/>
        </w:numPr>
      </w:pPr>
      <w:r>
        <w:t xml:space="preserve">Indukční smyčka pro nedoslýchavé osoby: </w:t>
      </w:r>
      <w:hyperlink r:id="rId53" w:history="1">
        <w:r>
          <w:rPr>
            <w:rStyle w:val="Hypertextovodkaz"/>
          </w:rPr>
          <w:t>http://www.mmr.cz/getmedia/19b0ae33-1bb8-4a1b-b63f-11c19e9b4f27/Indukcni_smycka.docx.aspx</w:t>
        </w:r>
      </w:hyperlink>
    </w:p>
    <w:p w:rsidR="00763DC4" w:rsidRDefault="00763DC4" w:rsidP="00763DC4">
      <w:pPr>
        <w:pStyle w:val="Bullet1G"/>
        <w:numPr>
          <w:ilvl w:val="0"/>
          <w:numId w:val="31"/>
        </w:numPr>
      </w:pPr>
      <w:r>
        <w:t xml:space="preserve">Bezbariérová kabina WC může být vybavena umyvadlem s bezdotykovou baterií: </w:t>
      </w:r>
      <w:hyperlink r:id="rId54" w:history="1">
        <w:r>
          <w:rPr>
            <w:rStyle w:val="Hypertextovodkaz"/>
          </w:rPr>
          <w:t>http://www.mmr.cz/cs/Ministerstvo/Stavebni-pravo/Informace-Udalosti/Stavebni-rad/Informace-z-oblasti-Bezbarieroveho-uzivani-staveb/Bezbarierova-kabina-WC-muze-byt-vybavena-umyvadlem</w:t>
        </w:r>
      </w:hyperlink>
    </w:p>
    <w:p w:rsidR="00763DC4" w:rsidRDefault="00763DC4" w:rsidP="00763DC4">
      <w:pPr>
        <w:pStyle w:val="Bullet1G"/>
        <w:numPr>
          <w:ilvl w:val="0"/>
          <w:numId w:val="31"/>
        </w:numPr>
      </w:pPr>
      <w:r>
        <w:t>Povinnosti a odpovědnost osob při přípravě, provádění a užívání staveb ve vztahu</w:t>
      </w:r>
      <w:r>
        <w:br/>
        <w:t xml:space="preserve">k instalaci výtahu do stavby: </w:t>
      </w:r>
      <w:hyperlink r:id="rId55" w:history="1">
        <w:r>
          <w:rPr>
            <w:rStyle w:val="Hypertextovodkaz"/>
          </w:rPr>
          <w:t>https://www.mmr.cz/getmedia/b1aca762-1100-4059-b1ce-8c0c8f407075/vytahy_SZ.pdf.aspx?ext=.pdf</w:t>
        </w:r>
      </w:hyperlink>
    </w:p>
    <w:p w:rsidR="00763DC4" w:rsidRDefault="00763DC4" w:rsidP="00763DC4">
      <w:pPr>
        <w:pStyle w:val="Bullet1G"/>
        <w:numPr>
          <w:ilvl w:val="0"/>
          <w:numId w:val="31"/>
        </w:numPr>
      </w:pPr>
      <w:r>
        <w:lastRenderedPageBreak/>
        <w:t xml:space="preserve">Aplikace požadavků na výtahy z hlediska bezbariérového užívání staveb: </w:t>
      </w:r>
      <w:hyperlink r:id="rId56" w:history="1">
        <w:r>
          <w:rPr>
            <w:rStyle w:val="Hypertextovodkaz"/>
          </w:rPr>
          <w:t>https://www.mmr.cz/getmedia/956f0233-a100-4fb9-9a88-cd8492b6f3b3/vytahy_BV.pdf.aspx?ext=.pdf</w:t>
        </w:r>
      </w:hyperlink>
    </w:p>
    <w:p w:rsidR="00763DC4" w:rsidRDefault="00763DC4" w:rsidP="00763DC4">
      <w:pPr>
        <w:pStyle w:val="Bullet1G"/>
        <w:numPr>
          <w:ilvl w:val="0"/>
          <w:numId w:val="31"/>
        </w:numPr>
      </w:pPr>
      <w:r>
        <w:t xml:space="preserve">Přehled příspěvků a témat k problematice bezbariérového užívání staveb za období 2010 až 2018: </w:t>
      </w:r>
      <w:hyperlink r:id="rId57" w:history="1">
        <w:r>
          <w:rPr>
            <w:rStyle w:val="Hypertextovodkaz"/>
          </w:rPr>
          <w:t>https://www.mmr.cz/getmedia/aba35cb0-04c7-4bc1-901f-9909b2fdafe5/prehled_2010-2018_1.docx</w:t>
        </w:r>
      </w:hyperlink>
    </w:p>
    <w:p w:rsidR="00763DC4" w:rsidRDefault="00763DC4" w:rsidP="00763DC4">
      <w:pPr>
        <w:pStyle w:val="Bullet1G"/>
        <w:numPr>
          <w:ilvl w:val="0"/>
          <w:numId w:val="31"/>
        </w:numPr>
      </w:pPr>
      <w:r>
        <w:t xml:space="preserve">Bezbariérová kabina WC musí být vybavena přístupným splachovacím systémem: </w:t>
      </w:r>
      <w:hyperlink r:id="rId58" w:history="1">
        <w:r>
          <w:rPr>
            <w:rStyle w:val="Hypertextovodkaz"/>
          </w:rPr>
          <w:t>https://www.mmr.cz/cs/Ministerstvo/Stavebni-pravo/Informace-Udalosti/Stavebni-rad/Informace-z-oblasti-Bezbarieroveho-uzivani-staveb/Bezbarierova-kabina-WC-musi-byt-vybavena-pristupny</w:t>
        </w:r>
      </w:hyperlink>
    </w:p>
    <w:p w:rsidR="00763DC4" w:rsidRDefault="00763DC4" w:rsidP="00763DC4">
      <w:pPr>
        <w:pStyle w:val="Bullet1G"/>
        <w:numPr>
          <w:ilvl w:val="0"/>
          <w:numId w:val="31"/>
        </w:numPr>
      </w:pPr>
      <w:r>
        <w:t xml:space="preserve">Aplikace požadavků na zdvihací plošiny z hlediska bezbariérového užívání staveb: </w:t>
      </w:r>
      <w:hyperlink r:id="rId59" w:history="1">
        <w:r>
          <w:rPr>
            <w:rStyle w:val="Hypertextovodkaz"/>
          </w:rPr>
          <w:t>https://www.mmr.cz/getattachment/7389954d-a4c7-4110-bf22-c8e41043f64c/Zdvihaci-zarizeni_zds_398_2009_1-4-2019.docx</w:t>
        </w:r>
      </w:hyperlink>
    </w:p>
    <w:p w:rsidR="00763DC4" w:rsidRDefault="00763DC4" w:rsidP="00763DC4">
      <w:pPr>
        <w:pStyle w:val="Bullet1G"/>
        <w:numPr>
          <w:ilvl w:val="0"/>
          <w:numId w:val="31"/>
        </w:numPr>
      </w:pPr>
      <w:r>
        <w:t xml:space="preserve">Dveře na veřejná WC a do veřejných šaten se vybavují hmatovými štítky pro nevidomé: </w:t>
      </w:r>
      <w:hyperlink r:id="rId60" w:history="1">
        <w:r w:rsidRPr="00946EEA">
          <w:rPr>
            <w:rStyle w:val="Hypertextovodkaz"/>
          </w:rPr>
          <w:t>https://www.mmr.cz/getattachment/68405cc2-ff25-44f7-a32b-0d94dbda33bc/Hmatove-stitky-pro-nevidome.pdf</w:t>
        </w:r>
      </w:hyperlink>
    </w:p>
    <w:p w:rsidR="00763DC4" w:rsidRDefault="00763DC4" w:rsidP="00763DC4">
      <w:pPr>
        <w:pStyle w:val="SingleTxtG"/>
      </w:pPr>
    </w:p>
    <w:p w:rsidR="00763DC4" w:rsidRDefault="00763DC4" w:rsidP="00763DC4">
      <w:pPr>
        <w:pStyle w:val="SingleTxtG"/>
      </w:pPr>
    </w:p>
    <w:p w:rsidR="00763DC4" w:rsidRDefault="00763DC4" w:rsidP="00763DC4">
      <w:pPr>
        <w:pStyle w:val="SingleTxtG"/>
      </w:pPr>
    </w:p>
    <w:p w:rsidR="00763DC4" w:rsidRDefault="00763DC4" w:rsidP="00763DC4">
      <w:pPr>
        <w:pStyle w:val="SingleTxtG"/>
      </w:pPr>
    </w:p>
    <w:p w:rsidR="004C4BCF" w:rsidRPr="00524DAA" w:rsidRDefault="004C4BCF" w:rsidP="004C4BCF">
      <w:pPr>
        <w:pStyle w:val="SingleTxtG"/>
      </w:pPr>
    </w:p>
    <w:sectPr w:rsidR="004C4BCF" w:rsidRPr="00524DAA" w:rsidSect="006908F0">
      <w:headerReference w:type="even" r:id="rId61"/>
      <w:headerReference w:type="default" r:id="rId62"/>
      <w:footerReference w:type="even" r:id="rId63"/>
      <w:footerReference w:type="default" r:id="rId6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965" w:rsidRDefault="00AC2965"/>
  </w:endnote>
  <w:endnote w:type="continuationSeparator" w:id="0">
    <w:p w:rsidR="00AC2965" w:rsidRDefault="00AC2965"/>
  </w:endnote>
  <w:endnote w:type="continuationNotice" w:id="1">
    <w:p w:rsidR="00AC2965" w:rsidRDefault="00AC2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10" w:rsidRPr="001D4EF8" w:rsidRDefault="00C95010" w:rsidP="001D4EF8">
    <w:pPr>
      <w:pStyle w:val="Zpat"/>
      <w:tabs>
        <w:tab w:val="right" w:pos="9638"/>
      </w:tabs>
      <w:rPr>
        <w:sz w:val="18"/>
      </w:rPr>
    </w:pPr>
    <w:r w:rsidRPr="001D4EF8">
      <w:rPr>
        <w:b/>
        <w:sz w:val="18"/>
      </w:rPr>
      <w:fldChar w:fldCharType="begin"/>
    </w:r>
    <w:r w:rsidRPr="001D4EF8">
      <w:rPr>
        <w:b/>
        <w:sz w:val="18"/>
      </w:rPr>
      <w:instrText xml:space="preserve"> PAGE  \* MERGEFORMAT </w:instrText>
    </w:r>
    <w:r w:rsidRPr="001D4EF8">
      <w:rPr>
        <w:b/>
        <w:sz w:val="18"/>
      </w:rPr>
      <w:fldChar w:fldCharType="separate"/>
    </w:r>
    <w:r>
      <w:rPr>
        <w:b/>
        <w:noProof/>
        <w:sz w:val="18"/>
      </w:rPr>
      <w:t>68</w:t>
    </w:r>
    <w:r w:rsidRPr="001D4E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10" w:rsidRPr="001D4EF8" w:rsidRDefault="00C95010" w:rsidP="001D4EF8">
    <w:pPr>
      <w:pStyle w:val="Zpat"/>
      <w:tabs>
        <w:tab w:val="right" w:pos="9638"/>
      </w:tabs>
      <w:rPr>
        <w:b/>
        <w:sz w:val="18"/>
      </w:rPr>
    </w:pPr>
    <w:r>
      <w:tab/>
    </w:r>
    <w:r w:rsidRPr="001D4EF8">
      <w:rPr>
        <w:b/>
        <w:sz w:val="18"/>
      </w:rPr>
      <w:fldChar w:fldCharType="begin"/>
    </w:r>
    <w:r w:rsidRPr="001D4EF8">
      <w:rPr>
        <w:b/>
        <w:sz w:val="18"/>
      </w:rPr>
      <w:instrText xml:space="preserve"> PAGE  \* MERGEFORMAT </w:instrText>
    </w:r>
    <w:r w:rsidRPr="001D4EF8">
      <w:rPr>
        <w:b/>
        <w:sz w:val="18"/>
      </w:rPr>
      <w:fldChar w:fldCharType="separate"/>
    </w:r>
    <w:r>
      <w:rPr>
        <w:b/>
        <w:noProof/>
        <w:sz w:val="18"/>
      </w:rPr>
      <w:t>67</w:t>
    </w:r>
    <w:r w:rsidRPr="001D4E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965" w:rsidRPr="000B175B" w:rsidRDefault="00AC2965" w:rsidP="000B175B">
      <w:pPr>
        <w:tabs>
          <w:tab w:val="right" w:pos="2155"/>
        </w:tabs>
        <w:spacing w:after="80"/>
        <w:ind w:left="680"/>
        <w:rPr>
          <w:u w:val="single"/>
        </w:rPr>
      </w:pPr>
      <w:r>
        <w:rPr>
          <w:u w:val="single"/>
        </w:rPr>
        <w:tab/>
      </w:r>
    </w:p>
  </w:footnote>
  <w:footnote w:type="continuationSeparator" w:id="0">
    <w:p w:rsidR="00AC2965" w:rsidRPr="00FC68B7" w:rsidRDefault="00AC2965" w:rsidP="00FC68B7">
      <w:pPr>
        <w:tabs>
          <w:tab w:val="left" w:pos="2155"/>
        </w:tabs>
        <w:spacing w:after="80"/>
        <w:ind w:left="680"/>
        <w:rPr>
          <w:u w:val="single"/>
        </w:rPr>
      </w:pPr>
      <w:r>
        <w:rPr>
          <w:u w:val="single"/>
        </w:rPr>
        <w:tab/>
      </w:r>
    </w:p>
  </w:footnote>
  <w:footnote w:type="continuationNotice" w:id="1">
    <w:p w:rsidR="00AC2965" w:rsidRDefault="00AC2965"/>
  </w:footnote>
  <w:footnote w:id="2">
    <w:p w:rsidR="00C95010" w:rsidRDefault="00C95010" w:rsidP="00B21D2A">
      <w:pPr>
        <w:spacing w:line="240" w:lineRule="auto"/>
        <w:jc w:val="both"/>
        <w:rPr>
          <w:rFonts w:asciiTheme="minorHAnsi" w:hAnsiTheme="minorHAnsi" w:cs="Arial"/>
        </w:rPr>
      </w:pPr>
      <w:r>
        <w:rPr>
          <w:rStyle w:val="Znakapoznpodarou"/>
          <w:rFonts w:cs="Arial"/>
          <w:sz w:val="20"/>
        </w:rPr>
        <w:t>[1]</w:t>
      </w:r>
      <w:r>
        <w:rPr>
          <w:rFonts w:cs="Arial"/>
        </w:rPr>
        <w:t xml:space="preserve"> Zdroj: Statistická ročenka školství http://toiler.uiv.cz/rocenka/rocenka.asp</w:t>
      </w:r>
    </w:p>
  </w:footnote>
  <w:footnote w:id="3">
    <w:p w:rsidR="00C95010" w:rsidRDefault="00C95010" w:rsidP="00B21D2A">
      <w:pPr>
        <w:pStyle w:val="Textpoznpodarou"/>
        <w:jc w:val="both"/>
        <w:rPr>
          <w:rFonts w:cs="Arial"/>
          <w:sz w:val="20"/>
        </w:rPr>
      </w:pPr>
      <w:r>
        <w:rPr>
          <w:rStyle w:val="Znakapoznpodarou"/>
          <w:rFonts w:cs="Arial"/>
        </w:rPr>
        <w:t>[2]</w:t>
      </w:r>
      <w:r>
        <w:rPr>
          <w:rFonts w:cs="Arial"/>
        </w:rPr>
        <w:t xml:space="preserve"> Zdroj: Ústav zdravotnických informací a statistiky; v dětských domovech pro děti do 3 let věku bývají umisťovány též děti starší 3 let, a to typicky až do věku zahájení povinné školní docházky, tj. do 6 let věku; věkovou strukturu umístěných dětí z dostupných statistických údajů nelze zjistit. </w:t>
      </w:r>
    </w:p>
  </w:footnote>
  <w:footnote w:id="4">
    <w:p w:rsidR="00C95010" w:rsidRDefault="00C95010" w:rsidP="00B21D2A">
      <w:pPr>
        <w:pStyle w:val="Textpoznpodarou"/>
        <w:jc w:val="both"/>
        <w:rPr>
          <w:rFonts w:cs="Arial"/>
        </w:rPr>
      </w:pPr>
      <w:r>
        <w:rPr>
          <w:rStyle w:val="Znakapoznpodarou"/>
          <w:rFonts w:cs="Arial"/>
        </w:rPr>
        <w:t>[3]</w:t>
      </w:r>
      <w:r>
        <w:rPr>
          <w:rFonts w:cs="Arial"/>
        </w:rPr>
        <w:t xml:space="preserve"> Zdroj: Statistické ročenky z oblasti práce a sociálních věcí za roky </w:t>
      </w:r>
      <w:proofErr w:type="gramStart"/>
      <w:r>
        <w:rPr>
          <w:rFonts w:cs="Arial"/>
        </w:rPr>
        <w:t>2011 – 2019</w:t>
      </w:r>
      <w:proofErr w:type="gramEnd"/>
    </w:p>
  </w:footnote>
  <w:footnote w:id="5">
    <w:p w:rsidR="00C95010" w:rsidRDefault="00C95010" w:rsidP="00B21D2A">
      <w:pPr>
        <w:pStyle w:val="Textpoznpodarou"/>
        <w:jc w:val="both"/>
        <w:rPr>
          <w:rFonts w:cs="Arial"/>
        </w:rPr>
      </w:pPr>
      <w:r>
        <w:rPr>
          <w:rStyle w:val="Znakapoznpodarou"/>
          <w:rFonts w:cs="Arial"/>
        </w:rPr>
        <w:t>[4]</w:t>
      </w:r>
      <w:r>
        <w:rPr>
          <w:rFonts w:cs="Arial"/>
        </w:rPr>
        <w:t xml:space="preserve"> Zdroj: Roční výkazy o výkonu sociálně-právní ochrany za roky 2011-2019, stav k 31. 12. sledovaného roku.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10" w:rsidRPr="001D4EF8" w:rsidRDefault="00C95010">
    <w:pPr>
      <w:pStyle w:val="Zhlav"/>
    </w:pPr>
    <w:r>
      <w:fldChar w:fldCharType="begin"/>
    </w:r>
    <w:r>
      <w:instrText xml:space="preserve"> TITLE  \* MERGEFORMAT </w:instrText>
    </w:r>
    <w:r>
      <w:fldChar w:fldCharType="separate"/>
    </w:r>
    <w:proofErr w:type="spellStart"/>
    <w:r w:rsidR="007F14E4">
      <w:t>xxxx</w:t>
    </w:r>
    <w:proofErr w:type="spellEnd"/>
    <w:r w:rsidR="007F14E4">
      <w:t>/x/</w:t>
    </w:r>
    <w:proofErr w:type="spellStart"/>
    <w:r w:rsidR="007F14E4">
      <w:t>xx</w:t>
    </w:r>
    <w:proofErr w:type="spellEnd"/>
    <w:r w:rsidR="007F14E4">
      <w:t>/</w:t>
    </w:r>
    <w:proofErr w:type="spellStart"/>
    <w:r w:rsidR="007F14E4">
      <w:t>xx</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10" w:rsidRPr="001D4EF8" w:rsidRDefault="00C95010" w:rsidP="001D4EF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62271"/>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CA18DF"/>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227C3348"/>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239425B6"/>
    <w:multiLevelType w:val="hybridMultilevel"/>
    <w:tmpl w:val="C4E40CCA"/>
    <w:lvl w:ilvl="0" w:tplc="04050017">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15:restartNumberingAfterBreak="0">
    <w:nsid w:val="254468A3"/>
    <w:multiLevelType w:val="hybridMultilevel"/>
    <w:tmpl w:val="F0EC4EE8"/>
    <w:lvl w:ilvl="0" w:tplc="D0280432">
      <w:start w:val="1"/>
      <w:numFmt w:val="lowerLetter"/>
      <w:lvlText w:val="%1)"/>
      <w:lvlJc w:val="left"/>
      <w:pPr>
        <w:ind w:left="14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BEB1589"/>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15:restartNumberingAfterBreak="0">
    <w:nsid w:val="3F1A1112"/>
    <w:multiLevelType w:val="hybridMultilevel"/>
    <w:tmpl w:val="85CE8F40"/>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15:restartNumberingAfterBreak="0">
    <w:nsid w:val="42F86F89"/>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0" w15:restartNumberingAfterBreak="0">
    <w:nsid w:val="51961B51"/>
    <w:multiLevelType w:val="hybridMultilevel"/>
    <w:tmpl w:val="C7DAA602"/>
    <w:lvl w:ilvl="0" w:tplc="0A50EB4E">
      <w:start w:val="1"/>
      <w:numFmt w:val="bullet"/>
      <w:lvlText w:val=""/>
      <w:lvlJc w:val="left"/>
      <w:pPr>
        <w:ind w:left="720" w:hanging="360"/>
      </w:pPr>
      <w:rPr>
        <w:rFonts w:ascii="Wingdings" w:hAnsi="Wingdings" w:hint="default"/>
        <w:b/>
        <w:sz w:val="26"/>
        <w:szCs w:val="2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6462459E"/>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15:restartNumberingAfterBreak="0">
    <w:nsid w:val="65E13143"/>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603F21"/>
    <w:multiLevelType w:val="hybridMultilevel"/>
    <w:tmpl w:val="85CE8F40"/>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6B8B6F2E"/>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15:restartNumberingAfterBreak="0">
    <w:nsid w:val="6E2A06BC"/>
    <w:multiLevelType w:val="hybridMultilevel"/>
    <w:tmpl w:val="9F0E76F6"/>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15:restartNumberingAfterBreak="0">
    <w:nsid w:val="78EE1938"/>
    <w:multiLevelType w:val="hybridMultilevel"/>
    <w:tmpl w:val="56ECF574"/>
    <w:lvl w:ilvl="0" w:tplc="F204300C">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8" w15:restartNumberingAfterBreak="0">
    <w:nsid w:val="7F65253F"/>
    <w:multiLevelType w:val="hybridMultilevel"/>
    <w:tmpl w:val="2F2C1280"/>
    <w:lvl w:ilvl="0" w:tplc="1BA6F7C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0"/>
  </w:num>
  <w:num w:numId="5">
    <w:abstractNumId w:val="18"/>
  </w:num>
  <w:num w:numId="6">
    <w:abstractNumId w:val="8"/>
  </w:num>
  <w:num w:numId="7">
    <w:abstractNumId w:val="9"/>
  </w:num>
  <w:num w:numId="8">
    <w:abstractNumId w:val="7"/>
  </w:num>
  <w:num w:numId="9">
    <w:abstractNumId w:val="17"/>
  </w:num>
  <w:num w:numId="10">
    <w:abstractNumId w:val="12"/>
  </w:num>
  <w:num w:numId="11">
    <w:abstractNumId w:val="11"/>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3"/>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 w:numId="29">
    <w:abstractNumId w:val="0"/>
  </w:num>
  <w:num w:numId="30">
    <w:abstractNumId w:val="0"/>
  </w:num>
  <w:num w:numId="31">
    <w:abstractNumId w:val="0"/>
  </w:num>
  <w:num w:numId="32">
    <w:abstractNumId w:val="4"/>
  </w:num>
  <w:num w:numId="33">
    <w:abstractNumId w:val="0"/>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cs-CZ" w:vendorID="64" w:dllVersion="4096" w:nlCheck="1" w:checkStyle="0"/>
  <w:activeWritingStyle w:appName="MSWord" w:lang="fr-FR" w:vendorID="64" w:dllVersion="4096" w:nlCheck="1" w:checkStyle="0"/>
  <w:activeWritingStyle w:appName="MSWord" w:lang="cs-CZ"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F8"/>
    <w:rsid w:val="00000521"/>
    <w:rsid w:val="0000091B"/>
    <w:rsid w:val="00002BFD"/>
    <w:rsid w:val="00002CD3"/>
    <w:rsid w:val="00003772"/>
    <w:rsid w:val="000041B1"/>
    <w:rsid w:val="000076A3"/>
    <w:rsid w:val="000107E9"/>
    <w:rsid w:val="00014037"/>
    <w:rsid w:val="00014A7D"/>
    <w:rsid w:val="000157FF"/>
    <w:rsid w:val="0001586A"/>
    <w:rsid w:val="00015FD4"/>
    <w:rsid w:val="00016A88"/>
    <w:rsid w:val="00017F17"/>
    <w:rsid w:val="00022899"/>
    <w:rsid w:val="0002437D"/>
    <w:rsid w:val="00026185"/>
    <w:rsid w:val="00026454"/>
    <w:rsid w:val="00031BCD"/>
    <w:rsid w:val="00032D5F"/>
    <w:rsid w:val="00033024"/>
    <w:rsid w:val="000332B8"/>
    <w:rsid w:val="0003456F"/>
    <w:rsid w:val="0003462D"/>
    <w:rsid w:val="000346B7"/>
    <w:rsid w:val="00035DBD"/>
    <w:rsid w:val="00035F22"/>
    <w:rsid w:val="00035F95"/>
    <w:rsid w:val="000409A1"/>
    <w:rsid w:val="00040C91"/>
    <w:rsid w:val="00041E4B"/>
    <w:rsid w:val="00041FDE"/>
    <w:rsid w:val="00042134"/>
    <w:rsid w:val="00043722"/>
    <w:rsid w:val="0004477E"/>
    <w:rsid w:val="00044DF1"/>
    <w:rsid w:val="000463D5"/>
    <w:rsid w:val="00046F20"/>
    <w:rsid w:val="00047CA6"/>
    <w:rsid w:val="00050F18"/>
    <w:rsid w:val="00050F6B"/>
    <w:rsid w:val="0005110C"/>
    <w:rsid w:val="000541EC"/>
    <w:rsid w:val="000543BE"/>
    <w:rsid w:val="00054909"/>
    <w:rsid w:val="00054F99"/>
    <w:rsid w:val="00055F9A"/>
    <w:rsid w:val="000575C7"/>
    <w:rsid w:val="00060515"/>
    <w:rsid w:val="00061EB9"/>
    <w:rsid w:val="0006283C"/>
    <w:rsid w:val="00063227"/>
    <w:rsid w:val="000639F8"/>
    <w:rsid w:val="00064B8E"/>
    <w:rsid w:val="0006602C"/>
    <w:rsid w:val="00066F92"/>
    <w:rsid w:val="00067869"/>
    <w:rsid w:val="00067A9E"/>
    <w:rsid w:val="0007087C"/>
    <w:rsid w:val="000718DF"/>
    <w:rsid w:val="00071A51"/>
    <w:rsid w:val="00072C8C"/>
    <w:rsid w:val="00072E10"/>
    <w:rsid w:val="000736C3"/>
    <w:rsid w:val="00074245"/>
    <w:rsid w:val="00074695"/>
    <w:rsid w:val="00074A14"/>
    <w:rsid w:val="00075491"/>
    <w:rsid w:val="000766DD"/>
    <w:rsid w:val="00077A40"/>
    <w:rsid w:val="00080783"/>
    <w:rsid w:val="00080AF7"/>
    <w:rsid w:val="000810D9"/>
    <w:rsid w:val="00081BDE"/>
    <w:rsid w:val="00081C7F"/>
    <w:rsid w:val="0008295D"/>
    <w:rsid w:val="000830E9"/>
    <w:rsid w:val="0008382A"/>
    <w:rsid w:val="0008479B"/>
    <w:rsid w:val="00085226"/>
    <w:rsid w:val="000853F9"/>
    <w:rsid w:val="00085ACC"/>
    <w:rsid w:val="000861CD"/>
    <w:rsid w:val="0008696A"/>
    <w:rsid w:val="0008726B"/>
    <w:rsid w:val="00087EAA"/>
    <w:rsid w:val="00090318"/>
    <w:rsid w:val="000906C9"/>
    <w:rsid w:val="00090B46"/>
    <w:rsid w:val="00091649"/>
    <w:rsid w:val="000917B1"/>
    <w:rsid w:val="000919AD"/>
    <w:rsid w:val="000931C0"/>
    <w:rsid w:val="0009388F"/>
    <w:rsid w:val="00094A6D"/>
    <w:rsid w:val="00097DFA"/>
    <w:rsid w:val="000A0168"/>
    <w:rsid w:val="000A10F8"/>
    <w:rsid w:val="000A1BD1"/>
    <w:rsid w:val="000A3361"/>
    <w:rsid w:val="000A3504"/>
    <w:rsid w:val="000A60E2"/>
    <w:rsid w:val="000A736D"/>
    <w:rsid w:val="000B0A22"/>
    <w:rsid w:val="000B175B"/>
    <w:rsid w:val="000B17E9"/>
    <w:rsid w:val="000B2356"/>
    <w:rsid w:val="000B2521"/>
    <w:rsid w:val="000B2641"/>
    <w:rsid w:val="000B2DBA"/>
    <w:rsid w:val="000B3A0F"/>
    <w:rsid w:val="000B5012"/>
    <w:rsid w:val="000B50F8"/>
    <w:rsid w:val="000B5703"/>
    <w:rsid w:val="000B675E"/>
    <w:rsid w:val="000B693F"/>
    <w:rsid w:val="000C0424"/>
    <w:rsid w:val="000C0FE8"/>
    <w:rsid w:val="000C19EA"/>
    <w:rsid w:val="000C1EEC"/>
    <w:rsid w:val="000C24EA"/>
    <w:rsid w:val="000C3E53"/>
    <w:rsid w:val="000C582C"/>
    <w:rsid w:val="000D0C99"/>
    <w:rsid w:val="000D2E30"/>
    <w:rsid w:val="000D2F43"/>
    <w:rsid w:val="000D3FC0"/>
    <w:rsid w:val="000D48E9"/>
    <w:rsid w:val="000D67B8"/>
    <w:rsid w:val="000D77D3"/>
    <w:rsid w:val="000D78A9"/>
    <w:rsid w:val="000E040B"/>
    <w:rsid w:val="000E0415"/>
    <w:rsid w:val="000E11C0"/>
    <w:rsid w:val="000E2111"/>
    <w:rsid w:val="000E2402"/>
    <w:rsid w:val="000E35B1"/>
    <w:rsid w:val="000E3FCB"/>
    <w:rsid w:val="000F313F"/>
    <w:rsid w:val="000F4BDD"/>
    <w:rsid w:val="000F4D34"/>
    <w:rsid w:val="000F4EB3"/>
    <w:rsid w:val="000F5C91"/>
    <w:rsid w:val="001000B5"/>
    <w:rsid w:val="00101724"/>
    <w:rsid w:val="001028E9"/>
    <w:rsid w:val="00103078"/>
    <w:rsid w:val="001044FB"/>
    <w:rsid w:val="00106960"/>
    <w:rsid w:val="0010772E"/>
    <w:rsid w:val="00107BF4"/>
    <w:rsid w:val="00110D21"/>
    <w:rsid w:val="0011157D"/>
    <w:rsid w:val="00111B4B"/>
    <w:rsid w:val="00114E57"/>
    <w:rsid w:val="001165C2"/>
    <w:rsid w:val="001208E2"/>
    <w:rsid w:val="00120922"/>
    <w:rsid w:val="001218BC"/>
    <w:rsid w:val="0012221A"/>
    <w:rsid w:val="00122F11"/>
    <w:rsid w:val="001236BC"/>
    <w:rsid w:val="00123890"/>
    <w:rsid w:val="00123DC4"/>
    <w:rsid w:val="00124325"/>
    <w:rsid w:val="001252E1"/>
    <w:rsid w:val="00125645"/>
    <w:rsid w:val="00127E88"/>
    <w:rsid w:val="0013140E"/>
    <w:rsid w:val="00133D1B"/>
    <w:rsid w:val="00134654"/>
    <w:rsid w:val="001349AA"/>
    <w:rsid w:val="00135D42"/>
    <w:rsid w:val="00135E67"/>
    <w:rsid w:val="00135F85"/>
    <w:rsid w:val="001374C6"/>
    <w:rsid w:val="00140650"/>
    <w:rsid w:val="00140739"/>
    <w:rsid w:val="00141DBD"/>
    <w:rsid w:val="0014293B"/>
    <w:rsid w:val="00142A55"/>
    <w:rsid w:val="00142CDC"/>
    <w:rsid w:val="001434CA"/>
    <w:rsid w:val="00144385"/>
    <w:rsid w:val="00144756"/>
    <w:rsid w:val="0014550A"/>
    <w:rsid w:val="00145E13"/>
    <w:rsid w:val="00151067"/>
    <w:rsid w:val="00153CED"/>
    <w:rsid w:val="00154780"/>
    <w:rsid w:val="00155729"/>
    <w:rsid w:val="001579C5"/>
    <w:rsid w:val="00160899"/>
    <w:rsid w:val="00162D94"/>
    <w:rsid w:val="001643EE"/>
    <w:rsid w:val="001665D2"/>
    <w:rsid w:val="00166E2F"/>
    <w:rsid w:val="00171C11"/>
    <w:rsid w:val="001735F0"/>
    <w:rsid w:val="0017388A"/>
    <w:rsid w:val="0017432D"/>
    <w:rsid w:val="001746BA"/>
    <w:rsid w:val="00175454"/>
    <w:rsid w:val="0017796D"/>
    <w:rsid w:val="00180F50"/>
    <w:rsid w:val="00181372"/>
    <w:rsid w:val="001823E6"/>
    <w:rsid w:val="001827C7"/>
    <w:rsid w:val="00183319"/>
    <w:rsid w:val="00185A5E"/>
    <w:rsid w:val="00185ADA"/>
    <w:rsid w:val="0018764F"/>
    <w:rsid w:val="0018777D"/>
    <w:rsid w:val="001902D8"/>
    <w:rsid w:val="00190E4B"/>
    <w:rsid w:val="00190F6F"/>
    <w:rsid w:val="00191160"/>
    <w:rsid w:val="001911EB"/>
    <w:rsid w:val="00192E54"/>
    <w:rsid w:val="001930E2"/>
    <w:rsid w:val="00193ADD"/>
    <w:rsid w:val="00194899"/>
    <w:rsid w:val="00194B00"/>
    <w:rsid w:val="00195028"/>
    <w:rsid w:val="00195A28"/>
    <w:rsid w:val="00196307"/>
    <w:rsid w:val="0019634F"/>
    <w:rsid w:val="0019788E"/>
    <w:rsid w:val="00197F36"/>
    <w:rsid w:val="001A1ACA"/>
    <w:rsid w:val="001A1BD4"/>
    <w:rsid w:val="001A2187"/>
    <w:rsid w:val="001A2FAE"/>
    <w:rsid w:val="001A430B"/>
    <w:rsid w:val="001A5249"/>
    <w:rsid w:val="001A578D"/>
    <w:rsid w:val="001A5B8C"/>
    <w:rsid w:val="001A5F54"/>
    <w:rsid w:val="001A6EBC"/>
    <w:rsid w:val="001B3B63"/>
    <w:rsid w:val="001B4B04"/>
    <w:rsid w:val="001B4F77"/>
    <w:rsid w:val="001B6C67"/>
    <w:rsid w:val="001C0716"/>
    <w:rsid w:val="001C1616"/>
    <w:rsid w:val="001C1FFF"/>
    <w:rsid w:val="001C2E53"/>
    <w:rsid w:val="001C354A"/>
    <w:rsid w:val="001C51BF"/>
    <w:rsid w:val="001C5EB3"/>
    <w:rsid w:val="001C6353"/>
    <w:rsid w:val="001C6663"/>
    <w:rsid w:val="001C66EA"/>
    <w:rsid w:val="001C6DBB"/>
    <w:rsid w:val="001C72EC"/>
    <w:rsid w:val="001C7895"/>
    <w:rsid w:val="001D0133"/>
    <w:rsid w:val="001D04CE"/>
    <w:rsid w:val="001D084D"/>
    <w:rsid w:val="001D1075"/>
    <w:rsid w:val="001D1221"/>
    <w:rsid w:val="001D1FB6"/>
    <w:rsid w:val="001D26DF"/>
    <w:rsid w:val="001D48B9"/>
    <w:rsid w:val="001D4A23"/>
    <w:rsid w:val="001D4C06"/>
    <w:rsid w:val="001D4EF8"/>
    <w:rsid w:val="001D6B94"/>
    <w:rsid w:val="001D6EA3"/>
    <w:rsid w:val="001D6EFA"/>
    <w:rsid w:val="001E198B"/>
    <w:rsid w:val="001E1B7B"/>
    <w:rsid w:val="001E2BF9"/>
    <w:rsid w:val="001E37BB"/>
    <w:rsid w:val="001E4CCA"/>
    <w:rsid w:val="001E4D4B"/>
    <w:rsid w:val="001E6BC6"/>
    <w:rsid w:val="001E7A08"/>
    <w:rsid w:val="001F1218"/>
    <w:rsid w:val="001F1320"/>
    <w:rsid w:val="001F1A34"/>
    <w:rsid w:val="001F376E"/>
    <w:rsid w:val="001F377B"/>
    <w:rsid w:val="001F3A08"/>
    <w:rsid w:val="001F3AED"/>
    <w:rsid w:val="001F3F20"/>
    <w:rsid w:val="001F48DE"/>
    <w:rsid w:val="001F57A2"/>
    <w:rsid w:val="001F65BE"/>
    <w:rsid w:val="0020148B"/>
    <w:rsid w:val="00201789"/>
    <w:rsid w:val="00201F94"/>
    <w:rsid w:val="00201FD0"/>
    <w:rsid w:val="00202F9F"/>
    <w:rsid w:val="00203593"/>
    <w:rsid w:val="00204627"/>
    <w:rsid w:val="00205182"/>
    <w:rsid w:val="00205805"/>
    <w:rsid w:val="002058BC"/>
    <w:rsid w:val="00205B7E"/>
    <w:rsid w:val="00205F5E"/>
    <w:rsid w:val="00206E10"/>
    <w:rsid w:val="002105C7"/>
    <w:rsid w:val="002107EA"/>
    <w:rsid w:val="002119C7"/>
    <w:rsid w:val="00211ADC"/>
    <w:rsid w:val="00211C85"/>
    <w:rsid w:val="00211E0B"/>
    <w:rsid w:val="002140B7"/>
    <w:rsid w:val="0021604B"/>
    <w:rsid w:val="00216537"/>
    <w:rsid w:val="002173E1"/>
    <w:rsid w:val="002209B7"/>
    <w:rsid w:val="0022314D"/>
    <w:rsid w:val="0022590A"/>
    <w:rsid w:val="00226997"/>
    <w:rsid w:val="00227F90"/>
    <w:rsid w:val="0023154F"/>
    <w:rsid w:val="0023164A"/>
    <w:rsid w:val="00231D9B"/>
    <w:rsid w:val="002338E5"/>
    <w:rsid w:val="00234474"/>
    <w:rsid w:val="00234FB3"/>
    <w:rsid w:val="00236B64"/>
    <w:rsid w:val="00237762"/>
    <w:rsid w:val="00237A26"/>
    <w:rsid w:val="00240CD2"/>
    <w:rsid w:val="002414A4"/>
    <w:rsid w:val="00241D85"/>
    <w:rsid w:val="0024233D"/>
    <w:rsid w:val="0024315E"/>
    <w:rsid w:val="00246C06"/>
    <w:rsid w:val="00246DF9"/>
    <w:rsid w:val="00246EEB"/>
    <w:rsid w:val="00250200"/>
    <w:rsid w:val="00251271"/>
    <w:rsid w:val="00251982"/>
    <w:rsid w:val="00251A8D"/>
    <w:rsid w:val="00252F55"/>
    <w:rsid w:val="00254289"/>
    <w:rsid w:val="0025589F"/>
    <w:rsid w:val="00255A37"/>
    <w:rsid w:val="00257434"/>
    <w:rsid w:val="00260418"/>
    <w:rsid w:val="0026244A"/>
    <w:rsid w:val="00262E17"/>
    <w:rsid w:val="00263745"/>
    <w:rsid w:val="00264C9B"/>
    <w:rsid w:val="002650D5"/>
    <w:rsid w:val="002713FF"/>
    <w:rsid w:val="00271791"/>
    <w:rsid w:val="0027195D"/>
    <w:rsid w:val="00271E5A"/>
    <w:rsid w:val="00272081"/>
    <w:rsid w:val="00273258"/>
    <w:rsid w:val="00273C76"/>
    <w:rsid w:val="002748B2"/>
    <w:rsid w:val="00275A52"/>
    <w:rsid w:val="00276E6E"/>
    <w:rsid w:val="002817CB"/>
    <w:rsid w:val="00282469"/>
    <w:rsid w:val="002857E7"/>
    <w:rsid w:val="00285EF4"/>
    <w:rsid w:val="00286D5A"/>
    <w:rsid w:val="00287027"/>
    <w:rsid w:val="00287141"/>
    <w:rsid w:val="00290296"/>
    <w:rsid w:val="00291067"/>
    <w:rsid w:val="00291E59"/>
    <w:rsid w:val="002922EC"/>
    <w:rsid w:val="00292B4B"/>
    <w:rsid w:val="00295BB4"/>
    <w:rsid w:val="00296A64"/>
    <w:rsid w:val="00297FC1"/>
    <w:rsid w:val="002A055D"/>
    <w:rsid w:val="002A0E8A"/>
    <w:rsid w:val="002A107D"/>
    <w:rsid w:val="002A1F9F"/>
    <w:rsid w:val="002A3AD2"/>
    <w:rsid w:val="002A5172"/>
    <w:rsid w:val="002A5E51"/>
    <w:rsid w:val="002A6B6E"/>
    <w:rsid w:val="002A6E0D"/>
    <w:rsid w:val="002B10DB"/>
    <w:rsid w:val="002B2439"/>
    <w:rsid w:val="002B291A"/>
    <w:rsid w:val="002B3AF5"/>
    <w:rsid w:val="002B4501"/>
    <w:rsid w:val="002B6138"/>
    <w:rsid w:val="002B7A0D"/>
    <w:rsid w:val="002B7E76"/>
    <w:rsid w:val="002C04B1"/>
    <w:rsid w:val="002C0B44"/>
    <w:rsid w:val="002C14D7"/>
    <w:rsid w:val="002C2FDD"/>
    <w:rsid w:val="002C3329"/>
    <w:rsid w:val="002C389F"/>
    <w:rsid w:val="002C55C2"/>
    <w:rsid w:val="002C5816"/>
    <w:rsid w:val="002C61C8"/>
    <w:rsid w:val="002C668B"/>
    <w:rsid w:val="002C692E"/>
    <w:rsid w:val="002D030B"/>
    <w:rsid w:val="002D439A"/>
    <w:rsid w:val="002D43D8"/>
    <w:rsid w:val="002D4545"/>
    <w:rsid w:val="002D4629"/>
    <w:rsid w:val="002D52B2"/>
    <w:rsid w:val="002D5C22"/>
    <w:rsid w:val="002D639C"/>
    <w:rsid w:val="002D63B4"/>
    <w:rsid w:val="002E2D52"/>
    <w:rsid w:val="002E5908"/>
    <w:rsid w:val="002E63CF"/>
    <w:rsid w:val="002F0219"/>
    <w:rsid w:val="002F1520"/>
    <w:rsid w:val="002F23BB"/>
    <w:rsid w:val="002F24DB"/>
    <w:rsid w:val="002F2689"/>
    <w:rsid w:val="002F3375"/>
    <w:rsid w:val="002F3514"/>
    <w:rsid w:val="002F3DBA"/>
    <w:rsid w:val="002F4946"/>
    <w:rsid w:val="002F5D7A"/>
    <w:rsid w:val="002F7434"/>
    <w:rsid w:val="002F7C03"/>
    <w:rsid w:val="002F7F90"/>
    <w:rsid w:val="003002B3"/>
    <w:rsid w:val="00300B6A"/>
    <w:rsid w:val="00301EF3"/>
    <w:rsid w:val="00307CF5"/>
    <w:rsid w:val="00307FAE"/>
    <w:rsid w:val="003107FA"/>
    <w:rsid w:val="00311117"/>
    <w:rsid w:val="00312129"/>
    <w:rsid w:val="00313BBD"/>
    <w:rsid w:val="003146E4"/>
    <w:rsid w:val="00314D32"/>
    <w:rsid w:val="0031720D"/>
    <w:rsid w:val="00320851"/>
    <w:rsid w:val="003229D8"/>
    <w:rsid w:val="00323314"/>
    <w:rsid w:val="003243E1"/>
    <w:rsid w:val="0032753C"/>
    <w:rsid w:val="00327D58"/>
    <w:rsid w:val="003312A5"/>
    <w:rsid w:val="00332179"/>
    <w:rsid w:val="0033241B"/>
    <w:rsid w:val="00334174"/>
    <w:rsid w:val="00334ADE"/>
    <w:rsid w:val="003368D4"/>
    <w:rsid w:val="0033745A"/>
    <w:rsid w:val="00337477"/>
    <w:rsid w:val="003403F8"/>
    <w:rsid w:val="00340A0A"/>
    <w:rsid w:val="003419C1"/>
    <w:rsid w:val="00341B45"/>
    <w:rsid w:val="00341C5A"/>
    <w:rsid w:val="003425EA"/>
    <w:rsid w:val="00342EBD"/>
    <w:rsid w:val="003450DD"/>
    <w:rsid w:val="003466CE"/>
    <w:rsid w:val="00346A9A"/>
    <w:rsid w:val="003502B4"/>
    <w:rsid w:val="003503E0"/>
    <w:rsid w:val="00350624"/>
    <w:rsid w:val="003543D0"/>
    <w:rsid w:val="00355758"/>
    <w:rsid w:val="003564D5"/>
    <w:rsid w:val="00356A84"/>
    <w:rsid w:val="0035707F"/>
    <w:rsid w:val="00360D93"/>
    <w:rsid w:val="00361289"/>
    <w:rsid w:val="0036193F"/>
    <w:rsid w:val="0036283D"/>
    <w:rsid w:val="003652C8"/>
    <w:rsid w:val="003656CB"/>
    <w:rsid w:val="00365947"/>
    <w:rsid w:val="0036667D"/>
    <w:rsid w:val="00366958"/>
    <w:rsid w:val="0037021D"/>
    <w:rsid w:val="003703ED"/>
    <w:rsid w:val="00370959"/>
    <w:rsid w:val="00370B3A"/>
    <w:rsid w:val="00370E89"/>
    <w:rsid w:val="003728FC"/>
    <w:rsid w:val="00373451"/>
    <w:rsid w:val="00373B71"/>
    <w:rsid w:val="00373D28"/>
    <w:rsid w:val="00374372"/>
    <w:rsid w:val="00374A7C"/>
    <w:rsid w:val="00375679"/>
    <w:rsid w:val="00375969"/>
    <w:rsid w:val="0037634E"/>
    <w:rsid w:val="00376684"/>
    <w:rsid w:val="00376F28"/>
    <w:rsid w:val="00376FA4"/>
    <w:rsid w:val="00377A84"/>
    <w:rsid w:val="00380483"/>
    <w:rsid w:val="00380C5F"/>
    <w:rsid w:val="00381667"/>
    <w:rsid w:val="00381779"/>
    <w:rsid w:val="00382B94"/>
    <w:rsid w:val="003834B9"/>
    <w:rsid w:val="00383A24"/>
    <w:rsid w:val="003854C0"/>
    <w:rsid w:val="00385619"/>
    <w:rsid w:val="003859AF"/>
    <w:rsid w:val="00385FB5"/>
    <w:rsid w:val="003877A6"/>
    <w:rsid w:val="00387D5E"/>
    <w:rsid w:val="0039277A"/>
    <w:rsid w:val="00392893"/>
    <w:rsid w:val="00393345"/>
    <w:rsid w:val="003938C2"/>
    <w:rsid w:val="00393B25"/>
    <w:rsid w:val="0039481A"/>
    <w:rsid w:val="003949E0"/>
    <w:rsid w:val="00396210"/>
    <w:rsid w:val="00396CCF"/>
    <w:rsid w:val="003972E0"/>
    <w:rsid w:val="00397A9E"/>
    <w:rsid w:val="003A0830"/>
    <w:rsid w:val="003A0B45"/>
    <w:rsid w:val="003A11FF"/>
    <w:rsid w:val="003A1733"/>
    <w:rsid w:val="003A3F55"/>
    <w:rsid w:val="003A5039"/>
    <w:rsid w:val="003A6806"/>
    <w:rsid w:val="003A6B11"/>
    <w:rsid w:val="003A7688"/>
    <w:rsid w:val="003B1670"/>
    <w:rsid w:val="003B1F1C"/>
    <w:rsid w:val="003B2A83"/>
    <w:rsid w:val="003B3F76"/>
    <w:rsid w:val="003B454A"/>
    <w:rsid w:val="003B4689"/>
    <w:rsid w:val="003B6AFD"/>
    <w:rsid w:val="003B6EB8"/>
    <w:rsid w:val="003B79FC"/>
    <w:rsid w:val="003C02F7"/>
    <w:rsid w:val="003C1005"/>
    <w:rsid w:val="003C12C9"/>
    <w:rsid w:val="003C22A5"/>
    <w:rsid w:val="003C2867"/>
    <w:rsid w:val="003C2CC4"/>
    <w:rsid w:val="003C4616"/>
    <w:rsid w:val="003D146C"/>
    <w:rsid w:val="003D1FD0"/>
    <w:rsid w:val="003D27AC"/>
    <w:rsid w:val="003D320B"/>
    <w:rsid w:val="003D4359"/>
    <w:rsid w:val="003D4B23"/>
    <w:rsid w:val="003D5B6E"/>
    <w:rsid w:val="003D6C94"/>
    <w:rsid w:val="003D6CCC"/>
    <w:rsid w:val="003E1823"/>
    <w:rsid w:val="003E1EAD"/>
    <w:rsid w:val="003E30A6"/>
    <w:rsid w:val="003E3912"/>
    <w:rsid w:val="003E47FF"/>
    <w:rsid w:val="003E50FD"/>
    <w:rsid w:val="003E7763"/>
    <w:rsid w:val="003E7A00"/>
    <w:rsid w:val="003F1055"/>
    <w:rsid w:val="003F144C"/>
    <w:rsid w:val="003F1F7D"/>
    <w:rsid w:val="003F2048"/>
    <w:rsid w:val="003F25F4"/>
    <w:rsid w:val="003F2624"/>
    <w:rsid w:val="003F2E34"/>
    <w:rsid w:val="003F5C08"/>
    <w:rsid w:val="003F67E2"/>
    <w:rsid w:val="00400881"/>
    <w:rsid w:val="00401C96"/>
    <w:rsid w:val="00407340"/>
    <w:rsid w:val="00407AED"/>
    <w:rsid w:val="00407E39"/>
    <w:rsid w:val="00412A62"/>
    <w:rsid w:val="00413F3C"/>
    <w:rsid w:val="004154AB"/>
    <w:rsid w:val="00417F58"/>
    <w:rsid w:val="00424049"/>
    <w:rsid w:val="0042416C"/>
    <w:rsid w:val="004257E8"/>
    <w:rsid w:val="00426258"/>
    <w:rsid w:val="00426869"/>
    <w:rsid w:val="00426AA7"/>
    <w:rsid w:val="004273B0"/>
    <w:rsid w:val="0042745D"/>
    <w:rsid w:val="004304A9"/>
    <w:rsid w:val="00430CE5"/>
    <w:rsid w:val="00430F0E"/>
    <w:rsid w:val="00431BC9"/>
    <w:rsid w:val="00432203"/>
    <w:rsid w:val="004325CB"/>
    <w:rsid w:val="00433F88"/>
    <w:rsid w:val="00436A6A"/>
    <w:rsid w:val="00436BEC"/>
    <w:rsid w:val="00437572"/>
    <w:rsid w:val="00442210"/>
    <w:rsid w:val="00442232"/>
    <w:rsid w:val="00444590"/>
    <w:rsid w:val="004446DE"/>
    <w:rsid w:val="00445373"/>
    <w:rsid w:val="00445A7E"/>
    <w:rsid w:val="00446DE4"/>
    <w:rsid w:val="00447666"/>
    <w:rsid w:val="0045072A"/>
    <w:rsid w:val="004510BD"/>
    <w:rsid w:val="0045262B"/>
    <w:rsid w:val="00454057"/>
    <w:rsid w:val="00454A07"/>
    <w:rsid w:val="00455757"/>
    <w:rsid w:val="004569FF"/>
    <w:rsid w:val="00456A1B"/>
    <w:rsid w:val="00456E6F"/>
    <w:rsid w:val="00457CE5"/>
    <w:rsid w:val="004615E5"/>
    <w:rsid w:val="0046265F"/>
    <w:rsid w:val="00464437"/>
    <w:rsid w:val="004652FF"/>
    <w:rsid w:val="00465AF5"/>
    <w:rsid w:val="00465D9F"/>
    <w:rsid w:val="00465EA7"/>
    <w:rsid w:val="00465EAE"/>
    <w:rsid w:val="00465F93"/>
    <w:rsid w:val="00470342"/>
    <w:rsid w:val="00472166"/>
    <w:rsid w:val="00472317"/>
    <w:rsid w:val="00472B2F"/>
    <w:rsid w:val="00473944"/>
    <w:rsid w:val="004739CC"/>
    <w:rsid w:val="00475A13"/>
    <w:rsid w:val="00476110"/>
    <w:rsid w:val="00477371"/>
    <w:rsid w:val="00477A35"/>
    <w:rsid w:val="00477CA5"/>
    <w:rsid w:val="00480569"/>
    <w:rsid w:val="00485B10"/>
    <w:rsid w:val="00487B1C"/>
    <w:rsid w:val="00487FF4"/>
    <w:rsid w:val="004915D0"/>
    <w:rsid w:val="004917F0"/>
    <w:rsid w:val="004928F6"/>
    <w:rsid w:val="00492EEF"/>
    <w:rsid w:val="004936A0"/>
    <w:rsid w:val="00493D75"/>
    <w:rsid w:val="004967AD"/>
    <w:rsid w:val="00496C8B"/>
    <w:rsid w:val="004971DA"/>
    <w:rsid w:val="004A09C0"/>
    <w:rsid w:val="004A0BF4"/>
    <w:rsid w:val="004A1327"/>
    <w:rsid w:val="004A203E"/>
    <w:rsid w:val="004A3846"/>
    <w:rsid w:val="004A4063"/>
    <w:rsid w:val="004A41CA"/>
    <w:rsid w:val="004A53D9"/>
    <w:rsid w:val="004A579C"/>
    <w:rsid w:val="004A7576"/>
    <w:rsid w:val="004B1881"/>
    <w:rsid w:val="004B1C58"/>
    <w:rsid w:val="004B1C5E"/>
    <w:rsid w:val="004B284E"/>
    <w:rsid w:val="004B3C40"/>
    <w:rsid w:val="004B4750"/>
    <w:rsid w:val="004B4DAA"/>
    <w:rsid w:val="004B4F48"/>
    <w:rsid w:val="004B60A5"/>
    <w:rsid w:val="004B61C1"/>
    <w:rsid w:val="004B6883"/>
    <w:rsid w:val="004C2D3E"/>
    <w:rsid w:val="004C2FD9"/>
    <w:rsid w:val="004C3245"/>
    <w:rsid w:val="004C4128"/>
    <w:rsid w:val="004C4BCF"/>
    <w:rsid w:val="004C64B9"/>
    <w:rsid w:val="004D02C1"/>
    <w:rsid w:val="004D082A"/>
    <w:rsid w:val="004D223D"/>
    <w:rsid w:val="004D3CD6"/>
    <w:rsid w:val="004D5933"/>
    <w:rsid w:val="004D6211"/>
    <w:rsid w:val="004D7D1E"/>
    <w:rsid w:val="004E0B99"/>
    <w:rsid w:val="004E19AD"/>
    <w:rsid w:val="004E3225"/>
    <w:rsid w:val="004E5D77"/>
    <w:rsid w:val="004E5E4D"/>
    <w:rsid w:val="004E6442"/>
    <w:rsid w:val="004E742C"/>
    <w:rsid w:val="004E7482"/>
    <w:rsid w:val="004F0841"/>
    <w:rsid w:val="004F0E88"/>
    <w:rsid w:val="004F270D"/>
    <w:rsid w:val="004F3E22"/>
    <w:rsid w:val="004F5B8B"/>
    <w:rsid w:val="004F6E18"/>
    <w:rsid w:val="005010D5"/>
    <w:rsid w:val="005024B6"/>
    <w:rsid w:val="00503228"/>
    <w:rsid w:val="00503234"/>
    <w:rsid w:val="005037DE"/>
    <w:rsid w:val="00503EB1"/>
    <w:rsid w:val="005052E3"/>
    <w:rsid w:val="00505384"/>
    <w:rsid w:val="00507A60"/>
    <w:rsid w:val="005109EA"/>
    <w:rsid w:val="00510B43"/>
    <w:rsid w:val="005138AE"/>
    <w:rsid w:val="005145F5"/>
    <w:rsid w:val="005200CB"/>
    <w:rsid w:val="0052102D"/>
    <w:rsid w:val="00522A73"/>
    <w:rsid w:val="005230DE"/>
    <w:rsid w:val="00523340"/>
    <w:rsid w:val="00523E79"/>
    <w:rsid w:val="00524DAA"/>
    <w:rsid w:val="00524E0A"/>
    <w:rsid w:val="00524EE8"/>
    <w:rsid w:val="005256AA"/>
    <w:rsid w:val="005258BB"/>
    <w:rsid w:val="00527402"/>
    <w:rsid w:val="00527C19"/>
    <w:rsid w:val="005303ED"/>
    <w:rsid w:val="00530D7B"/>
    <w:rsid w:val="005315CC"/>
    <w:rsid w:val="00531CD0"/>
    <w:rsid w:val="00532182"/>
    <w:rsid w:val="00534ECE"/>
    <w:rsid w:val="00540B25"/>
    <w:rsid w:val="005420F2"/>
    <w:rsid w:val="0054287C"/>
    <w:rsid w:val="00543D8B"/>
    <w:rsid w:val="005443CF"/>
    <w:rsid w:val="00544C76"/>
    <w:rsid w:val="0054631C"/>
    <w:rsid w:val="00546B3F"/>
    <w:rsid w:val="00547BB8"/>
    <w:rsid w:val="005505D3"/>
    <w:rsid w:val="00551429"/>
    <w:rsid w:val="00552F11"/>
    <w:rsid w:val="005535FB"/>
    <w:rsid w:val="00553CFA"/>
    <w:rsid w:val="00554B40"/>
    <w:rsid w:val="00554FF1"/>
    <w:rsid w:val="00555676"/>
    <w:rsid w:val="00555CF8"/>
    <w:rsid w:val="005567AE"/>
    <w:rsid w:val="00557BD5"/>
    <w:rsid w:val="005602CA"/>
    <w:rsid w:val="0056059F"/>
    <w:rsid w:val="005631EA"/>
    <w:rsid w:val="00565476"/>
    <w:rsid w:val="00565762"/>
    <w:rsid w:val="00565F12"/>
    <w:rsid w:val="00566AC3"/>
    <w:rsid w:val="00566EEF"/>
    <w:rsid w:val="005676E2"/>
    <w:rsid w:val="005703C9"/>
    <w:rsid w:val="00571A28"/>
    <w:rsid w:val="005744C3"/>
    <w:rsid w:val="0057523F"/>
    <w:rsid w:val="00575B91"/>
    <w:rsid w:val="00575BBA"/>
    <w:rsid w:val="00575E3F"/>
    <w:rsid w:val="005770AC"/>
    <w:rsid w:val="00577DFD"/>
    <w:rsid w:val="0058177A"/>
    <w:rsid w:val="005818BF"/>
    <w:rsid w:val="00582621"/>
    <w:rsid w:val="00582A80"/>
    <w:rsid w:val="0058302B"/>
    <w:rsid w:val="00584005"/>
    <w:rsid w:val="005842F6"/>
    <w:rsid w:val="00584C44"/>
    <w:rsid w:val="005850D2"/>
    <w:rsid w:val="005852B4"/>
    <w:rsid w:val="005901DF"/>
    <w:rsid w:val="00590C3A"/>
    <w:rsid w:val="00591A42"/>
    <w:rsid w:val="00592C72"/>
    <w:rsid w:val="00593AE5"/>
    <w:rsid w:val="00594487"/>
    <w:rsid w:val="005944F6"/>
    <w:rsid w:val="005961DF"/>
    <w:rsid w:val="00596A18"/>
    <w:rsid w:val="00597148"/>
    <w:rsid w:val="005972B5"/>
    <w:rsid w:val="005A098B"/>
    <w:rsid w:val="005A09FB"/>
    <w:rsid w:val="005A12F0"/>
    <w:rsid w:val="005A1B6D"/>
    <w:rsid w:val="005A346F"/>
    <w:rsid w:val="005A3862"/>
    <w:rsid w:val="005A5FB5"/>
    <w:rsid w:val="005B3699"/>
    <w:rsid w:val="005B3DB3"/>
    <w:rsid w:val="005B3EED"/>
    <w:rsid w:val="005B6D7D"/>
    <w:rsid w:val="005B7C88"/>
    <w:rsid w:val="005B7EDC"/>
    <w:rsid w:val="005C09FB"/>
    <w:rsid w:val="005C1B2C"/>
    <w:rsid w:val="005C3B7E"/>
    <w:rsid w:val="005C492F"/>
    <w:rsid w:val="005C54CB"/>
    <w:rsid w:val="005C5C87"/>
    <w:rsid w:val="005C6030"/>
    <w:rsid w:val="005C76B9"/>
    <w:rsid w:val="005D138C"/>
    <w:rsid w:val="005D1948"/>
    <w:rsid w:val="005D6CD8"/>
    <w:rsid w:val="005D6D57"/>
    <w:rsid w:val="005E06EA"/>
    <w:rsid w:val="005E0EE1"/>
    <w:rsid w:val="005E1DB3"/>
    <w:rsid w:val="005E4440"/>
    <w:rsid w:val="005E4D7F"/>
    <w:rsid w:val="005E5BED"/>
    <w:rsid w:val="005E752D"/>
    <w:rsid w:val="005E7ACA"/>
    <w:rsid w:val="005E7DAC"/>
    <w:rsid w:val="005F10F9"/>
    <w:rsid w:val="005F17BB"/>
    <w:rsid w:val="005F1AF2"/>
    <w:rsid w:val="005F1DD7"/>
    <w:rsid w:val="005F4A8A"/>
    <w:rsid w:val="005F563C"/>
    <w:rsid w:val="005F7737"/>
    <w:rsid w:val="0060129D"/>
    <w:rsid w:val="00602FBA"/>
    <w:rsid w:val="006038F2"/>
    <w:rsid w:val="00603A5C"/>
    <w:rsid w:val="00604077"/>
    <w:rsid w:val="00604322"/>
    <w:rsid w:val="00604CF2"/>
    <w:rsid w:val="006050F6"/>
    <w:rsid w:val="0060647C"/>
    <w:rsid w:val="00610594"/>
    <w:rsid w:val="006105DE"/>
    <w:rsid w:val="006113B0"/>
    <w:rsid w:val="00611899"/>
    <w:rsid w:val="00611CC1"/>
    <w:rsid w:val="00611FC4"/>
    <w:rsid w:val="00613661"/>
    <w:rsid w:val="00613F62"/>
    <w:rsid w:val="006142F6"/>
    <w:rsid w:val="006154A5"/>
    <w:rsid w:val="00615BA7"/>
    <w:rsid w:val="00616518"/>
    <w:rsid w:val="006171B5"/>
    <w:rsid w:val="006176FB"/>
    <w:rsid w:val="00620028"/>
    <w:rsid w:val="006209DA"/>
    <w:rsid w:val="00623640"/>
    <w:rsid w:val="006236C3"/>
    <w:rsid w:val="006243B6"/>
    <w:rsid w:val="00624521"/>
    <w:rsid w:val="0062636A"/>
    <w:rsid w:val="00626F7B"/>
    <w:rsid w:val="006271DA"/>
    <w:rsid w:val="006275EB"/>
    <w:rsid w:val="00627ED0"/>
    <w:rsid w:val="006319D6"/>
    <w:rsid w:val="00631F1D"/>
    <w:rsid w:val="00632DC8"/>
    <w:rsid w:val="006331C2"/>
    <w:rsid w:val="0063354F"/>
    <w:rsid w:val="00633BD3"/>
    <w:rsid w:val="00633C05"/>
    <w:rsid w:val="00634527"/>
    <w:rsid w:val="00636243"/>
    <w:rsid w:val="00636340"/>
    <w:rsid w:val="00636718"/>
    <w:rsid w:val="00636827"/>
    <w:rsid w:val="00640201"/>
    <w:rsid w:val="006403BB"/>
    <w:rsid w:val="00640B26"/>
    <w:rsid w:val="00642CC7"/>
    <w:rsid w:val="006431BE"/>
    <w:rsid w:val="00644805"/>
    <w:rsid w:val="00645F69"/>
    <w:rsid w:val="00646BD6"/>
    <w:rsid w:val="00646D94"/>
    <w:rsid w:val="00650FA2"/>
    <w:rsid w:val="00651158"/>
    <w:rsid w:val="00651968"/>
    <w:rsid w:val="00652366"/>
    <w:rsid w:val="006524F4"/>
    <w:rsid w:val="00652EDC"/>
    <w:rsid w:val="00655ABA"/>
    <w:rsid w:val="0065612F"/>
    <w:rsid w:val="00660745"/>
    <w:rsid w:val="00661CA9"/>
    <w:rsid w:val="00662B55"/>
    <w:rsid w:val="0066314A"/>
    <w:rsid w:val="006646A1"/>
    <w:rsid w:val="0066487F"/>
    <w:rsid w:val="0066544A"/>
    <w:rsid w:val="00665595"/>
    <w:rsid w:val="006677FF"/>
    <w:rsid w:val="00667A79"/>
    <w:rsid w:val="00670B12"/>
    <w:rsid w:val="00672D89"/>
    <w:rsid w:val="00672ED6"/>
    <w:rsid w:val="00675AC0"/>
    <w:rsid w:val="00675D23"/>
    <w:rsid w:val="00675DDB"/>
    <w:rsid w:val="00676522"/>
    <w:rsid w:val="006768EE"/>
    <w:rsid w:val="00677FBA"/>
    <w:rsid w:val="0068017E"/>
    <w:rsid w:val="006805F7"/>
    <w:rsid w:val="0068312B"/>
    <w:rsid w:val="006838C4"/>
    <w:rsid w:val="00683E0B"/>
    <w:rsid w:val="00683E5A"/>
    <w:rsid w:val="00684387"/>
    <w:rsid w:val="00685621"/>
    <w:rsid w:val="006868B8"/>
    <w:rsid w:val="0068711F"/>
    <w:rsid w:val="006879D0"/>
    <w:rsid w:val="006908F0"/>
    <w:rsid w:val="00690E56"/>
    <w:rsid w:val="006915DB"/>
    <w:rsid w:val="00691971"/>
    <w:rsid w:val="00692DAE"/>
    <w:rsid w:val="0069334B"/>
    <w:rsid w:val="006942F1"/>
    <w:rsid w:val="00695141"/>
    <w:rsid w:val="00695AAC"/>
    <w:rsid w:val="00696019"/>
    <w:rsid w:val="006967CE"/>
    <w:rsid w:val="00696BBD"/>
    <w:rsid w:val="006978B4"/>
    <w:rsid w:val="006A0065"/>
    <w:rsid w:val="006A0F04"/>
    <w:rsid w:val="006A2243"/>
    <w:rsid w:val="006A2FFB"/>
    <w:rsid w:val="006A3460"/>
    <w:rsid w:val="006A34B4"/>
    <w:rsid w:val="006A3626"/>
    <w:rsid w:val="006A5128"/>
    <w:rsid w:val="006A5872"/>
    <w:rsid w:val="006A6933"/>
    <w:rsid w:val="006A701A"/>
    <w:rsid w:val="006A7392"/>
    <w:rsid w:val="006A7B80"/>
    <w:rsid w:val="006A7E86"/>
    <w:rsid w:val="006B1185"/>
    <w:rsid w:val="006B12EC"/>
    <w:rsid w:val="006B15FE"/>
    <w:rsid w:val="006B57FE"/>
    <w:rsid w:val="006B591F"/>
    <w:rsid w:val="006B6000"/>
    <w:rsid w:val="006B6604"/>
    <w:rsid w:val="006C034C"/>
    <w:rsid w:val="006C1E2C"/>
    <w:rsid w:val="006C2399"/>
    <w:rsid w:val="006C4F55"/>
    <w:rsid w:val="006C6270"/>
    <w:rsid w:val="006C642B"/>
    <w:rsid w:val="006D02EC"/>
    <w:rsid w:val="006D166B"/>
    <w:rsid w:val="006D1C93"/>
    <w:rsid w:val="006D27D6"/>
    <w:rsid w:val="006D5C16"/>
    <w:rsid w:val="006E0848"/>
    <w:rsid w:val="006E2AE7"/>
    <w:rsid w:val="006E2B47"/>
    <w:rsid w:val="006E423A"/>
    <w:rsid w:val="006E564B"/>
    <w:rsid w:val="006E5FBA"/>
    <w:rsid w:val="006E6A60"/>
    <w:rsid w:val="006E7519"/>
    <w:rsid w:val="006F153D"/>
    <w:rsid w:val="006F24EB"/>
    <w:rsid w:val="006F2616"/>
    <w:rsid w:val="006F311E"/>
    <w:rsid w:val="006F3519"/>
    <w:rsid w:val="006F356E"/>
    <w:rsid w:val="006F3621"/>
    <w:rsid w:val="006F408B"/>
    <w:rsid w:val="006F4C4B"/>
    <w:rsid w:val="006F56D1"/>
    <w:rsid w:val="006F69C5"/>
    <w:rsid w:val="006F7E15"/>
    <w:rsid w:val="00700170"/>
    <w:rsid w:val="00700B1A"/>
    <w:rsid w:val="00700FC2"/>
    <w:rsid w:val="00701389"/>
    <w:rsid w:val="00704953"/>
    <w:rsid w:val="00710DDB"/>
    <w:rsid w:val="00711163"/>
    <w:rsid w:val="00711433"/>
    <w:rsid w:val="0071475E"/>
    <w:rsid w:val="007147FF"/>
    <w:rsid w:val="007164EE"/>
    <w:rsid w:val="00716CFF"/>
    <w:rsid w:val="00716EE0"/>
    <w:rsid w:val="00721545"/>
    <w:rsid w:val="007233BA"/>
    <w:rsid w:val="00723BAF"/>
    <w:rsid w:val="00724302"/>
    <w:rsid w:val="00724453"/>
    <w:rsid w:val="007248ED"/>
    <w:rsid w:val="007254A9"/>
    <w:rsid w:val="00725919"/>
    <w:rsid w:val="0072632A"/>
    <w:rsid w:val="00726EC2"/>
    <w:rsid w:val="00734645"/>
    <w:rsid w:val="00736829"/>
    <w:rsid w:val="007369EB"/>
    <w:rsid w:val="00737CD6"/>
    <w:rsid w:val="00741D76"/>
    <w:rsid w:val="00741E38"/>
    <w:rsid w:val="00741F7C"/>
    <w:rsid w:val="007426B4"/>
    <w:rsid w:val="00743DFA"/>
    <w:rsid w:val="00743FCD"/>
    <w:rsid w:val="00747C6F"/>
    <w:rsid w:val="00750497"/>
    <w:rsid w:val="00750CC0"/>
    <w:rsid w:val="00751891"/>
    <w:rsid w:val="007520CA"/>
    <w:rsid w:val="00752290"/>
    <w:rsid w:val="00752628"/>
    <w:rsid w:val="0075278C"/>
    <w:rsid w:val="0075304D"/>
    <w:rsid w:val="0075515E"/>
    <w:rsid w:val="00755572"/>
    <w:rsid w:val="007555E3"/>
    <w:rsid w:val="00755F23"/>
    <w:rsid w:val="007577E1"/>
    <w:rsid w:val="00757C89"/>
    <w:rsid w:val="00761267"/>
    <w:rsid w:val="007615BE"/>
    <w:rsid w:val="0076261C"/>
    <w:rsid w:val="007626B6"/>
    <w:rsid w:val="00763BB8"/>
    <w:rsid w:val="00763DC4"/>
    <w:rsid w:val="007666C0"/>
    <w:rsid w:val="00767C79"/>
    <w:rsid w:val="00770B7D"/>
    <w:rsid w:val="00770C0C"/>
    <w:rsid w:val="00771B07"/>
    <w:rsid w:val="00772343"/>
    <w:rsid w:val="00772973"/>
    <w:rsid w:val="007729B5"/>
    <w:rsid w:val="00774110"/>
    <w:rsid w:val="0077473F"/>
    <w:rsid w:val="00775823"/>
    <w:rsid w:val="00776B66"/>
    <w:rsid w:val="00780863"/>
    <w:rsid w:val="00780B8E"/>
    <w:rsid w:val="00780F24"/>
    <w:rsid w:val="007824F7"/>
    <w:rsid w:val="00782552"/>
    <w:rsid w:val="007826A9"/>
    <w:rsid w:val="007844F7"/>
    <w:rsid w:val="00784E42"/>
    <w:rsid w:val="00785266"/>
    <w:rsid w:val="0079097B"/>
    <w:rsid w:val="007914F8"/>
    <w:rsid w:val="007919C5"/>
    <w:rsid w:val="00791FB9"/>
    <w:rsid w:val="00792859"/>
    <w:rsid w:val="00792DFE"/>
    <w:rsid w:val="00794174"/>
    <w:rsid w:val="007951B6"/>
    <w:rsid w:val="007966C2"/>
    <w:rsid w:val="0079762E"/>
    <w:rsid w:val="007A07EC"/>
    <w:rsid w:val="007A0BB3"/>
    <w:rsid w:val="007A1791"/>
    <w:rsid w:val="007A17E1"/>
    <w:rsid w:val="007A1A10"/>
    <w:rsid w:val="007A1F82"/>
    <w:rsid w:val="007A3AF3"/>
    <w:rsid w:val="007A476D"/>
    <w:rsid w:val="007A4D73"/>
    <w:rsid w:val="007A68A7"/>
    <w:rsid w:val="007B0889"/>
    <w:rsid w:val="007B159D"/>
    <w:rsid w:val="007B2F49"/>
    <w:rsid w:val="007B34C1"/>
    <w:rsid w:val="007B3923"/>
    <w:rsid w:val="007B6946"/>
    <w:rsid w:val="007B6BA5"/>
    <w:rsid w:val="007B79A5"/>
    <w:rsid w:val="007B7BA5"/>
    <w:rsid w:val="007C2DBA"/>
    <w:rsid w:val="007C3390"/>
    <w:rsid w:val="007C3FEC"/>
    <w:rsid w:val="007C45BF"/>
    <w:rsid w:val="007C4F4B"/>
    <w:rsid w:val="007D0E80"/>
    <w:rsid w:val="007D0EE2"/>
    <w:rsid w:val="007D1AA1"/>
    <w:rsid w:val="007D201C"/>
    <w:rsid w:val="007D3A95"/>
    <w:rsid w:val="007D4A22"/>
    <w:rsid w:val="007D670A"/>
    <w:rsid w:val="007D6B71"/>
    <w:rsid w:val="007D6C71"/>
    <w:rsid w:val="007D6D31"/>
    <w:rsid w:val="007D7BF0"/>
    <w:rsid w:val="007E17DF"/>
    <w:rsid w:val="007E191B"/>
    <w:rsid w:val="007E1A64"/>
    <w:rsid w:val="007E1F3A"/>
    <w:rsid w:val="007E21BB"/>
    <w:rsid w:val="007E2943"/>
    <w:rsid w:val="007E2D6A"/>
    <w:rsid w:val="007E3024"/>
    <w:rsid w:val="007E41BB"/>
    <w:rsid w:val="007E4A24"/>
    <w:rsid w:val="007E66FB"/>
    <w:rsid w:val="007E733A"/>
    <w:rsid w:val="007E7B32"/>
    <w:rsid w:val="007F05D7"/>
    <w:rsid w:val="007F0B83"/>
    <w:rsid w:val="007F0E44"/>
    <w:rsid w:val="007F11E3"/>
    <w:rsid w:val="007F14E4"/>
    <w:rsid w:val="007F2E06"/>
    <w:rsid w:val="007F334E"/>
    <w:rsid w:val="007F475F"/>
    <w:rsid w:val="007F5196"/>
    <w:rsid w:val="007F6611"/>
    <w:rsid w:val="007F71BA"/>
    <w:rsid w:val="0080016A"/>
    <w:rsid w:val="0080091B"/>
    <w:rsid w:val="008014F2"/>
    <w:rsid w:val="00802A31"/>
    <w:rsid w:val="00802FE7"/>
    <w:rsid w:val="00803D82"/>
    <w:rsid w:val="00803E78"/>
    <w:rsid w:val="00803EE9"/>
    <w:rsid w:val="00805108"/>
    <w:rsid w:val="00805713"/>
    <w:rsid w:val="00807233"/>
    <w:rsid w:val="00807E1F"/>
    <w:rsid w:val="00811024"/>
    <w:rsid w:val="0081141F"/>
    <w:rsid w:val="00811BCA"/>
    <w:rsid w:val="00812962"/>
    <w:rsid w:val="00813509"/>
    <w:rsid w:val="00813E4E"/>
    <w:rsid w:val="00813EFA"/>
    <w:rsid w:val="008153BC"/>
    <w:rsid w:val="00815FB3"/>
    <w:rsid w:val="00816B93"/>
    <w:rsid w:val="008175E9"/>
    <w:rsid w:val="00817B85"/>
    <w:rsid w:val="00817BC3"/>
    <w:rsid w:val="008202F2"/>
    <w:rsid w:val="008202F5"/>
    <w:rsid w:val="0082121D"/>
    <w:rsid w:val="008214C7"/>
    <w:rsid w:val="00822C47"/>
    <w:rsid w:val="00823C82"/>
    <w:rsid w:val="00823E53"/>
    <w:rsid w:val="008242D7"/>
    <w:rsid w:val="00824C60"/>
    <w:rsid w:val="00824C6D"/>
    <w:rsid w:val="008263BF"/>
    <w:rsid w:val="00827929"/>
    <w:rsid w:val="00830965"/>
    <w:rsid w:val="00830E68"/>
    <w:rsid w:val="008311A3"/>
    <w:rsid w:val="008334F8"/>
    <w:rsid w:val="008336F0"/>
    <w:rsid w:val="008343EE"/>
    <w:rsid w:val="0083491F"/>
    <w:rsid w:val="00835C14"/>
    <w:rsid w:val="00840296"/>
    <w:rsid w:val="0084055B"/>
    <w:rsid w:val="008414D6"/>
    <w:rsid w:val="00841A9D"/>
    <w:rsid w:val="0084283C"/>
    <w:rsid w:val="00843180"/>
    <w:rsid w:val="008434CD"/>
    <w:rsid w:val="00843576"/>
    <w:rsid w:val="008437E9"/>
    <w:rsid w:val="00843D32"/>
    <w:rsid w:val="0084470A"/>
    <w:rsid w:val="00845CD1"/>
    <w:rsid w:val="00846F61"/>
    <w:rsid w:val="00850D26"/>
    <w:rsid w:val="00851416"/>
    <w:rsid w:val="00851597"/>
    <w:rsid w:val="00852156"/>
    <w:rsid w:val="00853E8B"/>
    <w:rsid w:val="008547C7"/>
    <w:rsid w:val="0085573A"/>
    <w:rsid w:val="00856F49"/>
    <w:rsid w:val="0086060A"/>
    <w:rsid w:val="00861C09"/>
    <w:rsid w:val="00861F97"/>
    <w:rsid w:val="008638F0"/>
    <w:rsid w:val="00863F60"/>
    <w:rsid w:val="0087149C"/>
    <w:rsid w:val="00871573"/>
    <w:rsid w:val="00871CFD"/>
    <w:rsid w:val="00871FD5"/>
    <w:rsid w:val="008720B2"/>
    <w:rsid w:val="0087275C"/>
    <w:rsid w:val="00872DEF"/>
    <w:rsid w:val="0087350C"/>
    <w:rsid w:val="008736E1"/>
    <w:rsid w:val="00873B22"/>
    <w:rsid w:val="0087625B"/>
    <w:rsid w:val="008765DC"/>
    <w:rsid w:val="00876DCE"/>
    <w:rsid w:val="00877815"/>
    <w:rsid w:val="008803BE"/>
    <w:rsid w:val="00880427"/>
    <w:rsid w:val="00880B65"/>
    <w:rsid w:val="00881655"/>
    <w:rsid w:val="00883C9F"/>
    <w:rsid w:val="00890544"/>
    <w:rsid w:val="00891B40"/>
    <w:rsid w:val="00892078"/>
    <w:rsid w:val="00893EE3"/>
    <w:rsid w:val="008942B8"/>
    <w:rsid w:val="0089523E"/>
    <w:rsid w:val="008952B2"/>
    <w:rsid w:val="008954D8"/>
    <w:rsid w:val="00896620"/>
    <w:rsid w:val="008979B1"/>
    <w:rsid w:val="00897E16"/>
    <w:rsid w:val="008A0853"/>
    <w:rsid w:val="008A0B85"/>
    <w:rsid w:val="008A116B"/>
    <w:rsid w:val="008A1EF9"/>
    <w:rsid w:val="008A36AE"/>
    <w:rsid w:val="008A55E2"/>
    <w:rsid w:val="008A677E"/>
    <w:rsid w:val="008A6B25"/>
    <w:rsid w:val="008A6C4F"/>
    <w:rsid w:val="008A6C61"/>
    <w:rsid w:val="008A7B66"/>
    <w:rsid w:val="008B0E4B"/>
    <w:rsid w:val="008B0FD4"/>
    <w:rsid w:val="008B15A1"/>
    <w:rsid w:val="008B31C8"/>
    <w:rsid w:val="008B32C5"/>
    <w:rsid w:val="008B52A4"/>
    <w:rsid w:val="008B57DD"/>
    <w:rsid w:val="008B621B"/>
    <w:rsid w:val="008C05C9"/>
    <w:rsid w:val="008C0688"/>
    <w:rsid w:val="008C076F"/>
    <w:rsid w:val="008C0E43"/>
    <w:rsid w:val="008C1637"/>
    <w:rsid w:val="008C170B"/>
    <w:rsid w:val="008C3C1D"/>
    <w:rsid w:val="008C4D05"/>
    <w:rsid w:val="008C5699"/>
    <w:rsid w:val="008C5B14"/>
    <w:rsid w:val="008C6C03"/>
    <w:rsid w:val="008C7161"/>
    <w:rsid w:val="008D0339"/>
    <w:rsid w:val="008D5739"/>
    <w:rsid w:val="008D605B"/>
    <w:rsid w:val="008D65C1"/>
    <w:rsid w:val="008D6B0E"/>
    <w:rsid w:val="008D75A5"/>
    <w:rsid w:val="008E0559"/>
    <w:rsid w:val="008E095F"/>
    <w:rsid w:val="008E0E46"/>
    <w:rsid w:val="008E13E5"/>
    <w:rsid w:val="008E1530"/>
    <w:rsid w:val="008E2078"/>
    <w:rsid w:val="008E281C"/>
    <w:rsid w:val="008E48C3"/>
    <w:rsid w:val="008E5D04"/>
    <w:rsid w:val="008E5D81"/>
    <w:rsid w:val="008E6EF9"/>
    <w:rsid w:val="008E73FB"/>
    <w:rsid w:val="008F1A3B"/>
    <w:rsid w:val="008F2973"/>
    <w:rsid w:val="008F3E1E"/>
    <w:rsid w:val="008F673B"/>
    <w:rsid w:val="008F6BAC"/>
    <w:rsid w:val="008F79C7"/>
    <w:rsid w:val="00901EA2"/>
    <w:rsid w:val="0090596A"/>
    <w:rsid w:val="00906D27"/>
    <w:rsid w:val="00907AD2"/>
    <w:rsid w:val="00910D5B"/>
    <w:rsid w:val="00911450"/>
    <w:rsid w:val="00912902"/>
    <w:rsid w:val="0091354A"/>
    <w:rsid w:val="00913578"/>
    <w:rsid w:val="009156C9"/>
    <w:rsid w:val="0091573C"/>
    <w:rsid w:val="0091739D"/>
    <w:rsid w:val="009203B4"/>
    <w:rsid w:val="00920B90"/>
    <w:rsid w:val="0092393D"/>
    <w:rsid w:val="00924454"/>
    <w:rsid w:val="0092572D"/>
    <w:rsid w:val="0092607B"/>
    <w:rsid w:val="00926BB0"/>
    <w:rsid w:val="0092785C"/>
    <w:rsid w:val="00930601"/>
    <w:rsid w:val="0093166C"/>
    <w:rsid w:val="009322BF"/>
    <w:rsid w:val="00933DD1"/>
    <w:rsid w:val="009348F9"/>
    <w:rsid w:val="009378AA"/>
    <w:rsid w:val="00937A10"/>
    <w:rsid w:val="00940093"/>
    <w:rsid w:val="0094150C"/>
    <w:rsid w:val="00941544"/>
    <w:rsid w:val="00941D7D"/>
    <w:rsid w:val="009423A8"/>
    <w:rsid w:val="00942B1E"/>
    <w:rsid w:val="009451F2"/>
    <w:rsid w:val="009469ED"/>
    <w:rsid w:val="00951670"/>
    <w:rsid w:val="00951694"/>
    <w:rsid w:val="00951B96"/>
    <w:rsid w:val="00951C87"/>
    <w:rsid w:val="00952028"/>
    <w:rsid w:val="0095263E"/>
    <w:rsid w:val="00953506"/>
    <w:rsid w:val="00953648"/>
    <w:rsid w:val="00953688"/>
    <w:rsid w:val="0095642D"/>
    <w:rsid w:val="00956ABC"/>
    <w:rsid w:val="0095757C"/>
    <w:rsid w:val="00957DD7"/>
    <w:rsid w:val="00960BED"/>
    <w:rsid w:val="009616BD"/>
    <w:rsid w:val="00961A8B"/>
    <w:rsid w:val="00961ADF"/>
    <w:rsid w:val="009625C5"/>
    <w:rsid w:val="00963CBA"/>
    <w:rsid w:val="0096416B"/>
    <w:rsid w:val="00965E06"/>
    <w:rsid w:val="00965E31"/>
    <w:rsid w:val="00967CB7"/>
    <w:rsid w:val="009711DA"/>
    <w:rsid w:val="00972B8D"/>
    <w:rsid w:val="00972FA0"/>
    <w:rsid w:val="00974A8D"/>
    <w:rsid w:val="009751D6"/>
    <w:rsid w:val="00975481"/>
    <w:rsid w:val="00975B38"/>
    <w:rsid w:val="00976A5E"/>
    <w:rsid w:val="009801CF"/>
    <w:rsid w:val="0098034C"/>
    <w:rsid w:val="00981196"/>
    <w:rsid w:val="00981515"/>
    <w:rsid w:val="009849BD"/>
    <w:rsid w:val="00984F05"/>
    <w:rsid w:val="0098574B"/>
    <w:rsid w:val="00986CA3"/>
    <w:rsid w:val="009878FC"/>
    <w:rsid w:val="00987D40"/>
    <w:rsid w:val="00987EE4"/>
    <w:rsid w:val="00990A72"/>
    <w:rsid w:val="00990CC7"/>
    <w:rsid w:val="00991261"/>
    <w:rsid w:val="00991C31"/>
    <w:rsid w:val="00993189"/>
    <w:rsid w:val="009932E2"/>
    <w:rsid w:val="0099576A"/>
    <w:rsid w:val="00995C08"/>
    <w:rsid w:val="00995F9A"/>
    <w:rsid w:val="00995FC9"/>
    <w:rsid w:val="009971EC"/>
    <w:rsid w:val="0099742A"/>
    <w:rsid w:val="009977CC"/>
    <w:rsid w:val="009A1C72"/>
    <w:rsid w:val="009A1E82"/>
    <w:rsid w:val="009A4C9D"/>
    <w:rsid w:val="009B1FD5"/>
    <w:rsid w:val="009B2965"/>
    <w:rsid w:val="009B468C"/>
    <w:rsid w:val="009B5052"/>
    <w:rsid w:val="009B72AD"/>
    <w:rsid w:val="009B78F4"/>
    <w:rsid w:val="009C0CEE"/>
    <w:rsid w:val="009C10AE"/>
    <w:rsid w:val="009C13A3"/>
    <w:rsid w:val="009C1EDF"/>
    <w:rsid w:val="009C3DCA"/>
    <w:rsid w:val="009C3F02"/>
    <w:rsid w:val="009C5BD1"/>
    <w:rsid w:val="009C5EE4"/>
    <w:rsid w:val="009C6B71"/>
    <w:rsid w:val="009C75F9"/>
    <w:rsid w:val="009D09C2"/>
    <w:rsid w:val="009D0B49"/>
    <w:rsid w:val="009D121B"/>
    <w:rsid w:val="009D147A"/>
    <w:rsid w:val="009D14EE"/>
    <w:rsid w:val="009D343D"/>
    <w:rsid w:val="009D4B97"/>
    <w:rsid w:val="009D4C04"/>
    <w:rsid w:val="009D4F52"/>
    <w:rsid w:val="009D637C"/>
    <w:rsid w:val="009D6391"/>
    <w:rsid w:val="009D7204"/>
    <w:rsid w:val="009E0EA2"/>
    <w:rsid w:val="009E1629"/>
    <w:rsid w:val="009E18B9"/>
    <w:rsid w:val="009E5382"/>
    <w:rsid w:val="009E5D4C"/>
    <w:rsid w:val="009E6267"/>
    <w:rsid w:val="009F0A0D"/>
    <w:rsid w:val="009F0E45"/>
    <w:rsid w:val="009F164E"/>
    <w:rsid w:val="009F1FC4"/>
    <w:rsid w:val="009F23CF"/>
    <w:rsid w:val="009F3314"/>
    <w:rsid w:val="009F35C9"/>
    <w:rsid w:val="009F37FD"/>
    <w:rsid w:val="009F3A17"/>
    <w:rsid w:val="009F515A"/>
    <w:rsid w:val="009F6CE1"/>
    <w:rsid w:val="00A0183B"/>
    <w:rsid w:val="00A03185"/>
    <w:rsid w:val="00A03643"/>
    <w:rsid w:val="00A03791"/>
    <w:rsid w:val="00A05A52"/>
    <w:rsid w:val="00A06846"/>
    <w:rsid w:val="00A104AF"/>
    <w:rsid w:val="00A11B57"/>
    <w:rsid w:val="00A11FC6"/>
    <w:rsid w:val="00A1427D"/>
    <w:rsid w:val="00A142F6"/>
    <w:rsid w:val="00A15881"/>
    <w:rsid w:val="00A169A2"/>
    <w:rsid w:val="00A16CA1"/>
    <w:rsid w:val="00A204BC"/>
    <w:rsid w:val="00A20FD7"/>
    <w:rsid w:val="00A21DA7"/>
    <w:rsid w:val="00A22B49"/>
    <w:rsid w:val="00A22FA9"/>
    <w:rsid w:val="00A244D4"/>
    <w:rsid w:val="00A25869"/>
    <w:rsid w:val="00A25B4D"/>
    <w:rsid w:val="00A25FE9"/>
    <w:rsid w:val="00A26FF2"/>
    <w:rsid w:val="00A31761"/>
    <w:rsid w:val="00A31BAF"/>
    <w:rsid w:val="00A31CBC"/>
    <w:rsid w:val="00A31E80"/>
    <w:rsid w:val="00A321D9"/>
    <w:rsid w:val="00A32CE2"/>
    <w:rsid w:val="00A32F43"/>
    <w:rsid w:val="00A35AE7"/>
    <w:rsid w:val="00A3724D"/>
    <w:rsid w:val="00A37723"/>
    <w:rsid w:val="00A379EA"/>
    <w:rsid w:val="00A37D4B"/>
    <w:rsid w:val="00A37DEA"/>
    <w:rsid w:val="00A408A4"/>
    <w:rsid w:val="00A40EB1"/>
    <w:rsid w:val="00A41428"/>
    <w:rsid w:val="00A41CFB"/>
    <w:rsid w:val="00A42D47"/>
    <w:rsid w:val="00A431D2"/>
    <w:rsid w:val="00A43A48"/>
    <w:rsid w:val="00A43E3F"/>
    <w:rsid w:val="00A45257"/>
    <w:rsid w:val="00A455A0"/>
    <w:rsid w:val="00A465A1"/>
    <w:rsid w:val="00A46F5C"/>
    <w:rsid w:val="00A50274"/>
    <w:rsid w:val="00A53082"/>
    <w:rsid w:val="00A53CDB"/>
    <w:rsid w:val="00A53FB9"/>
    <w:rsid w:val="00A55EF6"/>
    <w:rsid w:val="00A5739A"/>
    <w:rsid w:val="00A5795B"/>
    <w:rsid w:val="00A6034C"/>
    <w:rsid w:val="00A60C02"/>
    <w:rsid w:val="00A60D18"/>
    <w:rsid w:val="00A60F44"/>
    <w:rsid w:val="00A61742"/>
    <w:rsid w:val="00A62F8D"/>
    <w:rsid w:val="00A63585"/>
    <w:rsid w:val="00A64FB8"/>
    <w:rsid w:val="00A658F9"/>
    <w:rsid w:val="00A6603B"/>
    <w:rsid w:val="00A662FF"/>
    <w:rsid w:val="00A66553"/>
    <w:rsid w:val="00A66AB9"/>
    <w:rsid w:val="00A702AE"/>
    <w:rsid w:val="00A70556"/>
    <w:rsid w:val="00A72F22"/>
    <w:rsid w:val="00A74070"/>
    <w:rsid w:val="00A7438D"/>
    <w:rsid w:val="00A744E3"/>
    <w:rsid w:val="00A748A6"/>
    <w:rsid w:val="00A75A7E"/>
    <w:rsid w:val="00A76918"/>
    <w:rsid w:val="00A77B80"/>
    <w:rsid w:val="00A804A2"/>
    <w:rsid w:val="00A835E2"/>
    <w:rsid w:val="00A86197"/>
    <w:rsid w:val="00A86FC2"/>
    <w:rsid w:val="00A878F0"/>
    <w:rsid w:val="00A8794E"/>
    <w:rsid w:val="00A879A4"/>
    <w:rsid w:val="00A87B3D"/>
    <w:rsid w:val="00A87C04"/>
    <w:rsid w:val="00A90663"/>
    <w:rsid w:val="00A9097C"/>
    <w:rsid w:val="00A912F4"/>
    <w:rsid w:val="00A92FBE"/>
    <w:rsid w:val="00A942B0"/>
    <w:rsid w:val="00A94619"/>
    <w:rsid w:val="00A963DD"/>
    <w:rsid w:val="00A96C9B"/>
    <w:rsid w:val="00A97FAB"/>
    <w:rsid w:val="00AA002B"/>
    <w:rsid w:val="00AA0AF9"/>
    <w:rsid w:val="00AA32E8"/>
    <w:rsid w:val="00AA357A"/>
    <w:rsid w:val="00AA4A7F"/>
    <w:rsid w:val="00AA5B3F"/>
    <w:rsid w:val="00AA62F7"/>
    <w:rsid w:val="00AB022E"/>
    <w:rsid w:val="00AB086F"/>
    <w:rsid w:val="00AB0905"/>
    <w:rsid w:val="00AB0F8F"/>
    <w:rsid w:val="00AB260D"/>
    <w:rsid w:val="00AB2C49"/>
    <w:rsid w:val="00AB477C"/>
    <w:rsid w:val="00AB4808"/>
    <w:rsid w:val="00AB4B2C"/>
    <w:rsid w:val="00AB6588"/>
    <w:rsid w:val="00AB6922"/>
    <w:rsid w:val="00AB7982"/>
    <w:rsid w:val="00AC0508"/>
    <w:rsid w:val="00AC145F"/>
    <w:rsid w:val="00AC27F8"/>
    <w:rsid w:val="00AC295E"/>
    <w:rsid w:val="00AC2965"/>
    <w:rsid w:val="00AC3165"/>
    <w:rsid w:val="00AC4A03"/>
    <w:rsid w:val="00AC55C5"/>
    <w:rsid w:val="00AC58F5"/>
    <w:rsid w:val="00AC653A"/>
    <w:rsid w:val="00AC6D21"/>
    <w:rsid w:val="00AD0466"/>
    <w:rsid w:val="00AD1BEE"/>
    <w:rsid w:val="00AD1F79"/>
    <w:rsid w:val="00AD2924"/>
    <w:rsid w:val="00AD4172"/>
    <w:rsid w:val="00AD4BF8"/>
    <w:rsid w:val="00AD6B5E"/>
    <w:rsid w:val="00AD7EEC"/>
    <w:rsid w:val="00AE15D8"/>
    <w:rsid w:val="00AE16A4"/>
    <w:rsid w:val="00AE32F2"/>
    <w:rsid w:val="00AE38E8"/>
    <w:rsid w:val="00AE3EF6"/>
    <w:rsid w:val="00AE4312"/>
    <w:rsid w:val="00AE6F15"/>
    <w:rsid w:val="00AE7BBF"/>
    <w:rsid w:val="00AE7BD0"/>
    <w:rsid w:val="00AE7F33"/>
    <w:rsid w:val="00AF1808"/>
    <w:rsid w:val="00AF1B49"/>
    <w:rsid w:val="00AF222A"/>
    <w:rsid w:val="00AF2B13"/>
    <w:rsid w:val="00AF3AFD"/>
    <w:rsid w:val="00AF4F9A"/>
    <w:rsid w:val="00AF5635"/>
    <w:rsid w:val="00AF58AE"/>
    <w:rsid w:val="00AF78BA"/>
    <w:rsid w:val="00AF7B44"/>
    <w:rsid w:val="00B003A8"/>
    <w:rsid w:val="00B00B02"/>
    <w:rsid w:val="00B00E6B"/>
    <w:rsid w:val="00B04688"/>
    <w:rsid w:val="00B0547F"/>
    <w:rsid w:val="00B0594A"/>
    <w:rsid w:val="00B0600F"/>
    <w:rsid w:val="00B06361"/>
    <w:rsid w:val="00B06478"/>
    <w:rsid w:val="00B06936"/>
    <w:rsid w:val="00B10D91"/>
    <w:rsid w:val="00B1190D"/>
    <w:rsid w:val="00B11C6A"/>
    <w:rsid w:val="00B11C8C"/>
    <w:rsid w:val="00B11D0B"/>
    <w:rsid w:val="00B13C79"/>
    <w:rsid w:val="00B1403D"/>
    <w:rsid w:val="00B14F8C"/>
    <w:rsid w:val="00B150E1"/>
    <w:rsid w:val="00B15C60"/>
    <w:rsid w:val="00B1637E"/>
    <w:rsid w:val="00B16F78"/>
    <w:rsid w:val="00B17DCD"/>
    <w:rsid w:val="00B206CF"/>
    <w:rsid w:val="00B21D2A"/>
    <w:rsid w:val="00B22373"/>
    <w:rsid w:val="00B22BD2"/>
    <w:rsid w:val="00B239E3"/>
    <w:rsid w:val="00B23FC2"/>
    <w:rsid w:val="00B24BC4"/>
    <w:rsid w:val="00B24D1F"/>
    <w:rsid w:val="00B2562A"/>
    <w:rsid w:val="00B26334"/>
    <w:rsid w:val="00B26498"/>
    <w:rsid w:val="00B2729D"/>
    <w:rsid w:val="00B30179"/>
    <w:rsid w:val="00B308DD"/>
    <w:rsid w:val="00B30C3E"/>
    <w:rsid w:val="00B31864"/>
    <w:rsid w:val="00B31EA9"/>
    <w:rsid w:val="00B324E1"/>
    <w:rsid w:val="00B32813"/>
    <w:rsid w:val="00B332FA"/>
    <w:rsid w:val="00B33B6F"/>
    <w:rsid w:val="00B33EC0"/>
    <w:rsid w:val="00B34039"/>
    <w:rsid w:val="00B3568B"/>
    <w:rsid w:val="00B375CF"/>
    <w:rsid w:val="00B40005"/>
    <w:rsid w:val="00B403B0"/>
    <w:rsid w:val="00B41121"/>
    <w:rsid w:val="00B4257D"/>
    <w:rsid w:val="00B42C97"/>
    <w:rsid w:val="00B42D9E"/>
    <w:rsid w:val="00B452C4"/>
    <w:rsid w:val="00B46846"/>
    <w:rsid w:val="00B46FBC"/>
    <w:rsid w:val="00B500C3"/>
    <w:rsid w:val="00B50499"/>
    <w:rsid w:val="00B5125E"/>
    <w:rsid w:val="00B51B0E"/>
    <w:rsid w:val="00B51D08"/>
    <w:rsid w:val="00B5283F"/>
    <w:rsid w:val="00B53007"/>
    <w:rsid w:val="00B5354D"/>
    <w:rsid w:val="00B538A2"/>
    <w:rsid w:val="00B56954"/>
    <w:rsid w:val="00B56F82"/>
    <w:rsid w:val="00B5790B"/>
    <w:rsid w:val="00B6102A"/>
    <w:rsid w:val="00B61861"/>
    <w:rsid w:val="00B62C9E"/>
    <w:rsid w:val="00B6454A"/>
    <w:rsid w:val="00B648EA"/>
    <w:rsid w:val="00B64F69"/>
    <w:rsid w:val="00B65C13"/>
    <w:rsid w:val="00B65EA7"/>
    <w:rsid w:val="00B66245"/>
    <w:rsid w:val="00B707D5"/>
    <w:rsid w:val="00B72C54"/>
    <w:rsid w:val="00B72F6D"/>
    <w:rsid w:val="00B73706"/>
    <w:rsid w:val="00B7486A"/>
    <w:rsid w:val="00B75158"/>
    <w:rsid w:val="00B75786"/>
    <w:rsid w:val="00B76E49"/>
    <w:rsid w:val="00B775ED"/>
    <w:rsid w:val="00B806C3"/>
    <w:rsid w:val="00B819BF"/>
    <w:rsid w:val="00B81E12"/>
    <w:rsid w:val="00B82CE0"/>
    <w:rsid w:val="00B85591"/>
    <w:rsid w:val="00B855B4"/>
    <w:rsid w:val="00B85AFD"/>
    <w:rsid w:val="00B86396"/>
    <w:rsid w:val="00B87D38"/>
    <w:rsid w:val="00B900AA"/>
    <w:rsid w:val="00B912C5"/>
    <w:rsid w:val="00B912F7"/>
    <w:rsid w:val="00B91BD9"/>
    <w:rsid w:val="00B92DBD"/>
    <w:rsid w:val="00B950B8"/>
    <w:rsid w:val="00B95311"/>
    <w:rsid w:val="00B9594E"/>
    <w:rsid w:val="00B95B41"/>
    <w:rsid w:val="00B9706F"/>
    <w:rsid w:val="00B971F7"/>
    <w:rsid w:val="00B97BB2"/>
    <w:rsid w:val="00BA189A"/>
    <w:rsid w:val="00BA1FC5"/>
    <w:rsid w:val="00BA22B5"/>
    <w:rsid w:val="00BA4AAD"/>
    <w:rsid w:val="00BA5411"/>
    <w:rsid w:val="00BA5797"/>
    <w:rsid w:val="00BA7341"/>
    <w:rsid w:val="00BA7914"/>
    <w:rsid w:val="00BB00F2"/>
    <w:rsid w:val="00BB0BBC"/>
    <w:rsid w:val="00BB2FF0"/>
    <w:rsid w:val="00BB3965"/>
    <w:rsid w:val="00BB40D2"/>
    <w:rsid w:val="00BB5014"/>
    <w:rsid w:val="00BB62AD"/>
    <w:rsid w:val="00BB7C55"/>
    <w:rsid w:val="00BC0975"/>
    <w:rsid w:val="00BC0AFB"/>
    <w:rsid w:val="00BC28C9"/>
    <w:rsid w:val="00BC43B4"/>
    <w:rsid w:val="00BC4ADC"/>
    <w:rsid w:val="00BC70B2"/>
    <w:rsid w:val="00BC74E9"/>
    <w:rsid w:val="00BC787D"/>
    <w:rsid w:val="00BD1E80"/>
    <w:rsid w:val="00BD20DF"/>
    <w:rsid w:val="00BD2FDC"/>
    <w:rsid w:val="00BD5669"/>
    <w:rsid w:val="00BD6209"/>
    <w:rsid w:val="00BD67CC"/>
    <w:rsid w:val="00BD6AE4"/>
    <w:rsid w:val="00BD76D0"/>
    <w:rsid w:val="00BE0129"/>
    <w:rsid w:val="00BE1884"/>
    <w:rsid w:val="00BE2929"/>
    <w:rsid w:val="00BE2B06"/>
    <w:rsid w:val="00BE3C49"/>
    <w:rsid w:val="00BE4D96"/>
    <w:rsid w:val="00BE4E18"/>
    <w:rsid w:val="00BE4F74"/>
    <w:rsid w:val="00BE5A01"/>
    <w:rsid w:val="00BE5A58"/>
    <w:rsid w:val="00BE5A74"/>
    <w:rsid w:val="00BE5F38"/>
    <w:rsid w:val="00BE618E"/>
    <w:rsid w:val="00BE61FA"/>
    <w:rsid w:val="00BE6C05"/>
    <w:rsid w:val="00BE7795"/>
    <w:rsid w:val="00BF00C9"/>
    <w:rsid w:val="00BF0296"/>
    <w:rsid w:val="00BF0ADA"/>
    <w:rsid w:val="00BF22B2"/>
    <w:rsid w:val="00BF2AF2"/>
    <w:rsid w:val="00BF2AF3"/>
    <w:rsid w:val="00BF2EDC"/>
    <w:rsid w:val="00BF47AB"/>
    <w:rsid w:val="00BF4D8F"/>
    <w:rsid w:val="00BF54B4"/>
    <w:rsid w:val="00BF6B12"/>
    <w:rsid w:val="00BF72F3"/>
    <w:rsid w:val="00BF7BE5"/>
    <w:rsid w:val="00C00843"/>
    <w:rsid w:val="00C00911"/>
    <w:rsid w:val="00C009F6"/>
    <w:rsid w:val="00C0187E"/>
    <w:rsid w:val="00C02B78"/>
    <w:rsid w:val="00C037ED"/>
    <w:rsid w:val="00C03F01"/>
    <w:rsid w:val="00C0406A"/>
    <w:rsid w:val="00C0419A"/>
    <w:rsid w:val="00C05E2C"/>
    <w:rsid w:val="00C063A9"/>
    <w:rsid w:val="00C12A5B"/>
    <w:rsid w:val="00C141D9"/>
    <w:rsid w:val="00C142D2"/>
    <w:rsid w:val="00C1473D"/>
    <w:rsid w:val="00C17699"/>
    <w:rsid w:val="00C21554"/>
    <w:rsid w:val="00C2336F"/>
    <w:rsid w:val="00C234C8"/>
    <w:rsid w:val="00C23E7C"/>
    <w:rsid w:val="00C26226"/>
    <w:rsid w:val="00C278D8"/>
    <w:rsid w:val="00C3044E"/>
    <w:rsid w:val="00C30D4F"/>
    <w:rsid w:val="00C31707"/>
    <w:rsid w:val="00C319C1"/>
    <w:rsid w:val="00C31B1B"/>
    <w:rsid w:val="00C32BE6"/>
    <w:rsid w:val="00C32FC9"/>
    <w:rsid w:val="00C342CD"/>
    <w:rsid w:val="00C35082"/>
    <w:rsid w:val="00C35150"/>
    <w:rsid w:val="00C35B3B"/>
    <w:rsid w:val="00C367F8"/>
    <w:rsid w:val="00C36EE8"/>
    <w:rsid w:val="00C3794D"/>
    <w:rsid w:val="00C405B6"/>
    <w:rsid w:val="00C40BC7"/>
    <w:rsid w:val="00C40C03"/>
    <w:rsid w:val="00C411C6"/>
    <w:rsid w:val="00C41F1B"/>
    <w:rsid w:val="00C42998"/>
    <w:rsid w:val="00C44804"/>
    <w:rsid w:val="00C4539D"/>
    <w:rsid w:val="00C45731"/>
    <w:rsid w:val="00C4630B"/>
    <w:rsid w:val="00C463DD"/>
    <w:rsid w:val="00C4645B"/>
    <w:rsid w:val="00C46847"/>
    <w:rsid w:val="00C508D9"/>
    <w:rsid w:val="00C510BE"/>
    <w:rsid w:val="00C5226E"/>
    <w:rsid w:val="00C53F92"/>
    <w:rsid w:val="00C54258"/>
    <w:rsid w:val="00C561A5"/>
    <w:rsid w:val="00C56420"/>
    <w:rsid w:val="00C56E54"/>
    <w:rsid w:val="00C57283"/>
    <w:rsid w:val="00C57DE5"/>
    <w:rsid w:val="00C62D29"/>
    <w:rsid w:val="00C6448A"/>
    <w:rsid w:val="00C64602"/>
    <w:rsid w:val="00C64BAA"/>
    <w:rsid w:val="00C65007"/>
    <w:rsid w:val="00C664DC"/>
    <w:rsid w:val="00C70182"/>
    <w:rsid w:val="00C70690"/>
    <w:rsid w:val="00C71F0A"/>
    <w:rsid w:val="00C72760"/>
    <w:rsid w:val="00C7320F"/>
    <w:rsid w:val="00C73ECE"/>
    <w:rsid w:val="00C745C3"/>
    <w:rsid w:val="00C7579C"/>
    <w:rsid w:val="00C7777E"/>
    <w:rsid w:val="00C8233F"/>
    <w:rsid w:val="00C82AE2"/>
    <w:rsid w:val="00C830C8"/>
    <w:rsid w:val="00C8320F"/>
    <w:rsid w:val="00C87739"/>
    <w:rsid w:val="00C90460"/>
    <w:rsid w:val="00C91B17"/>
    <w:rsid w:val="00C92C05"/>
    <w:rsid w:val="00C92E47"/>
    <w:rsid w:val="00C93A61"/>
    <w:rsid w:val="00C94644"/>
    <w:rsid w:val="00C95010"/>
    <w:rsid w:val="00C965E7"/>
    <w:rsid w:val="00C97BC9"/>
    <w:rsid w:val="00CA0540"/>
    <w:rsid w:val="00CA0D49"/>
    <w:rsid w:val="00CA13D1"/>
    <w:rsid w:val="00CA1777"/>
    <w:rsid w:val="00CA4776"/>
    <w:rsid w:val="00CA51F7"/>
    <w:rsid w:val="00CA5F98"/>
    <w:rsid w:val="00CA60F3"/>
    <w:rsid w:val="00CA61F9"/>
    <w:rsid w:val="00CA6214"/>
    <w:rsid w:val="00CA67EE"/>
    <w:rsid w:val="00CB0080"/>
    <w:rsid w:val="00CB0EE4"/>
    <w:rsid w:val="00CB1153"/>
    <w:rsid w:val="00CB33B3"/>
    <w:rsid w:val="00CB54C5"/>
    <w:rsid w:val="00CB5F3E"/>
    <w:rsid w:val="00CB657C"/>
    <w:rsid w:val="00CC0367"/>
    <w:rsid w:val="00CC08ED"/>
    <w:rsid w:val="00CC0C42"/>
    <w:rsid w:val="00CC24D5"/>
    <w:rsid w:val="00CC51B9"/>
    <w:rsid w:val="00CC5FB5"/>
    <w:rsid w:val="00CC6F1A"/>
    <w:rsid w:val="00CC7B96"/>
    <w:rsid w:val="00CD0072"/>
    <w:rsid w:val="00CD2D5B"/>
    <w:rsid w:val="00CD3267"/>
    <w:rsid w:val="00CD4047"/>
    <w:rsid w:val="00CD45B3"/>
    <w:rsid w:val="00CD47FA"/>
    <w:rsid w:val="00CD5B1E"/>
    <w:rsid w:val="00CD678D"/>
    <w:rsid w:val="00CD67BD"/>
    <w:rsid w:val="00CD6CED"/>
    <w:rsid w:val="00CE0BDB"/>
    <w:rsid w:val="00CE2A00"/>
    <w:rsid w:val="00CE2B1E"/>
    <w:rsid w:val="00CE2D36"/>
    <w:rsid w:val="00CE48AB"/>
    <w:rsid w:val="00CE4A8F"/>
    <w:rsid w:val="00CE50B9"/>
    <w:rsid w:val="00CE52A3"/>
    <w:rsid w:val="00CE7F39"/>
    <w:rsid w:val="00CF0C0A"/>
    <w:rsid w:val="00CF22A4"/>
    <w:rsid w:val="00CF344A"/>
    <w:rsid w:val="00CF367B"/>
    <w:rsid w:val="00CF3C8B"/>
    <w:rsid w:val="00CF3EC8"/>
    <w:rsid w:val="00CF5263"/>
    <w:rsid w:val="00CF546A"/>
    <w:rsid w:val="00D00DF0"/>
    <w:rsid w:val="00D045C7"/>
    <w:rsid w:val="00D04A89"/>
    <w:rsid w:val="00D07232"/>
    <w:rsid w:val="00D07B0F"/>
    <w:rsid w:val="00D10749"/>
    <w:rsid w:val="00D1099A"/>
    <w:rsid w:val="00D11703"/>
    <w:rsid w:val="00D11E42"/>
    <w:rsid w:val="00D12C0E"/>
    <w:rsid w:val="00D137DB"/>
    <w:rsid w:val="00D14B26"/>
    <w:rsid w:val="00D158B1"/>
    <w:rsid w:val="00D15C5A"/>
    <w:rsid w:val="00D168F6"/>
    <w:rsid w:val="00D16E94"/>
    <w:rsid w:val="00D17DB1"/>
    <w:rsid w:val="00D2031B"/>
    <w:rsid w:val="00D221CD"/>
    <w:rsid w:val="00D23242"/>
    <w:rsid w:val="00D24B2D"/>
    <w:rsid w:val="00D25155"/>
    <w:rsid w:val="00D2553D"/>
    <w:rsid w:val="00D25A05"/>
    <w:rsid w:val="00D25FE2"/>
    <w:rsid w:val="00D26969"/>
    <w:rsid w:val="00D274CC"/>
    <w:rsid w:val="00D30A5F"/>
    <w:rsid w:val="00D30DAC"/>
    <w:rsid w:val="00D317BB"/>
    <w:rsid w:val="00D31D12"/>
    <w:rsid w:val="00D330A1"/>
    <w:rsid w:val="00D336E6"/>
    <w:rsid w:val="00D337B8"/>
    <w:rsid w:val="00D34DD0"/>
    <w:rsid w:val="00D350C8"/>
    <w:rsid w:val="00D352BD"/>
    <w:rsid w:val="00D37DD2"/>
    <w:rsid w:val="00D37F08"/>
    <w:rsid w:val="00D43055"/>
    <w:rsid w:val="00D43252"/>
    <w:rsid w:val="00D46314"/>
    <w:rsid w:val="00D46719"/>
    <w:rsid w:val="00D46F1C"/>
    <w:rsid w:val="00D4723C"/>
    <w:rsid w:val="00D50265"/>
    <w:rsid w:val="00D5124A"/>
    <w:rsid w:val="00D5199A"/>
    <w:rsid w:val="00D51F5D"/>
    <w:rsid w:val="00D520F7"/>
    <w:rsid w:val="00D52851"/>
    <w:rsid w:val="00D53D51"/>
    <w:rsid w:val="00D56546"/>
    <w:rsid w:val="00D56CEB"/>
    <w:rsid w:val="00D5705E"/>
    <w:rsid w:val="00D57097"/>
    <w:rsid w:val="00D57DF3"/>
    <w:rsid w:val="00D600D2"/>
    <w:rsid w:val="00D6269A"/>
    <w:rsid w:val="00D645E0"/>
    <w:rsid w:val="00D665CA"/>
    <w:rsid w:val="00D67D50"/>
    <w:rsid w:val="00D7112B"/>
    <w:rsid w:val="00D72B40"/>
    <w:rsid w:val="00D73125"/>
    <w:rsid w:val="00D735D6"/>
    <w:rsid w:val="00D754E9"/>
    <w:rsid w:val="00D75695"/>
    <w:rsid w:val="00D759FC"/>
    <w:rsid w:val="00D760E4"/>
    <w:rsid w:val="00D76143"/>
    <w:rsid w:val="00D761F6"/>
    <w:rsid w:val="00D76617"/>
    <w:rsid w:val="00D776F4"/>
    <w:rsid w:val="00D77752"/>
    <w:rsid w:val="00D77E83"/>
    <w:rsid w:val="00D806C5"/>
    <w:rsid w:val="00D82056"/>
    <w:rsid w:val="00D845D4"/>
    <w:rsid w:val="00D87185"/>
    <w:rsid w:val="00D911B9"/>
    <w:rsid w:val="00D913D7"/>
    <w:rsid w:val="00D93119"/>
    <w:rsid w:val="00D94AAC"/>
    <w:rsid w:val="00D94CA1"/>
    <w:rsid w:val="00D958B9"/>
    <w:rsid w:val="00D978C6"/>
    <w:rsid w:val="00DA008E"/>
    <w:rsid w:val="00DA1D5C"/>
    <w:rsid w:val="00DA2373"/>
    <w:rsid w:val="00DA2C1D"/>
    <w:rsid w:val="00DA4D52"/>
    <w:rsid w:val="00DA4DB1"/>
    <w:rsid w:val="00DA528E"/>
    <w:rsid w:val="00DA67AD"/>
    <w:rsid w:val="00DA7891"/>
    <w:rsid w:val="00DB0646"/>
    <w:rsid w:val="00DB0EA5"/>
    <w:rsid w:val="00DB2139"/>
    <w:rsid w:val="00DB2873"/>
    <w:rsid w:val="00DB2D2C"/>
    <w:rsid w:val="00DB5AD9"/>
    <w:rsid w:val="00DB5D0F"/>
    <w:rsid w:val="00DB73BD"/>
    <w:rsid w:val="00DC42ED"/>
    <w:rsid w:val="00DC45BE"/>
    <w:rsid w:val="00DC48DF"/>
    <w:rsid w:val="00DC5554"/>
    <w:rsid w:val="00DC561C"/>
    <w:rsid w:val="00DC5F89"/>
    <w:rsid w:val="00DC637B"/>
    <w:rsid w:val="00DC6E5F"/>
    <w:rsid w:val="00DC7FBA"/>
    <w:rsid w:val="00DD1D3E"/>
    <w:rsid w:val="00DD1DA4"/>
    <w:rsid w:val="00DE0374"/>
    <w:rsid w:val="00DE10B0"/>
    <w:rsid w:val="00DE129C"/>
    <w:rsid w:val="00DE2D2D"/>
    <w:rsid w:val="00DE310D"/>
    <w:rsid w:val="00DE39E3"/>
    <w:rsid w:val="00DE4D49"/>
    <w:rsid w:val="00DE7010"/>
    <w:rsid w:val="00DE7459"/>
    <w:rsid w:val="00DF0F82"/>
    <w:rsid w:val="00DF12F7"/>
    <w:rsid w:val="00DF15D2"/>
    <w:rsid w:val="00DF3CFF"/>
    <w:rsid w:val="00DF4373"/>
    <w:rsid w:val="00DF67E4"/>
    <w:rsid w:val="00DF6BA8"/>
    <w:rsid w:val="00DF6D2B"/>
    <w:rsid w:val="00E022F6"/>
    <w:rsid w:val="00E02C81"/>
    <w:rsid w:val="00E03775"/>
    <w:rsid w:val="00E04622"/>
    <w:rsid w:val="00E048BD"/>
    <w:rsid w:val="00E05A0D"/>
    <w:rsid w:val="00E1051C"/>
    <w:rsid w:val="00E1062F"/>
    <w:rsid w:val="00E11310"/>
    <w:rsid w:val="00E119C2"/>
    <w:rsid w:val="00E11F8A"/>
    <w:rsid w:val="00E130AB"/>
    <w:rsid w:val="00E13438"/>
    <w:rsid w:val="00E13AEE"/>
    <w:rsid w:val="00E14641"/>
    <w:rsid w:val="00E14B65"/>
    <w:rsid w:val="00E1514B"/>
    <w:rsid w:val="00E15DDE"/>
    <w:rsid w:val="00E15EFB"/>
    <w:rsid w:val="00E1614B"/>
    <w:rsid w:val="00E1664D"/>
    <w:rsid w:val="00E1691A"/>
    <w:rsid w:val="00E16C6B"/>
    <w:rsid w:val="00E2005A"/>
    <w:rsid w:val="00E21A5E"/>
    <w:rsid w:val="00E22782"/>
    <w:rsid w:val="00E22F65"/>
    <w:rsid w:val="00E23026"/>
    <w:rsid w:val="00E23A9D"/>
    <w:rsid w:val="00E24DD9"/>
    <w:rsid w:val="00E263A0"/>
    <w:rsid w:val="00E265E1"/>
    <w:rsid w:val="00E27B62"/>
    <w:rsid w:val="00E27D84"/>
    <w:rsid w:val="00E27ECC"/>
    <w:rsid w:val="00E30629"/>
    <w:rsid w:val="00E31E84"/>
    <w:rsid w:val="00E33671"/>
    <w:rsid w:val="00E34B6C"/>
    <w:rsid w:val="00E3517E"/>
    <w:rsid w:val="00E35BE6"/>
    <w:rsid w:val="00E3674E"/>
    <w:rsid w:val="00E36D66"/>
    <w:rsid w:val="00E37529"/>
    <w:rsid w:val="00E409B2"/>
    <w:rsid w:val="00E40C90"/>
    <w:rsid w:val="00E411A1"/>
    <w:rsid w:val="00E4258D"/>
    <w:rsid w:val="00E43CD0"/>
    <w:rsid w:val="00E43DCB"/>
    <w:rsid w:val="00E43F08"/>
    <w:rsid w:val="00E4449E"/>
    <w:rsid w:val="00E44965"/>
    <w:rsid w:val="00E44A68"/>
    <w:rsid w:val="00E46561"/>
    <w:rsid w:val="00E47739"/>
    <w:rsid w:val="00E5026E"/>
    <w:rsid w:val="00E5053D"/>
    <w:rsid w:val="00E505F1"/>
    <w:rsid w:val="00E51BFF"/>
    <w:rsid w:val="00E52AF3"/>
    <w:rsid w:val="00E53066"/>
    <w:rsid w:val="00E53092"/>
    <w:rsid w:val="00E539EA"/>
    <w:rsid w:val="00E54B5A"/>
    <w:rsid w:val="00E554CD"/>
    <w:rsid w:val="00E56F5D"/>
    <w:rsid w:val="00E57468"/>
    <w:rsid w:val="00E57F13"/>
    <w:rsid w:val="00E60DDA"/>
    <w:rsid w:val="00E63618"/>
    <w:rsid w:val="00E6385E"/>
    <w:rsid w:val="00E6456B"/>
    <w:rsid w:val="00E65345"/>
    <w:rsid w:val="00E65480"/>
    <w:rsid w:val="00E66058"/>
    <w:rsid w:val="00E660D5"/>
    <w:rsid w:val="00E67DAC"/>
    <w:rsid w:val="00E70D30"/>
    <w:rsid w:val="00E71C2A"/>
    <w:rsid w:val="00E71FD4"/>
    <w:rsid w:val="00E7260F"/>
    <w:rsid w:val="00E73931"/>
    <w:rsid w:val="00E73937"/>
    <w:rsid w:val="00E74249"/>
    <w:rsid w:val="00E75192"/>
    <w:rsid w:val="00E77AEF"/>
    <w:rsid w:val="00E8164C"/>
    <w:rsid w:val="00E8292D"/>
    <w:rsid w:val="00E82989"/>
    <w:rsid w:val="00E84AB6"/>
    <w:rsid w:val="00E8559C"/>
    <w:rsid w:val="00E8769B"/>
    <w:rsid w:val="00E87921"/>
    <w:rsid w:val="00E9031A"/>
    <w:rsid w:val="00E90D13"/>
    <w:rsid w:val="00E91623"/>
    <w:rsid w:val="00E92F20"/>
    <w:rsid w:val="00E939ED"/>
    <w:rsid w:val="00E93B35"/>
    <w:rsid w:val="00E95490"/>
    <w:rsid w:val="00E95EC6"/>
    <w:rsid w:val="00E96437"/>
    <w:rsid w:val="00E96630"/>
    <w:rsid w:val="00EA1358"/>
    <w:rsid w:val="00EA173D"/>
    <w:rsid w:val="00EA1D53"/>
    <w:rsid w:val="00EA2D09"/>
    <w:rsid w:val="00EA3651"/>
    <w:rsid w:val="00EA3BD6"/>
    <w:rsid w:val="00EA4988"/>
    <w:rsid w:val="00EA73F7"/>
    <w:rsid w:val="00EA78F4"/>
    <w:rsid w:val="00EA7FD9"/>
    <w:rsid w:val="00EB00B0"/>
    <w:rsid w:val="00EB1753"/>
    <w:rsid w:val="00EB1816"/>
    <w:rsid w:val="00EB1AE3"/>
    <w:rsid w:val="00EB1E81"/>
    <w:rsid w:val="00EB240D"/>
    <w:rsid w:val="00EB277E"/>
    <w:rsid w:val="00EB38D0"/>
    <w:rsid w:val="00EB5581"/>
    <w:rsid w:val="00EB7673"/>
    <w:rsid w:val="00EC093D"/>
    <w:rsid w:val="00EC0B36"/>
    <w:rsid w:val="00EC23D5"/>
    <w:rsid w:val="00EC29B0"/>
    <w:rsid w:val="00EC3047"/>
    <w:rsid w:val="00EC378D"/>
    <w:rsid w:val="00EC38EE"/>
    <w:rsid w:val="00EC419D"/>
    <w:rsid w:val="00EC784D"/>
    <w:rsid w:val="00ED29F2"/>
    <w:rsid w:val="00ED3124"/>
    <w:rsid w:val="00ED32D9"/>
    <w:rsid w:val="00ED46C5"/>
    <w:rsid w:val="00ED4ACE"/>
    <w:rsid w:val="00ED58E2"/>
    <w:rsid w:val="00ED7A2A"/>
    <w:rsid w:val="00ED7CF3"/>
    <w:rsid w:val="00EE2694"/>
    <w:rsid w:val="00EE6CC0"/>
    <w:rsid w:val="00EE7508"/>
    <w:rsid w:val="00EF073F"/>
    <w:rsid w:val="00EF0EC1"/>
    <w:rsid w:val="00EF1973"/>
    <w:rsid w:val="00EF1D7F"/>
    <w:rsid w:val="00EF2BC1"/>
    <w:rsid w:val="00EF4F23"/>
    <w:rsid w:val="00EF5465"/>
    <w:rsid w:val="00EF6C12"/>
    <w:rsid w:val="00EF7176"/>
    <w:rsid w:val="00EF7601"/>
    <w:rsid w:val="00EF7EBF"/>
    <w:rsid w:val="00EF7F30"/>
    <w:rsid w:val="00F01037"/>
    <w:rsid w:val="00F012A9"/>
    <w:rsid w:val="00F027BD"/>
    <w:rsid w:val="00F0377D"/>
    <w:rsid w:val="00F04276"/>
    <w:rsid w:val="00F05B28"/>
    <w:rsid w:val="00F0697A"/>
    <w:rsid w:val="00F10304"/>
    <w:rsid w:val="00F10FC0"/>
    <w:rsid w:val="00F116D8"/>
    <w:rsid w:val="00F122D4"/>
    <w:rsid w:val="00F123DB"/>
    <w:rsid w:val="00F134A7"/>
    <w:rsid w:val="00F13DF1"/>
    <w:rsid w:val="00F13FEB"/>
    <w:rsid w:val="00F1409F"/>
    <w:rsid w:val="00F158A5"/>
    <w:rsid w:val="00F15BDC"/>
    <w:rsid w:val="00F164AC"/>
    <w:rsid w:val="00F16A20"/>
    <w:rsid w:val="00F17585"/>
    <w:rsid w:val="00F20223"/>
    <w:rsid w:val="00F21581"/>
    <w:rsid w:val="00F21961"/>
    <w:rsid w:val="00F246A6"/>
    <w:rsid w:val="00F25FC6"/>
    <w:rsid w:val="00F26352"/>
    <w:rsid w:val="00F27174"/>
    <w:rsid w:val="00F27EE7"/>
    <w:rsid w:val="00F30950"/>
    <w:rsid w:val="00F31E85"/>
    <w:rsid w:val="00F32ADB"/>
    <w:rsid w:val="00F33CBD"/>
    <w:rsid w:val="00F351AA"/>
    <w:rsid w:val="00F373A2"/>
    <w:rsid w:val="00F37B45"/>
    <w:rsid w:val="00F37DF2"/>
    <w:rsid w:val="00F406E1"/>
    <w:rsid w:val="00F41303"/>
    <w:rsid w:val="00F41445"/>
    <w:rsid w:val="00F439A9"/>
    <w:rsid w:val="00F445FB"/>
    <w:rsid w:val="00F44B4D"/>
    <w:rsid w:val="00F472FC"/>
    <w:rsid w:val="00F4739F"/>
    <w:rsid w:val="00F47554"/>
    <w:rsid w:val="00F53EDA"/>
    <w:rsid w:val="00F5563D"/>
    <w:rsid w:val="00F560C0"/>
    <w:rsid w:val="00F576B7"/>
    <w:rsid w:val="00F617AB"/>
    <w:rsid w:val="00F62A51"/>
    <w:rsid w:val="00F657FB"/>
    <w:rsid w:val="00F65A71"/>
    <w:rsid w:val="00F65B09"/>
    <w:rsid w:val="00F666D0"/>
    <w:rsid w:val="00F66763"/>
    <w:rsid w:val="00F66C9D"/>
    <w:rsid w:val="00F70D30"/>
    <w:rsid w:val="00F7141A"/>
    <w:rsid w:val="00F715ED"/>
    <w:rsid w:val="00F7267E"/>
    <w:rsid w:val="00F73725"/>
    <w:rsid w:val="00F73E61"/>
    <w:rsid w:val="00F75096"/>
    <w:rsid w:val="00F76075"/>
    <w:rsid w:val="00F76845"/>
    <w:rsid w:val="00F768C6"/>
    <w:rsid w:val="00F76E3F"/>
    <w:rsid w:val="00F7753D"/>
    <w:rsid w:val="00F77547"/>
    <w:rsid w:val="00F8029C"/>
    <w:rsid w:val="00F81FA9"/>
    <w:rsid w:val="00F831D4"/>
    <w:rsid w:val="00F85F34"/>
    <w:rsid w:val="00F85F85"/>
    <w:rsid w:val="00F875E2"/>
    <w:rsid w:val="00F906FA"/>
    <w:rsid w:val="00F9095B"/>
    <w:rsid w:val="00F92DE7"/>
    <w:rsid w:val="00F9387E"/>
    <w:rsid w:val="00F94D48"/>
    <w:rsid w:val="00F94E42"/>
    <w:rsid w:val="00F97C87"/>
    <w:rsid w:val="00FA06F7"/>
    <w:rsid w:val="00FA0850"/>
    <w:rsid w:val="00FA1124"/>
    <w:rsid w:val="00FA16E3"/>
    <w:rsid w:val="00FA1CE4"/>
    <w:rsid w:val="00FA35D9"/>
    <w:rsid w:val="00FA3F43"/>
    <w:rsid w:val="00FA4D0F"/>
    <w:rsid w:val="00FA6D59"/>
    <w:rsid w:val="00FB1128"/>
    <w:rsid w:val="00FB171A"/>
    <w:rsid w:val="00FB19B0"/>
    <w:rsid w:val="00FB3817"/>
    <w:rsid w:val="00FB7F07"/>
    <w:rsid w:val="00FC0924"/>
    <w:rsid w:val="00FC17A1"/>
    <w:rsid w:val="00FC197F"/>
    <w:rsid w:val="00FC1D38"/>
    <w:rsid w:val="00FC29B6"/>
    <w:rsid w:val="00FC3799"/>
    <w:rsid w:val="00FC47EC"/>
    <w:rsid w:val="00FC53F9"/>
    <w:rsid w:val="00FC56F2"/>
    <w:rsid w:val="00FC5B51"/>
    <w:rsid w:val="00FC68B7"/>
    <w:rsid w:val="00FD04FE"/>
    <w:rsid w:val="00FD0DA2"/>
    <w:rsid w:val="00FD22E6"/>
    <w:rsid w:val="00FD3943"/>
    <w:rsid w:val="00FD4479"/>
    <w:rsid w:val="00FD52D4"/>
    <w:rsid w:val="00FD5AFE"/>
    <w:rsid w:val="00FD7883"/>
    <w:rsid w:val="00FD7BAA"/>
    <w:rsid w:val="00FD7BF6"/>
    <w:rsid w:val="00FE0CE1"/>
    <w:rsid w:val="00FE1897"/>
    <w:rsid w:val="00FE2B81"/>
    <w:rsid w:val="00FE3733"/>
    <w:rsid w:val="00FE3FC3"/>
    <w:rsid w:val="00FE4FFF"/>
    <w:rsid w:val="00FE5694"/>
    <w:rsid w:val="00FE6693"/>
    <w:rsid w:val="00FE6C75"/>
    <w:rsid w:val="00FE76CD"/>
    <w:rsid w:val="00FF100B"/>
    <w:rsid w:val="00FF5141"/>
    <w:rsid w:val="00FF7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C7BFD"/>
  <w15:docId w15:val="{A4DCED9F-9890-414E-B613-A30E7E35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5258BB"/>
    <w:pPr>
      <w:suppressAutoHyphens/>
      <w:spacing w:line="240" w:lineRule="atLeast"/>
    </w:pPr>
    <w:rPr>
      <w:lang w:val="cs-CZ" w:eastAsia="en-US"/>
    </w:rPr>
  </w:style>
  <w:style w:type="paragraph" w:styleId="Nadpis1">
    <w:name w:val="heading 1"/>
    <w:aliases w:val="Table_G"/>
    <w:basedOn w:val="SingleTxtG"/>
    <w:next w:val="SingleTxtG"/>
    <w:link w:val="Nadpis1Char"/>
    <w:qFormat/>
    <w:rsid w:val="00503228"/>
    <w:pPr>
      <w:spacing w:after="0" w:line="240" w:lineRule="auto"/>
      <w:ind w:right="0"/>
      <w:jc w:val="left"/>
      <w:outlineLvl w:val="0"/>
    </w:pPr>
  </w:style>
  <w:style w:type="paragraph" w:styleId="Nadpis2">
    <w:name w:val="heading 2"/>
    <w:basedOn w:val="Normln"/>
    <w:next w:val="Normln"/>
    <w:semiHidden/>
    <w:qFormat/>
    <w:rsid w:val="00503228"/>
    <w:pPr>
      <w:spacing w:line="240" w:lineRule="auto"/>
      <w:outlineLvl w:val="1"/>
    </w:pPr>
  </w:style>
  <w:style w:type="paragraph" w:styleId="Nadpis3">
    <w:name w:val="heading 3"/>
    <w:basedOn w:val="Normln"/>
    <w:next w:val="Normln"/>
    <w:link w:val="Nadpis3Char"/>
    <w:semiHidden/>
    <w:qFormat/>
    <w:rsid w:val="00503228"/>
    <w:pPr>
      <w:spacing w:line="240" w:lineRule="auto"/>
      <w:outlineLvl w:val="2"/>
    </w:pPr>
  </w:style>
  <w:style w:type="paragraph" w:styleId="Nadpis4">
    <w:name w:val="heading 4"/>
    <w:basedOn w:val="Normln"/>
    <w:next w:val="Normln"/>
    <w:semiHidden/>
    <w:qFormat/>
    <w:rsid w:val="00503228"/>
    <w:pPr>
      <w:spacing w:line="240" w:lineRule="auto"/>
      <w:outlineLvl w:val="3"/>
    </w:pPr>
  </w:style>
  <w:style w:type="paragraph" w:styleId="Nadpis5">
    <w:name w:val="heading 5"/>
    <w:basedOn w:val="Normln"/>
    <w:next w:val="Normln"/>
    <w:semiHidden/>
    <w:qFormat/>
    <w:rsid w:val="00503228"/>
    <w:pPr>
      <w:spacing w:line="240" w:lineRule="auto"/>
      <w:outlineLvl w:val="4"/>
    </w:pPr>
  </w:style>
  <w:style w:type="paragraph" w:styleId="Nadpis6">
    <w:name w:val="heading 6"/>
    <w:basedOn w:val="Normln"/>
    <w:next w:val="Normln"/>
    <w:semiHidden/>
    <w:qFormat/>
    <w:rsid w:val="00503228"/>
    <w:pPr>
      <w:spacing w:line="240" w:lineRule="auto"/>
      <w:outlineLvl w:val="5"/>
    </w:pPr>
  </w:style>
  <w:style w:type="paragraph" w:styleId="Nadpis7">
    <w:name w:val="heading 7"/>
    <w:basedOn w:val="Normln"/>
    <w:next w:val="Normln"/>
    <w:semiHidden/>
    <w:qFormat/>
    <w:rsid w:val="00503228"/>
    <w:pPr>
      <w:spacing w:line="240" w:lineRule="auto"/>
      <w:outlineLvl w:val="6"/>
    </w:pPr>
  </w:style>
  <w:style w:type="paragraph" w:styleId="Nadpis8">
    <w:name w:val="heading 8"/>
    <w:basedOn w:val="Normln"/>
    <w:next w:val="Normln"/>
    <w:semiHidden/>
    <w:qFormat/>
    <w:rsid w:val="00503228"/>
    <w:pPr>
      <w:spacing w:line="240" w:lineRule="auto"/>
      <w:outlineLvl w:val="7"/>
    </w:pPr>
  </w:style>
  <w:style w:type="paragraph" w:styleId="Nadpis9">
    <w:name w:val="heading 9"/>
    <w:basedOn w:val="Normln"/>
    <w:next w:val="Normln"/>
    <w:semiHidden/>
    <w:qFormat/>
    <w:rsid w:val="00503228"/>
    <w:pPr>
      <w:spacing w:line="240" w:lineRule="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ingleTxtG">
    <w:name w:val="_ Single Txt_G"/>
    <w:basedOn w:val="Normln"/>
    <w:qFormat/>
    <w:rsid w:val="00503228"/>
    <w:pPr>
      <w:spacing w:after="120"/>
      <w:ind w:left="1134" w:right="1134"/>
      <w:jc w:val="both"/>
    </w:pPr>
  </w:style>
  <w:style w:type="paragraph" w:customStyle="1" w:styleId="HMG">
    <w:name w:val="_ H __M_G"/>
    <w:basedOn w:val="Normln"/>
    <w:next w:val="Normln"/>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qFormat/>
    <w:rsid w:val="00503228"/>
    <w:pPr>
      <w:keepNext/>
      <w:keepLines/>
      <w:tabs>
        <w:tab w:val="right" w:pos="851"/>
      </w:tabs>
      <w:spacing w:before="360" w:after="240" w:line="300" w:lineRule="exact"/>
      <w:ind w:left="1134" w:right="1134" w:hanging="1134"/>
    </w:pPr>
    <w:rPr>
      <w:b/>
      <w:sz w:val="28"/>
    </w:rPr>
  </w:style>
  <w:style w:type="character" w:styleId="Znakapoznpodarou">
    <w:name w:val="footnote reference"/>
    <w:aliases w:val="4_G,4_G Char Char,Footnote Reference1 Char Char,Footnotes refss Char Char,ftref Char Char,BVI fnr Char Char,BVI fnr Car Car Char Char,BVI fnr Car Char Char,BVI fnr Car Car Car Car Char Char1,BVI fnr Char Car Car Car Char Char"/>
    <w:basedOn w:val="Standardnpsmoodstavce"/>
    <w:link w:val="4GChar"/>
    <w:qFormat/>
    <w:rsid w:val="00503228"/>
    <w:rPr>
      <w:rFonts w:ascii="Times New Roman" w:hAnsi="Times New Roman"/>
      <w:sz w:val="18"/>
      <w:vertAlign w:val="superscript"/>
    </w:rPr>
  </w:style>
  <w:style w:type="character" w:styleId="Odkaznavysvtlivky">
    <w:name w:val="endnote reference"/>
    <w:aliases w:val="1_G"/>
    <w:basedOn w:val="Znakapoznpodarou"/>
    <w:qFormat/>
    <w:rsid w:val="00503228"/>
    <w:rPr>
      <w:rFonts w:ascii="Times New Roman" w:hAnsi="Times New Roman"/>
      <w:sz w:val="18"/>
      <w:vertAlign w:val="superscript"/>
    </w:rPr>
  </w:style>
  <w:style w:type="paragraph" w:styleId="Zhlav">
    <w:name w:val="header"/>
    <w:aliases w:val="6_G"/>
    <w:basedOn w:val="Normln"/>
    <w:qFormat/>
    <w:rsid w:val="00503228"/>
    <w:pPr>
      <w:pBdr>
        <w:bottom w:val="single" w:sz="4" w:space="4" w:color="auto"/>
      </w:pBdr>
      <w:spacing w:line="240" w:lineRule="auto"/>
    </w:pPr>
    <w:rPr>
      <w:b/>
      <w:sz w:val="18"/>
    </w:rPr>
  </w:style>
  <w:style w:type="table" w:styleId="Mkatabulky">
    <w:name w:val="Table Grid"/>
    <w:basedOn w:val="Normlntabulka"/>
    <w:uiPriority w:val="59"/>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textovodkaz">
    <w:name w:val="Hyperlink"/>
    <w:basedOn w:val="Standardnpsmoodstavce"/>
    <w:semiHidden/>
    <w:rsid w:val="00DC5F89"/>
    <w:rPr>
      <w:color w:val="auto"/>
      <w:u w:val="none"/>
    </w:rPr>
  </w:style>
  <w:style w:type="character" w:styleId="Sledovanodkaz">
    <w:name w:val="FollowedHyperlink"/>
    <w:basedOn w:val="Standardnpsmoodstavce"/>
    <w:semiHidden/>
    <w:rsid w:val="00DC5F89"/>
    <w:rPr>
      <w:color w:val="auto"/>
      <w:u w:val="none"/>
    </w:rPr>
  </w:style>
  <w:style w:type="paragraph" w:customStyle="1" w:styleId="SMG">
    <w:name w:val="__S_M_G"/>
    <w:basedOn w:val="Normln"/>
    <w:next w:val="Normln"/>
    <w:rsid w:val="00503228"/>
    <w:pPr>
      <w:keepNext/>
      <w:keepLines/>
      <w:spacing w:before="240" w:after="240" w:line="420" w:lineRule="exact"/>
      <w:ind w:left="1134" w:right="1134"/>
    </w:pPr>
    <w:rPr>
      <w:b/>
      <w:sz w:val="40"/>
    </w:rPr>
  </w:style>
  <w:style w:type="paragraph" w:customStyle="1" w:styleId="SLG">
    <w:name w:val="__S_L_G"/>
    <w:basedOn w:val="Normln"/>
    <w:next w:val="Normln"/>
    <w:rsid w:val="00503228"/>
    <w:pPr>
      <w:keepNext/>
      <w:keepLines/>
      <w:spacing w:before="240" w:after="240" w:line="580" w:lineRule="exact"/>
      <w:ind w:left="1134" w:right="1134"/>
    </w:pPr>
    <w:rPr>
      <w:b/>
      <w:sz w:val="56"/>
    </w:rPr>
  </w:style>
  <w:style w:type="paragraph" w:customStyle="1" w:styleId="SSG">
    <w:name w:val="__S_S_G"/>
    <w:basedOn w:val="Normln"/>
    <w:next w:val="Normln"/>
    <w:rsid w:val="00503228"/>
    <w:pPr>
      <w:keepNext/>
      <w:keepLines/>
      <w:spacing w:before="240" w:after="240" w:line="300" w:lineRule="exact"/>
      <w:ind w:left="1134" w:right="1134"/>
    </w:pPr>
    <w:rPr>
      <w:b/>
      <w:sz w:val="28"/>
    </w:rPr>
  </w:style>
  <w:style w:type="paragraph" w:styleId="Textpoznpodarou">
    <w:name w:val="footnote text"/>
    <w:aliases w:val="5_G,Schriftart: 9 pt,Schriftart: 10 pt,Schriftart: 8 pt,Footnote Text Char Char,Fußnote,single space,FOOTNOTES,fn,Char Char Char Char,Footnote Text Char1,Schriftart: 9 pt Char,Schriftart: 10 pt Char,Schriftart: 8 pt Char,Char"/>
    <w:basedOn w:val="Normln"/>
    <w:link w:val="TextpoznpodarouChar"/>
    <w:uiPriority w:val="99"/>
    <w:qFormat/>
    <w:rsid w:val="00503228"/>
    <w:pPr>
      <w:tabs>
        <w:tab w:val="right" w:pos="1021"/>
      </w:tabs>
      <w:spacing w:line="220" w:lineRule="exact"/>
      <w:ind w:left="1134" w:right="1134" w:hanging="1134"/>
    </w:pPr>
    <w:rPr>
      <w:sz w:val="18"/>
    </w:rPr>
  </w:style>
  <w:style w:type="paragraph" w:styleId="Textvysvtlivek">
    <w:name w:val="endnote text"/>
    <w:aliases w:val="2_G"/>
    <w:basedOn w:val="Textpoznpodarou"/>
    <w:qFormat/>
    <w:rsid w:val="00503228"/>
  </w:style>
  <w:style w:type="character" w:styleId="slostrnky">
    <w:name w:val="page number"/>
    <w:aliases w:val="7_G"/>
    <w:basedOn w:val="Standardnpsmoodstavce"/>
    <w:qFormat/>
    <w:rsid w:val="00503228"/>
    <w:rPr>
      <w:rFonts w:ascii="Times New Roman" w:hAnsi="Times New Roman"/>
      <w:b/>
      <w:sz w:val="18"/>
    </w:rPr>
  </w:style>
  <w:style w:type="paragraph" w:customStyle="1" w:styleId="XLargeG">
    <w:name w:val="__XLarge_G"/>
    <w:basedOn w:val="Normln"/>
    <w:next w:val="Normln"/>
    <w:rsid w:val="00503228"/>
    <w:pPr>
      <w:keepNext/>
      <w:keepLines/>
      <w:spacing w:before="240" w:after="240" w:line="420" w:lineRule="exact"/>
      <w:ind w:left="1134" w:right="1134"/>
    </w:pPr>
    <w:rPr>
      <w:b/>
      <w:sz w:val="40"/>
    </w:rPr>
  </w:style>
  <w:style w:type="paragraph" w:customStyle="1" w:styleId="Bullet1G">
    <w:name w:val="_Bullet 1_G"/>
    <w:basedOn w:val="Normln"/>
    <w:qFormat/>
    <w:rsid w:val="00503228"/>
    <w:pPr>
      <w:numPr>
        <w:numId w:val="1"/>
      </w:numPr>
      <w:spacing w:after="120"/>
      <w:ind w:right="1134"/>
      <w:jc w:val="both"/>
    </w:pPr>
  </w:style>
  <w:style w:type="paragraph" w:styleId="Zpat">
    <w:name w:val="footer"/>
    <w:aliases w:val="3_G"/>
    <w:basedOn w:val="Normln"/>
    <w:qFormat/>
    <w:rsid w:val="00503228"/>
    <w:pPr>
      <w:spacing w:line="240" w:lineRule="auto"/>
    </w:pPr>
    <w:rPr>
      <w:sz w:val="16"/>
    </w:rPr>
  </w:style>
  <w:style w:type="paragraph" w:customStyle="1" w:styleId="Bullet2G">
    <w:name w:val="_Bullet 2_G"/>
    <w:basedOn w:val="Normln"/>
    <w:qFormat/>
    <w:rsid w:val="00503228"/>
    <w:pPr>
      <w:numPr>
        <w:numId w:val="2"/>
      </w:numPr>
      <w:spacing w:after="120"/>
      <w:ind w:right="1134"/>
      <w:jc w:val="both"/>
    </w:pPr>
  </w:style>
  <w:style w:type="paragraph" w:customStyle="1" w:styleId="H1G">
    <w:name w:val="_ H_1_G"/>
    <w:basedOn w:val="Normln"/>
    <w:next w:val="Normln"/>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0766DD"/>
    <w:pPr>
      <w:numPr>
        <w:numId w:val="3"/>
      </w:numPr>
      <w:suppressAutoHyphens w:val="0"/>
      <w:spacing w:line="240" w:lineRule="auto"/>
    </w:pPr>
  </w:style>
  <w:style w:type="paragraph" w:styleId="Textbubliny">
    <w:name w:val="Balloon Text"/>
    <w:basedOn w:val="Normln"/>
    <w:link w:val="TextbublinyChar"/>
    <w:semiHidden/>
    <w:unhideWhenUsed/>
    <w:rsid w:val="0000052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000521"/>
    <w:rPr>
      <w:rFonts w:ascii="Segoe UI" w:hAnsi="Segoe UI" w:cs="Segoe UI"/>
      <w:sz w:val="18"/>
      <w:szCs w:val="18"/>
      <w:lang w:val="en-GB" w:eastAsia="en-US"/>
    </w:rPr>
  </w:style>
  <w:style w:type="character" w:customStyle="1" w:styleId="Normln1Char">
    <w:name w:val="Normální1 Char"/>
    <w:link w:val="Normln1"/>
    <w:locked/>
    <w:rsid w:val="00A0183B"/>
    <w:rPr>
      <w:sz w:val="24"/>
      <w:szCs w:val="24"/>
      <w:lang w:eastAsia="en-US"/>
    </w:rPr>
  </w:style>
  <w:style w:type="paragraph" w:customStyle="1" w:styleId="Normln1">
    <w:name w:val="Normální1"/>
    <w:basedOn w:val="Normln"/>
    <w:link w:val="Normln1Char"/>
    <w:qFormat/>
    <w:rsid w:val="00A0183B"/>
    <w:pPr>
      <w:suppressAutoHyphens w:val="0"/>
      <w:spacing w:after="240" w:line="240" w:lineRule="auto"/>
      <w:jc w:val="both"/>
    </w:pPr>
    <w:rPr>
      <w:sz w:val="24"/>
      <w:szCs w:val="24"/>
      <w:lang w:val="fr-FR"/>
    </w:rPr>
  </w:style>
  <w:style w:type="character" w:customStyle="1" w:styleId="Nadpis1Char">
    <w:name w:val="Nadpis 1 Char"/>
    <w:aliases w:val="Table_G Char"/>
    <w:basedOn w:val="Standardnpsmoodstavce"/>
    <w:link w:val="Nadpis1"/>
    <w:rsid w:val="00FA16E3"/>
    <w:rPr>
      <w:lang w:val="en-GB" w:eastAsia="en-US"/>
    </w:rPr>
  </w:style>
  <w:style w:type="paragraph" w:styleId="Prosttext">
    <w:name w:val="Plain Text"/>
    <w:basedOn w:val="Normln"/>
    <w:link w:val="ProsttextChar"/>
    <w:uiPriority w:val="99"/>
    <w:semiHidden/>
    <w:unhideWhenUsed/>
    <w:rsid w:val="00FA16E3"/>
    <w:pPr>
      <w:suppressAutoHyphens w:val="0"/>
      <w:spacing w:line="240" w:lineRule="auto"/>
    </w:pPr>
    <w:rPr>
      <w:rFonts w:ascii="Calibri" w:eastAsiaTheme="minorHAnsi" w:hAnsi="Calibri" w:cstheme="minorBidi"/>
      <w:sz w:val="22"/>
      <w:szCs w:val="21"/>
    </w:rPr>
  </w:style>
  <w:style w:type="character" w:customStyle="1" w:styleId="ProsttextChar">
    <w:name w:val="Prostý text Char"/>
    <w:basedOn w:val="Standardnpsmoodstavce"/>
    <w:link w:val="Prosttext"/>
    <w:uiPriority w:val="99"/>
    <w:semiHidden/>
    <w:rsid w:val="00FA16E3"/>
    <w:rPr>
      <w:rFonts w:ascii="Calibri" w:eastAsiaTheme="minorHAnsi" w:hAnsi="Calibri" w:cstheme="minorBidi"/>
      <w:sz w:val="22"/>
      <w:szCs w:val="21"/>
      <w:lang w:val="cs-CZ" w:eastAsia="en-US"/>
    </w:rPr>
  </w:style>
  <w:style w:type="character" w:customStyle="1" w:styleId="BezmezerChar">
    <w:name w:val="Bez mezer Char"/>
    <w:aliases w:val="Další Odst Char"/>
    <w:basedOn w:val="Standardnpsmoodstavce"/>
    <w:link w:val="Bezmezer"/>
    <w:uiPriority w:val="1"/>
    <w:locked/>
    <w:rsid w:val="00FA16E3"/>
  </w:style>
  <w:style w:type="paragraph" w:styleId="Bezmezer">
    <w:name w:val="No Spacing"/>
    <w:aliases w:val="Další Odst"/>
    <w:basedOn w:val="Normln"/>
    <w:link w:val="BezmezerChar"/>
    <w:uiPriority w:val="1"/>
    <w:qFormat/>
    <w:rsid w:val="00FA16E3"/>
    <w:pPr>
      <w:suppressAutoHyphens w:val="0"/>
      <w:spacing w:line="240" w:lineRule="auto"/>
      <w:ind w:firstLine="397"/>
      <w:contextualSpacing/>
      <w:jc w:val="both"/>
    </w:pPr>
    <w:rPr>
      <w:lang w:val="fr-FR" w:eastAsia="fr-FR"/>
    </w:rPr>
  </w:style>
  <w:style w:type="paragraph" w:customStyle="1" w:styleId="l4">
    <w:name w:val="l4"/>
    <w:basedOn w:val="Normln"/>
    <w:rsid w:val="00FA16E3"/>
    <w:pPr>
      <w:suppressAutoHyphens w:val="0"/>
      <w:spacing w:before="100" w:beforeAutospacing="1" w:after="100" w:afterAutospacing="1" w:line="240" w:lineRule="auto"/>
    </w:pPr>
    <w:rPr>
      <w:sz w:val="24"/>
      <w:szCs w:val="24"/>
      <w:lang w:eastAsia="cs-CZ"/>
    </w:rPr>
  </w:style>
  <w:style w:type="character" w:styleId="PromnnHTML">
    <w:name w:val="HTML Variable"/>
    <w:basedOn w:val="Standardnpsmoodstavce"/>
    <w:uiPriority w:val="99"/>
    <w:semiHidden/>
    <w:unhideWhenUsed/>
    <w:rsid w:val="00FA16E3"/>
    <w:rPr>
      <w:i/>
      <w:iCs/>
    </w:rPr>
  </w:style>
  <w:style w:type="character" w:customStyle="1" w:styleId="Nadpis3Char">
    <w:name w:val="Nadpis 3 Char"/>
    <w:basedOn w:val="Standardnpsmoodstavce"/>
    <w:link w:val="Nadpis3"/>
    <w:semiHidden/>
    <w:rsid w:val="00AD0466"/>
    <w:rPr>
      <w:lang w:val="en-GB" w:eastAsia="en-US"/>
    </w:rPr>
  </w:style>
  <w:style w:type="paragraph" w:styleId="Nzev">
    <w:name w:val="Title"/>
    <w:basedOn w:val="Normln"/>
    <w:link w:val="NzevChar"/>
    <w:qFormat/>
    <w:rsid w:val="00E1691A"/>
    <w:pPr>
      <w:suppressAutoHyphens w:val="0"/>
      <w:spacing w:line="240" w:lineRule="auto"/>
      <w:jc w:val="center"/>
    </w:pPr>
    <w:rPr>
      <w:b/>
      <w:bCs/>
      <w:sz w:val="28"/>
      <w:szCs w:val="24"/>
      <w:lang w:eastAsia="cs-CZ"/>
    </w:rPr>
  </w:style>
  <w:style w:type="character" w:customStyle="1" w:styleId="NzevChar">
    <w:name w:val="Název Char"/>
    <w:basedOn w:val="Standardnpsmoodstavce"/>
    <w:link w:val="Nzev"/>
    <w:rsid w:val="00E1691A"/>
    <w:rPr>
      <w:b/>
      <w:bCs/>
      <w:sz w:val="28"/>
      <w:szCs w:val="24"/>
      <w:lang w:val="cs-CZ" w:eastAsia="cs-CZ"/>
    </w:rPr>
  </w:style>
  <w:style w:type="character" w:customStyle="1" w:styleId="TextpoznpodarouChar">
    <w:name w:val="Text pozn. pod čarou Char"/>
    <w:aliases w:val="5_G Char,Schriftart: 9 pt Char1,Schriftart: 10 pt Char1,Schriftart: 8 pt Char1,Footnote Text Char Char Char,Fußnote Char,single space Char,FOOTNOTES Char,fn Char,Char Char Char Char Char,Footnote Text Char1 Char,Char Char"/>
    <w:basedOn w:val="Standardnpsmoodstavce"/>
    <w:link w:val="Textpoznpodarou"/>
    <w:uiPriority w:val="99"/>
    <w:qFormat/>
    <w:locked/>
    <w:rsid w:val="00B21D2A"/>
    <w:rPr>
      <w:sz w:val="18"/>
      <w:lang w:val="cs-CZ" w:eastAsia="en-US"/>
    </w:rPr>
  </w:style>
  <w:style w:type="paragraph" w:customStyle="1" w:styleId="4GChar">
    <w:name w:val="4_G Char"/>
    <w:aliases w:val="Footnote Reference1 Char,Footnotes refss Char,ftref Char,BVI fnr Char,BVI fnr Car Car Char,BVI fnr Car Char,BVI fnr Car Car Car Car Char,BVI fnr Char Car Car Car Char,Footnote Reference1,Footnotes refss,ftref,BVI fnr Car Car"/>
    <w:basedOn w:val="Normln"/>
    <w:link w:val="Znakapoznpodarou"/>
    <w:rsid w:val="00B21D2A"/>
    <w:pPr>
      <w:suppressAutoHyphens w:val="0"/>
      <w:spacing w:after="160" w:line="240" w:lineRule="exact"/>
      <w:jc w:val="both"/>
    </w:pPr>
    <w:rPr>
      <w:sz w:val="18"/>
      <w:vertAlign w:val="superscript"/>
      <w:lang w:val="fr-FR" w:eastAsia="fr-FR"/>
    </w:rPr>
  </w:style>
  <w:style w:type="character" w:customStyle="1" w:styleId="OdstavecseseznamemChar">
    <w:name w:val="Odstavec se seznamem Char"/>
    <w:basedOn w:val="Standardnpsmoodstavce"/>
    <w:link w:val="Odstavecseseznamem"/>
    <w:uiPriority w:val="34"/>
    <w:locked/>
    <w:rsid w:val="00E27D84"/>
  </w:style>
  <w:style w:type="paragraph" w:styleId="Odstavecseseznamem">
    <w:name w:val="List Paragraph"/>
    <w:basedOn w:val="Normln"/>
    <w:link w:val="OdstavecseseznamemChar"/>
    <w:uiPriority w:val="34"/>
    <w:qFormat/>
    <w:rsid w:val="00E27D84"/>
    <w:pPr>
      <w:suppressAutoHyphens w:val="0"/>
      <w:spacing w:after="160" w:line="256" w:lineRule="auto"/>
      <w:ind w:left="720"/>
      <w:contextualSpacing/>
    </w:pPr>
    <w:rPr>
      <w:lang w:val="fr-FR" w:eastAsia="fr-FR"/>
    </w:rPr>
  </w:style>
  <w:style w:type="table" w:customStyle="1" w:styleId="Tmavtabulkasmkou5zvraznn11">
    <w:name w:val="Tmavá tabulka s mřížkou 5 – zvýraznění 11"/>
    <w:basedOn w:val="Normlntabulka"/>
    <w:uiPriority w:val="50"/>
    <w:rsid w:val="004B4750"/>
    <w:rPr>
      <w:rFonts w:asciiTheme="minorHAnsi" w:eastAsiaTheme="minorHAnsi" w:hAnsiTheme="minorHAnsi" w:cstheme="minorBidi"/>
      <w:sz w:val="22"/>
      <w:szCs w:val="22"/>
      <w:lang w:val="cs-CZ"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ze">
    <w:name w:val="Revision"/>
    <w:hidden/>
    <w:uiPriority w:val="99"/>
    <w:semiHidden/>
    <w:rsid w:val="0075278C"/>
    <w:rPr>
      <w:lang w:val="cs-CZ" w:eastAsia="en-US"/>
    </w:rPr>
  </w:style>
  <w:style w:type="table" w:styleId="Svtlmkatabulky">
    <w:name w:val="Grid Table Light"/>
    <w:basedOn w:val="Normlntabulka"/>
    <w:uiPriority w:val="40"/>
    <w:rsid w:val="006933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kaznakoment">
    <w:name w:val="annotation reference"/>
    <w:basedOn w:val="Standardnpsmoodstavce"/>
    <w:semiHidden/>
    <w:unhideWhenUsed/>
    <w:rsid w:val="00E15EFB"/>
    <w:rPr>
      <w:sz w:val="16"/>
      <w:szCs w:val="16"/>
    </w:rPr>
  </w:style>
  <w:style w:type="paragraph" w:styleId="Textkomente">
    <w:name w:val="annotation text"/>
    <w:basedOn w:val="Normln"/>
    <w:link w:val="TextkomenteChar"/>
    <w:semiHidden/>
    <w:unhideWhenUsed/>
    <w:rsid w:val="00E15EFB"/>
    <w:pPr>
      <w:spacing w:line="240" w:lineRule="auto"/>
    </w:pPr>
  </w:style>
  <w:style w:type="character" w:customStyle="1" w:styleId="TextkomenteChar">
    <w:name w:val="Text komentáře Char"/>
    <w:basedOn w:val="Standardnpsmoodstavce"/>
    <w:link w:val="Textkomente"/>
    <w:semiHidden/>
    <w:rsid w:val="00E15EFB"/>
    <w:rPr>
      <w:lang w:val="cs-CZ" w:eastAsia="en-US"/>
    </w:rPr>
  </w:style>
  <w:style w:type="paragraph" w:styleId="Pedmtkomente">
    <w:name w:val="annotation subject"/>
    <w:basedOn w:val="Textkomente"/>
    <w:next w:val="Textkomente"/>
    <w:link w:val="PedmtkomenteChar"/>
    <w:semiHidden/>
    <w:unhideWhenUsed/>
    <w:rsid w:val="00E15EFB"/>
    <w:rPr>
      <w:b/>
      <w:bCs/>
    </w:rPr>
  </w:style>
  <w:style w:type="character" w:customStyle="1" w:styleId="PedmtkomenteChar">
    <w:name w:val="Předmět komentáře Char"/>
    <w:basedOn w:val="TextkomenteChar"/>
    <w:link w:val="Pedmtkomente"/>
    <w:semiHidden/>
    <w:rsid w:val="00E15EFB"/>
    <w:rPr>
      <w:b/>
      <w:bCs/>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253">
      <w:bodyDiv w:val="1"/>
      <w:marLeft w:val="0"/>
      <w:marRight w:val="0"/>
      <w:marTop w:val="0"/>
      <w:marBottom w:val="0"/>
      <w:divBdr>
        <w:top w:val="none" w:sz="0" w:space="0" w:color="auto"/>
        <w:left w:val="none" w:sz="0" w:space="0" w:color="auto"/>
        <w:bottom w:val="none" w:sz="0" w:space="0" w:color="auto"/>
        <w:right w:val="none" w:sz="0" w:space="0" w:color="auto"/>
      </w:divBdr>
    </w:div>
    <w:div w:id="35131971">
      <w:bodyDiv w:val="1"/>
      <w:marLeft w:val="0"/>
      <w:marRight w:val="0"/>
      <w:marTop w:val="0"/>
      <w:marBottom w:val="0"/>
      <w:divBdr>
        <w:top w:val="none" w:sz="0" w:space="0" w:color="auto"/>
        <w:left w:val="none" w:sz="0" w:space="0" w:color="auto"/>
        <w:bottom w:val="none" w:sz="0" w:space="0" w:color="auto"/>
        <w:right w:val="none" w:sz="0" w:space="0" w:color="auto"/>
      </w:divBdr>
    </w:div>
    <w:div w:id="58210504">
      <w:bodyDiv w:val="1"/>
      <w:marLeft w:val="0"/>
      <w:marRight w:val="0"/>
      <w:marTop w:val="0"/>
      <w:marBottom w:val="0"/>
      <w:divBdr>
        <w:top w:val="none" w:sz="0" w:space="0" w:color="auto"/>
        <w:left w:val="none" w:sz="0" w:space="0" w:color="auto"/>
        <w:bottom w:val="none" w:sz="0" w:space="0" w:color="auto"/>
        <w:right w:val="none" w:sz="0" w:space="0" w:color="auto"/>
      </w:divBdr>
    </w:div>
    <w:div w:id="81293322">
      <w:bodyDiv w:val="1"/>
      <w:marLeft w:val="0"/>
      <w:marRight w:val="0"/>
      <w:marTop w:val="0"/>
      <w:marBottom w:val="0"/>
      <w:divBdr>
        <w:top w:val="none" w:sz="0" w:space="0" w:color="auto"/>
        <w:left w:val="none" w:sz="0" w:space="0" w:color="auto"/>
        <w:bottom w:val="none" w:sz="0" w:space="0" w:color="auto"/>
        <w:right w:val="none" w:sz="0" w:space="0" w:color="auto"/>
      </w:divBdr>
    </w:div>
    <w:div w:id="105388013">
      <w:bodyDiv w:val="1"/>
      <w:marLeft w:val="0"/>
      <w:marRight w:val="0"/>
      <w:marTop w:val="0"/>
      <w:marBottom w:val="0"/>
      <w:divBdr>
        <w:top w:val="none" w:sz="0" w:space="0" w:color="auto"/>
        <w:left w:val="none" w:sz="0" w:space="0" w:color="auto"/>
        <w:bottom w:val="none" w:sz="0" w:space="0" w:color="auto"/>
        <w:right w:val="none" w:sz="0" w:space="0" w:color="auto"/>
      </w:divBdr>
    </w:div>
    <w:div w:id="131602472">
      <w:bodyDiv w:val="1"/>
      <w:marLeft w:val="0"/>
      <w:marRight w:val="0"/>
      <w:marTop w:val="0"/>
      <w:marBottom w:val="0"/>
      <w:divBdr>
        <w:top w:val="none" w:sz="0" w:space="0" w:color="auto"/>
        <w:left w:val="none" w:sz="0" w:space="0" w:color="auto"/>
        <w:bottom w:val="none" w:sz="0" w:space="0" w:color="auto"/>
        <w:right w:val="none" w:sz="0" w:space="0" w:color="auto"/>
      </w:divBdr>
    </w:div>
    <w:div w:id="131873359">
      <w:bodyDiv w:val="1"/>
      <w:marLeft w:val="0"/>
      <w:marRight w:val="0"/>
      <w:marTop w:val="0"/>
      <w:marBottom w:val="0"/>
      <w:divBdr>
        <w:top w:val="none" w:sz="0" w:space="0" w:color="auto"/>
        <w:left w:val="none" w:sz="0" w:space="0" w:color="auto"/>
        <w:bottom w:val="none" w:sz="0" w:space="0" w:color="auto"/>
        <w:right w:val="none" w:sz="0" w:space="0" w:color="auto"/>
      </w:divBdr>
    </w:div>
    <w:div w:id="149491017">
      <w:bodyDiv w:val="1"/>
      <w:marLeft w:val="0"/>
      <w:marRight w:val="0"/>
      <w:marTop w:val="0"/>
      <w:marBottom w:val="0"/>
      <w:divBdr>
        <w:top w:val="none" w:sz="0" w:space="0" w:color="auto"/>
        <w:left w:val="none" w:sz="0" w:space="0" w:color="auto"/>
        <w:bottom w:val="none" w:sz="0" w:space="0" w:color="auto"/>
        <w:right w:val="none" w:sz="0" w:space="0" w:color="auto"/>
      </w:divBdr>
    </w:div>
    <w:div w:id="151601362">
      <w:bodyDiv w:val="1"/>
      <w:marLeft w:val="0"/>
      <w:marRight w:val="0"/>
      <w:marTop w:val="0"/>
      <w:marBottom w:val="0"/>
      <w:divBdr>
        <w:top w:val="none" w:sz="0" w:space="0" w:color="auto"/>
        <w:left w:val="none" w:sz="0" w:space="0" w:color="auto"/>
        <w:bottom w:val="none" w:sz="0" w:space="0" w:color="auto"/>
        <w:right w:val="none" w:sz="0" w:space="0" w:color="auto"/>
      </w:divBdr>
    </w:div>
    <w:div w:id="162286936">
      <w:bodyDiv w:val="1"/>
      <w:marLeft w:val="0"/>
      <w:marRight w:val="0"/>
      <w:marTop w:val="0"/>
      <w:marBottom w:val="0"/>
      <w:divBdr>
        <w:top w:val="none" w:sz="0" w:space="0" w:color="auto"/>
        <w:left w:val="none" w:sz="0" w:space="0" w:color="auto"/>
        <w:bottom w:val="none" w:sz="0" w:space="0" w:color="auto"/>
        <w:right w:val="none" w:sz="0" w:space="0" w:color="auto"/>
      </w:divBdr>
    </w:div>
    <w:div w:id="171652159">
      <w:bodyDiv w:val="1"/>
      <w:marLeft w:val="0"/>
      <w:marRight w:val="0"/>
      <w:marTop w:val="0"/>
      <w:marBottom w:val="0"/>
      <w:divBdr>
        <w:top w:val="none" w:sz="0" w:space="0" w:color="auto"/>
        <w:left w:val="none" w:sz="0" w:space="0" w:color="auto"/>
        <w:bottom w:val="none" w:sz="0" w:space="0" w:color="auto"/>
        <w:right w:val="none" w:sz="0" w:space="0" w:color="auto"/>
      </w:divBdr>
    </w:div>
    <w:div w:id="175924953">
      <w:bodyDiv w:val="1"/>
      <w:marLeft w:val="0"/>
      <w:marRight w:val="0"/>
      <w:marTop w:val="0"/>
      <w:marBottom w:val="0"/>
      <w:divBdr>
        <w:top w:val="none" w:sz="0" w:space="0" w:color="auto"/>
        <w:left w:val="none" w:sz="0" w:space="0" w:color="auto"/>
        <w:bottom w:val="none" w:sz="0" w:space="0" w:color="auto"/>
        <w:right w:val="none" w:sz="0" w:space="0" w:color="auto"/>
      </w:divBdr>
    </w:div>
    <w:div w:id="177156465">
      <w:bodyDiv w:val="1"/>
      <w:marLeft w:val="0"/>
      <w:marRight w:val="0"/>
      <w:marTop w:val="0"/>
      <w:marBottom w:val="0"/>
      <w:divBdr>
        <w:top w:val="none" w:sz="0" w:space="0" w:color="auto"/>
        <w:left w:val="none" w:sz="0" w:space="0" w:color="auto"/>
        <w:bottom w:val="none" w:sz="0" w:space="0" w:color="auto"/>
        <w:right w:val="none" w:sz="0" w:space="0" w:color="auto"/>
      </w:divBdr>
    </w:div>
    <w:div w:id="203520670">
      <w:bodyDiv w:val="1"/>
      <w:marLeft w:val="0"/>
      <w:marRight w:val="0"/>
      <w:marTop w:val="0"/>
      <w:marBottom w:val="0"/>
      <w:divBdr>
        <w:top w:val="none" w:sz="0" w:space="0" w:color="auto"/>
        <w:left w:val="none" w:sz="0" w:space="0" w:color="auto"/>
        <w:bottom w:val="none" w:sz="0" w:space="0" w:color="auto"/>
        <w:right w:val="none" w:sz="0" w:space="0" w:color="auto"/>
      </w:divBdr>
    </w:div>
    <w:div w:id="210264012">
      <w:bodyDiv w:val="1"/>
      <w:marLeft w:val="0"/>
      <w:marRight w:val="0"/>
      <w:marTop w:val="0"/>
      <w:marBottom w:val="0"/>
      <w:divBdr>
        <w:top w:val="none" w:sz="0" w:space="0" w:color="auto"/>
        <w:left w:val="none" w:sz="0" w:space="0" w:color="auto"/>
        <w:bottom w:val="none" w:sz="0" w:space="0" w:color="auto"/>
        <w:right w:val="none" w:sz="0" w:space="0" w:color="auto"/>
      </w:divBdr>
    </w:div>
    <w:div w:id="212891419">
      <w:bodyDiv w:val="1"/>
      <w:marLeft w:val="0"/>
      <w:marRight w:val="0"/>
      <w:marTop w:val="0"/>
      <w:marBottom w:val="0"/>
      <w:divBdr>
        <w:top w:val="none" w:sz="0" w:space="0" w:color="auto"/>
        <w:left w:val="none" w:sz="0" w:space="0" w:color="auto"/>
        <w:bottom w:val="none" w:sz="0" w:space="0" w:color="auto"/>
        <w:right w:val="none" w:sz="0" w:space="0" w:color="auto"/>
      </w:divBdr>
    </w:div>
    <w:div w:id="221645834">
      <w:bodyDiv w:val="1"/>
      <w:marLeft w:val="0"/>
      <w:marRight w:val="0"/>
      <w:marTop w:val="0"/>
      <w:marBottom w:val="0"/>
      <w:divBdr>
        <w:top w:val="none" w:sz="0" w:space="0" w:color="auto"/>
        <w:left w:val="none" w:sz="0" w:space="0" w:color="auto"/>
        <w:bottom w:val="none" w:sz="0" w:space="0" w:color="auto"/>
        <w:right w:val="none" w:sz="0" w:space="0" w:color="auto"/>
      </w:divBdr>
    </w:div>
    <w:div w:id="234510110">
      <w:bodyDiv w:val="1"/>
      <w:marLeft w:val="0"/>
      <w:marRight w:val="0"/>
      <w:marTop w:val="0"/>
      <w:marBottom w:val="0"/>
      <w:divBdr>
        <w:top w:val="none" w:sz="0" w:space="0" w:color="auto"/>
        <w:left w:val="none" w:sz="0" w:space="0" w:color="auto"/>
        <w:bottom w:val="none" w:sz="0" w:space="0" w:color="auto"/>
        <w:right w:val="none" w:sz="0" w:space="0" w:color="auto"/>
      </w:divBdr>
    </w:div>
    <w:div w:id="235362949">
      <w:bodyDiv w:val="1"/>
      <w:marLeft w:val="0"/>
      <w:marRight w:val="0"/>
      <w:marTop w:val="0"/>
      <w:marBottom w:val="0"/>
      <w:divBdr>
        <w:top w:val="none" w:sz="0" w:space="0" w:color="auto"/>
        <w:left w:val="none" w:sz="0" w:space="0" w:color="auto"/>
        <w:bottom w:val="none" w:sz="0" w:space="0" w:color="auto"/>
        <w:right w:val="none" w:sz="0" w:space="0" w:color="auto"/>
      </w:divBdr>
    </w:div>
    <w:div w:id="236863434">
      <w:bodyDiv w:val="1"/>
      <w:marLeft w:val="0"/>
      <w:marRight w:val="0"/>
      <w:marTop w:val="0"/>
      <w:marBottom w:val="0"/>
      <w:divBdr>
        <w:top w:val="none" w:sz="0" w:space="0" w:color="auto"/>
        <w:left w:val="none" w:sz="0" w:space="0" w:color="auto"/>
        <w:bottom w:val="none" w:sz="0" w:space="0" w:color="auto"/>
        <w:right w:val="none" w:sz="0" w:space="0" w:color="auto"/>
      </w:divBdr>
    </w:div>
    <w:div w:id="243608122">
      <w:bodyDiv w:val="1"/>
      <w:marLeft w:val="0"/>
      <w:marRight w:val="0"/>
      <w:marTop w:val="0"/>
      <w:marBottom w:val="0"/>
      <w:divBdr>
        <w:top w:val="none" w:sz="0" w:space="0" w:color="auto"/>
        <w:left w:val="none" w:sz="0" w:space="0" w:color="auto"/>
        <w:bottom w:val="none" w:sz="0" w:space="0" w:color="auto"/>
        <w:right w:val="none" w:sz="0" w:space="0" w:color="auto"/>
      </w:divBdr>
    </w:div>
    <w:div w:id="278147591">
      <w:bodyDiv w:val="1"/>
      <w:marLeft w:val="0"/>
      <w:marRight w:val="0"/>
      <w:marTop w:val="0"/>
      <w:marBottom w:val="0"/>
      <w:divBdr>
        <w:top w:val="none" w:sz="0" w:space="0" w:color="auto"/>
        <w:left w:val="none" w:sz="0" w:space="0" w:color="auto"/>
        <w:bottom w:val="none" w:sz="0" w:space="0" w:color="auto"/>
        <w:right w:val="none" w:sz="0" w:space="0" w:color="auto"/>
      </w:divBdr>
    </w:div>
    <w:div w:id="282349114">
      <w:bodyDiv w:val="1"/>
      <w:marLeft w:val="0"/>
      <w:marRight w:val="0"/>
      <w:marTop w:val="0"/>
      <w:marBottom w:val="0"/>
      <w:divBdr>
        <w:top w:val="none" w:sz="0" w:space="0" w:color="auto"/>
        <w:left w:val="none" w:sz="0" w:space="0" w:color="auto"/>
        <w:bottom w:val="none" w:sz="0" w:space="0" w:color="auto"/>
        <w:right w:val="none" w:sz="0" w:space="0" w:color="auto"/>
      </w:divBdr>
    </w:div>
    <w:div w:id="311563916">
      <w:bodyDiv w:val="1"/>
      <w:marLeft w:val="0"/>
      <w:marRight w:val="0"/>
      <w:marTop w:val="0"/>
      <w:marBottom w:val="0"/>
      <w:divBdr>
        <w:top w:val="none" w:sz="0" w:space="0" w:color="auto"/>
        <w:left w:val="none" w:sz="0" w:space="0" w:color="auto"/>
        <w:bottom w:val="none" w:sz="0" w:space="0" w:color="auto"/>
        <w:right w:val="none" w:sz="0" w:space="0" w:color="auto"/>
      </w:divBdr>
    </w:div>
    <w:div w:id="315033069">
      <w:bodyDiv w:val="1"/>
      <w:marLeft w:val="0"/>
      <w:marRight w:val="0"/>
      <w:marTop w:val="0"/>
      <w:marBottom w:val="0"/>
      <w:divBdr>
        <w:top w:val="none" w:sz="0" w:space="0" w:color="auto"/>
        <w:left w:val="none" w:sz="0" w:space="0" w:color="auto"/>
        <w:bottom w:val="none" w:sz="0" w:space="0" w:color="auto"/>
        <w:right w:val="none" w:sz="0" w:space="0" w:color="auto"/>
      </w:divBdr>
    </w:div>
    <w:div w:id="323313814">
      <w:bodyDiv w:val="1"/>
      <w:marLeft w:val="0"/>
      <w:marRight w:val="0"/>
      <w:marTop w:val="0"/>
      <w:marBottom w:val="0"/>
      <w:divBdr>
        <w:top w:val="none" w:sz="0" w:space="0" w:color="auto"/>
        <w:left w:val="none" w:sz="0" w:space="0" w:color="auto"/>
        <w:bottom w:val="none" w:sz="0" w:space="0" w:color="auto"/>
        <w:right w:val="none" w:sz="0" w:space="0" w:color="auto"/>
      </w:divBdr>
    </w:div>
    <w:div w:id="334460733">
      <w:bodyDiv w:val="1"/>
      <w:marLeft w:val="0"/>
      <w:marRight w:val="0"/>
      <w:marTop w:val="0"/>
      <w:marBottom w:val="0"/>
      <w:divBdr>
        <w:top w:val="none" w:sz="0" w:space="0" w:color="auto"/>
        <w:left w:val="none" w:sz="0" w:space="0" w:color="auto"/>
        <w:bottom w:val="none" w:sz="0" w:space="0" w:color="auto"/>
        <w:right w:val="none" w:sz="0" w:space="0" w:color="auto"/>
      </w:divBdr>
    </w:div>
    <w:div w:id="352610942">
      <w:bodyDiv w:val="1"/>
      <w:marLeft w:val="0"/>
      <w:marRight w:val="0"/>
      <w:marTop w:val="0"/>
      <w:marBottom w:val="0"/>
      <w:divBdr>
        <w:top w:val="none" w:sz="0" w:space="0" w:color="auto"/>
        <w:left w:val="none" w:sz="0" w:space="0" w:color="auto"/>
        <w:bottom w:val="none" w:sz="0" w:space="0" w:color="auto"/>
        <w:right w:val="none" w:sz="0" w:space="0" w:color="auto"/>
      </w:divBdr>
    </w:div>
    <w:div w:id="373893509">
      <w:bodyDiv w:val="1"/>
      <w:marLeft w:val="0"/>
      <w:marRight w:val="0"/>
      <w:marTop w:val="0"/>
      <w:marBottom w:val="0"/>
      <w:divBdr>
        <w:top w:val="none" w:sz="0" w:space="0" w:color="auto"/>
        <w:left w:val="none" w:sz="0" w:space="0" w:color="auto"/>
        <w:bottom w:val="none" w:sz="0" w:space="0" w:color="auto"/>
        <w:right w:val="none" w:sz="0" w:space="0" w:color="auto"/>
      </w:divBdr>
    </w:div>
    <w:div w:id="449203339">
      <w:bodyDiv w:val="1"/>
      <w:marLeft w:val="0"/>
      <w:marRight w:val="0"/>
      <w:marTop w:val="0"/>
      <w:marBottom w:val="0"/>
      <w:divBdr>
        <w:top w:val="none" w:sz="0" w:space="0" w:color="auto"/>
        <w:left w:val="none" w:sz="0" w:space="0" w:color="auto"/>
        <w:bottom w:val="none" w:sz="0" w:space="0" w:color="auto"/>
        <w:right w:val="none" w:sz="0" w:space="0" w:color="auto"/>
      </w:divBdr>
    </w:div>
    <w:div w:id="464590927">
      <w:bodyDiv w:val="1"/>
      <w:marLeft w:val="0"/>
      <w:marRight w:val="0"/>
      <w:marTop w:val="0"/>
      <w:marBottom w:val="0"/>
      <w:divBdr>
        <w:top w:val="none" w:sz="0" w:space="0" w:color="auto"/>
        <w:left w:val="none" w:sz="0" w:space="0" w:color="auto"/>
        <w:bottom w:val="none" w:sz="0" w:space="0" w:color="auto"/>
        <w:right w:val="none" w:sz="0" w:space="0" w:color="auto"/>
      </w:divBdr>
    </w:div>
    <w:div w:id="474030288">
      <w:bodyDiv w:val="1"/>
      <w:marLeft w:val="0"/>
      <w:marRight w:val="0"/>
      <w:marTop w:val="0"/>
      <w:marBottom w:val="0"/>
      <w:divBdr>
        <w:top w:val="none" w:sz="0" w:space="0" w:color="auto"/>
        <w:left w:val="none" w:sz="0" w:space="0" w:color="auto"/>
        <w:bottom w:val="none" w:sz="0" w:space="0" w:color="auto"/>
        <w:right w:val="none" w:sz="0" w:space="0" w:color="auto"/>
      </w:divBdr>
    </w:div>
    <w:div w:id="491533328">
      <w:bodyDiv w:val="1"/>
      <w:marLeft w:val="0"/>
      <w:marRight w:val="0"/>
      <w:marTop w:val="0"/>
      <w:marBottom w:val="0"/>
      <w:divBdr>
        <w:top w:val="none" w:sz="0" w:space="0" w:color="auto"/>
        <w:left w:val="none" w:sz="0" w:space="0" w:color="auto"/>
        <w:bottom w:val="none" w:sz="0" w:space="0" w:color="auto"/>
        <w:right w:val="none" w:sz="0" w:space="0" w:color="auto"/>
      </w:divBdr>
    </w:div>
    <w:div w:id="514998133">
      <w:bodyDiv w:val="1"/>
      <w:marLeft w:val="0"/>
      <w:marRight w:val="0"/>
      <w:marTop w:val="0"/>
      <w:marBottom w:val="0"/>
      <w:divBdr>
        <w:top w:val="none" w:sz="0" w:space="0" w:color="auto"/>
        <w:left w:val="none" w:sz="0" w:space="0" w:color="auto"/>
        <w:bottom w:val="none" w:sz="0" w:space="0" w:color="auto"/>
        <w:right w:val="none" w:sz="0" w:space="0" w:color="auto"/>
      </w:divBdr>
    </w:div>
    <w:div w:id="519901082">
      <w:bodyDiv w:val="1"/>
      <w:marLeft w:val="0"/>
      <w:marRight w:val="0"/>
      <w:marTop w:val="0"/>
      <w:marBottom w:val="0"/>
      <w:divBdr>
        <w:top w:val="none" w:sz="0" w:space="0" w:color="auto"/>
        <w:left w:val="none" w:sz="0" w:space="0" w:color="auto"/>
        <w:bottom w:val="none" w:sz="0" w:space="0" w:color="auto"/>
        <w:right w:val="none" w:sz="0" w:space="0" w:color="auto"/>
      </w:divBdr>
    </w:div>
    <w:div w:id="528177359">
      <w:bodyDiv w:val="1"/>
      <w:marLeft w:val="0"/>
      <w:marRight w:val="0"/>
      <w:marTop w:val="0"/>
      <w:marBottom w:val="0"/>
      <w:divBdr>
        <w:top w:val="none" w:sz="0" w:space="0" w:color="auto"/>
        <w:left w:val="none" w:sz="0" w:space="0" w:color="auto"/>
        <w:bottom w:val="none" w:sz="0" w:space="0" w:color="auto"/>
        <w:right w:val="none" w:sz="0" w:space="0" w:color="auto"/>
      </w:divBdr>
    </w:div>
    <w:div w:id="539976151">
      <w:bodyDiv w:val="1"/>
      <w:marLeft w:val="0"/>
      <w:marRight w:val="0"/>
      <w:marTop w:val="0"/>
      <w:marBottom w:val="0"/>
      <w:divBdr>
        <w:top w:val="none" w:sz="0" w:space="0" w:color="auto"/>
        <w:left w:val="none" w:sz="0" w:space="0" w:color="auto"/>
        <w:bottom w:val="none" w:sz="0" w:space="0" w:color="auto"/>
        <w:right w:val="none" w:sz="0" w:space="0" w:color="auto"/>
      </w:divBdr>
    </w:div>
    <w:div w:id="550075215">
      <w:bodyDiv w:val="1"/>
      <w:marLeft w:val="0"/>
      <w:marRight w:val="0"/>
      <w:marTop w:val="0"/>
      <w:marBottom w:val="0"/>
      <w:divBdr>
        <w:top w:val="none" w:sz="0" w:space="0" w:color="auto"/>
        <w:left w:val="none" w:sz="0" w:space="0" w:color="auto"/>
        <w:bottom w:val="none" w:sz="0" w:space="0" w:color="auto"/>
        <w:right w:val="none" w:sz="0" w:space="0" w:color="auto"/>
      </w:divBdr>
    </w:div>
    <w:div w:id="552353436">
      <w:bodyDiv w:val="1"/>
      <w:marLeft w:val="0"/>
      <w:marRight w:val="0"/>
      <w:marTop w:val="0"/>
      <w:marBottom w:val="0"/>
      <w:divBdr>
        <w:top w:val="none" w:sz="0" w:space="0" w:color="auto"/>
        <w:left w:val="none" w:sz="0" w:space="0" w:color="auto"/>
        <w:bottom w:val="none" w:sz="0" w:space="0" w:color="auto"/>
        <w:right w:val="none" w:sz="0" w:space="0" w:color="auto"/>
      </w:divBdr>
    </w:div>
    <w:div w:id="575209869">
      <w:bodyDiv w:val="1"/>
      <w:marLeft w:val="0"/>
      <w:marRight w:val="0"/>
      <w:marTop w:val="0"/>
      <w:marBottom w:val="0"/>
      <w:divBdr>
        <w:top w:val="none" w:sz="0" w:space="0" w:color="auto"/>
        <w:left w:val="none" w:sz="0" w:space="0" w:color="auto"/>
        <w:bottom w:val="none" w:sz="0" w:space="0" w:color="auto"/>
        <w:right w:val="none" w:sz="0" w:space="0" w:color="auto"/>
      </w:divBdr>
    </w:div>
    <w:div w:id="591857729">
      <w:bodyDiv w:val="1"/>
      <w:marLeft w:val="0"/>
      <w:marRight w:val="0"/>
      <w:marTop w:val="0"/>
      <w:marBottom w:val="0"/>
      <w:divBdr>
        <w:top w:val="none" w:sz="0" w:space="0" w:color="auto"/>
        <w:left w:val="none" w:sz="0" w:space="0" w:color="auto"/>
        <w:bottom w:val="none" w:sz="0" w:space="0" w:color="auto"/>
        <w:right w:val="none" w:sz="0" w:space="0" w:color="auto"/>
      </w:divBdr>
    </w:div>
    <w:div w:id="595403910">
      <w:bodyDiv w:val="1"/>
      <w:marLeft w:val="0"/>
      <w:marRight w:val="0"/>
      <w:marTop w:val="0"/>
      <w:marBottom w:val="0"/>
      <w:divBdr>
        <w:top w:val="none" w:sz="0" w:space="0" w:color="auto"/>
        <w:left w:val="none" w:sz="0" w:space="0" w:color="auto"/>
        <w:bottom w:val="none" w:sz="0" w:space="0" w:color="auto"/>
        <w:right w:val="none" w:sz="0" w:space="0" w:color="auto"/>
      </w:divBdr>
    </w:div>
    <w:div w:id="607932002">
      <w:bodyDiv w:val="1"/>
      <w:marLeft w:val="0"/>
      <w:marRight w:val="0"/>
      <w:marTop w:val="0"/>
      <w:marBottom w:val="0"/>
      <w:divBdr>
        <w:top w:val="none" w:sz="0" w:space="0" w:color="auto"/>
        <w:left w:val="none" w:sz="0" w:space="0" w:color="auto"/>
        <w:bottom w:val="none" w:sz="0" w:space="0" w:color="auto"/>
        <w:right w:val="none" w:sz="0" w:space="0" w:color="auto"/>
      </w:divBdr>
    </w:div>
    <w:div w:id="615209697">
      <w:bodyDiv w:val="1"/>
      <w:marLeft w:val="0"/>
      <w:marRight w:val="0"/>
      <w:marTop w:val="0"/>
      <w:marBottom w:val="0"/>
      <w:divBdr>
        <w:top w:val="none" w:sz="0" w:space="0" w:color="auto"/>
        <w:left w:val="none" w:sz="0" w:space="0" w:color="auto"/>
        <w:bottom w:val="none" w:sz="0" w:space="0" w:color="auto"/>
        <w:right w:val="none" w:sz="0" w:space="0" w:color="auto"/>
      </w:divBdr>
    </w:div>
    <w:div w:id="629558744">
      <w:bodyDiv w:val="1"/>
      <w:marLeft w:val="0"/>
      <w:marRight w:val="0"/>
      <w:marTop w:val="0"/>
      <w:marBottom w:val="0"/>
      <w:divBdr>
        <w:top w:val="none" w:sz="0" w:space="0" w:color="auto"/>
        <w:left w:val="none" w:sz="0" w:space="0" w:color="auto"/>
        <w:bottom w:val="none" w:sz="0" w:space="0" w:color="auto"/>
        <w:right w:val="none" w:sz="0" w:space="0" w:color="auto"/>
      </w:divBdr>
    </w:div>
    <w:div w:id="629894751">
      <w:bodyDiv w:val="1"/>
      <w:marLeft w:val="0"/>
      <w:marRight w:val="0"/>
      <w:marTop w:val="0"/>
      <w:marBottom w:val="0"/>
      <w:divBdr>
        <w:top w:val="none" w:sz="0" w:space="0" w:color="auto"/>
        <w:left w:val="none" w:sz="0" w:space="0" w:color="auto"/>
        <w:bottom w:val="none" w:sz="0" w:space="0" w:color="auto"/>
        <w:right w:val="none" w:sz="0" w:space="0" w:color="auto"/>
      </w:divBdr>
    </w:div>
    <w:div w:id="638917927">
      <w:bodyDiv w:val="1"/>
      <w:marLeft w:val="0"/>
      <w:marRight w:val="0"/>
      <w:marTop w:val="0"/>
      <w:marBottom w:val="0"/>
      <w:divBdr>
        <w:top w:val="none" w:sz="0" w:space="0" w:color="auto"/>
        <w:left w:val="none" w:sz="0" w:space="0" w:color="auto"/>
        <w:bottom w:val="none" w:sz="0" w:space="0" w:color="auto"/>
        <w:right w:val="none" w:sz="0" w:space="0" w:color="auto"/>
      </w:divBdr>
    </w:div>
    <w:div w:id="649138491">
      <w:bodyDiv w:val="1"/>
      <w:marLeft w:val="0"/>
      <w:marRight w:val="0"/>
      <w:marTop w:val="0"/>
      <w:marBottom w:val="0"/>
      <w:divBdr>
        <w:top w:val="none" w:sz="0" w:space="0" w:color="auto"/>
        <w:left w:val="none" w:sz="0" w:space="0" w:color="auto"/>
        <w:bottom w:val="none" w:sz="0" w:space="0" w:color="auto"/>
        <w:right w:val="none" w:sz="0" w:space="0" w:color="auto"/>
      </w:divBdr>
    </w:div>
    <w:div w:id="650448146">
      <w:bodyDiv w:val="1"/>
      <w:marLeft w:val="0"/>
      <w:marRight w:val="0"/>
      <w:marTop w:val="0"/>
      <w:marBottom w:val="0"/>
      <w:divBdr>
        <w:top w:val="none" w:sz="0" w:space="0" w:color="auto"/>
        <w:left w:val="none" w:sz="0" w:space="0" w:color="auto"/>
        <w:bottom w:val="none" w:sz="0" w:space="0" w:color="auto"/>
        <w:right w:val="none" w:sz="0" w:space="0" w:color="auto"/>
      </w:divBdr>
    </w:div>
    <w:div w:id="654995739">
      <w:bodyDiv w:val="1"/>
      <w:marLeft w:val="0"/>
      <w:marRight w:val="0"/>
      <w:marTop w:val="0"/>
      <w:marBottom w:val="0"/>
      <w:divBdr>
        <w:top w:val="none" w:sz="0" w:space="0" w:color="auto"/>
        <w:left w:val="none" w:sz="0" w:space="0" w:color="auto"/>
        <w:bottom w:val="none" w:sz="0" w:space="0" w:color="auto"/>
        <w:right w:val="none" w:sz="0" w:space="0" w:color="auto"/>
      </w:divBdr>
    </w:div>
    <w:div w:id="663708489">
      <w:bodyDiv w:val="1"/>
      <w:marLeft w:val="0"/>
      <w:marRight w:val="0"/>
      <w:marTop w:val="0"/>
      <w:marBottom w:val="0"/>
      <w:divBdr>
        <w:top w:val="none" w:sz="0" w:space="0" w:color="auto"/>
        <w:left w:val="none" w:sz="0" w:space="0" w:color="auto"/>
        <w:bottom w:val="none" w:sz="0" w:space="0" w:color="auto"/>
        <w:right w:val="none" w:sz="0" w:space="0" w:color="auto"/>
      </w:divBdr>
    </w:div>
    <w:div w:id="664091031">
      <w:bodyDiv w:val="1"/>
      <w:marLeft w:val="0"/>
      <w:marRight w:val="0"/>
      <w:marTop w:val="0"/>
      <w:marBottom w:val="0"/>
      <w:divBdr>
        <w:top w:val="none" w:sz="0" w:space="0" w:color="auto"/>
        <w:left w:val="none" w:sz="0" w:space="0" w:color="auto"/>
        <w:bottom w:val="none" w:sz="0" w:space="0" w:color="auto"/>
        <w:right w:val="none" w:sz="0" w:space="0" w:color="auto"/>
      </w:divBdr>
    </w:div>
    <w:div w:id="667557700">
      <w:bodyDiv w:val="1"/>
      <w:marLeft w:val="0"/>
      <w:marRight w:val="0"/>
      <w:marTop w:val="0"/>
      <w:marBottom w:val="0"/>
      <w:divBdr>
        <w:top w:val="none" w:sz="0" w:space="0" w:color="auto"/>
        <w:left w:val="none" w:sz="0" w:space="0" w:color="auto"/>
        <w:bottom w:val="none" w:sz="0" w:space="0" w:color="auto"/>
        <w:right w:val="none" w:sz="0" w:space="0" w:color="auto"/>
      </w:divBdr>
    </w:div>
    <w:div w:id="712735837">
      <w:bodyDiv w:val="1"/>
      <w:marLeft w:val="0"/>
      <w:marRight w:val="0"/>
      <w:marTop w:val="0"/>
      <w:marBottom w:val="0"/>
      <w:divBdr>
        <w:top w:val="none" w:sz="0" w:space="0" w:color="auto"/>
        <w:left w:val="none" w:sz="0" w:space="0" w:color="auto"/>
        <w:bottom w:val="none" w:sz="0" w:space="0" w:color="auto"/>
        <w:right w:val="none" w:sz="0" w:space="0" w:color="auto"/>
      </w:divBdr>
    </w:div>
    <w:div w:id="743721112">
      <w:bodyDiv w:val="1"/>
      <w:marLeft w:val="0"/>
      <w:marRight w:val="0"/>
      <w:marTop w:val="0"/>
      <w:marBottom w:val="0"/>
      <w:divBdr>
        <w:top w:val="none" w:sz="0" w:space="0" w:color="auto"/>
        <w:left w:val="none" w:sz="0" w:space="0" w:color="auto"/>
        <w:bottom w:val="none" w:sz="0" w:space="0" w:color="auto"/>
        <w:right w:val="none" w:sz="0" w:space="0" w:color="auto"/>
      </w:divBdr>
    </w:div>
    <w:div w:id="766198989">
      <w:bodyDiv w:val="1"/>
      <w:marLeft w:val="0"/>
      <w:marRight w:val="0"/>
      <w:marTop w:val="0"/>
      <w:marBottom w:val="0"/>
      <w:divBdr>
        <w:top w:val="none" w:sz="0" w:space="0" w:color="auto"/>
        <w:left w:val="none" w:sz="0" w:space="0" w:color="auto"/>
        <w:bottom w:val="none" w:sz="0" w:space="0" w:color="auto"/>
        <w:right w:val="none" w:sz="0" w:space="0" w:color="auto"/>
      </w:divBdr>
    </w:div>
    <w:div w:id="778911291">
      <w:bodyDiv w:val="1"/>
      <w:marLeft w:val="0"/>
      <w:marRight w:val="0"/>
      <w:marTop w:val="0"/>
      <w:marBottom w:val="0"/>
      <w:divBdr>
        <w:top w:val="none" w:sz="0" w:space="0" w:color="auto"/>
        <w:left w:val="none" w:sz="0" w:space="0" w:color="auto"/>
        <w:bottom w:val="none" w:sz="0" w:space="0" w:color="auto"/>
        <w:right w:val="none" w:sz="0" w:space="0" w:color="auto"/>
      </w:divBdr>
    </w:div>
    <w:div w:id="805859470">
      <w:bodyDiv w:val="1"/>
      <w:marLeft w:val="0"/>
      <w:marRight w:val="0"/>
      <w:marTop w:val="0"/>
      <w:marBottom w:val="0"/>
      <w:divBdr>
        <w:top w:val="none" w:sz="0" w:space="0" w:color="auto"/>
        <w:left w:val="none" w:sz="0" w:space="0" w:color="auto"/>
        <w:bottom w:val="none" w:sz="0" w:space="0" w:color="auto"/>
        <w:right w:val="none" w:sz="0" w:space="0" w:color="auto"/>
      </w:divBdr>
    </w:div>
    <w:div w:id="834224517">
      <w:bodyDiv w:val="1"/>
      <w:marLeft w:val="0"/>
      <w:marRight w:val="0"/>
      <w:marTop w:val="0"/>
      <w:marBottom w:val="0"/>
      <w:divBdr>
        <w:top w:val="none" w:sz="0" w:space="0" w:color="auto"/>
        <w:left w:val="none" w:sz="0" w:space="0" w:color="auto"/>
        <w:bottom w:val="none" w:sz="0" w:space="0" w:color="auto"/>
        <w:right w:val="none" w:sz="0" w:space="0" w:color="auto"/>
      </w:divBdr>
    </w:div>
    <w:div w:id="836072902">
      <w:bodyDiv w:val="1"/>
      <w:marLeft w:val="0"/>
      <w:marRight w:val="0"/>
      <w:marTop w:val="0"/>
      <w:marBottom w:val="0"/>
      <w:divBdr>
        <w:top w:val="none" w:sz="0" w:space="0" w:color="auto"/>
        <w:left w:val="none" w:sz="0" w:space="0" w:color="auto"/>
        <w:bottom w:val="none" w:sz="0" w:space="0" w:color="auto"/>
        <w:right w:val="none" w:sz="0" w:space="0" w:color="auto"/>
      </w:divBdr>
    </w:div>
    <w:div w:id="841626492">
      <w:bodyDiv w:val="1"/>
      <w:marLeft w:val="0"/>
      <w:marRight w:val="0"/>
      <w:marTop w:val="0"/>
      <w:marBottom w:val="0"/>
      <w:divBdr>
        <w:top w:val="none" w:sz="0" w:space="0" w:color="auto"/>
        <w:left w:val="none" w:sz="0" w:space="0" w:color="auto"/>
        <w:bottom w:val="none" w:sz="0" w:space="0" w:color="auto"/>
        <w:right w:val="none" w:sz="0" w:space="0" w:color="auto"/>
      </w:divBdr>
    </w:div>
    <w:div w:id="842012794">
      <w:bodyDiv w:val="1"/>
      <w:marLeft w:val="0"/>
      <w:marRight w:val="0"/>
      <w:marTop w:val="0"/>
      <w:marBottom w:val="0"/>
      <w:divBdr>
        <w:top w:val="none" w:sz="0" w:space="0" w:color="auto"/>
        <w:left w:val="none" w:sz="0" w:space="0" w:color="auto"/>
        <w:bottom w:val="none" w:sz="0" w:space="0" w:color="auto"/>
        <w:right w:val="none" w:sz="0" w:space="0" w:color="auto"/>
      </w:divBdr>
    </w:div>
    <w:div w:id="844326448">
      <w:bodyDiv w:val="1"/>
      <w:marLeft w:val="0"/>
      <w:marRight w:val="0"/>
      <w:marTop w:val="0"/>
      <w:marBottom w:val="0"/>
      <w:divBdr>
        <w:top w:val="none" w:sz="0" w:space="0" w:color="auto"/>
        <w:left w:val="none" w:sz="0" w:space="0" w:color="auto"/>
        <w:bottom w:val="none" w:sz="0" w:space="0" w:color="auto"/>
        <w:right w:val="none" w:sz="0" w:space="0" w:color="auto"/>
      </w:divBdr>
    </w:div>
    <w:div w:id="849374228">
      <w:bodyDiv w:val="1"/>
      <w:marLeft w:val="0"/>
      <w:marRight w:val="0"/>
      <w:marTop w:val="0"/>
      <w:marBottom w:val="0"/>
      <w:divBdr>
        <w:top w:val="none" w:sz="0" w:space="0" w:color="auto"/>
        <w:left w:val="none" w:sz="0" w:space="0" w:color="auto"/>
        <w:bottom w:val="none" w:sz="0" w:space="0" w:color="auto"/>
        <w:right w:val="none" w:sz="0" w:space="0" w:color="auto"/>
      </w:divBdr>
    </w:div>
    <w:div w:id="878785968">
      <w:bodyDiv w:val="1"/>
      <w:marLeft w:val="0"/>
      <w:marRight w:val="0"/>
      <w:marTop w:val="0"/>
      <w:marBottom w:val="0"/>
      <w:divBdr>
        <w:top w:val="none" w:sz="0" w:space="0" w:color="auto"/>
        <w:left w:val="none" w:sz="0" w:space="0" w:color="auto"/>
        <w:bottom w:val="none" w:sz="0" w:space="0" w:color="auto"/>
        <w:right w:val="none" w:sz="0" w:space="0" w:color="auto"/>
      </w:divBdr>
    </w:div>
    <w:div w:id="884215757">
      <w:bodyDiv w:val="1"/>
      <w:marLeft w:val="0"/>
      <w:marRight w:val="0"/>
      <w:marTop w:val="0"/>
      <w:marBottom w:val="0"/>
      <w:divBdr>
        <w:top w:val="none" w:sz="0" w:space="0" w:color="auto"/>
        <w:left w:val="none" w:sz="0" w:space="0" w:color="auto"/>
        <w:bottom w:val="none" w:sz="0" w:space="0" w:color="auto"/>
        <w:right w:val="none" w:sz="0" w:space="0" w:color="auto"/>
      </w:divBdr>
    </w:div>
    <w:div w:id="889153470">
      <w:bodyDiv w:val="1"/>
      <w:marLeft w:val="0"/>
      <w:marRight w:val="0"/>
      <w:marTop w:val="0"/>
      <w:marBottom w:val="0"/>
      <w:divBdr>
        <w:top w:val="none" w:sz="0" w:space="0" w:color="auto"/>
        <w:left w:val="none" w:sz="0" w:space="0" w:color="auto"/>
        <w:bottom w:val="none" w:sz="0" w:space="0" w:color="auto"/>
        <w:right w:val="none" w:sz="0" w:space="0" w:color="auto"/>
      </w:divBdr>
    </w:div>
    <w:div w:id="906494703">
      <w:bodyDiv w:val="1"/>
      <w:marLeft w:val="0"/>
      <w:marRight w:val="0"/>
      <w:marTop w:val="0"/>
      <w:marBottom w:val="0"/>
      <w:divBdr>
        <w:top w:val="none" w:sz="0" w:space="0" w:color="auto"/>
        <w:left w:val="none" w:sz="0" w:space="0" w:color="auto"/>
        <w:bottom w:val="none" w:sz="0" w:space="0" w:color="auto"/>
        <w:right w:val="none" w:sz="0" w:space="0" w:color="auto"/>
      </w:divBdr>
    </w:div>
    <w:div w:id="947852978">
      <w:bodyDiv w:val="1"/>
      <w:marLeft w:val="0"/>
      <w:marRight w:val="0"/>
      <w:marTop w:val="0"/>
      <w:marBottom w:val="0"/>
      <w:divBdr>
        <w:top w:val="none" w:sz="0" w:space="0" w:color="auto"/>
        <w:left w:val="none" w:sz="0" w:space="0" w:color="auto"/>
        <w:bottom w:val="none" w:sz="0" w:space="0" w:color="auto"/>
        <w:right w:val="none" w:sz="0" w:space="0" w:color="auto"/>
      </w:divBdr>
    </w:div>
    <w:div w:id="949318898">
      <w:bodyDiv w:val="1"/>
      <w:marLeft w:val="0"/>
      <w:marRight w:val="0"/>
      <w:marTop w:val="0"/>
      <w:marBottom w:val="0"/>
      <w:divBdr>
        <w:top w:val="none" w:sz="0" w:space="0" w:color="auto"/>
        <w:left w:val="none" w:sz="0" w:space="0" w:color="auto"/>
        <w:bottom w:val="none" w:sz="0" w:space="0" w:color="auto"/>
        <w:right w:val="none" w:sz="0" w:space="0" w:color="auto"/>
      </w:divBdr>
    </w:div>
    <w:div w:id="954482556">
      <w:bodyDiv w:val="1"/>
      <w:marLeft w:val="0"/>
      <w:marRight w:val="0"/>
      <w:marTop w:val="0"/>
      <w:marBottom w:val="0"/>
      <w:divBdr>
        <w:top w:val="none" w:sz="0" w:space="0" w:color="auto"/>
        <w:left w:val="none" w:sz="0" w:space="0" w:color="auto"/>
        <w:bottom w:val="none" w:sz="0" w:space="0" w:color="auto"/>
        <w:right w:val="none" w:sz="0" w:space="0" w:color="auto"/>
      </w:divBdr>
    </w:div>
    <w:div w:id="971401263">
      <w:bodyDiv w:val="1"/>
      <w:marLeft w:val="0"/>
      <w:marRight w:val="0"/>
      <w:marTop w:val="0"/>
      <w:marBottom w:val="0"/>
      <w:divBdr>
        <w:top w:val="none" w:sz="0" w:space="0" w:color="auto"/>
        <w:left w:val="none" w:sz="0" w:space="0" w:color="auto"/>
        <w:bottom w:val="none" w:sz="0" w:space="0" w:color="auto"/>
        <w:right w:val="none" w:sz="0" w:space="0" w:color="auto"/>
      </w:divBdr>
    </w:div>
    <w:div w:id="1001591833">
      <w:bodyDiv w:val="1"/>
      <w:marLeft w:val="0"/>
      <w:marRight w:val="0"/>
      <w:marTop w:val="0"/>
      <w:marBottom w:val="0"/>
      <w:divBdr>
        <w:top w:val="none" w:sz="0" w:space="0" w:color="auto"/>
        <w:left w:val="none" w:sz="0" w:space="0" w:color="auto"/>
        <w:bottom w:val="none" w:sz="0" w:space="0" w:color="auto"/>
        <w:right w:val="none" w:sz="0" w:space="0" w:color="auto"/>
      </w:divBdr>
    </w:div>
    <w:div w:id="1003779790">
      <w:bodyDiv w:val="1"/>
      <w:marLeft w:val="0"/>
      <w:marRight w:val="0"/>
      <w:marTop w:val="0"/>
      <w:marBottom w:val="0"/>
      <w:divBdr>
        <w:top w:val="none" w:sz="0" w:space="0" w:color="auto"/>
        <w:left w:val="none" w:sz="0" w:space="0" w:color="auto"/>
        <w:bottom w:val="none" w:sz="0" w:space="0" w:color="auto"/>
        <w:right w:val="none" w:sz="0" w:space="0" w:color="auto"/>
      </w:divBdr>
    </w:div>
    <w:div w:id="1025667810">
      <w:bodyDiv w:val="1"/>
      <w:marLeft w:val="0"/>
      <w:marRight w:val="0"/>
      <w:marTop w:val="0"/>
      <w:marBottom w:val="0"/>
      <w:divBdr>
        <w:top w:val="none" w:sz="0" w:space="0" w:color="auto"/>
        <w:left w:val="none" w:sz="0" w:space="0" w:color="auto"/>
        <w:bottom w:val="none" w:sz="0" w:space="0" w:color="auto"/>
        <w:right w:val="none" w:sz="0" w:space="0" w:color="auto"/>
      </w:divBdr>
    </w:div>
    <w:div w:id="1038242913">
      <w:bodyDiv w:val="1"/>
      <w:marLeft w:val="0"/>
      <w:marRight w:val="0"/>
      <w:marTop w:val="0"/>
      <w:marBottom w:val="0"/>
      <w:divBdr>
        <w:top w:val="none" w:sz="0" w:space="0" w:color="auto"/>
        <w:left w:val="none" w:sz="0" w:space="0" w:color="auto"/>
        <w:bottom w:val="none" w:sz="0" w:space="0" w:color="auto"/>
        <w:right w:val="none" w:sz="0" w:space="0" w:color="auto"/>
      </w:divBdr>
    </w:div>
    <w:div w:id="1197892369">
      <w:bodyDiv w:val="1"/>
      <w:marLeft w:val="0"/>
      <w:marRight w:val="0"/>
      <w:marTop w:val="0"/>
      <w:marBottom w:val="0"/>
      <w:divBdr>
        <w:top w:val="none" w:sz="0" w:space="0" w:color="auto"/>
        <w:left w:val="none" w:sz="0" w:space="0" w:color="auto"/>
        <w:bottom w:val="none" w:sz="0" w:space="0" w:color="auto"/>
        <w:right w:val="none" w:sz="0" w:space="0" w:color="auto"/>
      </w:divBdr>
    </w:div>
    <w:div w:id="1213469412">
      <w:bodyDiv w:val="1"/>
      <w:marLeft w:val="0"/>
      <w:marRight w:val="0"/>
      <w:marTop w:val="0"/>
      <w:marBottom w:val="0"/>
      <w:divBdr>
        <w:top w:val="none" w:sz="0" w:space="0" w:color="auto"/>
        <w:left w:val="none" w:sz="0" w:space="0" w:color="auto"/>
        <w:bottom w:val="none" w:sz="0" w:space="0" w:color="auto"/>
        <w:right w:val="none" w:sz="0" w:space="0" w:color="auto"/>
      </w:divBdr>
    </w:div>
    <w:div w:id="1215118990">
      <w:bodyDiv w:val="1"/>
      <w:marLeft w:val="0"/>
      <w:marRight w:val="0"/>
      <w:marTop w:val="0"/>
      <w:marBottom w:val="0"/>
      <w:divBdr>
        <w:top w:val="none" w:sz="0" w:space="0" w:color="auto"/>
        <w:left w:val="none" w:sz="0" w:space="0" w:color="auto"/>
        <w:bottom w:val="none" w:sz="0" w:space="0" w:color="auto"/>
        <w:right w:val="none" w:sz="0" w:space="0" w:color="auto"/>
      </w:divBdr>
    </w:div>
    <w:div w:id="1217084372">
      <w:bodyDiv w:val="1"/>
      <w:marLeft w:val="0"/>
      <w:marRight w:val="0"/>
      <w:marTop w:val="0"/>
      <w:marBottom w:val="0"/>
      <w:divBdr>
        <w:top w:val="none" w:sz="0" w:space="0" w:color="auto"/>
        <w:left w:val="none" w:sz="0" w:space="0" w:color="auto"/>
        <w:bottom w:val="none" w:sz="0" w:space="0" w:color="auto"/>
        <w:right w:val="none" w:sz="0" w:space="0" w:color="auto"/>
      </w:divBdr>
    </w:div>
    <w:div w:id="1261253557">
      <w:bodyDiv w:val="1"/>
      <w:marLeft w:val="0"/>
      <w:marRight w:val="0"/>
      <w:marTop w:val="0"/>
      <w:marBottom w:val="0"/>
      <w:divBdr>
        <w:top w:val="none" w:sz="0" w:space="0" w:color="auto"/>
        <w:left w:val="none" w:sz="0" w:space="0" w:color="auto"/>
        <w:bottom w:val="none" w:sz="0" w:space="0" w:color="auto"/>
        <w:right w:val="none" w:sz="0" w:space="0" w:color="auto"/>
      </w:divBdr>
    </w:div>
    <w:div w:id="1299606589">
      <w:bodyDiv w:val="1"/>
      <w:marLeft w:val="0"/>
      <w:marRight w:val="0"/>
      <w:marTop w:val="0"/>
      <w:marBottom w:val="0"/>
      <w:divBdr>
        <w:top w:val="none" w:sz="0" w:space="0" w:color="auto"/>
        <w:left w:val="none" w:sz="0" w:space="0" w:color="auto"/>
        <w:bottom w:val="none" w:sz="0" w:space="0" w:color="auto"/>
        <w:right w:val="none" w:sz="0" w:space="0" w:color="auto"/>
      </w:divBdr>
    </w:div>
    <w:div w:id="1299647420">
      <w:bodyDiv w:val="1"/>
      <w:marLeft w:val="0"/>
      <w:marRight w:val="0"/>
      <w:marTop w:val="0"/>
      <w:marBottom w:val="0"/>
      <w:divBdr>
        <w:top w:val="none" w:sz="0" w:space="0" w:color="auto"/>
        <w:left w:val="none" w:sz="0" w:space="0" w:color="auto"/>
        <w:bottom w:val="none" w:sz="0" w:space="0" w:color="auto"/>
        <w:right w:val="none" w:sz="0" w:space="0" w:color="auto"/>
      </w:divBdr>
    </w:div>
    <w:div w:id="1310675338">
      <w:bodyDiv w:val="1"/>
      <w:marLeft w:val="0"/>
      <w:marRight w:val="0"/>
      <w:marTop w:val="0"/>
      <w:marBottom w:val="0"/>
      <w:divBdr>
        <w:top w:val="none" w:sz="0" w:space="0" w:color="auto"/>
        <w:left w:val="none" w:sz="0" w:space="0" w:color="auto"/>
        <w:bottom w:val="none" w:sz="0" w:space="0" w:color="auto"/>
        <w:right w:val="none" w:sz="0" w:space="0" w:color="auto"/>
      </w:divBdr>
    </w:div>
    <w:div w:id="1312757486">
      <w:bodyDiv w:val="1"/>
      <w:marLeft w:val="0"/>
      <w:marRight w:val="0"/>
      <w:marTop w:val="0"/>
      <w:marBottom w:val="0"/>
      <w:divBdr>
        <w:top w:val="none" w:sz="0" w:space="0" w:color="auto"/>
        <w:left w:val="none" w:sz="0" w:space="0" w:color="auto"/>
        <w:bottom w:val="none" w:sz="0" w:space="0" w:color="auto"/>
        <w:right w:val="none" w:sz="0" w:space="0" w:color="auto"/>
      </w:divBdr>
    </w:div>
    <w:div w:id="1323318741">
      <w:bodyDiv w:val="1"/>
      <w:marLeft w:val="0"/>
      <w:marRight w:val="0"/>
      <w:marTop w:val="0"/>
      <w:marBottom w:val="0"/>
      <w:divBdr>
        <w:top w:val="none" w:sz="0" w:space="0" w:color="auto"/>
        <w:left w:val="none" w:sz="0" w:space="0" w:color="auto"/>
        <w:bottom w:val="none" w:sz="0" w:space="0" w:color="auto"/>
        <w:right w:val="none" w:sz="0" w:space="0" w:color="auto"/>
      </w:divBdr>
    </w:div>
    <w:div w:id="1326283931">
      <w:bodyDiv w:val="1"/>
      <w:marLeft w:val="0"/>
      <w:marRight w:val="0"/>
      <w:marTop w:val="0"/>
      <w:marBottom w:val="0"/>
      <w:divBdr>
        <w:top w:val="none" w:sz="0" w:space="0" w:color="auto"/>
        <w:left w:val="none" w:sz="0" w:space="0" w:color="auto"/>
        <w:bottom w:val="none" w:sz="0" w:space="0" w:color="auto"/>
        <w:right w:val="none" w:sz="0" w:space="0" w:color="auto"/>
      </w:divBdr>
    </w:div>
    <w:div w:id="1354841591">
      <w:bodyDiv w:val="1"/>
      <w:marLeft w:val="0"/>
      <w:marRight w:val="0"/>
      <w:marTop w:val="0"/>
      <w:marBottom w:val="0"/>
      <w:divBdr>
        <w:top w:val="none" w:sz="0" w:space="0" w:color="auto"/>
        <w:left w:val="none" w:sz="0" w:space="0" w:color="auto"/>
        <w:bottom w:val="none" w:sz="0" w:space="0" w:color="auto"/>
        <w:right w:val="none" w:sz="0" w:space="0" w:color="auto"/>
      </w:divBdr>
    </w:div>
    <w:div w:id="1357653784">
      <w:bodyDiv w:val="1"/>
      <w:marLeft w:val="0"/>
      <w:marRight w:val="0"/>
      <w:marTop w:val="0"/>
      <w:marBottom w:val="0"/>
      <w:divBdr>
        <w:top w:val="none" w:sz="0" w:space="0" w:color="auto"/>
        <w:left w:val="none" w:sz="0" w:space="0" w:color="auto"/>
        <w:bottom w:val="none" w:sz="0" w:space="0" w:color="auto"/>
        <w:right w:val="none" w:sz="0" w:space="0" w:color="auto"/>
      </w:divBdr>
    </w:div>
    <w:div w:id="1357926016">
      <w:bodyDiv w:val="1"/>
      <w:marLeft w:val="0"/>
      <w:marRight w:val="0"/>
      <w:marTop w:val="0"/>
      <w:marBottom w:val="0"/>
      <w:divBdr>
        <w:top w:val="none" w:sz="0" w:space="0" w:color="auto"/>
        <w:left w:val="none" w:sz="0" w:space="0" w:color="auto"/>
        <w:bottom w:val="none" w:sz="0" w:space="0" w:color="auto"/>
        <w:right w:val="none" w:sz="0" w:space="0" w:color="auto"/>
      </w:divBdr>
    </w:div>
    <w:div w:id="1359546743">
      <w:bodyDiv w:val="1"/>
      <w:marLeft w:val="0"/>
      <w:marRight w:val="0"/>
      <w:marTop w:val="0"/>
      <w:marBottom w:val="0"/>
      <w:divBdr>
        <w:top w:val="none" w:sz="0" w:space="0" w:color="auto"/>
        <w:left w:val="none" w:sz="0" w:space="0" w:color="auto"/>
        <w:bottom w:val="none" w:sz="0" w:space="0" w:color="auto"/>
        <w:right w:val="none" w:sz="0" w:space="0" w:color="auto"/>
      </w:divBdr>
    </w:div>
    <w:div w:id="1367750332">
      <w:bodyDiv w:val="1"/>
      <w:marLeft w:val="0"/>
      <w:marRight w:val="0"/>
      <w:marTop w:val="0"/>
      <w:marBottom w:val="0"/>
      <w:divBdr>
        <w:top w:val="none" w:sz="0" w:space="0" w:color="auto"/>
        <w:left w:val="none" w:sz="0" w:space="0" w:color="auto"/>
        <w:bottom w:val="none" w:sz="0" w:space="0" w:color="auto"/>
        <w:right w:val="none" w:sz="0" w:space="0" w:color="auto"/>
      </w:divBdr>
    </w:div>
    <w:div w:id="1373461823">
      <w:bodyDiv w:val="1"/>
      <w:marLeft w:val="0"/>
      <w:marRight w:val="0"/>
      <w:marTop w:val="0"/>
      <w:marBottom w:val="0"/>
      <w:divBdr>
        <w:top w:val="none" w:sz="0" w:space="0" w:color="auto"/>
        <w:left w:val="none" w:sz="0" w:space="0" w:color="auto"/>
        <w:bottom w:val="none" w:sz="0" w:space="0" w:color="auto"/>
        <w:right w:val="none" w:sz="0" w:space="0" w:color="auto"/>
      </w:divBdr>
    </w:div>
    <w:div w:id="1387218959">
      <w:bodyDiv w:val="1"/>
      <w:marLeft w:val="0"/>
      <w:marRight w:val="0"/>
      <w:marTop w:val="0"/>
      <w:marBottom w:val="0"/>
      <w:divBdr>
        <w:top w:val="none" w:sz="0" w:space="0" w:color="auto"/>
        <w:left w:val="none" w:sz="0" w:space="0" w:color="auto"/>
        <w:bottom w:val="none" w:sz="0" w:space="0" w:color="auto"/>
        <w:right w:val="none" w:sz="0" w:space="0" w:color="auto"/>
      </w:divBdr>
    </w:div>
    <w:div w:id="1405955632">
      <w:bodyDiv w:val="1"/>
      <w:marLeft w:val="0"/>
      <w:marRight w:val="0"/>
      <w:marTop w:val="0"/>
      <w:marBottom w:val="0"/>
      <w:divBdr>
        <w:top w:val="none" w:sz="0" w:space="0" w:color="auto"/>
        <w:left w:val="none" w:sz="0" w:space="0" w:color="auto"/>
        <w:bottom w:val="none" w:sz="0" w:space="0" w:color="auto"/>
        <w:right w:val="none" w:sz="0" w:space="0" w:color="auto"/>
      </w:divBdr>
    </w:div>
    <w:div w:id="1428237747">
      <w:bodyDiv w:val="1"/>
      <w:marLeft w:val="0"/>
      <w:marRight w:val="0"/>
      <w:marTop w:val="0"/>
      <w:marBottom w:val="0"/>
      <w:divBdr>
        <w:top w:val="none" w:sz="0" w:space="0" w:color="auto"/>
        <w:left w:val="none" w:sz="0" w:space="0" w:color="auto"/>
        <w:bottom w:val="none" w:sz="0" w:space="0" w:color="auto"/>
        <w:right w:val="none" w:sz="0" w:space="0" w:color="auto"/>
      </w:divBdr>
    </w:div>
    <w:div w:id="1433159916">
      <w:bodyDiv w:val="1"/>
      <w:marLeft w:val="0"/>
      <w:marRight w:val="0"/>
      <w:marTop w:val="0"/>
      <w:marBottom w:val="0"/>
      <w:divBdr>
        <w:top w:val="none" w:sz="0" w:space="0" w:color="auto"/>
        <w:left w:val="none" w:sz="0" w:space="0" w:color="auto"/>
        <w:bottom w:val="none" w:sz="0" w:space="0" w:color="auto"/>
        <w:right w:val="none" w:sz="0" w:space="0" w:color="auto"/>
      </w:divBdr>
    </w:div>
    <w:div w:id="1437401825">
      <w:bodyDiv w:val="1"/>
      <w:marLeft w:val="0"/>
      <w:marRight w:val="0"/>
      <w:marTop w:val="0"/>
      <w:marBottom w:val="0"/>
      <w:divBdr>
        <w:top w:val="none" w:sz="0" w:space="0" w:color="auto"/>
        <w:left w:val="none" w:sz="0" w:space="0" w:color="auto"/>
        <w:bottom w:val="none" w:sz="0" w:space="0" w:color="auto"/>
        <w:right w:val="none" w:sz="0" w:space="0" w:color="auto"/>
      </w:divBdr>
    </w:div>
    <w:div w:id="1440763154">
      <w:bodyDiv w:val="1"/>
      <w:marLeft w:val="0"/>
      <w:marRight w:val="0"/>
      <w:marTop w:val="0"/>
      <w:marBottom w:val="0"/>
      <w:divBdr>
        <w:top w:val="none" w:sz="0" w:space="0" w:color="auto"/>
        <w:left w:val="none" w:sz="0" w:space="0" w:color="auto"/>
        <w:bottom w:val="none" w:sz="0" w:space="0" w:color="auto"/>
        <w:right w:val="none" w:sz="0" w:space="0" w:color="auto"/>
      </w:divBdr>
    </w:div>
    <w:div w:id="1489518806">
      <w:bodyDiv w:val="1"/>
      <w:marLeft w:val="0"/>
      <w:marRight w:val="0"/>
      <w:marTop w:val="0"/>
      <w:marBottom w:val="0"/>
      <w:divBdr>
        <w:top w:val="none" w:sz="0" w:space="0" w:color="auto"/>
        <w:left w:val="none" w:sz="0" w:space="0" w:color="auto"/>
        <w:bottom w:val="none" w:sz="0" w:space="0" w:color="auto"/>
        <w:right w:val="none" w:sz="0" w:space="0" w:color="auto"/>
      </w:divBdr>
    </w:div>
    <w:div w:id="1505896960">
      <w:bodyDiv w:val="1"/>
      <w:marLeft w:val="0"/>
      <w:marRight w:val="0"/>
      <w:marTop w:val="0"/>
      <w:marBottom w:val="0"/>
      <w:divBdr>
        <w:top w:val="none" w:sz="0" w:space="0" w:color="auto"/>
        <w:left w:val="none" w:sz="0" w:space="0" w:color="auto"/>
        <w:bottom w:val="none" w:sz="0" w:space="0" w:color="auto"/>
        <w:right w:val="none" w:sz="0" w:space="0" w:color="auto"/>
      </w:divBdr>
    </w:div>
    <w:div w:id="1516454812">
      <w:bodyDiv w:val="1"/>
      <w:marLeft w:val="0"/>
      <w:marRight w:val="0"/>
      <w:marTop w:val="0"/>
      <w:marBottom w:val="0"/>
      <w:divBdr>
        <w:top w:val="none" w:sz="0" w:space="0" w:color="auto"/>
        <w:left w:val="none" w:sz="0" w:space="0" w:color="auto"/>
        <w:bottom w:val="none" w:sz="0" w:space="0" w:color="auto"/>
        <w:right w:val="none" w:sz="0" w:space="0" w:color="auto"/>
      </w:divBdr>
    </w:div>
    <w:div w:id="1524317242">
      <w:bodyDiv w:val="1"/>
      <w:marLeft w:val="0"/>
      <w:marRight w:val="0"/>
      <w:marTop w:val="0"/>
      <w:marBottom w:val="0"/>
      <w:divBdr>
        <w:top w:val="none" w:sz="0" w:space="0" w:color="auto"/>
        <w:left w:val="none" w:sz="0" w:space="0" w:color="auto"/>
        <w:bottom w:val="none" w:sz="0" w:space="0" w:color="auto"/>
        <w:right w:val="none" w:sz="0" w:space="0" w:color="auto"/>
      </w:divBdr>
    </w:div>
    <w:div w:id="1536842465">
      <w:bodyDiv w:val="1"/>
      <w:marLeft w:val="0"/>
      <w:marRight w:val="0"/>
      <w:marTop w:val="0"/>
      <w:marBottom w:val="0"/>
      <w:divBdr>
        <w:top w:val="none" w:sz="0" w:space="0" w:color="auto"/>
        <w:left w:val="none" w:sz="0" w:space="0" w:color="auto"/>
        <w:bottom w:val="none" w:sz="0" w:space="0" w:color="auto"/>
        <w:right w:val="none" w:sz="0" w:space="0" w:color="auto"/>
      </w:divBdr>
    </w:div>
    <w:div w:id="1542864789">
      <w:bodyDiv w:val="1"/>
      <w:marLeft w:val="0"/>
      <w:marRight w:val="0"/>
      <w:marTop w:val="0"/>
      <w:marBottom w:val="0"/>
      <w:divBdr>
        <w:top w:val="none" w:sz="0" w:space="0" w:color="auto"/>
        <w:left w:val="none" w:sz="0" w:space="0" w:color="auto"/>
        <w:bottom w:val="none" w:sz="0" w:space="0" w:color="auto"/>
        <w:right w:val="none" w:sz="0" w:space="0" w:color="auto"/>
      </w:divBdr>
    </w:div>
    <w:div w:id="1556233525">
      <w:bodyDiv w:val="1"/>
      <w:marLeft w:val="0"/>
      <w:marRight w:val="0"/>
      <w:marTop w:val="0"/>
      <w:marBottom w:val="0"/>
      <w:divBdr>
        <w:top w:val="none" w:sz="0" w:space="0" w:color="auto"/>
        <w:left w:val="none" w:sz="0" w:space="0" w:color="auto"/>
        <w:bottom w:val="none" w:sz="0" w:space="0" w:color="auto"/>
        <w:right w:val="none" w:sz="0" w:space="0" w:color="auto"/>
      </w:divBdr>
    </w:div>
    <w:div w:id="1556426199">
      <w:bodyDiv w:val="1"/>
      <w:marLeft w:val="0"/>
      <w:marRight w:val="0"/>
      <w:marTop w:val="0"/>
      <w:marBottom w:val="0"/>
      <w:divBdr>
        <w:top w:val="none" w:sz="0" w:space="0" w:color="auto"/>
        <w:left w:val="none" w:sz="0" w:space="0" w:color="auto"/>
        <w:bottom w:val="none" w:sz="0" w:space="0" w:color="auto"/>
        <w:right w:val="none" w:sz="0" w:space="0" w:color="auto"/>
      </w:divBdr>
    </w:div>
    <w:div w:id="1598715316">
      <w:bodyDiv w:val="1"/>
      <w:marLeft w:val="0"/>
      <w:marRight w:val="0"/>
      <w:marTop w:val="0"/>
      <w:marBottom w:val="0"/>
      <w:divBdr>
        <w:top w:val="none" w:sz="0" w:space="0" w:color="auto"/>
        <w:left w:val="none" w:sz="0" w:space="0" w:color="auto"/>
        <w:bottom w:val="none" w:sz="0" w:space="0" w:color="auto"/>
        <w:right w:val="none" w:sz="0" w:space="0" w:color="auto"/>
      </w:divBdr>
    </w:div>
    <w:div w:id="1658997646">
      <w:bodyDiv w:val="1"/>
      <w:marLeft w:val="0"/>
      <w:marRight w:val="0"/>
      <w:marTop w:val="0"/>
      <w:marBottom w:val="0"/>
      <w:divBdr>
        <w:top w:val="none" w:sz="0" w:space="0" w:color="auto"/>
        <w:left w:val="none" w:sz="0" w:space="0" w:color="auto"/>
        <w:bottom w:val="none" w:sz="0" w:space="0" w:color="auto"/>
        <w:right w:val="none" w:sz="0" w:space="0" w:color="auto"/>
      </w:divBdr>
    </w:div>
    <w:div w:id="1677268787">
      <w:bodyDiv w:val="1"/>
      <w:marLeft w:val="0"/>
      <w:marRight w:val="0"/>
      <w:marTop w:val="0"/>
      <w:marBottom w:val="0"/>
      <w:divBdr>
        <w:top w:val="none" w:sz="0" w:space="0" w:color="auto"/>
        <w:left w:val="none" w:sz="0" w:space="0" w:color="auto"/>
        <w:bottom w:val="none" w:sz="0" w:space="0" w:color="auto"/>
        <w:right w:val="none" w:sz="0" w:space="0" w:color="auto"/>
      </w:divBdr>
    </w:div>
    <w:div w:id="1710301997">
      <w:bodyDiv w:val="1"/>
      <w:marLeft w:val="0"/>
      <w:marRight w:val="0"/>
      <w:marTop w:val="0"/>
      <w:marBottom w:val="0"/>
      <w:divBdr>
        <w:top w:val="none" w:sz="0" w:space="0" w:color="auto"/>
        <w:left w:val="none" w:sz="0" w:space="0" w:color="auto"/>
        <w:bottom w:val="none" w:sz="0" w:space="0" w:color="auto"/>
        <w:right w:val="none" w:sz="0" w:space="0" w:color="auto"/>
      </w:divBdr>
    </w:div>
    <w:div w:id="1715538155">
      <w:bodyDiv w:val="1"/>
      <w:marLeft w:val="0"/>
      <w:marRight w:val="0"/>
      <w:marTop w:val="0"/>
      <w:marBottom w:val="0"/>
      <w:divBdr>
        <w:top w:val="none" w:sz="0" w:space="0" w:color="auto"/>
        <w:left w:val="none" w:sz="0" w:space="0" w:color="auto"/>
        <w:bottom w:val="none" w:sz="0" w:space="0" w:color="auto"/>
        <w:right w:val="none" w:sz="0" w:space="0" w:color="auto"/>
      </w:divBdr>
    </w:div>
    <w:div w:id="1716999514">
      <w:bodyDiv w:val="1"/>
      <w:marLeft w:val="0"/>
      <w:marRight w:val="0"/>
      <w:marTop w:val="0"/>
      <w:marBottom w:val="0"/>
      <w:divBdr>
        <w:top w:val="none" w:sz="0" w:space="0" w:color="auto"/>
        <w:left w:val="none" w:sz="0" w:space="0" w:color="auto"/>
        <w:bottom w:val="none" w:sz="0" w:space="0" w:color="auto"/>
        <w:right w:val="none" w:sz="0" w:space="0" w:color="auto"/>
      </w:divBdr>
    </w:div>
    <w:div w:id="1736925709">
      <w:bodyDiv w:val="1"/>
      <w:marLeft w:val="0"/>
      <w:marRight w:val="0"/>
      <w:marTop w:val="0"/>
      <w:marBottom w:val="0"/>
      <w:divBdr>
        <w:top w:val="none" w:sz="0" w:space="0" w:color="auto"/>
        <w:left w:val="none" w:sz="0" w:space="0" w:color="auto"/>
        <w:bottom w:val="none" w:sz="0" w:space="0" w:color="auto"/>
        <w:right w:val="none" w:sz="0" w:space="0" w:color="auto"/>
      </w:divBdr>
    </w:div>
    <w:div w:id="1757243787">
      <w:bodyDiv w:val="1"/>
      <w:marLeft w:val="0"/>
      <w:marRight w:val="0"/>
      <w:marTop w:val="0"/>
      <w:marBottom w:val="0"/>
      <w:divBdr>
        <w:top w:val="none" w:sz="0" w:space="0" w:color="auto"/>
        <w:left w:val="none" w:sz="0" w:space="0" w:color="auto"/>
        <w:bottom w:val="none" w:sz="0" w:space="0" w:color="auto"/>
        <w:right w:val="none" w:sz="0" w:space="0" w:color="auto"/>
      </w:divBdr>
    </w:div>
    <w:div w:id="1759402526">
      <w:bodyDiv w:val="1"/>
      <w:marLeft w:val="0"/>
      <w:marRight w:val="0"/>
      <w:marTop w:val="0"/>
      <w:marBottom w:val="0"/>
      <w:divBdr>
        <w:top w:val="none" w:sz="0" w:space="0" w:color="auto"/>
        <w:left w:val="none" w:sz="0" w:space="0" w:color="auto"/>
        <w:bottom w:val="none" w:sz="0" w:space="0" w:color="auto"/>
        <w:right w:val="none" w:sz="0" w:space="0" w:color="auto"/>
      </w:divBdr>
    </w:div>
    <w:div w:id="1797797845">
      <w:bodyDiv w:val="1"/>
      <w:marLeft w:val="0"/>
      <w:marRight w:val="0"/>
      <w:marTop w:val="0"/>
      <w:marBottom w:val="0"/>
      <w:divBdr>
        <w:top w:val="none" w:sz="0" w:space="0" w:color="auto"/>
        <w:left w:val="none" w:sz="0" w:space="0" w:color="auto"/>
        <w:bottom w:val="none" w:sz="0" w:space="0" w:color="auto"/>
        <w:right w:val="none" w:sz="0" w:space="0" w:color="auto"/>
      </w:divBdr>
    </w:div>
    <w:div w:id="1799564833">
      <w:bodyDiv w:val="1"/>
      <w:marLeft w:val="0"/>
      <w:marRight w:val="0"/>
      <w:marTop w:val="0"/>
      <w:marBottom w:val="0"/>
      <w:divBdr>
        <w:top w:val="none" w:sz="0" w:space="0" w:color="auto"/>
        <w:left w:val="none" w:sz="0" w:space="0" w:color="auto"/>
        <w:bottom w:val="none" w:sz="0" w:space="0" w:color="auto"/>
        <w:right w:val="none" w:sz="0" w:space="0" w:color="auto"/>
      </w:divBdr>
    </w:div>
    <w:div w:id="1800302134">
      <w:bodyDiv w:val="1"/>
      <w:marLeft w:val="0"/>
      <w:marRight w:val="0"/>
      <w:marTop w:val="0"/>
      <w:marBottom w:val="0"/>
      <w:divBdr>
        <w:top w:val="none" w:sz="0" w:space="0" w:color="auto"/>
        <w:left w:val="none" w:sz="0" w:space="0" w:color="auto"/>
        <w:bottom w:val="none" w:sz="0" w:space="0" w:color="auto"/>
        <w:right w:val="none" w:sz="0" w:space="0" w:color="auto"/>
      </w:divBdr>
    </w:div>
    <w:div w:id="1887060536">
      <w:bodyDiv w:val="1"/>
      <w:marLeft w:val="0"/>
      <w:marRight w:val="0"/>
      <w:marTop w:val="0"/>
      <w:marBottom w:val="0"/>
      <w:divBdr>
        <w:top w:val="none" w:sz="0" w:space="0" w:color="auto"/>
        <w:left w:val="none" w:sz="0" w:space="0" w:color="auto"/>
        <w:bottom w:val="none" w:sz="0" w:space="0" w:color="auto"/>
        <w:right w:val="none" w:sz="0" w:space="0" w:color="auto"/>
      </w:divBdr>
    </w:div>
    <w:div w:id="1889606884">
      <w:bodyDiv w:val="1"/>
      <w:marLeft w:val="0"/>
      <w:marRight w:val="0"/>
      <w:marTop w:val="0"/>
      <w:marBottom w:val="0"/>
      <w:divBdr>
        <w:top w:val="none" w:sz="0" w:space="0" w:color="auto"/>
        <w:left w:val="none" w:sz="0" w:space="0" w:color="auto"/>
        <w:bottom w:val="none" w:sz="0" w:space="0" w:color="auto"/>
        <w:right w:val="none" w:sz="0" w:space="0" w:color="auto"/>
      </w:divBdr>
    </w:div>
    <w:div w:id="1890065183">
      <w:bodyDiv w:val="1"/>
      <w:marLeft w:val="0"/>
      <w:marRight w:val="0"/>
      <w:marTop w:val="0"/>
      <w:marBottom w:val="0"/>
      <w:divBdr>
        <w:top w:val="none" w:sz="0" w:space="0" w:color="auto"/>
        <w:left w:val="none" w:sz="0" w:space="0" w:color="auto"/>
        <w:bottom w:val="none" w:sz="0" w:space="0" w:color="auto"/>
        <w:right w:val="none" w:sz="0" w:space="0" w:color="auto"/>
      </w:divBdr>
    </w:div>
    <w:div w:id="1894343101">
      <w:bodyDiv w:val="1"/>
      <w:marLeft w:val="0"/>
      <w:marRight w:val="0"/>
      <w:marTop w:val="0"/>
      <w:marBottom w:val="0"/>
      <w:divBdr>
        <w:top w:val="none" w:sz="0" w:space="0" w:color="auto"/>
        <w:left w:val="none" w:sz="0" w:space="0" w:color="auto"/>
        <w:bottom w:val="none" w:sz="0" w:space="0" w:color="auto"/>
        <w:right w:val="none" w:sz="0" w:space="0" w:color="auto"/>
      </w:divBdr>
      <w:divsChild>
        <w:div w:id="656763601">
          <w:marLeft w:val="0"/>
          <w:marRight w:val="0"/>
          <w:marTop w:val="0"/>
          <w:marBottom w:val="0"/>
          <w:divBdr>
            <w:top w:val="none" w:sz="0" w:space="0" w:color="auto"/>
            <w:left w:val="none" w:sz="0" w:space="0" w:color="auto"/>
            <w:bottom w:val="none" w:sz="0" w:space="0" w:color="auto"/>
            <w:right w:val="none" w:sz="0" w:space="0" w:color="auto"/>
          </w:divBdr>
          <w:divsChild>
            <w:div w:id="1103845980">
              <w:marLeft w:val="0"/>
              <w:marRight w:val="0"/>
              <w:marTop w:val="0"/>
              <w:marBottom w:val="0"/>
              <w:divBdr>
                <w:top w:val="none" w:sz="0" w:space="0" w:color="auto"/>
                <w:left w:val="none" w:sz="0" w:space="0" w:color="auto"/>
                <w:bottom w:val="none" w:sz="0" w:space="0" w:color="auto"/>
                <w:right w:val="none" w:sz="0" w:space="0" w:color="auto"/>
              </w:divBdr>
              <w:divsChild>
                <w:div w:id="169301750">
                  <w:marLeft w:val="0"/>
                  <w:marRight w:val="0"/>
                  <w:marTop w:val="0"/>
                  <w:marBottom w:val="0"/>
                  <w:divBdr>
                    <w:top w:val="none" w:sz="0" w:space="0" w:color="auto"/>
                    <w:left w:val="none" w:sz="0" w:space="0" w:color="auto"/>
                    <w:bottom w:val="none" w:sz="0" w:space="0" w:color="auto"/>
                    <w:right w:val="none" w:sz="0" w:space="0" w:color="auto"/>
                  </w:divBdr>
                  <w:divsChild>
                    <w:div w:id="711808747">
                      <w:marLeft w:val="0"/>
                      <w:marRight w:val="0"/>
                      <w:marTop w:val="0"/>
                      <w:marBottom w:val="0"/>
                      <w:divBdr>
                        <w:top w:val="none" w:sz="0" w:space="0" w:color="auto"/>
                        <w:left w:val="none" w:sz="0" w:space="0" w:color="auto"/>
                        <w:bottom w:val="none" w:sz="0" w:space="0" w:color="auto"/>
                        <w:right w:val="none" w:sz="0" w:space="0" w:color="auto"/>
                      </w:divBdr>
                      <w:divsChild>
                        <w:div w:id="486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84972">
      <w:bodyDiv w:val="1"/>
      <w:marLeft w:val="0"/>
      <w:marRight w:val="0"/>
      <w:marTop w:val="0"/>
      <w:marBottom w:val="0"/>
      <w:divBdr>
        <w:top w:val="none" w:sz="0" w:space="0" w:color="auto"/>
        <w:left w:val="none" w:sz="0" w:space="0" w:color="auto"/>
        <w:bottom w:val="none" w:sz="0" w:space="0" w:color="auto"/>
        <w:right w:val="none" w:sz="0" w:space="0" w:color="auto"/>
      </w:divBdr>
    </w:div>
    <w:div w:id="1955937754">
      <w:bodyDiv w:val="1"/>
      <w:marLeft w:val="0"/>
      <w:marRight w:val="0"/>
      <w:marTop w:val="0"/>
      <w:marBottom w:val="0"/>
      <w:divBdr>
        <w:top w:val="none" w:sz="0" w:space="0" w:color="auto"/>
        <w:left w:val="none" w:sz="0" w:space="0" w:color="auto"/>
        <w:bottom w:val="none" w:sz="0" w:space="0" w:color="auto"/>
        <w:right w:val="none" w:sz="0" w:space="0" w:color="auto"/>
      </w:divBdr>
    </w:div>
    <w:div w:id="1981154994">
      <w:bodyDiv w:val="1"/>
      <w:marLeft w:val="0"/>
      <w:marRight w:val="0"/>
      <w:marTop w:val="0"/>
      <w:marBottom w:val="0"/>
      <w:divBdr>
        <w:top w:val="none" w:sz="0" w:space="0" w:color="auto"/>
        <w:left w:val="none" w:sz="0" w:space="0" w:color="auto"/>
        <w:bottom w:val="none" w:sz="0" w:space="0" w:color="auto"/>
        <w:right w:val="none" w:sz="0" w:space="0" w:color="auto"/>
      </w:divBdr>
    </w:div>
    <w:div w:id="1996495727">
      <w:bodyDiv w:val="1"/>
      <w:marLeft w:val="0"/>
      <w:marRight w:val="0"/>
      <w:marTop w:val="0"/>
      <w:marBottom w:val="0"/>
      <w:divBdr>
        <w:top w:val="none" w:sz="0" w:space="0" w:color="auto"/>
        <w:left w:val="none" w:sz="0" w:space="0" w:color="auto"/>
        <w:bottom w:val="none" w:sz="0" w:space="0" w:color="auto"/>
        <w:right w:val="none" w:sz="0" w:space="0" w:color="auto"/>
      </w:divBdr>
    </w:div>
    <w:div w:id="1998799099">
      <w:bodyDiv w:val="1"/>
      <w:marLeft w:val="0"/>
      <w:marRight w:val="0"/>
      <w:marTop w:val="0"/>
      <w:marBottom w:val="0"/>
      <w:divBdr>
        <w:top w:val="none" w:sz="0" w:space="0" w:color="auto"/>
        <w:left w:val="none" w:sz="0" w:space="0" w:color="auto"/>
        <w:bottom w:val="none" w:sz="0" w:space="0" w:color="auto"/>
        <w:right w:val="none" w:sz="0" w:space="0" w:color="auto"/>
      </w:divBdr>
    </w:div>
    <w:div w:id="1998880456">
      <w:bodyDiv w:val="1"/>
      <w:marLeft w:val="0"/>
      <w:marRight w:val="0"/>
      <w:marTop w:val="0"/>
      <w:marBottom w:val="0"/>
      <w:divBdr>
        <w:top w:val="none" w:sz="0" w:space="0" w:color="auto"/>
        <w:left w:val="none" w:sz="0" w:space="0" w:color="auto"/>
        <w:bottom w:val="none" w:sz="0" w:space="0" w:color="auto"/>
        <w:right w:val="none" w:sz="0" w:space="0" w:color="auto"/>
      </w:divBdr>
    </w:div>
    <w:div w:id="1999338838">
      <w:bodyDiv w:val="1"/>
      <w:marLeft w:val="0"/>
      <w:marRight w:val="0"/>
      <w:marTop w:val="0"/>
      <w:marBottom w:val="0"/>
      <w:divBdr>
        <w:top w:val="none" w:sz="0" w:space="0" w:color="auto"/>
        <w:left w:val="none" w:sz="0" w:space="0" w:color="auto"/>
        <w:bottom w:val="none" w:sz="0" w:space="0" w:color="auto"/>
        <w:right w:val="none" w:sz="0" w:space="0" w:color="auto"/>
      </w:divBdr>
    </w:div>
    <w:div w:id="2040888984">
      <w:bodyDiv w:val="1"/>
      <w:marLeft w:val="0"/>
      <w:marRight w:val="0"/>
      <w:marTop w:val="0"/>
      <w:marBottom w:val="0"/>
      <w:divBdr>
        <w:top w:val="none" w:sz="0" w:space="0" w:color="auto"/>
        <w:left w:val="none" w:sz="0" w:space="0" w:color="auto"/>
        <w:bottom w:val="none" w:sz="0" w:space="0" w:color="auto"/>
        <w:right w:val="none" w:sz="0" w:space="0" w:color="auto"/>
      </w:divBdr>
    </w:div>
    <w:div w:id="2065450737">
      <w:bodyDiv w:val="1"/>
      <w:marLeft w:val="0"/>
      <w:marRight w:val="0"/>
      <w:marTop w:val="0"/>
      <w:marBottom w:val="0"/>
      <w:divBdr>
        <w:top w:val="none" w:sz="0" w:space="0" w:color="auto"/>
        <w:left w:val="none" w:sz="0" w:space="0" w:color="auto"/>
        <w:bottom w:val="none" w:sz="0" w:space="0" w:color="auto"/>
        <w:right w:val="none" w:sz="0" w:space="0" w:color="auto"/>
      </w:divBdr>
    </w:div>
    <w:div w:id="2073237483">
      <w:bodyDiv w:val="1"/>
      <w:marLeft w:val="0"/>
      <w:marRight w:val="0"/>
      <w:marTop w:val="0"/>
      <w:marBottom w:val="0"/>
      <w:divBdr>
        <w:top w:val="none" w:sz="0" w:space="0" w:color="auto"/>
        <w:left w:val="none" w:sz="0" w:space="0" w:color="auto"/>
        <w:bottom w:val="none" w:sz="0" w:space="0" w:color="auto"/>
        <w:right w:val="none" w:sz="0" w:space="0" w:color="auto"/>
      </w:divBdr>
    </w:div>
    <w:div w:id="2073848147">
      <w:bodyDiv w:val="1"/>
      <w:marLeft w:val="0"/>
      <w:marRight w:val="0"/>
      <w:marTop w:val="0"/>
      <w:marBottom w:val="0"/>
      <w:divBdr>
        <w:top w:val="none" w:sz="0" w:space="0" w:color="auto"/>
        <w:left w:val="none" w:sz="0" w:space="0" w:color="auto"/>
        <w:bottom w:val="none" w:sz="0" w:space="0" w:color="auto"/>
        <w:right w:val="none" w:sz="0" w:space="0" w:color="auto"/>
      </w:divBdr>
    </w:div>
    <w:div w:id="2116517117">
      <w:bodyDiv w:val="1"/>
      <w:marLeft w:val="0"/>
      <w:marRight w:val="0"/>
      <w:marTop w:val="0"/>
      <w:marBottom w:val="0"/>
      <w:divBdr>
        <w:top w:val="none" w:sz="0" w:space="0" w:color="auto"/>
        <w:left w:val="none" w:sz="0" w:space="0" w:color="auto"/>
        <w:bottom w:val="none" w:sz="0" w:space="0" w:color="auto"/>
        <w:right w:val="none" w:sz="0" w:space="0" w:color="auto"/>
      </w:divBdr>
    </w:div>
    <w:div w:id="2127239271">
      <w:bodyDiv w:val="1"/>
      <w:marLeft w:val="0"/>
      <w:marRight w:val="0"/>
      <w:marTop w:val="0"/>
      <w:marBottom w:val="0"/>
      <w:divBdr>
        <w:top w:val="none" w:sz="0" w:space="0" w:color="auto"/>
        <w:left w:val="none" w:sz="0" w:space="0" w:color="auto"/>
        <w:bottom w:val="none" w:sz="0" w:space="0" w:color="auto"/>
        <w:right w:val="none" w:sz="0" w:space="0" w:color="auto"/>
      </w:divBdr>
    </w:div>
    <w:div w:id="2140025635">
      <w:bodyDiv w:val="1"/>
      <w:marLeft w:val="0"/>
      <w:marRight w:val="0"/>
      <w:marTop w:val="0"/>
      <w:marBottom w:val="0"/>
      <w:divBdr>
        <w:top w:val="none" w:sz="0" w:space="0" w:color="auto"/>
        <w:left w:val="none" w:sz="0" w:space="0" w:color="auto"/>
        <w:bottom w:val="none" w:sz="0" w:space="0" w:color="auto"/>
        <w:right w:val="none" w:sz="0" w:space="0" w:color="auto"/>
      </w:divBdr>
    </w:div>
    <w:div w:id="21427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mr.cz/getmedia/44938cab-c27c-4835-a40a-357cf62177bb/01-NNO-2015.pdf" TargetMode="External"/><Relationship Id="rId21" Type="http://schemas.openxmlformats.org/officeDocument/2006/relationships/hyperlink" Target="http://www.mzcr.cz/Odbornik/obsah/autismus_3707_3.html" TargetMode="External"/><Relationship Id="rId34" Type="http://schemas.openxmlformats.org/officeDocument/2006/relationships/hyperlink" Target="http://www.mmr.cz/getmedia/1fbbc3e1-ecdd-4847-bd4a-d7f858c532a9/06_pravidla_provozu.pdf" TargetMode="External"/><Relationship Id="rId42" Type="http://schemas.openxmlformats.org/officeDocument/2006/relationships/hyperlink" Target="http://www.mmr.cz/getmedia/b501ad7f-9cdd-42a4-86f1-d91625744300/NNO-2017.pdf" TargetMode="External"/><Relationship Id="rId47" Type="http://schemas.openxmlformats.org/officeDocument/2006/relationships/hyperlink" Target="http://www.mmr.cz/getmedia/3e1fbd50-2f6f-4ab7-8d3f-791759105041/Skoly_WC.pdf" TargetMode="External"/><Relationship Id="rId50" Type="http://schemas.openxmlformats.org/officeDocument/2006/relationships/hyperlink" Target="http://www.mmr.cz/getmedia/dc936bd0-fc01-41e7-b604-bf5b37da2952/NNO-2018.pdf.aspx?ext=.pdf" TargetMode="External"/><Relationship Id="rId55" Type="http://schemas.openxmlformats.org/officeDocument/2006/relationships/hyperlink" Target="https://www.mmr.cz/getmedia/b1aca762-1100-4059-b1ce-8c0c8f407075/vytahy_SZ.pdf.aspx?ext=.pdf"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unad-info.eu/home.html" TargetMode="External"/><Relationship Id="rId29" Type="http://schemas.openxmlformats.org/officeDocument/2006/relationships/hyperlink" Target="http://www.mmr.cz/getmedia/d6e533ef-e11f-4f4b-904e-ffa88c28dfbf/04-DS.pdf" TargetMode="External"/><Relationship Id="rId11" Type="http://schemas.openxmlformats.org/officeDocument/2006/relationships/hyperlink" Target="https://apps.odok.cz/kpl" TargetMode="External"/><Relationship Id="rId24" Type="http://schemas.openxmlformats.org/officeDocument/2006/relationships/hyperlink" Target="https://www.czso.cz/csu/czso/vyberove-setreni-osob-se-zdravotnim-postizenim-2018" TargetMode="External"/><Relationship Id="rId32" Type="http://schemas.openxmlformats.org/officeDocument/2006/relationships/hyperlink" Target="http://www.mmr.cz/getmedia/36cd43c9-19ad-4f47-ae04-da820436bd5b/07-NNO-2016.pdf" TargetMode="External"/><Relationship Id="rId37" Type="http://schemas.openxmlformats.org/officeDocument/2006/relationships/hyperlink" Target="http://www.mmr.cz/cs/Uzemni-a-bytova-politika/Uzemni-planovani-a-stavebni-rad/Stanoviska-a-metodiky/Uzemni-rozhodovani-a-stavebni-rad/Povolovani-vyjimek-z-obecnych-pozadavku-na-vystavbu-Pracovni-pomucka" TargetMode="External"/><Relationship Id="rId40" Type="http://schemas.openxmlformats.org/officeDocument/2006/relationships/hyperlink" Target="http://www.mmr.cz/getmedia/372dbf83-7928-48b0-81f9-7b7a86e61dc1/14_parkoviste-ZU.pdf" TargetMode="External"/><Relationship Id="rId45" Type="http://schemas.openxmlformats.org/officeDocument/2006/relationships/hyperlink" Target="http://www.mmr.cz/getmedia/c1080d3f-e346-4527-b991-ef4db203b22b/BZU-vozik.pdf" TargetMode="External"/><Relationship Id="rId53" Type="http://schemas.openxmlformats.org/officeDocument/2006/relationships/hyperlink" Target="http://www.mmr.cz/getmedia/19b0ae33-1bb8-4a1b-b63f-11c19e9b4f27/Indukcni_smycka.docx.aspx" TargetMode="External"/><Relationship Id="rId58" Type="http://schemas.openxmlformats.org/officeDocument/2006/relationships/hyperlink" Target="https://www.mmr.cz/cs/Ministerstvo/Stavebni-pravo/Informace-Udalosti/Stavebni-rad/Informace-z-oblasti-Bezbarieroveho-uzivani-staveb/Bezbarierova-kabina-WC-musi-byt-vybavena-pristupny"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www.mpsv.cz/files/clanky/34609/Principy_a_priority_dotacniho_rizeni_v_oblasti_podpory_poskytovani_socialnich_sluzeb_s_nadregionalni_ci_celostatni_pusobnosti_pro_rok_2019.pdf" TargetMode="External"/><Relationship Id="rId14" Type="http://schemas.openxmlformats.org/officeDocument/2006/relationships/hyperlink" Target="https://apps.odok.cz/attachment/-/down/RCIABDKAD632" TargetMode="External"/><Relationship Id="rId22" Type="http://schemas.openxmlformats.org/officeDocument/2006/relationships/hyperlink" Target="https://www.mvcr.cz/clanek/volbyvolby-do-evropskeho-parlamentu.aspx" TargetMode="External"/><Relationship Id="rId27" Type="http://schemas.openxmlformats.org/officeDocument/2006/relationships/hyperlink" Target="http://www.mmr.cz/getmedia/5de085c1-a3ea-436e-b441-e6d924f3bd93/02-vozidla.pdf" TargetMode="External"/><Relationship Id="rId30" Type="http://schemas.openxmlformats.org/officeDocument/2006/relationships/hyperlink" Target="http://www.mmr.cz/getmedia/3eab9c68-2254-4a58-b251-785fb00cf83c/05-cyklo.pdf" TargetMode="External"/><Relationship Id="rId35" Type="http://schemas.openxmlformats.org/officeDocument/2006/relationships/hyperlink" Target="http://www.mmr.cz/getmedia/0da28cc9-68d8-4cc8-b40b-2d13b09a5a6c/07_Provozovny.pdf" TargetMode="External"/><Relationship Id="rId43" Type="http://schemas.openxmlformats.org/officeDocument/2006/relationships/hyperlink" Target="http://www.mmr.cz/getmedia/2e1680ba-2f5b-4b68-ab47-d2e3abef9ca2/NNO-2017_II.pdf" TargetMode="External"/><Relationship Id="rId48" Type="http://schemas.openxmlformats.org/officeDocument/2006/relationships/hyperlink" Target="http://www.mmr.cz/getmedia/556109c7-7d41-45a9-b4b8-43324a8c0812/16_Koridor.pdf" TargetMode="External"/><Relationship Id="rId56" Type="http://schemas.openxmlformats.org/officeDocument/2006/relationships/hyperlink" Target="https://www.mmr.cz/getmedia/956f0233-a100-4fb9-9a88-cd8492b6f3b3/vytahy_BV.pdf.aspx?ext=.pdf"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mmr.cz/getmedia/e0adb6e7-1813-4a62-b263-a7c9975e8b93/398-2009_CSN_k2018_05.doc" TargetMode="External"/><Relationship Id="rId3" Type="http://schemas.openxmlformats.org/officeDocument/2006/relationships/customXml" Target="../customXml/item3.xml"/><Relationship Id="rId12" Type="http://schemas.openxmlformats.org/officeDocument/2006/relationships/hyperlink" Target="http://www.trass.cz" TargetMode="External"/><Relationship Id="rId17" Type="http://schemas.openxmlformats.org/officeDocument/2006/relationships/hyperlink" Target="https://www.mvcr.cz/clanek/mezinarodni-projekty.aspx" TargetMode="External"/><Relationship Id="rId25" Type="http://schemas.openxmlformats.org/officeDocument/2006/relationships/hyperlink" Target="http://www.mmr.cz/getmedia/90c0f750-0a64-4dac-a262-105fb3657863/Prehled-prispevku_bezbarierovost.pdf" TargetMode="External"/><Relationship Id="rId33" Type="http://schemas.openxmlformats.org/officeDocument/2006/relationships/hyperlink" Target="http://www.mmr.cz/cs/Uzemni-a-bytova-politika/Uzemni-planovani-a-stavebni-rad/Informace-z-oblasti-stavebniho-radu/Informace-z-oblasti-Bezbarieroveho-uzivani-staveb/Mapovani-pristupnosti-prostredi" TargetMode="External"/><Relationship Id="rId38" Type="http://schemas.openxmlformats.org/officeDocument/2006/relationships/hyperlink" Target="http://www.mmr.cz/getmedia/631fb966-f698-455e-95d0-381af308955c/12_DoUS-pokoje.pdf" TargetMode="External"/><Relationship Id="rId46" Type="http://schemas.openxmlformats.org/officeDocument/2006/relationships/hyperlink" Target="http://www.mmr.cz/getmedia/90de4bd0-7773-4332-a1c1-2d2dc6f04f40/15_central_prechody.pdf" TargetMode="External"/><Relationship Id="rId59" Type="http://schemas.openxmlformats.org/officeDocument/2006/relationships/hyperlink" Target="https://www.mmr.cz/getattachment/7389954d-a4c7-4110-bf22-c8e41043f64c/Zdvihaci-zarizeni_zds_398_2009_1-4-2019.docx" TargetMode="External"/><Relationship Id="rId20" Type="http://schemas.openxmlformats.org/officeDocument/2006/relationships/hyperlink" Target="http://www.mzcr.cz/Verejne/obsah/zdravi-2020_3016_5.html" TargetMode="External"/><Relationship Id="rId41" Type="http://schemas.openxmlformats.org/officeDocument/2006/relationships/hyperlink" Target="http://www.mmr.cz/getmedia/135ac7c9-2d83-4613-ae4c-99044f9d02d8/Prehled-prispevku_bezbarierovost-2010-2016.pdf" TargetMode="External"/><Relationship Id="rId54" Type="http://schemas.openxmlformats.org/officeDocument/2006/relationships/hyperlink" Target="http://www.mmr.cz/cs/Ministerstvo/Stavebni-pravo/Informace-Udalosti/Stavebni-rad/Informace-z-oblasti-Bezbarieroveho-uzivani-staveb/Bezbarierova-kabina-WC-muze-byt-vybavena-umyvadle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vcr.cz/clanek/ministerstvo-vnitra-vydalo-prirucku-asistence-lidem-sdisabilitou-pri-katastrofach.aspx" TargetMode="External"/><Relationship Id="rId23" Type="http://schemas.openxmlformats.org/officeDocument/2006/relationships/hyperlink" Target="https://www.czso.cz/csu/czso/deti-se-zdravotnim-postizenim-a-osoby-se-zdravotnim-postizenim-zijici-mimo-soukrome-domacnosti-2017-2018" TargetMode="External"/><Relationship Id="rId28" Type="http://schemas.openxmlformats.org/officeDocument/2006/relationships/hyperlink" Target="http://www.mmr.cz/getmedia/35cbcf05-392e-4d92-9e80-fd64286c7871/03-TSI-PRM.pdf" TargetMode="External"/><Relationship Id="rId36" Type="http://schemas.openxmlformats.org/officeDocument/2006/relationships/hyperlink" Target="http://www.mmr.cz/cs/Ministerstvo/Ministerstvo/Pro-media/Tiskove-zpravy/2016/Pozadavky-na-bezbarierove-uzivani-staveb-Poradime-Vam" TargetMode="External"/><Relationship Id="rId49" Type="http://schemas.openxmlformats.org/officeDocument/2006/relationships/hyperlink" Target="http://www.mmr.cz/getmedia/91fd9808-43af-4032-ac37-11e67c9dbdbf/Prehled-prispevku_bezbarierovost-2010-2017.pdf" TargetMode="External"/><Relationship Id="rId57" Type="http://schemas.openxmlformats.org/officeDocument/2006/relationships/hyperlink" Target="https://www.mmr.cz/getmedia/aba35cb0-04c7-4bc1-901f-9909b2fdafe5/prehled_2010-2018_1.docx" TargetMode="External"/><Relationship Id="rId10" Type="http://schemas.openxmlformats.org/officeDocument/2006/relationships/endnotes" Target="endnotes.xml"/><Relationship Id="rId31" Type="http://schemas.openxmlformats.org/officeDocument/2006/relationships/hyperlink" Target="http://www.mmr.cz/getmedia/053a7486-5533-470d-b9e8-a16d146daa4a/Prehled-prispevku_bezbarierovost-2010-2015.pdf" TargetMode="External"/><Relationship Id="rId44" Type="http://schemas.openxmlformats.org/officeDocument/2006/relationships/hyperlink" Target="http://www.mmr.cz/getmedia/ccce56ee-dba5-46b8-bb4a-df99c7334df4/vytah-BD_4P.pdf" TargetMode="External"/><Relationship Id="rId52" Type="http://schemas.openxmlformats.org/officeDocument/2006/relationships/hyperlink" Target="http://www.mmr.cz/getmedia/234a236d-7459-4f7e-b06a-0a1df444fda9/mapovani_2018.docx.aspx?ext=.docx" TargetMode="External"/><Relationship Id="rId60" Type="http://schemas.openxmlformats.org/officeDocument/2006/relationships/hyperlink" Target="https://www.mmr.cz/getattachment/68405cc2-ff25-44f7-a32b-0d94dbda33bc/Hmatove-stitky-pro-nevidome.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mmr.cz/getmedia/e0adb6e7-1813-4a62-b263-a7c9975e8b93/398-2009_CSN_k2018_05.doc" TargetMode="External"/><Relationship Id="rId18" Type="http://schemas.openxmlformats.org/officeDocument/2006/relationships/hyperlink" Target="https://isir.justice.cz" TargetMode="External"/><Relationship Id="rId39" Type="http://schemas.openxmlformats.org/officeDocument/2006/relationships/hyperlink" Target="http://www.mmr.cz/getmedia/6b9251a4-49b2-4b8b-8123-aa3db8eb919d/13_parkoviste-B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A0C4-EE94-430F-9B1C-C9DDB32A877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755541-6E43-457A-BDBC-AC314ADB06D4}">
  <ds:schemaRefs>
    <ds:schemaRef ds:uri="http://schemas.microsoft.com/sharepoint/v3/contenttype/forms"/>
  </ds:schemaRefs>
</ds:datastoreItem>
</file>

<file path=customXml/itemProps3.xml><?xml version="1.0" encoding="utf-8"?>
<ds:datastoreItem xmlns:ds="http://schemas.openxmlformats.org/officeDocument/2006/customXml" ds:itemID="{DFCA1EDA-858C-4751-A6A0-8C1CEB8BD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64321-78B8-4D06-AD18-496C3906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73</Pages>
  <Words>36394</Words>
  <Characters>214726</Characters>
  <Application>Microsoft Office Word</Application>
  <DocSecurity>0</DocSecurity>
  <Lines>1789</Lines>
  <Paragraphs>501</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xxxx/x/xx/xx</vt:lpstr>
      <vt:lpstr>xxxx/x/xx/xx</vt:lpstr>
      <vt:lpstr/>
    </vt:vector>
  </TitlesOfParts>
  <Company>CSD</Company>
  <LinksUpToDate>false</LinksUpToDate>
  <CharactersWithSpaces>250619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dc:title>
  <dc:creator>CAILLOT Lucille</dc:creator>
  <cp:lastModifiedBy>Kalenda Otakar Bc. (MPSV)</cp:lastModifiedBy>
  <cp:revision>2</cp:revision>
  <cp:lastPrinted>2020-04-09T09:44:00Z</cp:lastPrinted>
  <dcterms:created xsi:type="dcterms:W3CDTF">2020-07-07T14:41:00Z</dcterms:created>
  <dcterms:modified xsi:type="dcterms:W3CDTF">2020-07-07T14:41:00Z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NewReviewCycle">
    <vt:lpwstr/>
  </property>
</Properties>
</file>