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A2" w:rsidRDefault="008523A2">
      <w:pPr>
        <w:rPr>
          <w:b/>
          <w:u w:val="single"/>
        </w:rPr>
      </w:pPr>
      <w:r w:rsidRPr="008523A2">
        <w:rPr>
          <w:b/>
          <w:u w:val="single"/>
        </w:rPr>
        <w:t xml:space="preserve">Zpráva vedoucí sociálního odboru KÚ Ústí nad Labem Ing. </w:t>
      </w:r>
      <w:proofErr w:type="spellStart"/>
      <w:r w:rsidRPr="008523A2">
        <w:rPr>
          <w:b/>
          <w:u w:val="single"/>
        </w:rPr>
        <w:t>Lafkové</w:t>
      </w:r>
      <w:proofErr w:type="spellEnd"/>
    </w:p>
    <w:p w:rsidR="008523A2" w:rsidRPr="008523A2" w:rsidRDefault="008523A2">
      <w:pPr>
        <w:rPr>
          <w:b/>
          <w:u w:val="single"/>
        </w:rPr>
      </w:pPr>
    </w:p>
    <w:p w:rsidR="009638FE" w:rsidRDefault="007E0A94">
      <w:r>
        <w:t>Národní rada zdravotně postižených</w:t>
      </w:r>
      <w:r w:rsidR="008523A2">
        <w:t xml:space="preserve"> Ústeckého kraje</w:t>
      </w:r>
      <w:r>
        <w:t xml:space="preserve"> – 16.</w:t>
      </w:r>
      <w:r w:rsidR="008523A2">
        <w:t xml:space="preserve"> </w:t>
      </w:r>
      <w:r>
        <w:t>5.</w:t>
      </w:r>
      <w:r w:rsidR="008523A2">
        <w:t xml:space="preserve"> </w:t>
      </w:r>
      <w:r>
        <w:t>2018</w:t>
      </w:r>
    </w:p>
    <w:p w:rsidR="007E0A94" w:rsidRPr="00B929F8" w:rsidRDefault="007E0A94" w:rsidP="00B929F8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29F8">
        <w:rPr>
          <w:rFonts w:asciiTheme="minorHAnsi" w:hAnsiTheme="minorHAnsi" w:cstheme="minorHAnsi"/>
          <w:b/>
          <w:sz w:val="22"/>
          <w:szCs w:val="22"/>
          <w:u w:val="single"/>
        </w:rPr>
        <w:t>Naplňování Krajského plánu vyrovnání příležitostí pro osoby zdravotně postižené</w:t>
      </w:r>
    </w:p>
    <w:p w:rsidR="007E0A94" w:rsidRDefault="007E0A94" w:rsidP="007E0A94">
      <w:pPr>
        <w:jc w:val="both"/>
      </w:pPr>
      <w:r w:rsidRPr="00B929F8">
        <w:rPr>
          <w:rFonts w:cstheme="minorHAnsi"/>
        </w:rPr>
        <w:t>Nově plán na základě projednání v ZÚK dne 26.</w:t>
      </w:r>
      <w:r w:rsidR="008523A2">
        <w:rPr>
          <w:rFonts w:cstheme="minorHAnsi"/>
        </w:rPr>
        <w:t xml:space="preserve"> </w:t>
      </w:r>
      <w:r w:rsidRPr="00B929F8">
        <w:rPr>
          <w:rFonts w:cstheme="minorHAnsi"/>
        </w:rPr>
        <w:t>2.</w:t>
      </w:r>
      <w:r w:rsidR="008523A2">
        <w:rPr>
          <w:rFonts w:cstheme="minorHAnsi"/>
        </w:rPr>
        <w:t xml:space="preserve"> </w:t>
      </w:r>
      <w:r w:rsidRPr="00B929F8">
        <w:rPr>
          <w:rFonts w:cstheme="minorHAnsi"/>
        </w:rPr>
        <w:t>2018 prodloužen do roku 2020 (původně do</w:t>
      </w:r>
      <w:r>
        <w:t xml:space="preserve"> roku 2018).</w:t>
      </w:r>
    </w:p>
    <w:p w:rsidR="007E0A94" w:rsidRDefault="007E0A94" w:rsidP="007E0A94">
      <w:pPr>
        <w:jc w:val="both"/>
        <w:rPr>
          <w:rFonts w:cstheme="minorHAnsi"/>
          <w:color w:val="000000" w:themeColor="text1"/>
        </w:rPr>
      </w:pPr>
      <w:r>
        <w:t>Dne 19.</w:t>
      </w:r>
      <w:r w:rsidR="008523A2">
        <w:t xml:space="preserve"> </w:t>
      </w:r>
      <w:r>
        <w:t>4.</w:t>
      </w:r>
      <w:r w:rsidR="008523A2">
        <w:t xml:space="preserve"> </w:t>
      </w:r>
      <w:r>
        <w:t>2018 uspořádána konference „</w:t>
      </w:r>
      <w:r w:rsidRPr="007E0A94">
        <w:rPr>
          <w:rFonts w:cstheme="minorHAnsi"/>
          <w:b/>
          <w:color w:val="000000" w:themeColor="text1"/>
        </w:rPr>
        <w:t>Sociální legislativa pro OZP a seniory v aktuálním znění právních předpisů</w:t>
      </w:r>
      <w:r>
        <w:rPr>
          <w:rFonts w:cstheme="minorHAnsi"/>
          <w:b/>
          <w:color w:val="000000" w:themeColor="text1"/>
        </w:rPr>
        <w:t xml:space="preserve">“. </w:t>
      </w:r>
      <w:r>
        <w:rPr>
          <w:rFonts w:cstheme="minorHAnsi"/>
          <w:color w:val="000000" w:themeColor="text1"/>
        </w:rPr>
        <w:t xml:space="preserve">Z akce natočena reportáž, která je zveřejněna na webu ÚK </w:t>
      </w:r>
      <w:hyperlink r:id="rId5" w:history="1">
        <w:r w:rsidRPr="0059434C">
          <w:rPr>
            <w:rStyle w:val="Hypertextovodkaz"/>
            <w:rFonts w:cstheme="minorHAnsi"/>
          </w:rPr>
          <w:t>https://www.youtube.com/watch?v=WN3puwqukLY&amp;feature=youtu.be</w:t>
        </w:r>
      </w:hyperlink>
    </w:p>
    <w:p w:rsidR="00B929F8" w:rsidRPr="00B929F8" w:rsidRDefault="00B929F8" w:rsidP="007E0A94">
      <w:pPr>
        <w:jc w:val="both"/>
        <w:rPr>
          <w:rFonts w:cstheme="minorHAnsi"/>
          <w:b/>
          <w:color w:val="000000" w:themeColor="text1"/>
          <w:u w:val="single"/>
        </w:rPr>
      </w:pPr>
    </w:p>
    <w:p w:rsidR="00B929F8" w:rsidRPr="00B929F8" w:rsidRDefault="00B929F8" w:rsidP="00B929F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929F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Změny Metodiky pro výpočet dotace roku 2019</w:t>
      </w:r>
    </w:p>
    <w:p w:rsidR="007E0A94" w:rsidRPr="00B929F8" w:rsidRDefault="007E0A94" w:rsidP="00B929F8">
      <w:pPr>
        <w:jc w:val="both"/>
        <w:rPr>
          <w:rFonts w:cstheme="minorHAnsi"/>
          <w:color w:val="000000" w:themeColor="text1"/>
        </w:rPr>
      </w:pPr>
      <w:r w:rsidRPr="00B929F8">
        <w:rPr>
          <w:rFonts w:cstheme="minorHAnsi"/>
          <w:color w:val="000000" w:themeColor="text1"/>
        </w:rPr>
        <w:t xml:space="preserve">Pro rok 2019 je ve spolupráci s pracovní skupinou Asociace poskytovatelů sociálních služeb ÚK pracováno na nové Metodice pro rozdělování dotací na sociální služby. </w:t>
      </w:r>
    </w:p>
    <w:p w:rsidR="007E0A94" w:rsidRPr="007E0A94" w:rsidRDefault="007E0A94" w:rsidP="007E0A94">
      <w:pPr>
        <w:spacing w:after="0"/>
        <w:jc w:val="both"/>
        <w:rPr>
          <w:u w:val="single"/>
        </w:rPr>
      </w:pPr>
      <w:r w:rsidRPr="007E0A94">
        <w:rPr>
          <w:rFonts w:cstheme="minorHAnsi"/>
          <w:color w:val="000000" w:themeColor="text1"/>
          <w:u w:val="single"/>
        </w:rPr>
        <w:t>Hlavní změny:</w:t>
      </w:r>
    </w:p>
    <w:p w:rsidR="007E0A94" w:rsidRPr="007E0A94" w:rsidRDefault="007E0A94" w:rsidP="007E0A9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4F81BD"/>
          <w:sz w:val="22"/>
          <w:szCs w:val="22"/>
        </w:rPr>
      </w:pPr>
      <w:r w:rsidRPr="007E0A9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Výpočet vyrovnávací platby (VP) a optimální výše dotace (OVD)</w:t>
      </w:r>
    </w:p>
    <w:p w:rsidR="007E0A94" w:rsidRPr="007E0A94" w:rsidRDefault="007E0A94" w:rsidP="007E0A9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4F81BD"/>
          <w:sz w:val="22"/>
          <w:szCs w:val="22"/>
        </w:rPr>
      </w:pPr>
      <w:r w:rsidRPr="007E0A9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Povinný podíl spolufinancování služby</w:t>
      </w:r>
    </w:p>
    <w:p w:rsidR="007E0A94" w:rsidRPr="007E0A94" w:rsidRDefault="007E0A94" w:rsidP="007E0A9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4F81BD"/>
          <w:sz w:val="22"/>
          <w:szCs w:val="22"/>
        </w:rPr>
      </w:pPr>
      <w:r w:rsidRPr="007E0A9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Uznatelné/neuznatelné náklady</w:t>
      </w:r>
    </w:p>
    <w:p w:rsidR="007E0A94" w:rsidRPr="007E0A94" w:rsidRDefault="007E0A94" w:rsidP="007E0A9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4F81BD"/>
          <w:sz w:val="22"/>
          <w:szCs w:val="22"/>
        </w:rPr>
      </w:pPr>
      <w:r w:rsidRPr="007E0A94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Snížení administrativní náročnosti</w:t>
      </w:r>
    </w:p>
    <w:p w:rsidR="007E0A94" w:rsidRPr="007E0A94" w:rsidRDefault="007E0A94" w:rsidP="007E0A94">
      <w:pPr>
        <w:jc w:val="both"/>
        <w:rPr>
          <w:rFonts w:cstheme="minorHAnsi"/>
          <w:color w:val="4F81BD"/>
        </w:rPr>
      </w:pPr>
      <w:r w:rsidRPr="007E0A94">
        <w:rPr>
          <w:rFonts w:eastAsiaTheme="minorEastAsia" w:cstheme="minorHAnsi"/>
          <w:color w:val="000000" w:themeColor="text1"/>
          <w:kern w:val="24"/>
        </w:rPr>
        <w:t>Po 3 letech se ukazuje, že dosavadní systém v</w:t>
      </w:r>
      <w:r>
        <w:rPr>
          <w:rFonts w:eastAsiaTheme="minorEastAsia" w:cstheme="minorHAnsi"/>
          <w:color w:val="000000" w:themeColor="text1"/>
          <w:kern w:val="24"/>
        </w:rPr>
        <w:t xml:space="preserve">ýpočtu VP a OVD není optimální. </w:t>
      </w:r>
      <w:r w:rsidRPr="007E0A94">
        <w:rPr>
          <w:rFonts w:eastAsiaTheme="minorEastAsia" w:cstheme="minorHAnsi"/>
          <w:color w:val="000000" w:themeColor="text1"/>
          <w:kern w:val="24"/>
        </w:rPr>
        <w:t>Část VII. Metodiky (Postup při stanovení optimální výše dotace poskytovatelům sociálních služeb) zcela přepracována</w:t>
      </w:r>
      <w:r>
        <w:rPr>
          <w:rFonts w:cstheme="minorHAnsi"/>
          <w:color w:val="4F81BD"/>
        </w:rPr>
        <w:t xml:space="preserve">. </w:t>
      </w:r>
      <w:r w:rsidRPr="007E0A94">
        <w:rPr>
          <w:rFonts w:eastAsiaTheme="minorEastAsia" w:cstheme="minorHAnsi"/>
          <w:color w:val="000000" w:themeColor="text1"/>
          <w:kern w:val="24"/>
        </w:rPr>
        <w:t>Zrušen systém výpočtu na základě několika kategorií nákladů, výnosů a sys</w:t>
      </w:r>
      <w:r>
        <w:rPr>
          <w:rFonts w:eastAsiaTheme="minorEastAsia" w:cstheme="minorHAnsi"/>
          <w:color w:val="000000" w:themeColor="text1"/>
          <w:kern w:val="24"/>
        </w:rPr>
        <w:t xml:space="preserve">tém koeficientů. </w:t>
      </w:r>
      <w:r w:rsidRPr="007E0A94">
        <w:rPr>
          <w:rFonts w:eastAsiaTheme="minorEastAsia" w:cstheme="minorHAnsi"/>
          <w:color w:val="000000" w:themeColor="text1"/>
          <w:kern w:val="24"/>
        </w:rPr>
        <w:t>Nově bude výpočet VP a OVD vycházet z Metodiky MPSV</w:t>
      </w:r>
    </w:p>
    <w:p w:rsidR="007E0A94" w:rsidRPr="007E0A94" w:rsidRDefault="007E0A94" w:rsidP="007E0A94">
      <w:pPr>
        <w:spacing w:before="120" w:after="120" w:line="240" w:lineRule="auto"/>
        <w:jc w:val="both"/>
        <w:rPr>
          <w:rFonts w:eastAsia="Times New Roman" w:cstheme="minorHAnsi"/>
          <w:lang w:eastAsia="cs-CZ"/>
        </w:rPr>
      </w:pPr>
      <w:r w:rsidRPr="007E0A94">
        <w:rPr>
          <w:rFonts w:eastAsiaTheme="minorEastAsia" w:cstheme="minorHAnsi"/>
          <w:color w:val="000000" w:themeColor="text1"/>
          <w:kern w:val="24"/>
          <w:lang w:eastAsia="cs-CZ"/>
        </w:rPr>
        <w:t xml:space="preserve">Sociální služby rozděleny dle svého charakteru do 4 skupin. Pro každou skupinu je aplikován shodný mechanismus výpočtu OVD, resp. VP.  </w:t>
      </w:r>
    </w:p>
    <w:p w:rsidR="007E0A94" w:rsidRPr="00B929F8" w:rsidRDefault="007E0A94" w:rsidP="007E0A94">
      <w:pPr>
        <w:spacing w:after="0"/>
        <w:jc w:val="both"/>
        <w:rPr>
          <w:rFonts w:cstheme="minorHAnsi"/>
          <w:bCs/>
          <w:color w:val="000000" w:themeColor="text1"/>
          <w:kern w:val="24"/>
          <w:u w:val="single"/>
        </w:rPr>
      </w:pPr>
      <w:r w:rsidRPr="00B929F8">
        <w:rPr>
          <w:rFonts w:cstheme="minorHAnsi"/>
          <w:bCs/>
          <w:color w:val="000000" w:themeColor="text1"/>
          <w:kern w:val="24"/>
          <w:u w:val="single"/>
        </w:rPr>
        <w:t>Skupiny sociálních služeb:</w:t>
      </w:r>
    </w:p>
    <w:p w:rsidR="007E0A94" w:rsidRPr="007E0A94" w:rsidRDefault="007E0A94" w:rsidP="007E0A94">
      <w:pPr>
        <w:pStyle w:val="Odstavecseseznamem"/>
        <w:numPr>
          <w:ilvl w:val="0"/>
          <w:numId w:val="4"/>
        </w:numPr>
        <w:jc w:val="both"/>
        <w:rPr>
          <w:rFonts w:cstheme="minorHAnsi"/>
          <w:color w:val="4F81BD"/>
        </w:rPr>
      </w:pPr>
      <w:r w:rsidRPr="007E0A94">
        <w:rPr>
          <w:rFonts w:asciiTheme="minorHAnsi" w:eastAsia="Calibri" w:hAnsiTheme="minorHAnsi" w:cstheme="minorHAnsi"/>
          <w:b/>
          <w:bCs/>
          <w:color w:val="000000"/>
          <w:kern w:val="24"/>
          <w:sz w:val="22"/>
          <w:szCs w:val="22"/>
        </w:rPr>
        <w:t xml:space="preserve">služby sociální prevence a odborného sociálního poradenství – </w:t>
      </w:r>
      <w:r w:rsidRPr="007E0A94">
        <w:rPr>
          <w:rFonts w:asciiTheme="minorHAnsi" w:eastAsia="Calibri" w:hAnsiTheme="minorHAnsi" w:cstheme="minorHAnsi"/>
          <w:color w:val="000000"/>
          <w:kern w:val="24"/>
          <w:sz w:val="22"/>
          <w:szCs w:val="22"/>
        </w:rPr>
        <w:t>ambulantní</w:t>
      </w:r>
      <w:r w:rsidRPr="007E0A94">
        <w:rPr>
          <w:rFonts w:asciiTheme="minorHAnsi" w:eastAsia="Calibri" w:hAnsiTheme="minorHAnsi" w:cstheme="minorHAnsi"/>
          <w:b/>
          <w:bCs/>
          <w:color w:val="000000"/>
          <w:kern w:val="24"/>
          <w:sz w:val="22"/>
          <w:szCs w:val="22"/>
        </w:rPr>
        <w:t xml:space="preserve"> </w:t>
      </w:r>
      <w:r w:rsidRPr="007E0A94">
        <w:rPr>
          <w:rFonts w:asciiTheme="minorHAnsi" w:eastAsia="Calibri" w:hAnsiTheme="minorHAnsi" w:cstheme="minorHAnsi"/>
          <w:color w:val="000000"/>
          <w:kern w:val="24"/>
          <w:sz w:val="22"/>
          <w:szCs w:val="22"/>
        </w:rPr>
        <w:t>a terénní forma</w:t>
      </w:r>
      <w:r w:rsidRPr="007E0A94">
        <w:rPr>
          <w:rFonts w:asciiTheme="minorHAnsi" w:eastAsia="Calibri" w:hAnsiTheme="minorHAnsi" w:cstheme="minorHAnsi"/>
          <w:b/>
          <w:bCs/>
          <w:color w:val="000000"/>
          <w:kern w:val="24"/>
          <w:sz w:val="22"/>
          <w:szCs w:val="22"/>
        </w:rPr>
        <w:t xml:space="preserve"> </w:t>
      </w:r>
      <w:r w:rsidRPr="007E0A94">
        <w:rPr>
          <w:rFonts w:asciiTheme="minorHAnsi" w:eastAsia="Calibri" w:hAnsiTheme="minorHAnsi" w:cstheme="minorHAnsi"/>
          <w:color w:val="000000"/>
          <w:kern w:val="24"/>
          <w:sz w:val="22"/>
          <w:szCs w:val="22"/>
        </w:rPr>
        <w:t>služby,</w:t>
      </w:r>
    </w:p>
    <w:p w:rsidR="007E0A94" w:rsidRPr="007E0A94" w:rsidRDefault="007E0A94" w:rsidP="007E0A94">
      <w:pPr>
        <w:pStyle w:val="Odstavecseseznamem"/>
        <w:numPr>
          <w:ilvl w:val="0"/>
          <w:numId w:val="4"/>
        </w:numPr>
        <w:jc w:val="both"/>
        <w:rPr>
          <w:rFonts w:cstheme="minorHAnsi"/>
          <w:color w:val="4F81BD"/>
        </w:rPr>
      </w:pPr>
      <w:r w:rsidRPr="007E0A94">
        <w:rPr>
          <w:rFonts w:asciiTheme="minorHAnsi" w:eastAsia="Calibri" w:hAnsiTheme="minorHAnsi" w:cstheme="minorHAnsi"/>
          <w:b/>
          <w:bCs/>
          <w:color w:val="000000"/>
          <w:kern w:val="24"/>
          <w:sz w:val="22"/>
          <w:szCs w:val="22"/>
        </w:rPr>
        <w:t xml:space="preserve">služby sociální péče – </w:t>
      </w:r>
      <w:r w:rsidRPr="007E0A94">
        <w:rPr>
          <w:rFonts w:asciiTheme="minorHAnsi" w:eastAsia="Calibri" w:hAnsiTheme="minorHAnsi" w:cstheme="minorHAnsi"/>
          <w:color w:val="000000"/>
          <w:kern w:val="24"/>
          <w:sz w:val="22"/>
          <w:szCs w:val="22"/>
        </w:rPr>
        <w:t xml:space="preserve">ambulantní a terénní forma služby a služba </w:t>
      </w:r>
      <w:r w:rsidRPr="007E0A94">
        <w:rPr>
          <w:rFonts w:asciiTheme="minorHAnsi" w:eastAsia="Calibri" w:hAnsiTheme="minorHAnsi" w:cstheme="minorHAnsi"/>
          <w:b/>
          <w:bCs/>
          <w:color w:val="000000"/>
          <w:kern w:val="24"/>
          <w:sz w:val="22"/>
          <w:szCs w:val="22"/>
        </w:rPr>
        <w:t>tísňové péče</w:t>
      </w:r>
    </w:p>
    <w:p w:rsidR="007E0A94" w:rsidRPr="007E0A94" w:rsidRDefault="007E0A94" w:rsidP="007E0A94">
      <w:pPr>
        <w:pStyle w:val="Odstavecseseznamem"/>
        <w:numPr>
          <w:ilvl w:val="0"/>
          <w:numId w:val="4"/>
        </w:numPr>
        <w:jc w:val="both"/>
        <w:rPr>
          <w:rFonts w:cstheme="minorHAnsi"/>
          <w:color w:val="4F81BD"/>
        </w:rPr>
      </w:pPr>
      <w:r w:rsidRPr="007E0A94">
        <w:rPr>
          <w:rFonts w:asciiTheme="minorHAnsi" w:eastAsia="Calibri" w:hAnsiTheme="minorHAnsi" w:cstheme="minorHAnsi"/>
          <w:b/>
          <w:bCs/>
          <w:color w:val="000000"/>
          <w:kern w:val="24"/>
          <w:sz w:val="22"/>
          <w:szCs w:val="22"/>
        </w:rPr>
        <w:t xml:space="preserve">služby sociální prevence – </w:t>
      </w:r>
      <w:r w:rsidRPr="007E0A94">
        <w:rPr>
          <w:rFonts w:asciiTheme="minorHAnsi" w:eastAsia="Calibri" w:hAnsiTheme="minorHAnsi" w:cstheme="minorHAnsi"/>
          <w:color w:val="000000"/>
          <w:kern w:val="24"/>
          <w:sz w:val="22"/>
          <w:szCs w:val="22"/>
        </w:rPr>
        <w:t>pobytová a ambulantní forma služby s lůžkovou kapacitou,</w:t>
      </w:r>
    </w:p>
    <w:p w:rsidR="007E0A94" w:rsidRPr="007E0A94" w:rsidRDefault="007E0A94" w:rsidP="007E0A94">
      <w:pPr>
        <w:pStyle w:val="Odstavecseseznamem"/>
        <w:numPr>
          <w:ilvl w:val="0"/>
          <w:numId w:val="4"/>
        </w:numPr>
        <w:jc w:val="both"/>
        <w:rPr>
          <w:rFonts w:cstheme="minorHAnsi"/>
          <w:color w:val="4F81BD"/>
        </w:rPr>
      </w:pPr>
      <w:r w:rsidRPr="007E0A94">
        <w:rPr>
          <w:rFonts w:asciiTheme="minorHAnsi" w:eastAsia="Calibri" w:hAnsiTheme="minorHAnsi" w:cstheme="minorHAnsi"/>
          <w:b/>
          <w:bCs/>
          <w:color w:val="000000"/>
          <w:kern w:val="24"/>
          <w:sz w:val="22"/>
          <w:szCs w:val="22"/>
        </w:rPr>
        <w:t xml:space="preserve">služby sociální péče – </w:t>
      </w:r>
      <w:r w:rsidRPr="007E0A94">
        <w:rPr>
          <w:rFonts w:asciiTheme="minorHAnsi" w:eastAsia="Calibri" w:hAnsiTheme="minorHAnsi" w:cstheme="minorHAnsi"/>
          <w:color w:val="000000"/>
          <w:kern w:val="24"/>
          <w:sz w:val="22"/>
          <w:szCs w:val="22"/>
        </w:rPr>
        <w:t>pobytová forma služby.</w:t>
      </w:r>
    </w:p>
    <w:p w:rsidR="007E0A94" w:rsidRDefault="007E0A94" w:rsidP="007E0A94">
      <w:pPr>
        <w:spacing w:after="0"/>
        <w:rPr>
          <w:rFonts w:cstheme="minorHAnsi"/>
        </w:rPr>
      </w:pPr>
    </w:p>
    <w:p w:rsidR="007B76E6" w:rsidRDefault="003B43A0" w:rsidP="007E0A94">
      <w:pPr>
        <w:spacing w:after="0"/>
        <w:rPr>
          <w:rFonts w:cstheme="minorHAnsi"/>
        </w:rPr>
      </w:pPr>
      <w:r w:rsidRPr="007E0A94">
        <w:rPr>
          <w:rFonts w:cstheme="minorHAnsi"/>
        </w:rPr>
        <w:t xml:space="preserve">Změna výpočtového mechanismu → velké meziroční změny ve stanovené výši finanční podpory → </w:t>
      </w:r>
      <w:r w:rsidRPr="007E0A94">
        <w:rPr>
          <w:rFonts w:cstheme="minorHAnsi"/>
          <w:b/>
          <w:bCs/>
          <w:u w:val="single"/>
        </w:rPr>
        <w:t>možnost</w:t>
      </w:r>
      <w:r w:rsidRPr="007E0A94">
        <w:rPr>
          <w:rFonts w:cstheme="minorHAnsi"/>
        </w:rPr>
        <w:t xml:space="preserve"> kraje využít </w:t>
      </w:r>
      <w:r w:rsidRPr="007E0A94">
        <w:rPr>
          <w:rFonts w:cstheme="minorHAnsi"/>
          <w:b/>
          <w:bCs/>
        </w:rPr>
        <w:t xml:space="preserve">přechodný mechanismus </w:t>
      </w:r>
      <w:r w:rsidRPr="007E0A94">
        <w:rPr>
          <w:rFonts w:cstheme="minorHAnsi"/>
        </w:rPr>
        <w:t xml:space="preserve">úpravy výše vypočtené finanční podpory </w:t>
      </w:r>
      <w:r w:rsidR="00B929F8">
        <w:rPr>
          <w:rFonts w:cstheme="minorHAnsi"/>
        </w:rPr>
        <w:t>(ve výši 80 % - 120%).</w:t>
      </w:r>
    </w:p>
    <w:p w:rsidR="00B929F8" w:rsidRDefault="00B929F8" w:rsidP="007E0A94">
      <w:pPr>
        <w:spacing w:after="0"/>
        <w:rPr>
          <w:rFonts w:cstheme="minorHAnsi"/>
        </w:rPr>
      </w:pPr>
    </w:p>
    <w:p w:rsidR="00B929F8" w:rsidRDefault="00B929F8" w:rsidP="00B929F8">
      <w:pPr>
        <w:spacing w:after="0"/>
        <w:jc w:val="both"/>
        <w:rPr>
          <w:rFonts w:eastAsiaTheme="minorEastAsia" w:cstheme="minorHAnsi"/>
          <w:color w:val="000000" w:themeColor="text1"/>
          <w:kern w:val="24"/>
          <w:u w:val="single"/>
        </w:rPr>
      </w:pPr>
      <w:r w:rsidRPr="00B929F8">
        <w:rPr>
          <w:rFonts w:eastAsiaTheme="minorEastAsia" w:cstheme="minorHAnsi"/>
          <w:color w:val="000000" w:themeColor="text1"/>
          <w:kern w:val="24"/>
          <w:u w:val="single"/>
        </w:rPr>
        <w:t>Uznatelné/neuznatelné náklady</w:t>
      </w:r>
    </w:p>
    <w:p w:rsidR="00B929F8" w:rsidRPr="00B929F8" w:rsidRDefault="00B929F8" w:rsidP="00B929F8">
      <w:pPr>
        <w:pStyle w:val="Odstavecseseznamem"/>
        <w:numPr>
          <w:ilvl w:val="0"/>
          <w:numId w:val="7"/>
        </w:numPr>
        <w:jc w:val="both"/>
        <w:rPr>
          <w:rFonts w:cstheme="minorHAnsi"/>
          <w:color w:val="4F81BD"/>
          <w:u w:val="single"/>
        </w:rPr>
      </w:pPr>
      <w:r w:rsidRPr="00B929F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V rámci GDPR budou uznatelné jen náklady na pověřence</w:t>
      </w:r>
    </w:p>
    <w:p w:rsidR="00B929F8" w:rsidRPr="00B929F8" w:rsidRDefault="00B929F8" w:rsidP="00B929F8">
      <w:pPr>
        <w:pStyle w:val="Odstavecseseznamem"/>
        <w:numPr>
          <w:ilvl w:val="0"/>
          <w:numId w:val="7"/>
        </w:numPr>
        <w:jc w:val="both"/>
        <w:rPr>
          <w:rFonts w:cstheme="minorHAnsi"/>
          <w:color w:val="4F81BD"/>
          <w:u w:val="single"/>
        </w:rPr>
      </w:pPr>
      <w:r w:rsidRPr="00B929F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 vstupní prohlídky zaměstnance se ustupuje od podmínky uznatelnosti nákladu až po ukončení zkušební doby zaměstnance</w:t>
      </w:r>
    </w:p>
    <w:p w:rsidR="00B929F8" w:rsidRPr="00B929F8" w:rsidRDefault="00B929F8" w:rsidP="00B929F8">
      <w:pPr>
        <w:pStyle w:val="Odstavecseseznamem"/>
        <w:numPr>
          <w:ilvl w:val="0"/>
          <w:numId w:val="7"/>
        </w:numPr>
        <w:jc w:val="both"/>
        <w:rPr>
          <w:rFonts w:cstheme="minorHAnsi"/>
          <w:color w:val="4F81BD"/>
          <w:u w:val="single"/>
        </w:rPr>
      </w:pPr>
      <w:r w:rsidRPr="00B929F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Náklady na vzdělání:</w:t>
      </w:r>
    </w:p>
    <w:p w:rsidR="00B929F8" w:rsidRPr="00B929F8" w:rsidRDefault="00B929F8" w:rsidP="00B929F8">
      <w:pPr>
        <w:pStyle w:val="Odstavecseseznamem"/>
        <w:numPr>
          <w:ilvl w:val="2"/>
          <w:numId w:val="6"/>
        </w:numPr>
        <w:jc w:val="both"/>
        <w:rPr>
          <w:rFonts w:asciiTheme="minorHAnsi" w:hAnsiTheme="minorHAnsi" w:cstheme="minorHAnsi"/>
          <w:color w:val="C0504D"/>
          <w:sz w:val="22"/>
          <w:szCs w:val="22"/>
        </w:rPr>
      </w:pPr>
      <w:r w:rsidRPr="00B929F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Pokud zaměstnanec pracuje na plný úvazek jen část roku, započítají se do uznatelných nákladů jen odpovídající dvanáctiny z „příspěvku“ na vzdělávání.</w:t>
      </w:r>
    </w:p>
    <w:p w:rsidR="008523A2" w:rsidRPr="008523A2" w:rsidRDefault="00B929F8" w:rsidP="00B929F8">
      <w:pPr>
        <w:pStyle w:val="Odstavecseseznamem"/>
        <w:numPr>
          <w:ilvl w:val="2"/>
          <w:numId w:val="6"/>
        </w:numPr>
        <w:jc w:val="both"/>
        <w:rPr>
          <w:rFonts w:asciiTheme="minorHAnsi" w:hAnsiTheme="minorHAnsi" w:cstheme="minorHAnsi"/>
          <w:color w:val="C0504D"/>
          <w:sz w:val="22"/>
          <w:szCs w:val="22"/>
        </w:rPr>
      </w:pPr>
      <w:r w:rsidRPr="00B929F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Pokud zaměstnanec pracuje na částečný úvazek po celý rok, započítá se do uznatelných nákladů</w:t>
      </w:r>
      <w:r w:rsidR="008523A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celý „příspěvek“ na vzdělávání</w:t>
      </w:r>
    </w:p>
    <w:p w:rsidR="007B76E6" w:rsidRPr="008523A2" w:rsidRDefault="003B43A0" w:rsidP="00B929F8">
      <w:pPr>
        <w:pStyle w:val="Odstavecseseznamem"/>
        <w:numPr>
          <w:ilvl w:val="2"/>
          <w:numId w:val="6"/>
        </w:numPr>
        <w:jc w:val="both"/>
        <w:rPr>
          <w:rFonts w:asciiTheme="minorHAnsi" w:hAnsiTheme="minorHAnsi" w:cstheme="minorHAnsi"/>
          <w:color w:val="C0504D"/>
          <w:sz w:val="22"/>
          <w:szCs w:val="22"/>
        </w:rPr>
      </w:pPr>
      <w:bookmarkStart w:id="0" w:name="_GoBack"/>
      <w:bookmarkEnd w:id="0"/>
      <w:r w:rsidRPr="008523A2">
        <w:rPr>
          <w:rFonts w:cstheme="minorHAnsi"/>
          <w:u w:val="single"/>
        </w:rPr>
        <w:lastRenderedPageBreak/>
        <w:t>Snížení administrativní náročnosti</w:t>
      </w:r>
    </w:p>
    <w:p w:rsidR="007B76E6" w:rsidRPr="00B929F8" w:rsidRDefault="003B43A0" w:rsidP="00B929F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29F8">
        <w:rPr>
          <w:rFonts w:asciiTheme="minorHAnsi" w:eastAsiaTheme="minorEastAsia" w:hAnsiTheme="minorHAnsi" w:cstheme="minorHAnsi"/>
          <w:sz w:val="22"/>
          <w:szCs w:val="22"/>
        </w:rPr>
        <w:t>Snížení počtu povinných příloh dokládaných k Žádosti o dotaci z 11 na 4 (+ 1 dobrovolná příloha)</w:t>
      </w:r>
    </w:p>
    <w:p w:rsidR="007B76E6" w:rsidRPr="00B929F8" w:rsidRDefault="003B43A0" w:rsidP="00B929F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29F8">
        <w:rPr>
          <w:rFonts w:asciiTheme="minorHAnsi" w:eastAsiaTheme="minorEastAsia" w:hAnsiTheme="minorHAnsi" w:cstheme="minorHAnsi"/>
          <w:sz w:val="22"/>
          <w:szCs w:val="22"/>
        </w:rPr>
        <w:t>O změnách v nákladových rozpočtech služeb již nebude rozhodovat Zastupitelstvo Ústeckého kraje</w:t>
      </w:r>
    </w:p>
    <w:p w:rsidR="007B76E6" w:rsidRPr="00C750E1" w:rsidRDefault="003B43A0" w:rsidP="00B929F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29F8">
        <w:rPr>
          <w:rFonts w:asciiTheme="minorHAnsi" w:eastAsiaTheme="minorEastAsia" w:hAnsiTheme="minorHAnsi" w:cstheme="minorHAnsi"/>
          <w:sz w:val="22"/>
          <w:szCs w:val="22"/>
        </w:rPr>
        <w:t>Nově bude tato pravomoc svěřena odboru sociálních věcí KÚÚK → možné prodloužení lhůt na podávání žádostí o změnu rozpočtu</w:t>
      </w:r>
      <w:r w:rsidR="00B929F8">
        <w:rPr>
          <w:rFonts w:asciiTheme="minorHAnsi" w:eastAsiaTheme="minorEastAsia" w:hAnsiTheme="minorHAnsi" w:cstheme="minorHAnsi"/>
          <w:sz w:val="22"/>
          <w:szCs w:val="22"/>
        </w:rPr>
        <w:t>. Ohlašovací povinnost nově nastavena při změně nákladového rozpočtu z 20 % na 30 %.</w:t>
      </w:r>
    </w:p>
    <w:p w:rsidR="00C750E1" w:rsidRPr="00B929F8" w:rsidRDefault="00C750E1" w:rsidP="00C750E1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B929F8" w:rsidRPr="00C750E1" w:rsidRDefault="00B929F8" w:rsidP="00B929F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50E1">
        <w:rPr>
          <w:rFonts w:asciiTheme="minorHAnsi" w:hAnsiTheme="minorHAnsi" w:cstheme="minorHAnsi"/>
          <w:b/>
          <w:sz w:val="22"/>
          <w:szCs w:val="22"/>
          <w:u w:val="single"/>
        </w:rPr>
        <w:t xml:space="preserve">Vyhlášení </w:t>
      </w:r>
      <w:r w:rsidR="00C750E1" w:rsidRPr="00C750E1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Dotační řízení na podporu krajské samosprávy v oblasti stárnutí na rok 2018</w:t>
      </w:r>
      <w:r w:rsidR="00C750E1" w:rsidRPr="00C750E1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.</w:t>
      </w:r>
    </w:p>
    <w:p w:rsidR="007E0A94" w:rsidRPr="00B929F8" w:rsidRDefault="00C750E1" w:rsidP="007E0A94">
      <w:pPr>
        <w:spacing w:after="0"/>
        <w:rPr>
          <w:rFonts w:cstheme="minorHAnsi"/>
        </w:rPr>
      </w:pPr>
      <w:r>
        <w:rPr>
          <w:rFonts w:cstheme="minorHAnsi"/>
        </w:rPr>
        <w:t>Shodně jako v roce 2017 bude žádáno o prostředky na vydávání Seniorských listů ÚK.</w:t>
      </w:r>
    </w:p>
    <w:sectPr w:rsidR="007E0A94" w:rsidRPr="00B9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2745"/>
    <w:multiLevelType w:val="hybridMultilevel"/>
    <w:tmpl w:val="576C5056"/>
    <w:lvl w:ilvl="0" w:tplc="7F3CB5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9A7C76">
      <w:start w:val="14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D2477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703F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B216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EC23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ACFC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8EC5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BADC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4147727"/>
    <w:multiLevelType w:val="hybridMultilevel"/>
    <w:tmpl w:val="C0A03B78"/>
    <w:lvl w:ilvl="0" w:tplc="E45889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69A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D47B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708B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3EFE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CA6C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928C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3C86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84B3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CF80FC7"/>
    <w:multiLevelType w:val="hybridMultilevel"/>
    <w:tmpl w:val="FC1E8F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4EEB"/>
    <w:multiLevelType w:val="hybridMultilevel"/>
    <w:tmpl w:val="831E77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5B33"/>
    <w:multiLevelType w:val="hybridMultilevel"/>
    <w:tmpl w:val="E912D608"/>
    <w:lvl w:ilvl="0" w:tplc="A2BC89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6CE476">
      <w:start w:val="14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9C025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FAF6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E671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4A27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F258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FC13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5816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E2A2B8C"/>
    <w:multiLevelType w:val="hybridMultilevel"/>
    <w:tmpl w:val="B622E276"/>
    <w:lvl w:ilvl="0" w:tplc="89E465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C68B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D419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82ED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F699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2021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D622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FEFA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8C07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3DA7F56"/>
    <w:multiLevelType w:val="hybridMultilevel"/>
    <w:tmpl w:val="C23032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B5BDF"/>
    <w:multiLevelType w:val="hybridMultilevel"/>
    <w:tmpl w:val="A7307C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C1618EC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B0F78"/>
    <w:multiLevelType w:val="hybridMultilevel"/>
    <w:tmpl w:val="206E74C6"/>
    <w:lvl w:ilvl="0" w:tplc="32BE26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2EAED0">
      <w:start w:val="14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F8D89A">
      <w:start w:val="14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E3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3668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E0B8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CEE5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E27E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A0AF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43B7D30"/>
    <w:multiLevelType w:val="hybridMultilevel"/>
    <w:tmpl w:val="851E7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32221"/>
    <w:multiLevelType w:val="hybridMultilevel"/>
    <w:tmpl w:val="EE42198E"/>
    <w:lvl w:ilvl="0" w:tplc="9DDA1B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AA0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35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A407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5855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8C50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ACA2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C67F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E05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4"/>
    <w:rsid w:val="003B43A0"/>
    <w:rsid w:val="007B76E6"/>
    <w:rsid w:val="007E0A94"/>
    <w:rsid w:val="008523A2"/>
    <w:rsid w:val="009638FE"/>
    <w:rsid w:val="00B929F8"/>
    <w:rsid w:val="00C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0784F-9B22-4064-883C-602D71F1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0A9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47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242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771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351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35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107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49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707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959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818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56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0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95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34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93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214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811">
          <w:marLeft w:val="950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342">
          <w:marLeft w:val="950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377">
          <w:marLeft w:val="950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454">
          <w:marLeft w:val="950"/>
          <w:marRight w:val="0"/>
          <w:marTop w:val="6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N3puwqukLY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Lafková Petra</dc:creator>
  <cp:keywords/>
  <dc:description/>
  <cp:lastModifiedBy>Jaroslav Slavík</cp:lastModifiedBy>
  <cp:revision>2</cp:revision>
  <cp:lastPrinted>2018-05-16T07:54:00Z</cp:lastPrinted>
  <dcterms:created xsi:type="dcterms:W3CDTF">2018-05-16T07:12:00Z</dcterms:created>
  <dcterms:modified xsi:type="dcterms:W3CDTF">2018-05-17T12:08:00Z</dcterms:modified>
</cp:coreProperties>
</file>