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FA" w:rsidRPr="007B45FA" w:rsidRDefault="007B45FA" w:rsidP="007B45FA">
      <w:pPr>
        <w:jc w:val="right"/>
        <w:rPr>
          <w:rFonts w:ascii="Times New Roman" w:hAnsi="Times New Roman"/>
          <w:sz w:val="24"/>
          <w:szCs w:val="24"/>
        </w:rPr>
      </w:pPr>
      <w:r w:rsidRPr="007B45FA">
        <w:rPr>
          <w:rFonts w:ascii="Times New Roman" w:hAnsi="Times New Roman"/>
          <w:sz w:val="24"/>
          <w:szCs w:val="24"/>
        </w:rPr>
        <w:t>IV.</w:t>
      </w:r>
    </w:p>
    <w:p w:rsidR="00D14A75" w:rsidRPr="00FF4B89" w:rsidRDefault="00D14A75" w:rsidP="00D14A75">
      <w:pPr>
        <w:jc w:val="center"/>
        <w:rPr>
          <w:rFonts w:ascii="Times New Roman" w:hAnsi="Times New Roman"/>
          <w:b/>
          <w:sz w:val="28"/>
          <w:szCs w:val="28"/>
        </w:rPr>
      </w:pPr>
      <w:r w:rsidRPr="00FF4B89">
        <w:rPr>
          <w:rFonts w:ascii="Times New Roman" w:hAnsi="Times New Roman"/>
          <w:b/>
          <w:sz w:val="28"/>
          <w:szCs w:val="28"/>
        </w:rPr>
        <w:t>Důvodová zpráva</w:t>
      </w:r>
    </w:p>
    <w:p w:rsidR="00D17619" w:rsidRPr="00FF4B89" w:rsidRDefault="00D17619" w:rsidP="00D14A75">
      <w:pPr>
        <w:jc w:val="both"/>
        <w:rPr>
          <w:rFonts w:ascii="Times New Roman" w:hAnsi="Times New Roman"/>
          <w:b/>
          <w:sz w:val="28"/>
          <w:szCs w:val="28"/>
          <w:u w:val="single"/>
        </w:rPr>
      </w:pPr>
    </w:p>
    <w:p w:rsidR="00D14A75" w:rsidRDefault="00D14A75" w:rsidP="00D14A75">
      <w:pPr>
        <w:jc w:val="both"/>
        <w:rPr>
          <w:rFonts w:ascii="Times New Roman" w:hAnsi="Times New Roman"/>
          <w:b/>
          <w:sz w:val="28"/>
          <w:szCs w:val="28"/>
          <w:u w:val="single"/>
        </w:rPr>
      </w:pPr>
      <w:r w:rsidRPr="00FF4B89">
        <w:rPr>
          <w:rFonts w:ascii="Times New Roman" w:hAnsi="Times New Roman"/>
          <w:b/>
          <w:sz w:val="28"/>
          <w:szCs w:val="28"/>
          <w:u w:val="single"/>
        </w:rPr>
        <w:t>Obecná část</w:t>
      </w:r>
    </w:p>
    <w:p w:rsidR="00090F12" w:rsidRPr="002533D6" w:rsidRDefault="00090F12" w:rsidP="00090F12">
      <w:pPr>
        <w:tabs>
          <w:tab w:val="left" w:pos="284"/>
        </w:tabs>
        <w:jc w:val="center"/>
        <w:rPr>
          <w:rFonts w:ascii="Times New Roman" w:hAnsi="Times New Roman"/>
          <w:b/>
          <w:sz w:val="24"/>
          <w:szCs w:val="24"/>
        </w:rPr>
      </w:pPr>
      <w:r w:rsidRPr="002533D6">
        <w:rPr>
          <w:rFonts w:ascii="Times New Roman" w:hAnsi="Times New Roman"/>
          <w:b/>
          <w:sz w:val="24"/>
          <w:szCs w:val="24"/>
        </w:rPr>
        <w:t xml:space="preserve">I. </w:t>
      </w:r>
    </w:p>
    <w:p w:rsidR="00090F12" w:rsidRPr="002533D6" w:rsidRDefault="00090F12" w:rsidP="00090F12">
      <w:pPr>
        <w:tabs>
          <w:tab w:val="left" w:pos="284"/>
        </w:tabs>
        <w:jc w:val="both"/>
        <w:rPr>
          <w:rFonts w:ascii="Times New Roman" w:hAnsi="Times New Roman"/>
          <w:b/>
          <w:iCs/>
          <w:sz w:val="24"/>
          <w:szCs w:val="24"/>
        </w:rPr>
      </w:pPr>
      <w:r w:rsidRPr="002533D6">
        <w:rPr>
          <w:rFonts w:ascii="Times New Roman" w:hAnsi="Times New Roman"/>
          <w:b/>
          <w:iCs/>
          <w:sz w:val="24"/>
          <w:szCs w:val="24"/>
        </w:rPr>
        <w:t>A. Závěrečná zpráva hodnocení dopadů regulace podle obecných zásad - RIA</w:t>
      </w:r>
    </w:p>
    <w:p w:rsidR="00090F12" w:rsidRPr="00A16C78" w:rsidRDefault="00090F12" w:rsidP="00A16C78">
      <w:pPr>
        <w:tabs>
          <w:tab w:val="left" w:pos="284"/>
        </w:tabs>
        <w:jc w:val="center"/>
        <w:rPr>
          <w:rFonts w:ascii="Times New Roman" w:hAnsi="Times New Roman"/>
          <w:iCs/>
          <w:sz w:val="24"/>
          <w:szCs w:val="24"/>
        </w:rPr>
      </w:pPr>
      <w:r w:rsidRPr="00A16C78">
        <w:rPr>
          <w:rFonts w:ascii="Times New Roman" w:hAnsi="Times New Roman"/>
          <w:iCs/>
          <w:sz w:val="24"/>
          <w:szCs w:val="24"/>
        </w:rPr>
        <w:t>(k úpravě zvýšení příspěvku na péči)</w:t>
      </w:r>
    </w:p>
    <w:p w:rsidR="00090F12" w:rsidRDefault="00090F12" w:rsidP="00090F12">
      <w:pPr>
        <w:pStyle w:val="Bezmezer"/>
        <w:spacing w:before="120" w:after="120"/>
        <w:jc w:val="center"/>
        <w:rPr>
          <w:rFonts w:ascii="Times New Roman" w:hAnsi="Times New Roman"/>
          <w:sz w:val="24"/>
          <w:szCs w:val="24"/>
        </w:rPr>
      </w:pPr>
    </w:p>
    <w:p w:rsidR="00090F12" w:rsidRPr="00FF4B89" w:rsidRDefault="00090F12" w:rsidP="00090F12">
      <w:pPr>
        <w:pStyle w:val="Bezmezer"/>
        <w:spacing w:before="120" w:after="120"/>
        <w:jc w:val="center"/>
        <w:rPr>
          <w:rFonts w:ascii="Times New Roman" w:hAnsi="Times New Roman"/>
          <w:sz w:val="24"/>
          <w:szCs w:val="24"/>
        </w:rPr>
      </w:pPr>
      <w:r w:rsidRPr="00FF4B89">
        <w:rPr>
          <w:rFonts w:ascii="Times New Roman" w:hAnsi="Times New Roman"/>
          <w:sz w:val="24"/>
          <w:szCs w:val="24"/>
        </w:rPr>
        <w:t>SHRNUTÍ ZÁVĚREČNÉ ZPRÁVY RIA</w:t>
      </w:r>
    </w:p>
    <w:p w:rsidR="00090F12" w:rsidRPr="00FF4B89" w:rsidRDefault="00090F12" w:rsidP="00090F12">
      <w:pPr>
        <w:pStyle w:val="Bezmezer"/>
        <w:spacing w:before="120" w:after="120"/>
        <w:jc w:val="center"/>
        <w:rPr>
          <w:rFonts w:ascii="Times New Roman" w:hAnsi="Times New Roman"/>
          <w:sz w:val="24"/>
          <w:szCs w:val="24"/>
        </w:rPr>
      </w:pPr>
      <w:r w:rsidRPr="00FF4B89">
        <w:rPr>
          <w:rFonts w:ascii="Times New Roman" w:hAnsi="Times New Roman"/>
          <w:sz w:val="24"/>
          <w:szCs w:val="24"/>
        </w:rPr>
        <w:t>1. Základní identifikační údaje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090F12" w:rsidRPr="00FF4B89" w:rsidTr="00A16C78">
        <w:tc>
          <w:tcPr>
            <w:tcW w:w="9212" w:type="dxa"/>
            <w:gridSpan w:val="2"/>
            <w:tcBorders>
              <w:bottom w:val="single" w:sz="6" w:space="0" w:color="auto"/>
            </w:tcBorders>
            <w:vAlign w:val="center"/>
          </w:tcPr>
          <w:p w:rsidR="00090F12" w:rsidRPr="00FF4B89" w:rsidRDefault="00090F12" w:rsidP="00A16C78">
            <w:pPr>
              <w:spacing w:before="120" w:after="120"/>
              <w:jc w:val="center"/>
              <w:rPr>
                <w:rFonts w:ascii="Times New Roman" w:hAnsi="Times New Roman"/>
                <w:sz w:val="24"/>
                <w:szCs w:val="24"/>
              </w:rPr>
            </w:pPr>
            <w:r w:rsidRPr="00FF4B89">
              <w:rPr>
                <w:rFonts w:ascii="Times New Roman" w:hAnsi="Times New Roman"/>
                <w:sz w:val="24"/>
                <w:szCs w:val="24"/>
              </w:rPr>
              <w:t>Návrh zákona, kterým se mění zákon č. 108/2006 Sb., o sociálních službách</w:t>
            </w:r>
            <w:r>
              <w:rPr>
                <w:rFonts w:ascii="Times New Roman" w:hAnsi="Times New Roman"/>
                <w:sz w:val="24"/>
                <w:szCs w:val="24"/>
              </w:rPr>
              <w:t>, ve znění pozdějších předpisů</w:t>
            </w:r>
          </w:p>
        </w:tc>
      </w:tr>
      <w:tr w:rsidR="00090F12" w:rsidRPr="00FF4B89" w:rsidTr="00A16C78">
        <w:tc>
          <w:tcPr>
            <w:tcW w:w="4606" w:type="dxa"/>
            <w:tcBorders>
              <w:top w:val="single" w:sz="6" w:space="0" w:color="auto"/>
              <w:right w:val="single" w:sz="6" w:space="0" w:color="auto"/>
            </w:tcBorders>
          </w:tcPr>
          <w:p w:rsidR="00090F12" w:rsidRPr="00FF4B89" w:rsidRDefault="00090F12" w:rsidP="00A16C78">
            <w:pPr>
              <w:jc w:val="center"/>
              <w:rPr>
                <w:rFonts w:ascii="Times New Roman" w:hAnsi="Times New Roman"/>
                <w:sz w:val="24"/>
                <w:szCs w:val="24"/>
              </w:rPr>
            </w:pPr>
            <w:r w:rsidRPr="00FF4B89">
              <w:rPr>
                <w:rFonts w:ascii="Times New Roman" w:hAnsi="Times New Roman"/>
                <w:sz w:val="24"/>
                <w:szCs w:val="24"/>
              </w:rPr>
              <w:t>Zpracovatel / zástupce předkladatele:</w:t>
            </w:r>
          </w:p>
          <w:p w:rsidR="00090F12" w:rsidRPr="00FF4B89" w:rsidRDefault="00090F12" w:rsidP="00A16C78">
            <w:pPr>
              <w:jc w:val="center"/>
              <w:rPr>
                <w:rFonts w:ascii="Times New Roman" w:hAnsi="Times New Roman"/>
                <w:b/>
                <w:sz w:val="24"/>
                <w:szCs w:val="24"/>
              </w:rPr>
            </w:pPr>
            <w:r>
              <w:rPr>
                <w:rFonts w:ascii="Times New Roman" w:hAnsi="Times New Roman"/>
                <w:b/>
                <w:sz w:val="24"/>
                <w:szCs w:val="24"/>
              </w:rPr>
              <w:t>JUDr. Michaela Kepková</w:t>
            </w:r>
          </w:p>
          <w:p w:rsidR="00090F12" w:rsidRPr="00FF4B89" w:rsidRDefault="00090F12" w:rsidP="00A16C78">
            <w:pPr>
              <w:jc w:val="center"/>
              <w:rPr>
                <w:rFonts w:ascii="Times New Roman" w:hAnsi="Times New Roman"/>
                <w:sz w:val="24"/>
                <w:szCs w:val="24"/>
              </w:rPr>
            </w:pPr>
            <w:r w:rsidRPr="00FF4B89">
              <w:rPr>
                <w:rFonts w:ascii="Times New Roman" w:hAnsi="Times New Roman"/>
                <w:sz w:val="24"/>
                <w:szCs w:val="24"/>
              </w:rPr>
              <w:t>Tel.: 221</w:t>
            </w:r>
            <w:r>
              <w:rPr>
                <w:rFonts w:ascii="Times New Roman" w:hAnsi="Times New Roman"/>
                <w:sz w:val="24"/>
                <w:szCs w:val="24"/>
              </w:rPr>
              <w:t>22310</w:t>
            </w:r>
          </w:p>
          <w:p w:rsidR="00090F12" w:rsidRPr="00FF4B89" w:rsidRDefault="00090F12" w:rsidP="00A16C78">
            <w:pPr>
              <w:jc w:val="center"/>
              <w:rPr>
                <w:rFonts w:ascii="Times New Roman" w:hAnsi="Times New Roman"/>
                <w:sz w:val="24"/>
                <w:szCs w:val="24"/>
              </w:rPr>
            </w:pPr>
            <w:r>
              <w:rPr>
                <w:rFonts w:ascii="Times New Roman" w:hAnsi="Times New Roman"/>
                <w:sz w:val="24"/>
                <w:szCs w:val="24"/>
              </w:rPr>
              <w:t>michaela.kepkova</w:t>
            </w:r>
            <w:r w:rsidRPr="00390D3E">
              <w:rPr>
                <w:rFonts w:ascii="Times New Roman" w:hAnsi="Times New Roman"/>
                <w:sz w:val="24"/>
                <w:szCs w:val="24"/>
              </w:rPr>
              <w:t>@mpsv.cz</w:t>
            </w:r>
          </w:p>
        </w:tc>
        <w:tc>
          <w:tcPr>
            <w:tcW w:w="4606" w:type="dxa"/>
            <w:tcBorders>
              <w:top w:val="single" w:sz="6" w:space="0" w:color="auto"/>
              <w:left w:val="single" w:sz="6" w:space="0" w:color="auto"/>
            </w:tcBorders>
          </w:tcPr>
          <w:p w:rsidR="00090F12" w:rsidRPr="00FF4B89" w:rsidRDefault="00090F12" w:rsidP="00A16C78">
            <w:pPr>
              <w:jc w:val="center"/>
              <w:rPr>
                <w:rFonts w:ascii="Times New Roman" w:hAnsi="Times New Roman"/>
                <w:sz w:val="24"/>
                <w:szCs w:val="24"/>
              </w:rPr>
            </w:pPr>
            <w:r w:rsidRPr="00FF4B89">
              <w:rPr>
                <w:rFonts w:ascii="Times New Roman" w:hAnsi="Times New Roman"/>
                <w:sz w:val="24"/>
                <w:szCs w:val="24"/>
              </w:rPr>
              <w:t xml:space="preserve">Předpokládaný termín nabytí účinnosti </w:t>
            </w:r>
          </w:p>
          <w:p w:rsidR="00090F12" w:rsidRPr="00941CAF" w:rsidRDefault="00090F12" w:rsidP="00A16C78">
            <w:pPr>
              <w:ind w:left="360"/>
              <w:jc w:val="center"/>
              <w:rPr>
                <w:rFonts w:ascii="Times New Roman" w:hAnsi="Times New Roman"/>
                <w:sz w:val="24"/>
                <w:szCs w:val="24"/>
              </w:rPr>
            </w:pPr>
            <w:r>
              <w:rPr>
                <w:rFonts w:ascii="Times New Roman" w:hAnsi="Times New Roman"/>
                <w:sz w:val="24"/>
                <w:szCs w:val="24"/>
              </w:rPr>
              <w:t xml:space="preserve"> dnem 1. 7. 2016</w:t>
            </w:r>
          </w:p>
        </w:tc>
      </w:tr>
      <w:tr w:rsidR="00090F12" w:rsidRPr="00FF4B89" w:rsidTr="00A16C78">
        <w:tc>
          <w:tcPr>
            <w:tcW w:w="9212" w:type="dxa"/>
            <w:gridSpan w:val="2"/>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Implementace práva EU: NE</w:t>
            </w: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2. Cíl návrhu zákona</w:t>
            </w:r>
          </w:p>
        </w:tc>
      </w:tr>
      <w:tr w:rsidR="00090F12" w:rsidRPr="00FF4B89" w:rsidTr="00A16C78">
        <w:tc>
          <w:tcPr>
            <w:tcW w:w="9212" w:type="dxa"/>
            <w:gridSpan w:val="2"/>
          </w:tcPr>
          <w:p w:rsidR="00090F12" w:rsidRDefault="00090F12" w:rsidP="00A16C78">
            <w:pPr>
              <w:spacing w:before="120" w:after="120"/>
              <w:jc w:val="both"/>
              <w:rPr>
                <w:rFonts w:ascii="Times New Roman" w:hAnsi="Times New Roman"/>
                <w:i/>
                <w:sz w:val="24"/>
                <w:szCs w:val="24"/>
              </w:rPr>
            </w:pPr>
            <w:r w:rsidRPr="00FF4B89">
              <w:rPr>
                <w:rFonts w:ascii="Times New Roman" w:hAnsi="Times New Roman"/>
                <w:i/>
                <w:sz w:val="24"/>
                <w:szCs w:val="24"/>
              </w:rPr>
              <w:t xml:space="preserve">Cílem novely je </w:t>
            </w:r>
            <w:r>
              <w:rPr>
                <w:rFonts w:ascii="Times New Roman" w:hAnsi="Times New Roman"/>
                <w:i/>
                <w:sz w:val="24"/>
                <w:szCs w:val="24"/>
              </w:rPr>
              <w:t>zvýšení částek příspěvku na péči, aby bylo alespoň částečně reagováno na pokles jeho reálné hodnoty.</w:t>
            </w:r>
            <w:r w:rsidRPr="00FF4B89">
              <w:rPr>
                <w:rFonts w:ascii="Times New Roman" w:hAnsi="Times New Roman"/>
                <w:i/>
                <w:sz w:val="24"/>
                <w:szCs w:val="24"/>
              </w:rPr>
              <w:t xml:space="preserve"> </w:t>
            </w:r>
          </w:p>
          <w:p w:rsidR="00090F12" w:rsidRPr="00941CAF" w:rsidRDefault="00090F12" w:rsidP="00A16C78">
            <w:pPr>
              <w:spacing w:before="120" w:after="120"/>
              <w:jc w:val="both"/>
              <w:rPr>
                <w:rFonts w:ascii="Times New Roman" w:hAnsi="Times New Roman"/>
                <w:i/>
                <w:sz w:val="24"/>
                <w:szCs w:val="24"/>
              </w:rPr>
            </w:pPr>
            <w:r>
              <w:rPr>
                <w:rFonts w:ascii="Times New Roman" w:hAnsi="Times New Roman"/>
                <w:i/>
                <w:sz w:val="24"/>
                <w:szCs w:val="24"/>
              </w:rPr>
              <w:t>Od roku 2007, kdy byl příspěvek na péči zaveden, došlo v jeho výši jen k dílčím změnám. Přitom všechny ekonomické veličiny, které mají k této nepojistné dávce určitou vazbu, rostly (v rozmezí od 20 do 50 %). Je navrhováno zvýšení částek příspěvku na péči ve všech stupních závislosti o 10 %, případně provedení tohoto zvýšení ve dvou krocích.</w:t>
            </w: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3. Agregované dopady návrhu zákona</w:t>
            </w: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 xml:space="preserve">3.1 Dopady na státní rozpočet a ostatní veřejné rozpočty: </w:t>
            </w:r>
            <w:r>
              <w:rPr>
                <w:rFonts w:ascii="Times New Roman" w:hAnsi="Times New Roman"/>
                <w:sz w:val="24"/>
                <w:szCs w:val="24"/>
              </w:rPr>
              <w:t>Ano</w:t>
            </w:r>
          </w:p>
        </w:tc>
      </w:tr>
      <w:tr w:rsidR="00090F12" w:rsidRPr="00FF4B89" w:rsidTr="00A16C78">
        <w:tc>
          <w:tcPr>
            <w:tcW w:w="9212" w:type="dxa"/>
            <w:gridSpan w:val="2"/>
          </w:tcPr>
          <w:p w:rsidR="00090F12" w:rsidRPr="00C109D5" w:rsidRDefault="00090F12" w:rsidP="00A16C78">
            <w:pPr>
              <w:spacing w:before="120" w:after="120"/>
              <w:jc w:val="both"/>
              <w:rPr>
                <w:rFonts w:ascii="Times New Roman" w:hAnsi="Times New Roman"/>
                <w:i/>
                <w:sz w:val="24"/>
                <w:szCs w:val="24"/>
              </w:rPr>
            </w:pPr>
            <w:r w:rsidRPr="00C109D5">
              <w:rPr>
                <w:rFonts w:ascii="Times New Roman" w:hAnsi="Times New Roman"/>
                <w:i/>
                <w:sz w:val="24"/>
                <w:szCs w:val="24"/>
              </w:rPr>
              <w:t xml:space="preserve">Navrhované zvýšení částek příspěvku na péči o 10 % </w:t>
            </w:r>
            <w:r>
              <w:rPr>
                <w:rFonts w:ascii="Times New Roman" w:hAnsi="Times New Roman"/>
                <w:i/>
                <w:sz w:val="24"/>
                <w:szCs w:val="24"/>
              </w:rPr>
              <w:t>zvýší</w:t>
            </w:r>
            <w:r w:rsidRPr="00C109D5">
              <w:rPr>
                <w:rFonts w:ascii="Times New Roman" w:hAnsi="Times New Roman"/>
                <w:i/>
                <w:sz w:val="24"/>
                <w:szCs w:val="24"/>
              </w:rPr>
              <w:t xml:space="preserve"> </w:t>
            </w:r>
            <w:r>
              <w:rPr>
                <w:rFonts w:ascii="Times New Roman" w:hAnsi="Times New Roman"/>
                <w:i/>
                <w:sz w:val="24"/>
                <w:szCs w:val="24"/>
              </w:rPr>
              <w:t>c</w:t>
            </w:r>
            <w:r w:rsidRPr="00C109D5">
              <w:rPr>
                <w:rFonts w:ascii="Times New Roman" w:hAnsi="Times New Roman"/>
                <w:i/>
                <w:sz w:val="24"/>
                <w:szCs w:val="24"/>
              </w:rPr>
              <w:t>elkové roční mandatorní výdaje na dávku (bez nákladů na administraci) ve srovnání s výdaji roku 2015 minimálně o 2,1 mld. Kč. Část vynaložených prostředků se vrátí do systému sociálních služeb prostřednictvím plateb klientů registrovaným poskytovatelům sociálních služeb.</w:t>
            </w:r>
          </w:p>
          <w:p w:rsidR="00090F12" w:rsidRPr="00FF4B89" w:rsidRDefault="00090F12" w:rsidP="00A16C78">
            <w:pPr>
              <w:spacing w:before="120" w:after="120"/>
              <w:jc w:val="both"/>
              <w:rPr>
                <w:rFonts w:ascii="Times New Roman" w:hAnsi="Times New Roman"/>
                <w:i/>
                <w:sz w:val="24"/>
                <w:szCs w:val="24"/>
              </w:rPr>
            </w:pPr>
            <w:r w:rsidRPr="00C109D5">
              <w:rPr>
                <w:rFonts w:ascii="Times New Roman" w:hAnsi="Times New Roman"/>
                <w:i/>
                <w:sz w:val="24"/>
                <w:szCs w:val="24"/>
              </w:rPr>
              <w:t xml:space="preserve">Dopady na státní rozpočet roku 2016 se liší v závislosti na datu účinnosti navrhovaných variant. </w:t>
            </w:r>
            <w:r>
              <w:rPr>
                <w:rFonts w:ascii="Times New Roman" w:hAnsi="Times New Roman"/>
                <w:i/>
                <w:sz w:val="24"/>
                <w:szCs w:val="24"/>
              </w:rPr>
              <w:t>Ve srovnání s výdaji roku 2015 j</w:t>
            </w:r>
            <w:r w:rsidRPr="00C109D5">
              <w:rPr>
                <w:rFonts w:ascii="Times New Roman" w:hAnsi="Times New Roman"/>
                <w:i/>
                <w:sz w:val="24"/>
                <w:szCs w:val="24"/>
              </w:rPr>
              <w:t>ednorázové zvýšení částek příspěvku na péči o 10 % od 1. července 2016 zvýší mandatorní výdaje státního rozpočtu</w:t>
            </w:r>
            <w:r>
              <w:rPr>
                <w:rFonts w:ascii="Times New Roman" w:hAnsi="Times New Roman"/>
                <w:i/>
                <w:sz w:val="24"/>
                <w:szCs w:val="24"/>
              </w:rPr>
              <w:t xml:space="preserve"> v roce 2016 o 1,05 mld. Kč; zvýšení příspěvku na péči o 10 % provedené ve dvou krocích (od 1. července 2016 se částky zvýší o 5 % a zvýšení o „zbylých“ 5 % bude realizováno od 1. ledna 2017) zvýší mandatorní </w:t>
            </w:r>
            <w:r>
              <w:rPr>
                <w:rFonts w:ascii="Times New Roman" w:hAnsi="Times New Roman"/>
                <w:i/>
                <w:sz w:val="24"/>
                <w:szCs w:val="24"/>
              </w:rPr>
              <w:lastRenderedPageBreak/>
              <w:t xml:space="preserve">výdaje státního rozpočtu v roce 2016 o 0,52 mld. Kč. </w:t>
            </w: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lastRenderedPageBreak/>
              <w:t>3.2 Dopady na podnikatelské subjekty: NE</w:t>
            </w:r>
          </w:p>
        </w:tc>
      </w:tr>
      <w:tr w:rsidR="00090F12" w:rsidRPr="00FF4B89" w:rsidTr="00A16C78">
        <w:tc>
          <w:tcPr>
            <w:tcW w:w="9212" w:type="dxa"/>
            <w:gridSpan w:val="2"/>
          </w:tcPr>
          <w:p w:rsidR="00090F12" w:rsidRPr="00FF4B89" w:rsidRDefault="00090F12" w:rsidP="00A16C78">
            <w:pPr>
              <w:pStyle w:val="Bezmezer"/>
            </w:pP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3.3 Dopady na územní samo</w:t>
            </w:r>
            <w:r>
              <w:rPr>
                <w:rFonts w:ascii="Times New Roman" w:hAnsi="Times New Roman"/>
                <w:sz w:val="24"/>
                <w:szCs w:val="24"/>
              </w:rPr>
              <w:t>správné celky (obce, kraje): NE</w:t>
            </w:r>
          </w:p>
        </w:tc>
      </w:tr>
      <w:tr w:rsidR="00090F12" w:rsidRPr="00FF4B89" w:rsidTr="00A16C78">
        <w:tc>
          <w:tcPr>
            <w:tcW w:w="9212" w:type="dxa"/>
            <w:gridSpan w:val="2"/>
          </w:tcPr>
          <w:p w:rsidR="00090F12" w:rsidRPr="002533D6" w:rsidRDefault="00090F12" w:rsidP="00A16C78">
            <w:pPr>
              <w:spacing w:before="120" w:after="120"/>
              <w:jc w:val="both"/>
              <w:rPr>
                <w:i/>
              </w:rPr>
            </w:pP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3.4 Sociální dopady: ANO</w:t>
            </w:r>
          </w:p>
        </w:tc>
      </w:tr>
      <w:tr w:rsidR="00090F12" w:rsidRPr="00FF4B89" w:rsidTr="00A16C78">
        <w:tc>
          <w:tcPr>
            <w:tcW w:w="9212" w:type="dxa"/>
            <w:gridSpan w:val="2"/>
          </w:tcPr>
          <w:p w:rsidR="00090F12" w:rsidRPr="00FF4B89" w:rsidRDefault="00090F12" w:rsidP="00A16C78">
            <w:pPr>
              <w:spacing w:before="120" w:after="120"/>
              <w:jc w:val="both"/>
              <w:rPr>
                <w:rFonts w:ascii="Times New Roman" w:hAnsi="Times New Roman"/>
                <w:i/>
                <w:sz w:val="24"/>
                <w:szCs w:val="24"/>
              </w:rPr>
            </w:pPr>
            <w:r w:rsidRPr="00FF4B89">
              <w:rPr>
                <w:rFonts w:ascii="Times New Roman" w:hAnsi="Times New Roman"/>
                <w:i/>
                <w:sz w:val="24"/>
                <w:szCs w:val="24"/>
              </w:rPr>
              <w:t xml:space="preserve">Návrh má pozitivní dopady pro </w:t>
            </w:r>
            <w:r>
              <w:rPr>
                <w:rFonts w:ascii="Times New Roman" w:hAnsi="Times New Roman"/>
                <w:i/>
                <w:sz w:val="24"/>
                <w:szCs w:val="24"/>
              </w:rPr>
              <w:t>příjemce příspěvku na péči a jejich rodiny, dojde k posílení příjmu a zvýší se možnosti zajištění sociálních služeb nebo jiných forem pomoci.</w:t>
            </w:r>
          </w:p>
        </w:tc>
      </w:tr>
      <w:tr w:rsidR="00090F12" w:rsidRPr="00FF4B89" w:rsidTr="00A16C78">
        <w:tc>
          <w:tcPr>
            <w:tcW w:w="9212" w:type="dxa"/>
            <w:gridSpan w:val="2"/>
            <w:shd w:val="clear" w:color="auto" w:fill="33CCFF"/>
          </w:tcPr>
          <w:p w:rsidR="00090F12" w:rsidRPr="00FF4B89" w:rsidRDefault="00090F12" w:rsidP="00A16C78">
            <w:pPr>
              <w:spacing w:before="120" w:after="120"/>
              <w:rPr>
                <w:rFonts w:ascii="Times New Roman" w:hAnsi="Times New Roman"/>
                <w:sz w:val="24"/>
                <w:szCs w:val="24"/>
              </w:rPr>
            </w:pPr>
            <w:r w:rsidRPr="00FF4B89">
              <w:rPr>
                <w:rFonts w:ascii="Times New Roman" w:hAnsi="Times New Roman"/>
                <w:sz w:val="24"/>
                <w:szCs w:val="24"/>
              </w:rPr>
              <w:t>3.5 Dopady na životní prostředí: NE</w:t>
            </w:r>
          </w:p>
        </w:tc>
      </w:tr>
      <w:tr w:rsidR="00090F12" w:rsidRPr="00FF4B89" w:rsidTr="00A16C78">
        <w:tc>
          <w:tcPr>
            <w:tcW w:w="9212" w:type="dxa"/>
            <w:gridSpan w:val="2"/>
          </w:tcPr>
          <w:p w:rsidR="00090F12" w:rsidRPr="00FF4B89" w:rsidRDefault="00090F12" w:rsidP="00A16C78">
            <w:pPr>
              <w:spacing w:before="120" w:after="120"/>
              <w:rPr>
                <w:rFonts w:ascii="Times New Roman" w:hAnsi="Times New Roman"/>
                <w:sz w:val="24"/>
                <w:szCs w:val="24"/>
              </w:rPr>
            </w:pPr>
          </w:p>
        </w:tc>
      </w:tr>
    </w:tbl>
    <w:p w:rsidR="00090F12" w:rsidRDefault="00090F12" w:rsidP="00090F12">
      <w:pPr>
        <w:rPr>
          <w:rFonts w:ascii="Times New Roman" w:hAnsi="Times New Roman"/>
          <w:sz w:val="24"/>
          <w:szCs w:val="24"/>
        </w:rPr>
      </w:pPr>
    </w:p>
    <w:p w:rsidR="006631B9" w:rsidRDefault="006631B9">
      <w:pPr>
        <w:spacing w:line="276" w:lineRule="auto"/>
        <w:rPr>
          <w:rFonts w:ascii="Times New Roman" w:hAnsi="Times New Roman"/>
          <w:sz w:val="24"/>
          <w:szCs w:val="24"/>
        </w:rPr>
      </w:pPr>
      <w:r>
        <w:rPr>
          <w:rFonts w:ascii="Times New Roman" w:hAnsi="Times New Roman"/>
          <w:sz w:val="24"/>
          <w:szCs w:val="24"/>
        </w:rPr>
        <w:br w:type="page"/>
      </w:r>
    </w:p>
    <w:p w:rsidR="00090F12" w:rsidRPr="002533D6" w:rsidRDefault="00090F12" w:rsidP="00090F12">
      <w:pPr>
        <w:tabs>
          <w:tab w:val="left" w:pos="284"/>
        </w:tabs>
        <w:jc w:val="both"/>
        <w:rPr>
          <w:rFonts w:ascii="Times New Roman" w:hAnsi="Times New Roman"/>
          <w:b/>
          <w:iCs/>
          <w:sz w:val="24"/>
          <w:szCs w:val="24"/>
        </w:rPr>
      </w:pPr>
      <w:r w:rsidRPr="002533D6">
        <w:rPr>
          <w:rFonts w:ascii="Times New Roman" w:hAnsi="Times New Roman"/>
          <w:b/>
          <w:iCs/>
          <w:sz w:val="24"/>
          <w:szCs w:val="24"/>
        </w:rPr>
        <w:lastRenderedPageBreak/>
        <w:t>1. Důvod předložení a cíle</w:t>
      </w:r>
    </w:p>
    <w:p w:rsidR="00090F12" w:rsidRPr="002533D6" w:rsidRDefault="00090F12" w:rsidP="00090F12">
      <w:pPr>
        <w:tabs>
          <w:tab w:val="left" w:pos="284"/>
        </w:tabs>
        <w:jc w:val="both"/>
        <w:rPr>
          <w:rFonts w:ascii="Times New Roman" w:hAnsi="Times New Roman"/>
          <w:b/>
          <w:bCs/>
          <w:sz w:val="24"/>
          <w:szCs w:val="24"/>
        </w:rPr>
      </w:pPr>
      <w:r w:rsidRPr="002533D6">
        <w:rPr>
          <w:rFonts w:ascii="Times New Roman" w:hAnsi="Times New Roman"/>
          <w:b/>
          <w:bCs/>
          <w:sz w:val="24"/>
          <w:szCs w:val="24"/>
        </w:rPr>
        <w:t>1.1 Název</w:t>
      </w:r>
    </w:p>
    <w:p w:rsidR="00090F12" w:rsidRPr="002533D6" w:rsidRDefault="00090F12" w:rsidP="00090F12">
      <w:pPr>
        <w:jc w:val="both"/>
        <w:rPr>
          <w:rFonts w:ascii="Times New Roman" w:hAnsi="Times New Roman"/>
          <w:color w:val="FF0000"/>
          <w:sz w:val="24"/>
          <w:szCs w:val="24"/>
        </w:rPr>
      </w:pPr>
      <w:r w:rsidRPr="002533D6">
        <w:rPr>
          <w:rFonts w:ascii="Times New Roman" w:hAnsi="Times New Roman"/>
          <w:sz w:val="24"/>
          <w:szCs w:val="24"/>
        </w:rPr>
        <w:t xml:space="preserve">Zákon, kterým se mění zákon č. 108/2006 Sb., o sociálních službách, ve znění pozdějších předpisů (dále jen „zákon o sociálních službách“). </w:t>
      </w:r>
    </w:p>
    <w:p w:rsidR="00090F12" w:rsidRPr="002533D6" w:rsidRDefault="00090F12" w:rsidP="00090F12">
      <w:pPr>
        <w:tabs>
          <w:tab w:val="left" w:pos="284"/>
        </w:tabs>
        <w:jc w:val="both"/>
        <w:rPr>
          <w:rFonts w:ascii="Times New Roman" w:hAnsi="Times New Roman"/>
          <w:b/>
          <w:bCs/>
          <w:sz w:val="24"/>
          <w:szCs w:val="24"/>
        </w:rPr>
      </w:pPr>
      <w:r w:rsidRPr="002533D6">
        <w:rPr>
          <w:rFonts w:ascii="Times New Roman" w:hAnsi="Times New Roman"/>
          <w:b/>
          <w:bCs/>
          <w:sz w:val="24"/>
          <w:szCs w:val="24"/>
        </w:rPr>
        <w:t>1.2 Definice problému</w:t>
      </w:r>
    </w:p>
    <w:p w:rsidR="00090F12" w:rsidRPr="002533D6" w:rsidRDefault="00090F12" w:rsidP="00090F12">
      <w:pPr>
        <w:keepNext/>
        <w:jc w:val="both"/>
        <w:rPr>
          <w:rFonts w:ascii="Times New Roman" w:hAnsi="Times New Roman"/>
          <w:sz w:val="24"/>
          <w:szCs w:val="24"/>
        </w:rPr>
      </w:pPr>
      <w:r w:rsidRPr="002533D6">
        <w:rPr>
          <w:rFonts w:ascii="Times New Roman" w:hAnsi="Times New Roman"/>
          <w:sz w:val="24"/>
          <w:szCs w:val="24"/>
        </w:rPr>
        <w:t xml:space="preserve">Důvodem předložení návrhu na změnu zákona o sociálních službách je alespoň částečně reagovat na pokles reálné hodnoty příspěvku na péči, ke kterému došlo za 8 let jeho existence.  </w:t>
      </w:r>
    </w:p>
    <w:p w:rsidR="00090F12" w:rsidRPr="002533D6" w:rsidRDefault="00090F12" w:rsidP="00090F12">
      <w:pPr>
        <w:tabs>
          <w:tab w:val="left" w:pos="284"/>
        </w:tabs>
        <w:jc w:val="both"/>
        <w:rPr>
          <w:rFonts w:ascii="Times New Roman" w:hAnsi="Times New Roman"/>
          <w:b/>
          <w:bCs/>
          <w:sz w:val="24"/>
          <w:szCs w:val="24"/>
        </w:rPr>
      </w:pPr>
      <w:r w:rsidRPr="002533D6">
        <w:rPr>
          <w:rFonts w:ascii="Times New Roman" w:hAnsi="Times New Roman"/>
          <w:b/>
          <w:bCs/>
          <w:sz w:val="24"/>
          <w:szCs w:val="24"/>
        </w:rPr>
        <w:t>1.3 Popis existujícího právního stavu v dané oblasti</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rPr>
        <w:t xml:space="preserve">Zákon o sociálních službách upravuje mimo jiné příspěvek na péči. </w:t>
      </w:r>
      <w:r w:rsidRPr="002533D6">
        <w:rPr>
          <w:rFonts w:ascii="Times New Roman" w:hAnsi="Times New Roman" w:cs="Times New Roman"/>
          <w:color w:val="auto"/>
        </w:rPr>
        <w:t>Příspěvek na péči se</w:t>
      </w:r>
      <w:r w:rsidRPr="002533D6">
        <w:rPr>
          <w:rFonts w:ascii="Times New Roman" w:hAnsi="Times New Roman" w:cs="Times New Roman"/>
        </w:rPr>
        <w:t> </w:t>
      </w:r>
      <w:r w:rsidRPr="002533D6">
        <w:rPr>
          <w:rFonts w:ascii="Times New Roman" w:hAnsi="Times New Roman" w:cs="Times New Roman"/>
          <w:color w:val="auto"/>
        </w:rPr>
        <w:t>poskytuje osobám závislým na pomoci jiné fyzické osoby</w:t>
      </w:r>
      <w:r w:rsidRPr="002533D6">
        <w:rPr>
          <w:rFonts w:ascii="Times New Roman" w:hAnsi="Times New Roman" w:cs="Times New Roman"/>
        </w:rPr>
        <w:t xml:space="preserve">. Stát se touto dávkou podílí </w:t>
      </w:r>
      <w:r w:rsidRPr="002533D6">
        <w:rPr>
          <w:rFonts w:ascii="Times New Roman" w:hAnsi="Times New Roman" w:cs="Times New Roman"/>
          <w:color w:val="auto"/>
        </w:rPr>
        <w:t>na</w:t>
      </w:r>
      <w:r w:rsidRPr="002533D6">
        <w:rPr>
          <w:rFonts w:ascii="Times New Roman" w:hAnsi="Times New Roman" w:cs="Times New Roman"/>
        </w:rPr>
        <w:t> </w:t>
      </w:r>
      <w:r w:rsidRPr="002533D6">
        <w:rPr>
          <w:rFonts w:ascii="Times New Roman" w:hAnsi="Times New Roman" w:cs="Times New Roman"/>
          <w:color w:val="auto"/>
        </w:rPr>
        <w:t xml:space="preserve">zajištění sociálních služeb nebo jiných forem pomoci podle zákona o sociálních službách při zvládání základních životních potřeb osob. Náklady na příspěvek se hradí ze státního rozpočtu. O příspěvku na péči rozhoduje krajská pobočka Úřadu práce České republiky, která tuto dávku taktéž vyplácí. </w:t>
      </w:r>
    </w:p>
    <w:p w:rsidR="00090F12" w:rsidRDefault="00090F12" w:rsidP="00090F12">
      <w:pPr>
        <w:pStyle w:val="Default"/>
        <w:jc w:val="both"/>
        <w:rPr>
          <w:rFonts w:ascii="Times New Roman" w:hAnsi="Times New Roman" w:cs="Times New Roman"/>
          <w:color w:val="auto"/>
        </w:rPr>
      </w:pP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Nárok na příspěvek na péči má osoba starší 1 roku uvedená v § 4 odst. 1, která z důvodu dlouhodobě nepříznivého zdravotního stavu potřebuje pomoc jiné fyzické osoby při zvládání základních životních potřeb v rozsahu stanoveném stupněm závislosti, pokud jí tuto pomoc poskytuje osoba blízká nebo asistent sociální péče nebo registrovaný poskytovatel sociálních služeb, nebo dětský domov, anebo speciální lůžkové zdravotnické zařízení hospicového typu; nárok na příspěvek má tato osoba i po dobu, po kterou je jí podle zvláštního právního předpisu poskytována zdravotní péče v průběhu hospitalizace.</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Osoba do 18 let věku se považuje za závislou na pomoci jiné fyzické osoby ve</w:t>
      </w:r>
    </w:p>
    <w:p w:rsidR="00090F12" w:rsidRPr="002533D6" w:rsidRDefault="00090F12" w:rsidP="00170FA7">
      <w:pPr>
        <w:pStyle w:val="Default"/>
        <w:numPr>
          <w:ilvl w:val="0"/>
          <w:numId w:val="9"/>
        </w:numPr>
        <w:jc w:val="both"/>
        <w:rPr>
          <w:rFonts w:ascii="Times New Roman" w:hAnsi="Times New Roman" w:cs="Times New Roman"/>
          <w:color w:val="auto"/>
        </w:rPr>
      </w:pPr>
      <w:r w:rsidRPr="002533D6">
        <w:rPr>
          <w:rFonts w:ascii="Times New Roman" w:hAnsi="Times New Roman" w:cs="Times New Roman"/>
          <w:color w:val="auto"/>
        </w:rPr>
        <w:t>stupni I (lehká závislost), jestliže z důvodu dlouhodobě nepříznivého zdravotního stavu není schopna zvládat tři základní životní potřeby,</w:t>
      </w:r>
    </w:p>
    <w:p w:rsidR="00090F12" w:rsidRPr="002533D6" w:rsidRDefault="00090F12" w:rsidP="00170FA7">
      <w:pPr>
        <w:pStyle w:val="Default"/>
        <w:numPr>
          <w:ilvl w:val="0"/>
          <w:numId w:val="9"/>
        </w:numPr>
        <w:jc w:val="both"/>
        <w:rPr>
          <w:rFonts w:ascii="Times New Roman" w:hAnsi="Times New Roman" w:cs="Times New Roman"/>
          <w:color w:val="auto"/>
        </w:rPr>
      </w:pPr>
      <w:r w:rsidRPr="002533D6">
        <w:rPr>
          <w:rFonts w:ascii="Times New Roman" w:hAnsi="Times New Roman" w:cs="Times New Roman"/>
          <w:color w:val="auto"/>
        </w:rPr>
        <w:t>stupni II (středně těžká závislost), jestliže z důvodu dlouhodobě nepříznivého zdravotního stavu není schopna zvládat čtyři nebo pět základních životních potřeb,</w:t>
      </w:r>
    </w:p>
    <w:p w:rsidR="00090F12" w:rsidRPr="002533D6" w:rsidRDefault="00090F12" w:rsidP="00170FA7">
      <w:pPr>
        <w:pStyle w:val="Default"/>
        <w:numPr>
          <w:ilvl w:val="0"/>
          <w:numId w:val="9"/>
        </w:numPr>
        <w:jc w:val="both"/>
        <w:rPr>
          <w:rFonts w:ascii="Times New Roman" w:hAnsi="Times New Roman" w:cs="Times New Roman"/>
          <w:color w:val="auto"/>
        </w:rPr>
      </w:pPr>
      <w:r w:rsidRPr="002533D6">
        <w:rPr>
          <w:rFonts w:ascii="Times New Roman" w:hAnsi="Times New Roman" w:cs="Times New Roman"/>
          <w:color w:val="auto"/>
        </w:rPr>
        <w:t>stupni III (těžká závislost), jestliže z důvodu dlouhodobě nepříznivého zdravotního stavu není schopna zvládat šest nebo sedm základních životních potřeb,</w:t>
      </w:r>
    </w:p>
    <w:p w:rsidR="00090F12" w:rsidRPr="002533D6" w:rsidRDefault="00090F12" w:rsidP="00170FA7">
      <w:pPr>
        <w:pStyle w:val="Default"/>
        <w:numPr>
          <w:ilvl w:val="0"/>
          <w:numId w:val="9"/>
        </w:numPr>
        <w:jc w:val="both"/>
        <w:rPr>
          <w:rFonts w:ascii="Times New Roman" w:hAnsi="Times New Roman" w:cs="Times New Roman"/>
          <w:color w:val="auto"/>
        </w:rPr>
      </w:pPr>
      <w:r w:rsidRPr="002533D6">
        <w:rPr>
          <w:rFonts w:ascii="Times New Roman" w:hAnsi="Times New Roman" w:cs="Times New Roman"/>
          <w:color w:val="auto"/>
        </w:rPr>
        <w:t>stupni IV (úplná závislost), jestliže z důvodu dlouhodobě nepříznivého zdravotního stavu není schopna zvládat osm nebo devět základních životních potřeb,</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a vyžaduje každodenní mimořádnou péči jiné fyzické osoby.</w:t>
      </w:r>
    </w:p>
    <w:p w:rsidR="00090F12" w:rsidRPr="002533D6" w:rsidRDefault="00090F12" w:rsidP="00090F12">
      <w:pPr>
        <w:pStyle w:val="Default"/>
        <w:ind w:firstLine="60"/>
        <w:jc w:val="both"/>
        <w:rPr>
          <w:rFonts w:ascii="Times New Roman" w:hAnsi="Times New Roman" w:cs="Times New Roman"/>
          <w:color w:val="auto"/>
        </w:rPr>
      </w:pPr>
    </w:p>
    <w:p w:rsidR="00090F12" w:rsidRPr="002533D6" w:rsidRDefault="00090F12" w:rsidP="00090F12">
      <w:pPr>
        <w:pStyle w:val="Default"/>
        <w:keepNext/>
        <w:jc w:val="both"/>
        <w:rPr>
          <w:rFonts w:ascii="Times New Roman" w:hAnsi="Times New Roman" w:cs="Times New Roman"/>
          <w:color w:val="auto"/>
        </w:rPr>
      </w:pPr>
      <w:r w:rsidRPr="002533D6">
        <w:rPr>
          <w:rFonts w:ascii="Times New Roman" w:hAnsi="Times New Roman" w:cs="Times New Roman"/>
          <w:color w:val="auto"/>
        </w:rPr>
        <w:t>Osoba starší 18 let věku se považuje za závislou na pomoci jiné fyzické osoby ve</w:t>
      </w:r>
    </w:p>
    <w:p w:rsidR="00090F12" w:rsidRPr="002533D6" w:rsidRDefault="00090F12" w:rsidP="00170FA7">
      <w:pPr>
        <w:pStyle w:val="Default"/>
        <w:keepNext/>
        <w:numPr>
          <w:ilvl w:val="0"/>
          <w:numId w:val="10"/>
        </w:numPr>
        <w:jc w:val="both"/>
        <w:rPr>
          <w:rFonts w:ascii="Times New Roman" w:hAnsi="Times New Roman" w:cs="Times New Roman"/>
          <w:color w:val="auto"/>
        </w:rPr>
      </w:pPr>
      <w:r w:rsidRPr="002533D6">
        <w:rPr>
          <w:rFonts w:ascii="Times New Roman" w:hAnsi="Times New Roman" w:cs="Times New Roman"/>
          <w:color w:val="auto"/>
        </w:rPr>
        <w:t>stupni I (lehká závislost), jestliže z důvodu dlouhodobě nepříznivého zdravotního stavu není schopna zvládat tři nebo čtyři základní životní potřeby,</w:t>
      </w:r>
    </w:p>
    <w:p w:rsidR="00090F12" w:rsidRPr="002533D6" w:rsidRDefault="00090F12" w:rsidP="00170FA7">
      <w:pPr>
        <w:pStyle w:val="Default"/>
        <w:numPr>
          <w:ilvl w:val="0"/>
          <w:numId w:val="10"/>
        </w:numPr>
        <w:jc w:val="both"/>
        <w:rPr>
          <w:rFonts w:ascii="Times New Roman" w:hAnsi="Times New Roman" w:cs="Times New Roman"/>
          <w:color w:val="auto"/>
        </w:rPr>
      </w:pPr>
      <w:r w:rsidRPr="002533D6">
        <w:rPr>
          <w:rFonts w:ascii="Times New Roman" w:hAnsi="Times New Roman" w:cs="Times New Roman"/>
          <w:color w:val="auto"/>
        </w:rPr>
        <w:t>stupni II (středně těžká závislost), jestliže z důvodu dlouhodobě nepříznivého zdravotního stavu není schopna zvládat pět nebo šest základních životních potřeb,</w:t>
      </w:r>
    </w:p>
    <w:p w:rsidR="00090F12" w:rsidRPr="002533D6" w:rsidRDefault="00090F12" w:rsidP="00170FA7">
      <w:pPr>
        <w:pStyle w:val="Default"/>
        <w:numPr>
          <w:ilvl w:val="0"/>
          <w:numId w:val="10"/>
        </w:numPr>
        <w:jc w:val="both"/>
        <w:rPr>
          <w:rFonts w:ascii="Times New Roman" w:hAnsi="Times New Roman" w:cs="Times New Roman"/>
          <w:color w:val="auto"/>
        </w:rPr>
      </w:pPr>
      <w:r w:rsidRPr="002533D6">
        <w:rPr>
          <w:rFonts w:ascii="Times New Roman" w:hAnsi="Times New Roman" w:cs="Times New Roman"/>
          <w:color w:val="auto"/>
        </w:rPr>
        <w:t>stupni III (těžká závislost), jestliže z důvodu dlouhodobě nepříznivého zdravotního stavu není schopna zvládat sedm nebo osm základních životních potřeb,</w:t>
      </w:r>
    </w:p>
    <w:p w:rsidR="00090F12" w:rsidRPr="002533D6" w:rsidRDefault="00090F12" w:rsidP="00170FA7">
      <w:pPr>
        <w:pStyle w:val="Default"/>
        <w:numPr>
          <w:ilvl w:val="0"/>
          <w:numId w:val="10"/>
        </w:numPr>
        <w:jc w:val="both"/>
        <w:rPr>
          <w:rFonts w:ascii="Times New Roman" w:hAnsi="Times New Roman" w:cs="Times New Roman"/>
          <w:color w:val="auto"/>
        </w:rPr>
      </w:pPr>
      <w:r w:rsidRPr="002533D6">
        <w:rPr>
          <w:rFonts w:ascii="Times New Roman" w:hAnsi="Times New Roman" w:cs="Times New Roman"/>
          <w:color w:val="auto"/>
        </w:rPr>
        <w:t>stupni IV (úplná závislost), jestliže z důvodu dlouhodobě nepříznivého zdravotního stavu není schopna zvládat devět nebo deset základních životních potřeb,</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a vyžaduje každodenní pomoc, dohled nebo péči jiné fyzické osoby.</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lastRenderedPageBreak/>
        <w:t xml:space="preserve">Při posuzování stupně závislosti se hodnotí schopnost zvládat základní životní potřeby mobilita, orientace, komunikace, stravování, oblékání a obouvání, tělesná hygiena, výkon fyziologické potřeby, péče o zdraví, osobní aktivity, péče o domácnost (u dětí se nehodnotí).  </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Bližší vymezení schopností zvládat základní životní potřeby a způsob jejich hodnocení stanoví prováděcí právní předpis – vyhláška č. 505/2006 Sb., kterou se provádějí některá ustanovení zákona o sociálních službách, ve znění pozdějších předpisů. </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Výše příspěvku pro osoby do 18 let věku činí za kalendářní měsíc</w:t>
      </w:r>
    </w:p>
    <w:p w:rsidR="00090F12" w:rsidRPr="002533D6" w:rsidRDefault="00090F12" w:rsidP="00170FA7">
      <w:pPr>
        <w:pStyle w:val="Default"/>
        <w:numPr>
          <w:ilvl w:val="0"/>
          <w:numId w:val="15"/>
        </w:numPr>
        <w:jc w:val="both"/>
        <w:rPr>
          <w:rFonts w:ascii="Times New Roman" w:hAnsi="Times New Roman" w:cs="Times New Roman"/>
          <w:color w:val="auto"/>
        </w:rPr>
      </w:pPr>
      <w:r w:rsidRPr="002533D6">
        <w:rPr>
          <w:rFonts w:ascii="Times New Roman" w:hAnsi="Times New Roman" w:cs="Times New Roman"/>
          <w:color w:val="auto"/>
        </w:rPr>
        <w:t>3 000 Kč, jde-li o stupeň I (lehká závislost),</w:t>
      </w:r>
    </w:p>
    <w:p w:rsidR="00090F12" w:rsidRPr="002533D6" w:rsidRDefault="00090F12" w:rsidP="00170FA7">
      <w:pPr>
        <w:pStyle w:val="Default"/>
        <w:numPr>
          <w:ilvl w:val="0"/>
          <w:numId w:val="15"/>
        </w:numPr>
        <w:jc w:val="both"/>
        <w:rPr>
          <w:rFonts w:ascii="Times New Roman" w:hAnsi="Times New Roman" w:cs="Times New Roman"/>
          <w:color w:val="auto"/>
        </w:rPr>
      </w:pPr>
      <w:r w:rsidRPr="002533D6">
        <w:rPr>
          <w:rFonts w:ascii="Times New Roman" w:hAnsi="Times New Roman" w:cs="Times New Roman"/>
          <w:color w:val="auto"/>
        </w:rPr>
        <w:t>6 000 Kč, jde-li o stupeň II (středně těžká závislost),</w:t>
      </w:r>
    </w:p>
    <w:p w:rsidR="00090F12" w:rsidRPr="002533D6" w:rsidRDefault="00090F12" w:rsidP="00170FA7">
      <w:pPr>
        <w:pStyle w:val="Default"/>
        <w:numPr>
          <w:ilvl w:val="0"/>
          <w:numId w:val="15"/>
        </w:numPr>
        <w:jc w:val="both"/>
        <w:rPr>
          <w:rFonts w:ascii="Times New Roman" w:hAnsi="Times New Roman" w:cs="Times New Roman"/>
          <w:color w:val="auto"/>
        </w:rPr>
      </w:pPr>
      <w:r w:rsidRPr="002533D6">
        <w:rPr>
          <w:rFonts w:ascii="Times New Roman" w:hAnsi="Times New Roman" w:cs="Times New Roman"/>
          <w:color w:val="auto"/>
        </w:rPr>
        <w:t>9 000 Kč, jde-li o stupeň III (těžká závislost),</w:t>
      </w:r>
    </w:p>
    <w:p w:rsidR="00090F12" w:rsidRPr="002533D6" w:rsidRDefault="00090F12" w:rsidP="00170FA7">
      <w:pPr>
        <w:pStyle w:val="Default"/>
        <w:numPr>
          <w:ilvl w:val="0"/>
          <w:numId w:val="15"/>
        </w:numPr>
        <w:jc w:val="both"/>
        <w:rPr>
          <w:rFonts w:ascii="Times New Roman" w:hAnsi="Times New Roman" w:cs="Times New Roman"/>
          <w:color w:val="auto"/>
        </w:rPr>
      </w:pPr>
      <w:r w:rsidRPr="002533D6">
        <w:rPr>
          <w:rFonts w:ascii="Times New Roman" w:hAnsi="Times New Roman" w:cs="Times New Roman"/>
          <w:color w:val="auto"/>
        </w:rPr>
        <w:t>12 000 Kč, jde-li o stupeň IV (úplná závislost).</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Výše příspěvku pro osoby starší 18 let činí za kalendářní měsíc</w:t>
      </w:r>
    </w:p>
    <w:p w:rsidR="00090F12" w:rsidRPr="002533D6" w:rsidRDefault="00090F12" w:rsidP="00170FA7">
      <w:pPr>
        <w:pStyle w:val="Default"/>
        <w:numPr>
          <w:ilvl w:val="0"/>
          <w:numId w:val="16"/>
        </w:numPr>
        <w:jc w:val="both"/>
        <w:rPr>
          <w:rFonts w:ascii="Times New Roman" w:hAnsi="Times New Roman" w:cs="Times New Roman"/>
          <w:color w:val="auto"/>
        </w:rPr>
      </w:pPr>
      <w:r w:rsidRPr="002533D6">
        <w:rPr>
          <w:rFonts w:ascii="Times New Roman" w:hAnsi="Times New Roman" w:cs="Times New Roman"/>
          <w:color w:val="auto"/>
        </w:rPr>
        <w:t>800 Kč, jde-li o stupeň I (lehká závislost),</w:t>
      </w:r>
    </w:p>
    <w:p w:rsidR="00090F12" w:rsidRPr="002533D6" w:rsidRDefault="00090F12" w:rsidP="00170FA7">
      <w:pPr>
        <w:pStyle w:val="Default"/>
        <w:numPr>
          <w:ilvl w:val="0"/>
          <w:numId w:val="16"/>
        </w:numPr>
        <w:jc w:val="both"/>
        <w:rPr>
          <w:rFonts w:ascii="Times New Roman" w:hAnsi="Times New Roman" w:cs="Times New Roman"/>
          <w:color w:val="auto"/>
        </w:rPr>
      </w:pPr>
      <w:r w:rsidRPr="002533D6">
        <w:rPr>
          <w:rFonts w:ascii="Times New Roman" w:hAnsi="Times New Roman" w:cs="Times New Roman"/>
          <w:color w:val="auto"/>
        </w:rPr>
        <w:t>4 000 Kč, jde-li o stupeň II (středně těžká závislost),</w:t>
      </w:r>
    </w:p>
    <w:p w:rsidR="00090F12" w:rsidRPr="002533D6" w:rsidRDefault="00090F12" w:rsidP="00170FA7">
      <w:pPr>
        <w:pStyle w:val="Default"/>
        <w:numPr>
          <w:ilvl w:val="0"/>
          <w:numId w:val="16"/>
        </w:numPr>
        <w:jc w:val="both"/>
        <w:rPr>
          <w:rFonts w:ascii="Times New Roman" w:hAnsi="Times New Roman" w:cs="Times New Roman"/>
          <w:color w:val="auto"/>
        </w:rPr>
      </w:pPr>
      <w:r w:rsidRPr="002533D6">
        <w:rPr>
          <w:rFonts w:ascii="Times New Roman" w:hAnsi="Times New Roman" w:cs="Times New Roman"/>
          <w:color w:val="auto"/>
        </w:rPr>
        <w:t>8 000 Kč, jde-li o stupeň III (těžká závislost),</w:t>
      </w:r>
    </w:p>
    <w:p w:rsidR="00090F12" w:rsidRPr="002533D6" w:rsidRDefault="00090F12" w:rsidP="00170FA7">
      <w:pPr>
        <w:pStyle w:val="Default"/>
        <w:numPr>
          <w:ilvl w:val="0"/>
          <w:numId w:val="16"/>
        </w:numPr>
        <w:jc w:val="both"/>
        <w:rPr>
          <w:rFonts w:ascii="Times New Roman" w:hAnsi="Times New Roman" w:cs="Times New Roman"/>
          <w:color w:val="auto"/>
        </w:rPr>
      </w:pPr>
      <w:r w:rsidRPr="002533D6">
        <w:rPr>
          <w:rFonts w:ascii="Times New Roman" w:hAnsi="Times New Roman" w:cs="Times New Roman"/>
          <w:color w:val="auto"/>
        </w:rPr>
        <w:t>12 000 Kč, jde-li o stupeň IV (úplná závislost).</w:t>
      </w:r>
    </w:p>
    <w:p w:rsidR="00090F12" w:rsidRPr="002533D6" w:rsidRDefault="00090F12" w:rsidP="00090F12">
      <w:pPr>
        <w:pStyle w:val="Default"/>
        <w:jc w:val="both"/>
        <w:rPr>
          <w:rFonts w:ascii="Times New Roman" w:hAnsi="Times New Roman" w:cs="Times New Roman"/>
          <w:color w:val="auto"/>
        </w:rPr>
      </w:pPr>
      <w:r w:rsidRPr="002533D6">
        <w:rPr>
          <w:rFonts w:ascii="Times New Roman" w:hAnsi="Times New Roman" w:cs="Times New Roman"/>
          <w:color w:val="auto"/>
        </w:rPr>
        <w:t xml:space="preserve"> </w:t>
      </w:r>
    </w:p>
    <w:p w:rsidR="00090F12" w:rsidRPr="002533D6" w:rsidRDefault="00090F12" w:rsidP="00090F12">
      <w:pPr>
        <w:pStyle w:val="Textpoznpodarou"/>
        <w:jc w:val="both"/>
        <w:rPr>
          <w:rFonts w:ascii="Times New Roman" w:hAnsi="Times New Roman"/>
          <w:sz w:val="24"/>
          <w:szCs w:val="24"/>
        </w:rPr>
      </w:pPr>
      <w:r w:rsidRPr="002533D6">
        <w:rPr>
          <w:rFonts w:ascii="Times New Roman" w:hAnsi="Times New Roman"/>
          <w:sz w:val="24"/>
          <w:szCs w:val="24"/>
        </w:rPr>
        <w:t>Tyto částky se při splnění podmínek zvyšují o 2 000 Kč za kalendářní měsíc. Zvýšení příspěvku náleží rodinám s dětmi. Příspěvek se zvyšuje při nízkém příjmu rodiny (do 2násobku životního minima rodiny) nebo u dětí ve věku 4 – 7 let, kterým náleží příspěvek na péči ve stupni III (těžká závislost) nebo stupni IV (úplná závislost). Zvýšení nenáleží</w:t>
      </w:r>
      <w:r w:rsidR="007B45FA">
        <w:rPr>
          <w:rFonts w:ascii="Times New Roman" w:hAnsi="Times New Roman"/>
          <w:sz w:val="24"/>
          <w:szCs w:val="24"/>
        </w:rPr>
        <w:t xml:space="preserve"> nezaopatřenému dítěti,</w:t>
      </w:r>
      <w:r w:rsidRPr="002533D6">
        <w:rPr>
          <w:rFonts w:ascii="Times New Roman" w:hAnsi="Times New Roman"/>
          <w:sz w:val="24"/>
          <w:szCs w:val="24"/>
        </w:rPr>
        <w:t xml:space="preserve"> kter</w:t>
      </w:r>
      <w:r w:rsidR="007B45FA">
        <w:rPr>
          <w:rFonts w:ascii="Times New Roman" w:hAnsi="Times New Roman"/>
          <w:sz w:val="24"/>
          <w:szCs w:val="24"/>
        </w:rPr>
        <w:t>ému</w:t>
      </w:r>
      <w:r w:rsidRPr="002533D6">
        <w:rPr>
          <w:rFonts w:ascii="Times New Roman" w:hAnsi="Times New Roman"/>
          <w:sz w:val="24"/>
          <w:szCs w:val="24"/>
        </w:rPr>
        <w:t xml:space="preserve"> náleží </w:t>
      </w:r>
      <w:r w:rsidRPr="002533D6">
        <w:rPr>
          <w:rFonts w:ascii="Times New Roman" w:eastAsia="Times New Roman" w:hAnsi="Times New Roman"/>
          <w:sz w:val="24"/>
          <w:szCs w:val="24"/>
          <w:lang w:eastAsia="cs-CZ"/>
        </w:rPr>
        <w:t>příspěvek na úhradu potřeb dítěte podle zákona o sociálně-právní ochraně dětí</w:t>
      </w:r>
      <w:r w:rsidR="007B45FA">
        <w:rPr>
          <w:rFonts w:ascii="Times New Roman" w:eastAsia="Times New Roman" w:hAnsi="Times New Roman"/>
          <w:sz w:val="24"/>
          <w:szCs w:val="24"/>
          <w:lang w:eastAsia="cs-CZ"/>
        </w:rPr>
        <w:t>,</w:t>
      </w:r>
      <w:r w:rsidRPr="002533D6">
        <w:rPr>
          <w:rFonts w:ascii="Times New Roman" w:eastAsia="Times New Roman" w:hAnsi="Times New Roman"/>
          <w:sz w:val="24"/>
          <w:szCs w:val="24"/>
          <w:lang w:eastAsia="cs-CZ"/>
        </w:rPr>
        <w:t xml:space="preserve"> dítě</w:t>
      </w:r>
      <w:r w:rsidR="007B45FA">
        <w:rPr>
          <w:rFonts w:ascii="Times New Roman" w:eastAsia="Times New Roman" w:hAnsi="Times New Roman"/>
          <w:sz w:val="24"/>
          <w:szCs w:val="24"/>
          <w:lang w:eastAsia="cs-CZ"/>
        </w:rPr>
        <w:t>ti</w:t>
      </w:r>
      <w:r w:rsidRPr="002533D6">
        <w:rPr>
          <w:rFonts w:ascii="Times New Roman" w:eastAsia="Times New Roman" w:hAnsi="Times New Roman"/>
          <w:sz w:val="24"/>
          <w:szCs w:val="24"/>
          <w:lang w:eastAsia="cs-CZ"/>
        </w:rPr>
        <w:t>, jemuž nenáleží příspěvek na úhradu potřeb dítěte, protože požívá důchod z důchodového pojištění, který je stejný nebo vyšší než tento příspěvek, a dítě</w:t>
      </w:r>
      <w:r w:rsidR="007B45FA">
        <w:rPr>
          <w:rFonts w:ascii="Times New Roman" w:eastAsia="Times New Roman" w:hAnsi="Times New Roman"/>
          <w:sz w:val="24"/>
          <w:szCs w:val="24"/>
          <w:lang w:eastAsia="cs-CZ"/>
        </w:rPr>
        <w:t>ti</w:t>
      </w:r>
      <w:r w:rsidRPr="002533D6">
        <w:rPr>
          <w:rFonts w:ascii="Times New Roman" w:eastAsia="Times New Roman" w:hAnsi="Times New Roman"/>
          <w:sz w:val="24"/>
          <w:szCs w:val="24"/>
          <w:lang w:eastAsia="cs-CZ"/>
        </w:rPr>
        <w:t xml:space="preserve">, které je v plném přímém zaopatření zařízení pro péči o děti nebo mládež. </w:t>
      </w:r>
      <w:r w:rsidRPr="002533D6">
        <w:rPr>
          <w:rFonts w:ascii="Times New Roman" w:hAnsi="Times New Roman"/>
          <w:sz w:val="24"/>
          <w:szCs w:val="24"/>
        </w:rPr>
        <w:t xml:space="preserve"> Pokud nastanou v rodině obě situace, příspěvek na péči se zvyšuje jen jednou. </w:t>
      </w:r>
    </w:p>
    <w:p w:rsidR="00090F12" w:rsidRPr="002533D6" w:rsidRDefault="00090F12" w:rsidP="00090F12">
      <w:pPr>
        <w:pStyle w:val="Default"/>
        <w:jc w:val="both"/>
        <w:rPr>
          <w:rFonts w:ascii="Times New Roman" w:hAnsi="Times New Roman" w:cs="Times New Roman"/>
          <w:color w:val="auto"/>
        </w:rPr>
      </w:pPr>
    </w:p>
    <w:p w:rsidR="00090F12" w:rsidRPr="002533D6" w:rsidRDefault="00090F12" w:rsidP="00090F12">
      <w:pPr>
        <w:jc w:val="both"/>
        <w:rPr>
          <w:rFonts w:ascii="Times New Roman" w:hAnsi="Times New Roman"/>
          <w:sz w:val="24"/>
          <w:szCs w:val="24"/>
          <w:u w:val="single"/>
        </w:rPr>
      </w:pPr>
      <w:r w:rsidRPr="002533D6">
        <w:rPr>
          <w:rFonts w:ascii="Times New Roman" w:hAnsi="Times New Roman"/>
          <w:sz w:val="24"/>
          <w:szCs w:val="24"/>
          <w:u w:val="single"/>
        </w:rPr>
        <w:t>Změny ve výši příspěvku na péči v průběhu času</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Výše příspěvku pro osoby do 18 let věku v roce 2007 činila za kalendářní měsíc:</w:t>
      </w:r>
    </w:p>
    <w:p w:rsidR="00090F12" w:rsidRPr="002533D6" w:rsidRDefault="00090F12" w:rsidP="00170FA7">
      <w:pPr>
        <w:pStyle w:val="Odstavecseseznamem"/>
        <w:numPr>
          <w:ilvl w:val="0"/>
          <w:numId w:val="11"/>
        </w:numPr>
        <w:spacing w:after="0"/>
        <w:jc w:val="both"/>
        <w:rPr>
          <w:rFonts w:ascii="Times New Roman" w:hAnsi="Times New Roman"/>
          <w:sz w:val="24"/>
          <w:szCs w:val="24"/>
        </w:rPr>
      </w:pPr>
      <w:r w:rsidRPr="002533D6">
        <w:rPr>
          <w:rFonts w:ascii="Times New Roman" w:hAnsi="Times New Roman"/>
          <w:sz w:val="24"/>
          <w:szCs w:val="24"/>
        </w:rPr>
        <w:t>3 000 Kč, jde-li o stupeň I (lehká závislost)</w:t>
      </w:r>
    </w:p>
    <w:p w:rsidR="00090F12" w:rsidRPr="002533D6" w:rsidRDefault="00090F12" w:rsidP="00170FA7">
      <w:pPr>
        <w:pStyle w:val="Odstavecseseznamem"/>
        <w:numPr>
          <w:ilvl w:val="0"/>
          <w:numId w:val="11"/>
        </w:numPr>
        <w:spacing w:after="0"/>
        <w:jc w:val="both"/>
        <w:rPr>
          <w:rFonts w:ascii="Times New Roman" w:hAnsi="Times New Roman"/>
          <w:sz w:val="24"/>
          <w:szCs w:val="24"/>
        </w:rPr>
      </w:pPr>
      <w:r w:rsidRPr="002533D6">
        <w:rPr>
          <w:rFonts w:ascii="Times New Roman" w:hAnsi="Times New Roman"/>
          <w:sz w:val="24"/>
          <w:szCs w:val="24"/>
        </w:rPr>
        <w:t>5 000 Kč, jde-li o stupeň II (středně těžká závislost)</w:t>
      </w:r>
    </w:p>
    <w:p w:rsidR="00090F12" w:rsidRPr="002533D6" w:rsidRDefault="00090F12" w:rsidP="00170FA7">
      <w:pPr>
        <w:pStyle w:val="Odstavecseseznamem"/>
        <w:numPr>
          <w:ilvl w:val="0"/>
          <w:numId w:val="11"/>
        </w:numPr>
        <w:spacing w:after="0"/>
        <w:jc w:val="both"/>
        <w:rPr>
          <w:rFonts w:ascii="Times New Roman" w:hAnsi="Times New Roman"/>
          <w:sz w:val="24"/>
          <w:szCs w:val="24"/>
        </w:rPr>
      </w:pPr>
      <w:r w:rsidRPr="002533D6">
        <w:rPr>
          <w:rFonts w:ascii="Times New Roman" w:hAnsi="Times New Roman"/>
          <w:sz w:val="24"/>
          <w:szCs w:val="24"/>
        </w:rPr>
        <w:t>9 000 Kč, jde-li o stupeň III (těžká závislost)</w:t>
      </w:r>
    </w:p>
    <w:p w:rsidR="00090F12" w:rsidRPr="002533D6" w:rsidRDefault="00090F12" w:rsidP="00170FA7">
      <w:pPr>
        <w:pStyle w:val="Odstavecseseznamem"/>
        <w:numPr>
          <w:ilvl w:val="0"/>
          <w:numId w:val="11"/>
        </w:numPr>
        <w:spacing w:after="0"/>
        <w:jc w:val="both"/>
        <w:rPr>
          <w:rFonts w:ascii="Times New Roman" w:hAnsi="Times New Roman"/>
          <w:sz w:val="24"/>
          <w:szCs w:val="24"/>
        </w:rPr>
      </w:pPr>
      <w:r w:rsidRPr="002533D6">
        <w:rPr>
          <w:rFonts w:ascii="Times New Roman" w:hAnsi="Times New Roman"/>
          <w:sz w:val="24"/>
          <w:szCs w:val="24"/>
        </w:rPr>
        <w:t>11 000 Kč, jde-li o stupeň IV (úplná závislost).</w:t>
      </w:r>
    </w:p>
    <w:p w:rsidR="008B6F61" w:rsidRDefault="008B6F61" w:rsidP="00090F12">
      <w:pPr>
        <w:keepNext/>
        <w:jc w:val="both"/>
        <w:rPr>
          <w:rFonts w:ascii="Times New Roman" w:hAnsi="Times New Roman"/>
          <w:sz w:val="24"/>
          <w:szCs w:val="24"/>
        </w:rPr>
      </w:pPr>
    </w:p>
    <w:p w:rsidR="00090F12" w:rsidRPr="002533D6" w:rsidRDefault="00090F12" w:rsidP="00090F12">
      <w:pPr>
        <w:keepNext/>
        <w:jc w:val="both"/>
        <w:rPr>
          <w:rFonts w:ascii="Times New Roman" w:hAnsi="Times New Roman"/>
          <w:sz w:val="24"/>
          <w:szCs w:val="24"/>
        </w:rPr>
      </w:pPr>
      <w:r w:rsidRPr="002533D6">
        <w:rPr>
          <w:rFonts w:ascii="Times New Roman" w:hAnsi="Times New Roman"/>
          <w:sz w:val="24"/>
          <w:szCs w:val="24"/>
        </w:rPr>
        <w:t>Výše příspěvku pro osoby starší 18 let v roce 2007 činila za kalendářní měsíc:</w:t>
      </w:r>
    </w:p>
    <w:p w:rsidR="00090F12" w:rsidRPr="002533D6" w:rsidRDefault="00090F12" w:rsidP="00170FA7">
      <w:pPr>
        <w:pStyle w:val="Odstavecseseznamem"/>
        <w:keepNext/>
        <w:numPr>
          <w:ilvl w:val="0"/>
          <w:numId w:val="12"/>
        </w:numPr>
        <w:spacing w:after="0"/>
        <w:jc w:val="both"/>
        <w:rPr>
          <w:rFonts w:ascii="Times New Roman" w:hAnsi="Times New Roman"/>
          <w:sz w:val="24"/>
          <w:szCs w:val="24"/>
        </w:rPr>
      </w:pPr>
      <w:r w:rsidRPr="002533D6">
        <w:rPr>
          <w:rFonts w:ascii="Times New Roman" w:hAnsi="Times New Roman"/>
          <w:sz w:val="24"/>
          <w:szCs w:val="24"/>
        </w:rPr>
        <w:t>2 000 Kč, jde-li o stupeň I (lehká závislost)</w:t>
      </w:r>
    </w:p>
    <w:p w:rsidR="00090F12" w:rsidRPr="002533D6" w:rsidRDefault="00090F12" w:rsidP="00170FA7">
      <w:pPr>
        <w:pStyle w:val="Odstavecseseznamem"/>
        <w:numPr>
          <w:ilvl w:val="0"/>
          <w:numId w:val="12"/>
        </w:numPr>
        <w:spacing w:after="0"/>
        <w:jc w:val="both"/>
        <w:rPr>
          <w:rFonts w:ascii="Times New Roman" w:hAnsi="Times New Roman"/>
          <w:sz w:val="24"/>
          <w:szCs w:val="24"/>
        </w:rPr>
      </w:pPr>
      <w:r w:rsidRPr="002533D6">
        <w:rPr>
          <w:rFonts w:ascii="Times New Roman" w:hAnsi="Times New Roman"/>
          <w:sz w:val="24"/>
          <w:szCs w:val="24"/>
        </w:rPr>
        <w:t>4 000 Kč, jde-li o stupeň II (středně těžká závislost)</w:t>
      </w:r>
    </w:p>
    <w:p w:rsidR="00090F12" w:rsidRPr="002533D6" w:rsidRDefault="00090F12" w:rsidP="00170FA7">
      <w:pPr>
        <w:pStyle w:val="Odstavecseseznamem"/>
        <w:numPr>
          <w:ilvl w:val="0"/>
          <w:numId w:val="12"/>
        </w:numPr>
        <w:spacing w:after="0"/>
        <w:jc w:val="both"/>
        <w:rPr>
          <w:rFonts w:ascii="Times New Roman" w:hAnsi="Times New Roman"/>
          <w:sz w:val="24"/>
          <w:szCs w:val="24"/>
        </w:rPr>
      </w:pPr>
      <w:r w:rsidRPr="002533D6">
        <w:rPr>
          <w:rFonts w:ascii="Times New Roman" w:hAnsi="Times New Roman"/>
          <w:sz w:val="24"/>
          <w:szCs w:val="24"/>
        </w:rPr>
        <w:t>8 000 Kč, jde-li o stupeň III (těžká závislost)</w:t>
      </w:r>
    </w:p>
    <w:p w:rsidR="00090F12" w:rsidRPr="002533D6" w:rsidRDefault="00090F12" w:rsidP="00170FA7">
      <w:pPr>
        <w:pStyle w:val="Odstavecseseznamem"/>
        <w:numPr>
          <w:ilvl w:val="0"/>
          <w:numId w:val="12"/>
        </w:numPr>
        <w:spacing w:after="0"/>
        <w:jc w:val="both"/>
        <w:rPr>
          <w:rFonts w:ascii="Times New Roman" w:hAnsi="Times New Roman"/>
          <w:sz w:val="24"/>
          <w:szCs w:val="24"/>
        </w:rPr>
      </w:pPr>
      <w:r w:rsidRPr="002533D6">
        <w:rPr>
          <w:rFonts w:ascii="Times New Roman" w:hAnsi="Times New Roman"/>
          <w:sz w:val="24"/>
          <w:szCs w:val="24"/>
        </w:rPr>
        <w:t xml:space="preserve">11 000 Kč, jde-li o stupeň IV (úplná závislost). </w:t>
      </w:r>
    </w:p>
    <w:p w:rsidR="00090F12" w:rsidRPr="002533D6" w:rsidRDefault="00090F12" w:rsidP="00090F12">
      <w:pPr>
        <w:jc w:val="both"/>
        <w:rPr>
          <w:rFonts w:ascii="Times New Roman" w:hAnsi="Times New Roman"/>
          <w:sz w:val="24"/>
          <w:szCs w:val="24"/>
        </w:rPr>
      </w:pPr>
    </w:p>
    <w:p w:rsidR="00090F12" w:rsidRPr="002533D6" w:rsidRDefault="00090F12" w:rsidP="00090F12">
      <w:pPr>
        <w:keepNext/>
        <w:jc w:val="both"/>
        <w:rPr>
          <w:rFonts w:ascii="Times New Roman" w:hAnsi="Times New Roman"/>
          <w:sz w:val="24"/>
          <w:szCs w:val="24"/>
        </w:rPr>
      </w:pPr>
      <w:r w:rsidRPr="002533D6">
        <w:rPr>
          <w:rFonts w:ascii="Times New Roman" w:hAnsi="Times New Roman"/>
          <w:sz w:val="24"/>
          <w:szCs w:val="24"/>
        </w:rPr>
        <w:lastRenderedPageBreak/>
        <w:t xml:space="preserve">V průběhu let došlo k několika změnám výše příspěvku na péči, a to: </w:t>
      </w:r>
    </w:p>
    <w:p w:rsidR="00090F12" w:rsidRPr="002533D6" w:rsidRDefault="00090F12" w:rsidP="00170FA7">
      <w:pPr>
        <w:pStyle w:val="Odstavecseseznamem"/>
        <w:keepNext/>
        <w:numPr>
          <w:ilvl w:val="0"/>
          <w:numId w:val="13"/>
        </w:numPr>
        <w:spacing w:after="0"/>
        <w:jc w:val="both"/>
        <w:rPr>
          <w:rFonts w:ascii="Times New Roman" w:hAnsi="Times New Roman"/>
          <w:sz w:val="24"/>
          <w:szCs w:val="24"/>
        </w:rPr>
      </w:pPr>
      <w:r w:rsidRPr="002533D6">
        <w:rPr>
          <w:rFonts w:ascii="Times New Roman" w:hAnsi="Times New Roman"/>
          <w:sz w:val="24"/>
          <w:szCs w:val="24"/>
        </w:rPr>
        <w:t>s účinností od 1. srpna 2009 se zvýšila výše příspěvku na péči ve stupni závislosti IV z 11 000 Kč na 12 000 Kč, a to u obou věkových kategorií</w:t>
      </w:r>
      <w:r w:rsidRPr="002533D6">
        <w:rPr>
          <w:rStyle w:val="Znakapoznpodarou"/>
          <w:rFonts w:ascii="Times New Roman" w:hAnsi="Times New Roman"/>
          <w:sz w:val="24"/>
          <w:szCs w:val="24"/>
        </w:rPr>
        <w:footnoteReference w:id="2"/>
      </w:r>
      <w:r w:rsidRPr="002533D6">
        <w:rPr>
          <w:rFonts w:ascii="Times New Roman" w:hAnsi="Times New Roman"/>
          <w:sz w:val="24"/>
          <w:szCs w:val="24"/>
        </w:rPr>
        <w:t xml:space="preserve">, zvýšení mělo umožnit komplexněji zajistit odpovídající rozsah péče, protože osoby, které jsou zcela závislé na pomoci jiné osoby, vyžadují fakticky nepřetržitou péči, </w:t>
      </w:r>
    </w:p>
    <w:p w:rsidR="00090F12" w:rsidRPr="002533D6" w:rsidRDefault="00090F12" w:rsidP="00170FA7">
      <w:pPr>
        <w:pStyle w:val="Odstavecseseznamem"/>
        <w:keepNext/>
        <w:numPr>
          <w:ilvl w:val="0"/>
          <w:numId w:val="13"/>
        </w:numPr>
        <w:spacing w:after="0"/>
        <w:jc w:val="both"/>
        <w:rPr>
          <w:rFonts w:ascii="Times New Roman" w:hAnsi="Times New Roman"/>
          <w:sz w:val="24"/>
          <w:szCs w:val="24"/>
        </w:rPr>
      </w:pPr>
      <w:r w:rsidRPr="002533D6">
        <w:rPr>
          <w:rFonts w:ascii="Times New Roman" w:hAnsi="Times New Roman"/>
          <w:sz w:val="24"/>
          <w:szCs w:val="24"/>
        </w:rPr>
        <w:t>s účinností od 1. ledna 2011 se výše příspěvku na péči v případě osob starších 18 let závislých ve stupni závislosti I snížila z 2 000 Kč na 800 Kč</w:t>
      </w:r>
      <w:r w:rsidRPr="002533D6">
        <w:rPr>
          <w:rStyle w:val="Znakapoznpodarou"/>
          <w:rFonts w:ascii="Times New Roman" w:hAnsi="Times New Roman"/>
          <w:sz w:val="24"/>
          <w:szCs w:val="24"/>
        </w:rPr>
        <w:footnoteReference w:id="3"/>
      </w:r>
      <w:r w:rsidRPr="002533D6">
        <w:rPr>
          <w:rFonts w:ascii="Times New Roman" w:hAnsi="Times New Roman"/>
          <w:sz w:val="24"/>
          <w:szCs w:val="24"/>
        </w:rPr>
        <w:t xml:space="preserve">; změna byla realizována jako jedno z úsporných opatření ke snížení deficitu státního rozpočtu; snížení dávky o 60 % bylo zdůvodněno tím, že nová výše vyrovnává hodnotu dávky v porovnání s vyššími stupni závislosti a odpovídá náročnosti a intenzitě péče ve stupni závislosti I, kde nejčastějším druhem poskytované sociální služby je pečovatelská služba v rozsahu pravidelné donášky obědů, pomoci s úklidem a nákupy; změna způsobila dramatický rozdíl mezi výší dávky ve stupni závislosti I u dítěte a dospělého,  </w:t>
      </w:r>
    </w:p>
    <w:p w:rsidR="00090F12" w:rsidRPr="002533D6" w:rsidRDefault="00090F12" w:rsidP="00170FA7">
      <w:pPr>
        <w:pStyle w:val="Odstavecseseznamem"/>
        <w:numPr>
          <w:ilvl w:val="0"/>
          <w:numId w:val="13"/>
        </w:numPr>
        <w:spacing w:after="0"/>
        <w:jc w:val="both"/>
        <w:rPr>
          <w:rFonts w:ascii="Times New Roman" w:hAnsi="Times New Roman"/>
          <w:sz w:val="24"/>
          <w:szCs w:val="24"/>
        </w:rPr>
      </w:pPr>
      <w:r w:rsidRPr="002533D6">
        <w:rPr>
          <w:rFonts w:ascii="Times New Roman" w:hAnsi="Times New Roman"/>
          <w:sz w:val="24"/>
          <w:szCs w:val="24"/>
        </w:rPr>
        <w:t>s účinností od 1. ledna 2012 se zvýšila výše příspěvku na péči u osob mladších 18 let ve stupni závislosti II z 5 000 Kč na 6 000 Kč</w:t>
      </w:r>
      <w:r w:rsidRPr="002533D6">
        <w:rPr>
          <w:rStyle w:val="Znakapoznpodarou"/>
          <w:rFonts w:ascii="Times New Roman" w:hAnsi="Times New Roman"/>
          <w:sz w:val="24"/>
          <w:szCs w:val="24"/>
        </w:rPr>
        <w:footnoteReference w:id="4"/>
      </w:r>
      <w:r w:rsidRPr="002533D6">
        <w:rPr>
          <w:rFonts w:ascii="Times New Roman" w:hAnsi="Times New Roman"/>
          <w:sz w:val="24"/>
          <w:szCs w:val="24"/>
        </w:rPr>
        <w:t>, současně byl zaveden institut zvýšení příspěvku na péči; zvýšení příspěvku na péči bylo zavedeno jako částečná kompenzace změn zákona o státní sociální podpoře</w:t>
      </w:r>
      <w:r w:rsidRPr="002533D6">
        <w:rPr>
          <w:rStyle w:val="Znakapoznpodarou"/>
          <w:rFonts w:ascii="Times New Roman" w:hAnsi="Times New Roman"/>
          <w:sz w:val="24"/>
          <w:szCs w:val="24"/>
        </w:rPr>
        <w:footnoteReference w:id="5"/>
      </w:r>
      <w:r w:rsidRPr="002533D6">
        <w:rPr>
          <w:rFonts w:ascii="Times New Roman" w:hAnsi="Times New Roman"/>
          <w:sz w:val="24"/>
          <w:szCs w:val="24"/>
        </w:rPr>
        <w:t xml:space="preserve">. </w:t>
      </w:r>
    </w:p>
    <w:p w:rsidR="00090F12" w:rsidRDefault="00090F12" w:rsidP="00090F12">
      <w:pPr>
        <w:jc w:val="both"/>
        <w:rPr>
          <w:rFonts w:ascii="Times New Roman" w:hAnsi="Times New Roman"/>
          <w:sz w:val="24"/>
          <w:szCs w:val="24"/>
        </w:rPr>
      </w:pPr>
    </w:p>
    <w:p w:rsidR="00090F12" w:rsidRPr="002533D6" w:rsidRDefault="00090F12" w:rsidP="00090F12">
      <w:pPr>
        <w:jc w:val="both"/>
        <w:rPr>
          <w:rFonts w:ascii="Times New Roman" w:hAnsi="Times New Roman"/>
          <w:sz w:val="24"/>
          <w:szCs w:val="24"/>
          <w:u w:val="single"/>
        </w:rPr>
      </w:pPr>
      <w:r w:rsidRPr="002533D6">
        <w:rPr>
          <w:rFonts w:ascii="Times New Roman" w:hAnsi="Times New Roman"/>
          <w:sz w:val="24"/>
          <w:szCs w:val="24"/>
          <w:u w:val="single"/>
        </w:rPr>
        <w:t>Výdaje na příspěvek na péči a počty příjemců</w:t>
      </w:r>
    </w:p>
    <w:p w:rsidR="00090F12" w:rsidRPr="002533D6" w:rsidRDefault="00090F12" w:rsidP="00090F12">
      <w:pPr>
        <w:keepNext/>
        <w:rPr>
          <w:rFonts w:ascii="Times New Roman" w:hAnsi="Times New Roman"/>
          <w:b/>
          <w:sz w:val="24"/>
          <w:szCs w:val="24"/>
        </w:rPr>
      </w:pPr>
      <w:r w:rsidRPr="002533D6">
        <w:rPr>
          <w:rFonts w:ascii="Times New Roman" w:hAnsi="Times New Roman"/>
          <w:b/>
          <w:sz w:val="24"/>
          <w:szCs w:val="24"/>
        </w:rPr>
        <w:t>Výdaje na příspěvek na péči v mld. Kč</w:t>
      </w: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6"/>
        <w:gridCol w:w="907"/>
        <w:gridCol w:w="907"/>
        <w:gridCol w:w="906"/>
        <w:gridCol w:w="907"/>
        <w:gridCol w:w="907"/>
        <w:gridCol w:w="906"/>
        <w:gridCol w:w="907"/>
        <w:gridCol w:w="907"/>
        <w:gridCol w:w="907"/>
      </w:tblGrid>
      <w:tr w:rsidR="00090F12" w:rsidRPr="002533D6" w:rsidTr="00A16C78">
        <w:trPr>
          <w:trHeight w:val="315"/>
        </w:trPr>
        <w:tc>
          <w:tcPr>
            <w:tcW w:w="906" w:type="dxa"/>
            <w:shd w:val="clear" w:color="auto" w:fill="auto"/>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Rok</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2007</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2008</w:t>
            </w:r>
          </w:p>
        </w:tc>
        <w:tc>
          <w:tcPr>
            <w:tcW w:w="906"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2009</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2010</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2011</w:t>
            </w:r>
          </w:p>
        </w:tc>
        <w:tc>
          <w:tcPr>
            <w:tcW w:w="906"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2012</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2013</w:t>
            </w:r>
          </w:p>
        </w:tc>
        <w:tc>
          <w:tcPr>
            <w:tcW w:w="907"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2014</w:t>
            </w:r>
          </w:p>
        </w:tc>
        <w:tc>
          <w:tcPr>
            <w:tcW w:w="907" w:type="dxa"/>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2015*</w:t>
            </w:r>
          </w:p>
        </w:tc>
      </w:tr>
      <w:tr w:rsidR="00090F12" w:rsidRPr="002533D6" w:rsidTr="00A16C78">
        <w:trPr>
          <w:trHeight w:val="315"/>
        </w:trPr>
        <w:tc>
          <w:tcPr>
            <w:tcW w:w="906"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bCs/>
                <w:sz w:val="24"/>
                <w:szCs w:val="24"/>
              </w:rPr>
              <w:t>Výdaje</w:t>
            </w:r>
          </w:p>
        </w:tc>
        <w:tc>
          <w:tcPr>
            <w:tcW w:w="907" w:type="dxa"/>
            <w:shd w:val="clear" w:color="auto" w:fill="auto"/>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14,607</w:t>
            </w:r>
          </w:p>
        </w:tc>
        <w:tc>
          <w:tcPr>
            <w:tcW w:w="907"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18,252</w:t>
            </w:r>
          </w:p>
        </w:tc>
        <w:tc>
          <w:tcPr>
            <w:tcW w:w="906"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18,696</w:t>
            </w:r>
          </w:p>
        </w:tc>
        <w:tc>
          <w:tcPr>
            <w:tcW w:w="907"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19,599</w:t>
            </w:r>
          </w:p>
        </w:tc>
        <w:tc>
          <w:tcPr>
            <w:tcW w:w="907"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18,084</w:t>
            </w:r>
          </w:p>
        </w:tc>
        <w:tc>
          <w:tcPr>
            <w:tcW w:w="906"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18,391</w:t>
            </w:r>
          </w:p>
        </w:tc>
        <w:tc>
          <w:tcPr>
            <w:tcW w:w="907" w:type="dxa"/>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19,544</w:t>
            </w:r>
          </w:p>
        </w:tc>
        <w:tc>
          <w:tcPr>
            <w:tcW w:w="907" w:type="dxa"/>
            <w:shd w:val="clear" w:color="auto" w:fill="auto"/>
            <w:noWrap/>
            <w:tcMar>
              <w:top w:w="0" w:type="dxa"/>
              <w:left w:w="70" w:type="dxa"/>
              <w:bottom w:w="0" w:type="dxa"/>
              <w:right w:w="70" w:type="dxa"/>
            </w:tcMar>
            <w:vAlign w:val="center"/>
          </w:tcPr>
          <w:p w:rsidR="00090F12" w:rsidRPr="002533D6" w:rsidRDefault="00090F12" w:rsidP="00A16C78">
            <w:pPr>
              <w:keepNext/>
              <w:jc w:val="center"/>
              <w:rPr>
                <w:rFonts w:ascii="Times New Roman" w:hAnsi="Times New Roman"/>
                <w:bCs/>
                <w:sz w:val="24"/>
                <w:szCs w:val="24"/>
              </w:rPr>
            </w:pPr>
            <w:r w:rsidRPr="002533D6">
              <w:rPr>
                <w:rFonts w:ascii="Times New Roman" w:hAnsi="Times New Roman"/>
                <w:sz w:val="24"/>
                <w:szCs w:val="24"/>
              </w:rPr>
              <w:t>20,402</w:t>
            </w:r>
          </w:p>
        </w:tc>
        <w:tc>
          <w:tcPr>
            <w:tcW w:w="907" w:type="dxa"/>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21,000</w:t>
            </w:r>
          </w:p>
        </w:tc>
      </w:tr>
    </w:tbl>
    <w:p w:rsidR="00090F12" w:rsidRPr="002533D6" w:rsidRDefault="00090F12" w:rsidP="00090F12">
      <w:pPr>
        <w:keepNext/>
        <w:widowControl w:val="0"/>
        <w:autoSpaceDE w:val="0"/>
        <w:autoSpaceDN w:val="0"/>
        <w:adjustRightInd w:val="0"/>
        <w:rPr>
          <w:rFonts w:ascii="Times New Roman" w:hAnsi="Times New Roman"/>
          <w:sz w:val="24"/>
          <w:szCs w:val="24"/>
        </w:rPr>
      </w:pPr>
      <w:r w:rsidRPr="002533D6">
        <w:rPr>
          <w:rFonts w:ascii="Times New Roman" w:hAnsi="Times New Roman"/>
          <w:sz w:val="24"/>
          <w:szCs w:val="24"/>
        </w:rPr>
        <w:t>Zdroj: MPSV (JVM); * rozpočet</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Od roku 2009 je příspěvek na péči každý měsíc poskytován více než 300 000 osobám. Vývoj počtu příjemců uvádí následující tabulka.  </w:t>
      </w:r>
    </w:p>
    <w:p w:rsidR="00090F12" w:rsidRPr="002533D6" w:rsidRDefault="00090F12" w:rsidP="00090F12">
      <w:pPr>
        <w:keepNext/>
        <w:jc w:val="both"/>
        <w:rPr>
          <w:rFonts w:ascii="Times New Roman" w:hAnsi="Times New Roman"/>
          <w:b/>
          <w:sz w:val="24"/>
          <w:szCs w:val="24"/>
        </w:rPr>
      </w:pPr>
      <w:r w:rsidRPr="002533D6">
        <w:rPr>
          <w:rFonts w:ascii="Times New Roman" w:hAnsi="Times New Roman"/>
          <w:b/>
          <w:color w:val="000000"/>
          <w:sz w:val="24"/>
          <w:szCs w:val="24"/>
        </w:rPr>
        <w:lastRenderedPageBreak/>
        <w:t xml:space="preserve">Průměrný měsíční počet příjemců příspěvku na péči (v tis.) </w:t>
      </w:r>
      <w:r w:rsidRPr="002533D6">
        <w:rPr>
          <w:rFonts w:ascii="Times New Roman" w:hAnsi="Times New Roman"/>
          <w:b/>
          <w:bCs/>
          <w:color w:val="000000"/>
          <w:sz w:val="24"/>
          <w:szCs w:val="24"/>
        </w:rPr>
        <w:t>za rok</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8"/>
        <w:gridCol w:w="1008"/>
        <w:gridCol w:w="1008"/>
        <w:gridCol w:w="1008"/>
        <w:gridCol w:w="1008"/>
        <w:gridCol w:w="1008"/>
        <w:gridCol w:w="1008"/>
        <w:gridCol w:w="1008"/>
        <w:gridCol w:w="1008"/>
      </w:tblGrid>
      <w:tr w:rsidR="00090F12" w:rsidRPr="002533D6" w:rsidTr="00A16C78">
        <w:trPr>
          <w:trHeight w:val="315"/>
        </w:trPr>
        <w:tc>
          <w:tcPr>
            <w:tcW w:w="1008" w:type="dxa"/>
            <w:shd w:val="clear" w:color="auto" w:fill="auto"/>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Rok</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2007</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2008</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2009</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2010</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2011</w:t>
            </w:r>
            <w:r w:rsidRPr="002533D6">
              <w:rPr>
                <w:rStyle w:val="Znakapoznpodarou"/>
                <w:rFonts w:ascii="Times New Roman" w:hAnsi="Times New Roman"/>
                <w:color w:val="000000"/>
                <w:sz w:val="24"/>
                <w:szCs w:val="24"/>
              </w:rPr>
              <w:footnoteReference w:id="6"/>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2012</w:t>
            </w:r>
            <w:r w:rsidRPr="002533D6">
              <w:rPr>
                <w:rStyle w:val="Znakapoznpodarou"/>
                <w:rFonts w:ascii="Times New Roman" w:hAnsi="Times New Roman"/>
                <w:color w:val="000000"/>
                <w:sz w:val="24"/>
                <w:szCs w:val="24"/>
              </w:rPr>
              <w:footnoteReference w:id="7"/>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2013</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color w:val="000000"/>
                <w:sz w:val="24"/>
                <w:szCs w:val="24"/>
              </w:rPr>
            </w:pPr>
            <w:r w:rsidRPr="002533D6">
              <w:rPr>
                <w:rFonts w:ascii="Times New Roman" w:hAnsi="Times New Roman"/>
                <w:color w:val="000000"/>
                <w:sz w:val="24"/>
                <w:szCs w:val="24"/>
              </w:rPr>
              <w:t>2014*</w:t>
            </w:r>
          </w:p>
        </w:tc>
      </w:tr>
      <w:tr w:rsidR="00090F12" w:rsidRPr="002533D6" w:rsidTr="00A16C78">
        <w:trPr>
          <w:trHeight w:val="315"/>
        </w:trPr>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Celkem</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277,3</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295,7</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308,7</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311,5</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306,7</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314,6</w:t>
            </w:r>
          </w:p>
        </w:tc>
        <w:tc>
          <w:tcPr>
            <w:tcW w:w="1008" w:type="dxa"/>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317,8</w:t>
            </w:r>
          </w:p>
        </w:tc>
        <w:tc>
          <w:tcPr>
            <w:tcW w:w="1008" w:type="dxa"/>
            <w:shd w:val="clear" w:color="auto" w:fill="auto"/>
            <w:noWrap/>
            <w:tcMar>
              <w:top w:w="0" w:type="dxa"/>
              <w:left w:w="70" w:type="dxa"/>
              <w:bottom w:w="0" w:type="dxa"/>
              <w:right w:w="70" w:type="dxa"/>
            </w:tcMar>
            <w:vAlign w:val="center"/>
            <w:hideMark/>
          </w:tcPr>
          <w:p w:rsidR="00090F12" w:rsidRPr="002533D6" w:rsidRDefault="00090F12" w:rsidP="00A16C78">
            <w:pPr>
              <w:keepNext/>
              <w:jc w:val="center"/>
              <w:rPr>
                <w:rFonts w:ascii="Times New Roman" w:hAnsi="Times New Roman"/>
                <w:bCs/>
                <w:color w:val="000000"/>
                <w:sz w:val="24"/>
                <w:szCs w:val="24"/>
              </w:rPr>
            </w:pPr>
            <w:r w:rsidRPr="002533D6">
              <w:rPr>
                <w:rFonts w:ascii="Times New Roman" w:hAnsi="Times New Roman"/>
                <w:bCs/>
                <w:color w:val="000000"/>
                <w:sz w:val="24"/>
                <w:szCs w:val="24"/>
              </w:rPr>
              <w:t>327,7</w:t>
            </w:r>
          </w:p>
        </w:tc>
      </w:tr>
    </w:tbl>
    <w:p w:rsidR="00090F12" w:rsidRPr="002533D6" w:rsidRDefault="00090F12" w:rsidP="00090F12">
      <w:pPr>
        <w:pStyle w:val="Odstavecseseznamem"/>
        <w:keepNext/>
        <w:autoSpaceDE w:val="0"/>
        <w:autoSpaceDN w:val="0"/>
        <w:adjustRightInd w:val="0"/>
        <w:ind w:left="0"/>
        <w:jc w:val="both"/>
        <w:rPr>
          <w:rFonts w:ascii="Times New Roman" w:hAnsi="Times New Roman"/>
          <w:sz w:val="24"/>
          <w:szCs w:val="24"/>
        </w:rPr>
      </w:pPr>
      <w:r w:rsidRPr="002533D6">
        <w:rPr>
          <w:rFonts w:ascii="Times New Roman" w:hAnsi="Times New Roman"/>
          <w:sz w:val="24"/>
          <w:szCs w:val="24"/>
        </w:rPr>
        <w:t>Zdroj: MPSV (Oknouze/Okslužby, AIS SoS ); *předběžný údaj</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Údaje o věkovém složení příjemců příspěvku na péči v tabulce dokládají, že mezi příjemci příspěvku na péči převládají starší osoby, osoby nad 66 let představují dvě třetiny příjemců. V roce 2014 podíl příjemců do 18 let činil 8,3 %, osoby mezi 19 a 65 roky tvořily 24,5 %, osoby mezi 66 a 74 roky 13,0 %, osoby mezi 75 a 80 roky 12,6 %, osoby starší 81 let 40,2 %.</w:t>
      </w:r>
    </w:p>
    <w:p w:rsidR="00090F12" w:rsidRPr="002533D6" w:rsidRDefault="00090F12" w:rsidP="00090F12">
      <w:pPr>
        <w:widowControl w:val="0"/>
        <w:autoSpaceDE w:val="0"/>
        <w:autoSpaceDN w:val="0"/>
        <w:adjustRightInd w:val="0"/>
        <w:jc w:val="both"/>
        <w:rPr>
          <w:rFonts w:ascii="Times New Roman" w:hAnsi="Times New Roman"/>
          <w:b/>
          <w:sz w:val="24"/>
          <w:szCs w:val="24"/>
        </w:rPr>
      </w:pPr>
      <w:r w:rsidRPr="002533D6">
        <w:rPr>
          <w:rFonts w:ascii="Times New Roman" w:hAnsi="Times New Roman"/>
          <w:b/>
          <w:sz w:val="24"/>
          <w:szCs w:val="24"/>
        </w:rPr>
        <w:t>Věková struktura příjemců příspěvku na péči</w:t>
      </w:r>
    </w:p>
    <w:tbl>
      <w:tblPr>
        <w:tblW w:w="9087" w:type="dxa"/>
        <w:tblInd w:w="55" w:type="dxa"/>
        <w:tblLayout w:type="fixed"/>
        <w:tblCellMar>
          <w:left w:w="70" w:type="dxa"/>
          <w:right w:w="70" w:type="dxa"/>
        </w:tblCellMar>
        <w:tblLook w:val="04A0" w:firstRow="1" w:lastRow="0" w:firstColumn="1" w:lastColumn="0" w:noHBand="0" w:noVBand="1"/>
      </w:tblPr>
      <w:tblGrid>
        <w:gridCol w:w="2142"/>
        <w:gridCol w:w="792"/>
        <w:gridCol w:w="76"/>
        <w:gridCol w:w="868"/>
        <w:gridCol w:w="31"/>
        <w:gridCol w:w="837"/>
        <w:gridCol w:w="868"/>
        <w:gridCol w:w="107"/>
        <w:gridCol w:w="761"/>
        <w:gridCol w:w="214"/>
        <w:gridCol w:w="654"/>
        <w:gridCol w:w="322"/>
        <w:gridCol w:w="546"/>
        <w:gridCol w:w="183"/>
        <w:gridCol w:w="686"/>
      </w:tblGrid>
      <w:tr w:rsidR="00090F12" w:rsidRPr="002533D6" w:rsidTr="00A16C78">
        <w:trPr>
          <w:trHeight w:val="31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Věková skupina</w:t>
            </w:r>
          </w:p>
        </w:tc>
        <w:tc>
          <w:tcPr>
            <w:tcW w:w="6945" w:type="dxa"/>
            <w:gridSpan w:val="14"/>
            <w:tcBorders>
              <w:top w:val="single" w:sz="8" w:space="0" w:color="auto"/>
              <w:left w:val="nil"/>
              <w:bottom w:val="single" w:sz="4" w:space="0" w:color="auto"/>
              <w:right w:val="single" w:sz="8" w:space="0" w:color="000000"/>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 xml:space="preserve">Průměrný měsíční počet příjemců (v tis.) </w:t>
            </w:r>
            <w:r w:rsidRPr="002533D6">
              <w:rPr>
                <w:rFonts w:ascii="Times New Roman" w:hAnsi="Times New Roman"/>
                <w:b/>
                <w:bCs/>
                <w:color w:val="000000"/>
                <w:sz w:val="24"/>
                <w:szCs w:val="24"/>
                <w:u w:val="single"/>
              </w:rPr>
              <w:t>za rok</w:t>
            </w:r>
          </w:p>
        </w:tc>
      </w:tr>
      <w:tr w:rsidR="00090F12" w:rsidRPr="002533D6" w:rsidTr="00A16C78">
        <w:trPr>
          <w:trHeight w:val="315"/>
        </w:trPr>
        <w:tc>
          <w:tcPr>
            <w:tcW w:w="214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90F12" w:rsidRPr="002533D6" w:rsidRDefault="00090F12" w:rsidP="00A16C78">
            <w:pPr>
              <w:rPr>
                <w:rFonts w:ascii="Times New Roman" w:hAnsi="Times New Roman"/>
                <w:color w:val="000000"/>
                <w:sz w:val="24"/>
                <w:szCs w:val="24"/>
              </w:rPr>
            </w:pP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2007</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2008</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2009</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2010</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2011</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2012</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2013</w:t>
            </w:r>
          </w:p>
        </w:tc>
        <w:tc>
          <w:tcPr>
            <w:tcW w:w="869" w:type="dxa"/>
            <w:gridSpan w:val="2"/>
            <w:tcBorders>
              <w:top w:val="nil"/>
              <w:left w:val="nil"/>
              <w:bottom w:val="single" w:sz="8"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2014*</w:t>
            </w:r>
          </w:p>
        </w:tc>
      </w:tr>
      <w:tr w:rsidR="00090F12" w:rsidRPr="002533D6" w:rsidTr="00A16C78">
        <w:trPr>
          <w:trHeight w:val="315"/>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b/>
                <w:bCs/>
                <w:color w:val="000000"/>
                <w:sz w:val="24"/>
                <w:szCs w:val="24"/>
              </w:rPr>
            </w:pPr>
            <w:r w:rsidRPr="002533D6">
              <w:rPr>
                <w:rFonts w:ascii="Times New Roman" w:hAnsi="Times New Roman"/>
                <w:b/>
                <w:bCs/>
                <w:color w:val="000000"/>
                <w:sz w:val="24"/>
                <w:szCs w:val="24"/>
              </w:rPr>
              <w:t>Celkem</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277,3</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295,7</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308,7</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311,5</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306,7</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314,6</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317,8</w:t>
            </w:r>
          </w:p>
        </w:tc>
        <w:tc>
          <w:tcPr>
            <w:tcW w:w="869" w:type="dxa"/>
            <w:gridSpan w:val="2"/>
            <w:tcBorders>
              <w:top w:val="nil"/>
              <w:left w:val="nil"/>
              <w:bottom w:val="single" w:sz="8"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327,7</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v tom: do 18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20,0</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20,8</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21,8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22,6</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26,0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26,4</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27,5</w:t>
            </w:r>
          </w:p>
        </w:tc>
      </w:tr>
      <w:tr w:rsidR="00090F12" w:rsidRPr="002533D6" w:rsidTr="00A16C78">
        <w:trPr>
          <w:trHeight w:val="315"/>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18 a více </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257,3</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275,5</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287,8</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289,6</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284,0</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288,6</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291,4</w:t>
            </w:r>
          </w:p>
        </w:tc>
        <w:tc>
          <w:tcPr>
            <w:tcW w:w="869" w:type="dxa"/>
            <w:gridSpan w:val="2"/>
            <w:tcBorders>
              <w:top w:val="nil"/>
              <w:left w:val="nil"/>
              <w:bottom w:val="single" w:sz="8"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300,3</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v tom: do 4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2,4</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3,4</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3,3</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5 - 7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4,0</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5,6</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5,6</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5,9</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8 - 10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4,8</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6,0</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6,2</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11 - 15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7,0</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7,0</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7,3</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7,6</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8,5</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8,7</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9,1</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16 - 18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3,3</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4,2</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19 - 65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64,8</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69,9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73,3</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74,7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74,7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76,9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79,1</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81,0</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66 - 74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33,2</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35,3</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36,9</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37,1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36,7</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38,6</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40,6</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43,7</w:t>
            </w:r>
          </w:p>
        </w:tc>
      </w:tr>
      <w:tr w:rsidR="00090F12" w:rsidRPr="002533D6" w:rsidTr="00A16C78">
        <w:trPr>
          <w:trHeight w:val="3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75 - 80 let</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49,2</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51,4</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52,3</w:t>
            </w:r>
          </w:p>
        </w:tc>
        <w:tc>
          <w:tcPr>
            <w:tcW w:w="868" w:type="dxa"/>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50,1</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45,9</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43,8</w:t>
            </w:r>
          </w:p>
        </w:tc>
        <w:tc>
          <w:tcPr>
            <w:tcW w:w="868" w:type="dxa"/>
            <w:gridSpan w:val="2"/>
            <w:tcBorders>
              <w:top w:val="nil"/>
              <w:left w:val="nil"/>
              <w:bottom w:val="single" w:sz="4"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42,1</w:t>
            </w:r>
          </w:p>
        </w:tc>
        <w:tc>
          <w:tcPr>
            <w:tcW w:w="869" w:type="dxa"/>
            <w:gridSpan w:val="2"/>
            <w:tcBorders>
              <w:top w:val="nil"/>
              <w:left w:val="nil"/>
              <w:bottom w:val="single" w:sz="4"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41,6</w:t>
            </w:r>
          </w:p>
        </w:tc>
      </w:tr>
      <w:tr w:rsidR="00090F12" w:rsidRPr="002533D6" w:rsidTr="00A16C78">
        <w:trPr>
          <w:trHeight w:val="315"/>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color w:val="000000"/>
                <w:sz w:val="24"/>
                <w:szCs w:val="24"/>
              </w:rPr>
              <w:t xml:space="preserve">              81 a více</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109,2</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117,9</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124,1</w:t>
            </w:r>
          </w:p>
        </w:tc>
        <w:tc>
          <w:tcPr>
            <w:tcW w:w="868" w:type="dxa"/>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126,5</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125,6</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128,1</w:t>
            </w:r>
          </w:p>
        </w:tc>
        <w:tc>
          <w:tcPr>
            <w:tcW w:w="868" w:type="dxa"/>
            <w:gridSpan w:val="2"/>
            <w:tcBorders>
              <w:top w:val="nil"/>
              <w:left w:val="nil"/>
              <w:bottom w:val="single" w:sz="8" w:space="0" w:color="auto"/>
              <w:right w:val="single" w:sz="4"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128,0</w:t>
            </w:r>
          </w:p>
        </w:tc>
        <w:tc>
          <w:tcPr>
            <w:tcW w:w="869" w:type="dxa"/>
            <w:gridSpan w:val="2"/>
            <w:tcBorders>
              <w:top w:val="nil"/>
              <w:left w:val="nil"/>
              <w:bottom w:val="single" w:sz="8" w:space="0" w:color="auto"/>
              <w:right w:val="single" w:sz="8" w:space="0" w:color="auto"/>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132,8</w:t>
            </w:r>
          </w:p>
        </w:tc>
      </w:tr>
      <w:tr w:rsidR="00090F12" w:rsidRPr="002533D6" w:rsidTr="00A16C78">
        <w:trPr>
          <w:trHeight w:val="315"/>
        </w:trPr>
        <w:tc>
          <w:tcPr>
            <w:tcW w:w="2142" w:type="dxa"/>
            <w:tcBorders>
              <w:top w:val="nil"/>
              <w:left w:val="nil"/>
              <w:bottom w:val="nil"/>
              <w:right w:val="nil"/>
            </w:tcBorders>
            <w:shd w:val="clear" w:color="auto" w:fill="auto"/>
            <w:noWrap/>
            <w:vAlign w:val="center"/>
          </w:tcPr>
          <w:p w:rsidR="00090F12" w:rsidRPr="002533D6" w:rsidRDefault="00090F12" w:rsidP="00A16C78">
            <w:pPr>
              <w:rPr>
                <w:rFonts w:ascii="Times New Roman" w:hAnsi="Times New Roman"/>
                <w:iCs/>
                <w:color w:val="000000"/>
                <w:sz w:val="24"/>
                <w:szCs w:val="24"/>
              </w:rPr>
            </w:pPr>
          </w:p>
        </w:tc>
        <w:tc>
          <w:tcPr>
            <w:tcW w:w="792" w:type="dxa"/>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975" w:type="dxa"/>
            <w:gridSpan w:val="3"/>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837" w:type="dxa"/>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975" w:type="dxa"/>
            <w:gridSpan w:val="2"/>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975" w:type="dxa"/>
            <w:gridSpan w:val="2"/>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976" w:type="dxa"/>
            <w:gridSpan w:val="2"/>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729" w:type="dxa"/>
            <w:gridSpan w:val="2"/>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c>
          <w:tcPr>
            <w:tcW w:w="686" w:type="dxa"/>
            <w:tcBorders>
              <w:top w:val="nil"/>
              <w:left w:val="nil"/>
              <w:bottom w:val="nil"/>
              <w:right w:val="nil"/>
            </w:tcBorders>
            <w:shd w:val="clear" w:color="auto" w:fill="auto"/>
            <w:noWrap/>
            <w:vAlign w:val="center"/>
            <w:hideMark/>
          </w:tcPr>
          <w:p w:rsidR="00090F12" w:rsidRPr="002533D6" w:rsidRDefault="00090F12" w:rsidP="00A16C78">
            <w:pPr>
              <w:jc w:val="center"/>
              <w:rPr>
                <w:rFonts w:ascii="Times New Roman" w:hAnsi="Times New Roman"/>
                <w:color w:val="000000"/>
                <w:sz w:val="24"/>
                <w:szCs w:val="24"/>
              </w:rPr>
            </w:pPr>
          </w:p>
        </w:tc>
      </w:tr>
      <w:tr w:rsidR="00090F12" w:rsidRPr="002533D6" w:rsidTr="00A16C78">
        <w:trPr>
          <w:trHeight w:val="315"/>
        </w:trPr>
        <w:tc>
          <w:tcPr>
            <w:tcW w:w="9087" w:type="dxa"/>
            <w:gridSpan w:val="15"/>
            <w:tcBorders>
              <w:top w:val="nil"/>
              <w:left w:val="nil"/>
              <w:bottom w:val="nil"/>
              <w:right w:val="nil"/>
            </w:tcBorders>
            <w:shd w:val="clear" w:color="auto" w:fill="auto"/>
            <w:noWrap/>
            <w:vAlign w:val="center"/>
            <w:hideMark/>
          </w:tcPr>
          <w:p w:rsidR="00090F12" w:rsidRPr="002533D6" w:rsidRDefault="00090F12" w:rsidP="00A16C78">
            <w:pPr>
              <w:rPr>
                <w:rFonts w:ascii="Times New Roman" w:hAnsi="Times New Roman"/>
                <w:color w:val="000000"/>
                <w:sz w:val="24"/>
                <w:szCs w:val="24"/>
              </w:rPr>
            </w:pPr>
            <w:r w:rsidRPr="002533D6">
              <w:rPr>
                <w:rFonts w:ascii="Times New Roman" w:hAnsi="Times New Roman"/>
                <w:iCs/>
                <w:color w:val="000000"/>
                <w:sz w:val="24"/>
                <w:szCs w:val="24"/>
              </w:rPr>
              <w:t>Zdroj:  MPSV (Oknouze/Okslužby, AIS SoS); * předběžné údaje</w:t>
            </w:r>
          </w:p>
        </w:tc>
      </w:tr>
    </w:tbl>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 Pozn.: zahrnuje příjemce, kterým byl příspěvek vyplacen za období nároku leden až prosinec sledovaného roku</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lastRenderedPageBreak/>
        <w:t>Ucelené a spolehlivé údaje o příjemcích zvýšení příspěvku na péči jsou k dispozici až od roku 2014. V prosinci 2014 bylo příjemcům příspěvku na péči vyplaceno celkem 8,3 tisíc zvýšení příspěvku. Z tohoto počtu bylo 7,4 tisíc zvýšení příspěvku vyplaceno rodinám, kde je příjemcem příspěvku na péči buď nezaopatřené dítě do 18 let věku, nebo rodič pečující o nezaopatřené dítě do 18 let věku a zároveň příjem těchto rodin nepřesahuje 2násobek životního minima rodiny (z toho 7,1 tisíc zvýšení příspěvku náleželo dětem do 18 let věku a 0,3 tisíc pečujícím rodičům). Zbylých 0,9 tisíc zvýšení příspěvku náleželo rodinám s dětmi ve věku od 4 do 7 let, kterým náleží příspěvek na péči ve III nebo IV stupni závislosti.</w:t>
      </w:r>
    </w:p>
    <w:p w:rsidR="00090F12" w:rsidRPr="002533D6" w:rsidRDefault="00090F12" w:rsidP="00090F12">
      <w:pPr>
        <w:pStyle w:val="Odstavecseseznamem"/>
        <w:keepNext/>
        <w:autoSpaceDE w:val="0"/>
        <w:autoSpaceDN w:val="0"/>
        <w:adjustRightInd w:val="0"/>
        <w:ind w:left="0"/>
        <w:jc w:val="both"/>
        <w:rPr>
          <w:rFonts w:ascii="Times New Roman" w:hAnsi="Times New Roman"/>
          <w:sz w:val="24"/>
          <w:szCs w:val="24"/>
        </w:rPr>
      </w:pPr>
      <w:r w:rsidRPr="002533D6">
        <w:rPr>
          <w:rFonts w:ascii="Times New Roman" w:hAnsi="Times New Roman"/>
          <w:sz w:val="24"/>
          <w:szCs w:val="24"/>
        </w:rPr>
        <w:t>Údaje MPSV o příjemcích příspěvku na péči vzhledem k využívání sociálních služeb za prosinec 2014 v následující tabulce dokládají, že registrovaní poskytovatelé sociálních služeb poskytují péči 25 % příjemcům.</w:t>
      </w:r>
    </w:p>
    <w:p w:rsidR="00090F12" w:rsidRPr="002533D6" w:rsidRDefault="00090F12" w:rsidP="00090F12">
      <w:pPr>
        <w:jc w:val="both"/>
        <w:rPr>
          <w:rFonts w:ascii="Times New Roman" w:hAnsi="Times New Roman"/>
          <w:sz w:val="24"/>
          <w:szCs w:val="24"/>
        </w:rPr>
      </w:pPr>
      <w:r w:rsidRPr="002533D6">
        <w:rPr>
          <w:rFonts w:ascii="Times New Roman" w:hAnsi="Times New Roman"/>
          <w:b/>
          <w:sz w:val="24"/>
          <w:szCs w:val="24"/>
        </w:rPr>
        <w:t xml:space="preserve">Způsob využití příspěvku na péči </w:t>
      </w:r>
      <w:r w:rsidRPr="002533D6">
        <w:rPr>
          <w:rFonts w:ascii="Times New Roman" w:hAnsi="Times New Roman"/>
          <w:sz w:val="24"/>
          <w:szCs w:val="24"/>
        </w:rPr>
        <w:t>(počty osob, údaje za prosinec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1"/>
        <w:gridCol w:w="720"/>
        <w:gridCol w:w="730"/>
        <w:gridCol w:w="741"/>
        <w:gridCol w:w="744"/>
        <w:gridCol w:w="740"/>
        <w:gridCol w:w="749"/>
        <w:gridCol w:w="741"/>
        <w:gridCol w:w="745"/>
        <w:gridCol w:w="816"/>
        <w:gridCol w:w="805"/>
      </w:tblGrid>
      <w:tr w:rsidR="00090F12" w:rsidRPr="002533D6" w:rsidTr="00A16C78">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Věk</w:t>
            </w:r>
          </w:p>
        </w:tc>
        <w:tc>
          <w:tcPr>
            <w:tcW w:w="2935" w:type="dxa"/>
            <w:gridSpan w:val="4"/>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do 18 let</w:t>
            </w:r>
          </w:p>
        </w:tc>
        <w:tc>
          <w:tcPr>
            <w:tcW w:w="2975" w:type="dxa"/>
            <w:gridSpan w:val="4"/>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18 let a více</w:t>
            </w:r>
          </w:p>
        </w:tc>
        <w:tc>
          <w:tcPr>
            <w:tcW w:w="1621" w:type="dxa"/>
            <w:gridSpan w:val="2"/>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Celkem</w:t>
            </w:r>
          </w:p>
        </w:tc>
      </w:tr>
      <w:tr w:rsidR="00090F12" w:rsidRPr="002533D6" w:rsidTr="00A16C78">
        <w:tc>
          <w:tcPr>
            <w:tcW w:w="1551"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Stupeň závislosti</w:t>
            </w:r>
          </w:p>
        </w:tc>
        <w:tc>
          <w:tcPr>
            <w:tcW w:w="720"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w:t>
            </w:r>
          </w:p>
        </w:tc>
        <w:tc>
          <w:tcPr>
            <w:tcW w:w="730"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II</w:t>
            </w:r>
          </w:p>
        </w:tc>
        <w:tc>
          <w:tcPr>
            <w:tcW w:w="741"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III</w:t>
            </w:r>
          </w:p>
        </w:tc>
        <w:tc>
          <w:tcPr>
            <w:tcW w:w="744"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IV</w:t>
            </w:r>
          </w:p>
        </w:tc>
        <w:tc>
          <w:tcPr>
            <w:tcW w:w="740"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w:t>
            </w:r>
          </w:p>
        </w:tc>
        <w:tc>
          <w:tcPr>
            <w:tcW w:w="749"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II</w:t>
            </w:r>
          </w:p>
        </w:tc>
        <w:tc>
          <w:tcPr>
            <w:tcW w:w="741"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III</w:t>
            </w:r>
          </w:p>
        </w:tc>
        <w:tc>
          <w:tcPr>
            <w:tcW w:w="74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IV</w:t>
            </w:r>
          </w:p>
        </w:tc>
        <w:tc>
          <w:tcPr>
            <w:tcW w:w="816"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Počet</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Podíl v %</w:t>
            </w:r>
          </w:p>
        </w:tc>
      </w:tr>
      <w:tr w:rsidR="00090F12" w:rsidRPr="002533D6" w:rsidTr="00A16C78">
        <w:tc>
          <w:tcPr>
            <w:tcW w:w="9082" w:type="dxa"/>
            <w:gridSpan w:val="11"/>
            <w:shd w:val="clear" w:color="auto" w:fill="auto"/>
          </w:tcPr>
          <w:p w:rsidR="00090F12" w:rsidRPr="002533D6" w:rsidRDefault="00090F12" w:rsidP="00A16C78">
            <w:pPr>
              <w:jc w:val="both"/>
              <w:rPr>
                <w:rFonts w:ascii="Times New Roman" w:hAnsi="Times New Roman"/>
                <w:sz w:val="24"/>
                <w:szCs w:val="24"/>
              </w:rPr>
            </w:pPr>
            <w:r w:rsidRPr="002533D6">
              <w:rPr>
                <w:rFonts w:ascii="Times New Roman" w:hAnsi="Times New Roman"/>
                <w:sz w:val="24"/>
                <w:szCs w:val="24"/>
              </w:rPr>
              <w:t>Způsob využití příspěvku na péči - Poskytování sociální péče</w:t>
            </w:r>
          </w:p>
        </w:tc>
      </w:tr>
      <w:tr w:rsidR="00090F12" w:rsidRPr="002533D6" w:rsidTr="00A16C78">
        <w:trPr>
          <w:trHeight w:val="920"/>
        </w:trPr>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Fyzická osoba</w:t>
            </w:r>
          </w:p>
        </w:tc>
        <w:tc>
          <w:tcPr>
            <w:tcW w:w="72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11 369</w:t>
            </w:r>
          </w:p>
        </w:tc>
        <w:tc>
          <w:tcPr>
            <w:tcW w:w="73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6 758</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4 731</w:t>
            </w:r>
          </w:p>
        </w:tc>
        <w:tc>
          <w:tcPr>
            <w:tcW w:w="744"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4 282</w:t>
            </w:r>
          </w:p>
        </w:tc>
        <w:tc>
          <w:tcPr>
            <w:tcW w:w="74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73 693</w:t>
            </w:r>
          </w:p>
        </w:tc>
        <w:tc>
          <w:tcPr>
            <w:tcW w:w="749"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75 698</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46 555</w:t>
            </w:r>
          </w:p>
        </w:tc>
        <w:tc>
          <w:tcPr>
            <w:tcW w:w="745"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20 246</w:t>
            </w:r>
          </w:p>
        </w:tc>
        <w:tc>
          <w:tcPr>
            <w:tcW w:w="816"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243 332</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69,5</w:t>
            </w:r>
          </w:p>
        </w:tc>
      </w:tr>
      <w:tr w:rsidR="00090F12" w:rsidRPr="002533D6" w:rsidTr="00A16C78">
        <w:trPr>
          <w:trHeight w:val="920"/>
        </w:trPr>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Registrovaný poskytovatel sociálních služeb</w:t>
            </w:r>
          </w:p>
        </w:tc>
        <w:tc>
          <w:tcPr>
            <w:tcW w:w="72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51</w:t>
            </w:r>
          </w:p>
        </w:tc>
        <w:tc>
          <w:tcPr>
            <w:tcW w:w="73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110</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184</w:t>
            </w:r>
          </w:p>
        </w:tc>
        <w:tc>
          <w:tcPr>
            <w:tcW w:w="744"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654</w:t>
            </w:r>
          </w:p>
        </w:tc>
        <w:tc>
          <w:tcPr>
            <w:tcW w:w="74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20 104</w:t>
            </w:r>
          </w:p>
        </w:tc>
        <w:tc>
          <w:tcPr>
            <w:tcW w:w="749"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25 081</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22 579</w:t>
            </w:r>
          </w:p>
        </w:tc>
        <w:tc>
          <w:tcPr>
            <w:tcW w:w="745"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18 656</w:t>
            </w:r>
          </w:p>
        </w:tc>
        <w:tc>
          <w:tcPr>
            <w:tcW w:w="816"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87 419</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25,0</w:t>
            </w:r>
          </w:p>
        </w:tc>
      </w:tr>
      <w:tr w:rsidR="00090F12" w:rsidRPr="002533D6" w:rsidTr="00A16C78">
        <w:trPr>
          <w:trHeight w:val="920"/>
        </w:trPr>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Neregistrovaný poskytovatel sociálních služeb</w:t>
            </w:r>
          </w:p>
        </w:tc>
        <w:tc>
          <w:tcPr>
            <w:tcW w:w="72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24</w:t>
            </w:r>
          </w:p>
        </w:tc>
        <w:tc>
          <w:tcPr>
            <w:tcW w:w="73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37</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35</w:t>
            </w:r>
          </w:p>
        </w:tc>
        <w:tc>
          <w:tcPr>
            <w:tcW w:w="744"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14</w:t>
            </w:r>
          </w:p>
        </w:tc>
        <w:tc>
          <w:tcPr>
            <w:tcW w:w="74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108</w:t>
            </w:r>
          </w:p>
        </w:tc>
        <w:tc>
          <w:tcPr>
            <w:tcW w:w="749"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125</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181</w:t>
            </w:r>
          </w:p>
        </w:tc>
        <w:tc>
          <w:tcPr>
            <w:tcW w:w="745"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145</w:t>
            </w:r>
          </w:p>
        </w:tc>
        <w:tc>
          <w:tcPr>
            <w:tcW w:w="816"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669</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0,2</w:t>
            </w:r>
          </w:p>
        </w:tc>
      </w:tr>
      <w:tr w:rsidR="00090F12" w:rsidRPr="002533D6" w:rsidTr="00A16C78">
        <w:trPr>
          <w:trHeight w:val="920"/>
        </w:trPr>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Neuvedeno</w:t>
            </w:r>
          </w:p>
        </w:tc>
        <w:tc>
          <w:tcPr>
            <w:tcW w:w="72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194</w:t>
            </w:r>
          </w:p>
        </w:tc>
        <w:tc>
          <w:tcPr>
            <w:tcW w:w="73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107</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77</w:t>
            </w:r>
          </w:p>
        </w:tc>
        <w:tc>
          <w:tcPr>
            <w:tcW w:w="744"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101</w:t>
            </w:r>
          </w:p>
        </w:tc>
        <w:tc>
          <w:tcPr>
            <w:tcW w:w="74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7 280</w:t>
            </w:r>
          </w:p>
        </w:tc>
        <w:tc>
          <w:tcPr>
            <w:tcW w:w="749"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6 321</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3 163</w:t>
            </w:r>
          </w:p>
        </w:tc>
        <w:tc>
          <w:tcPr>
            <w:tcW w:w="745"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1 301</w:t>
            </w:r>
          </w:p>
        </w:tc>
        <w:tc>
          <w:tcPr>
            <w:tcW w:w="816"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18 544</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5,3</w:t>
            </w:r>
          </w:p>
        </w:tc>
      </w:tr>
      <w:tr w:rsidR="00090F12" w:rsidRPr="002533D6" w:rsidTr="00A16C78">
        <w:trPr>
          <w:trHeight w:val="920"/>
        </w:trPr>
        <w:tc>
          <w:tcPr>
            <w:tcW w:w="1551" w:type="dxa"/>
            <w:shd w:val="clear" w:color="auto" w:fill="auto"/>
            <w:vAlign w:val="center"/>
          </w:tcPr>
          <w:p w:rsidR="00090F12" w:rsidRPr="002533D6" w:rsidRDefault="00090F12" w:rsidP="00A16C78">
            <w:pPr>
              <w:rPr>
                <w:rFonts w:ascii="Times New Roman" w:hAnsi="Times New Roman"/>
                <w:sz w:val="24"/>
                <w:szCs w:val="24"/>
              </w:rPr>
            </w:pPr>
            <w:r w:rsidRPr="002533D6">
              <w:rPr>
                <w:rFonts w:ascii="Times New Roman" w:hAnsi="Times New Roman"/>
                <w:sz w:val="24"/>
                <w:szCs w:val="24"/>
              </w:rPr>
              <w:t>Počet příjemců PnP celkem</w:t>
            </w:r>
          </w:p>
        </w:tc>
        <w:tc>
          <w:tcPr>
            <w:tcW w:w="72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11 638</w:t>
            </w:r>
          </w:p>
        </w:tc>
        <w:tc>
          <w:tcPr>
            <w:tcW w:w="73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7 012</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5 027</w:t>
            </w:r>
          </w:p>
        </w:tc>
        <w:tc>
          <w:tcPr>
            <w:tcW w:w="744"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5 051</w:t>
            </w:r>
          </w:p>
        </w:tc>
        <w:tc>
          <w:tcPr>
            <w:tcW w:w="740"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101185</w:t>
            </w:r>
          </w:p>
        </w:tc>
        <w:tc>
          <w:tcPr>
            <w:tcW w:w="749"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107225</w:t>
            </w:r>
          </w:p>
        </w:tc>
        <w:tc>
          <w:tcPr>
            <w:tcW w:w="741"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72 478</w:t>
            </w:r>
          </w:p>
        </w:tc>
        <w:tc>
          <w:tcPr>
            <w:tcW w:w="745" w:type="dxa"/>
            <w:shd w:val="clear" w:color="auto" w:fill="auto"/>
            <w:vAlign w:val="center"/>
          </w:tcPr>
          <w:p w:rsidR="00090F12" w:rsidRPr="002533D6" w:rsidRDefault="00090F12" w:rsidP="00A16C78">
            <w:pPr>
              <w:jc w:val="center"/>
              <w:rPr>
                <w:rFonts w:ascii="Times New Roman" w:hAnsi="Times New Roman"/>
                <w:color w:val="000000"/>
                <w:sz w:val="24"/>
                <w:szCs w:val="24"/>
              </w:rPr>
            </w:pPr>
            <w:r w:rsidRPr="002533D6">
              <w:rPr>
                <w:rFonts w:ascii="Times New Roman" w:hAnsi="Times New Roman"/>
                <w:color w:val="000000"/>
                <w:sz w:val="24"/>
                <w:szCs w:val="24"/>
              </w:rPr>
              <w:t>40 348</w:t>
            </w:r>
          </w:p>
        </w:tc>
        <w:tc>
          <w:tcPr>
            <w:tcW w:w="816" w:type="dxa"/>
            <w:shd w:val="clear" w:color="auto" w:fill="auto"/>
            <w:vAlign w:val="center"/>
          </w:tcPr>
          <w:p w:rsidR="00090F12" w:rsidRPr="002533D6" w:rsidRDefault="00090F12" w:rsidP="00A16C78">
            <w:pPr>
              <w:jc w:val="center"/>
              <w:rPr>
                <w:rFonts w:ascii="Times New Roman" w:hAnsi="Times New Roman"/>
                <w:b/>
                <w:bCs/>
                <w:color w:val="000000"/>
                <w:sz w:val="24"/>
                <w:szCs w:val="24"/>
              </w:rPr>
            </w:pPr>
            <w:r w:rsidRPr="002533D6">
              <w:rPr>
                <w:rFonts w:ascii="Times New Roman" w:hAnsi="Times New Roman"/>
                <w:b/>
                <w:bCs/>
                <w:color w:val="000000"/>
                <w:sz w:val="24"/>
                <w:szCs w:val="24"/>
              </w:rPr>
              <w:t>349 964</w:t>
            </w:r>
          </w:p>
        </w:tc>
        <w:tc>
          <w:tcPr>
            <w:tcW w:w="805" w:type="dxa"/>
            <w:shd w:val="clear" w:color="auto" w:fill="auto"/>
            <w:vAlign w:val="center"/>
          </w:tcPr>
          <w:p w:rsidR="00090F12" w:rsidRPr="002533D6" w:rsidRDefault="00090F12" w:rsidP="00A16C78">
            <w:pPr>
              <w:jc w:val="center"/>
              <w:rPr>
                <w:rFonts w:ascii="Times New Roman" w:hAnsi="Times New Roman"/>
                <w:sz w:val="24"/>
                <w:szCs w:val="24"/>
              </w:rPr>
            </w:pPr>
            <w:r w:rsidRPr="002533D6">
              <w:rPr>
                <w:rFonts w:ascii="Times New Roman" w:hAnsi="Times New Roman"/>
                <w:sz w:val="24"/>
                <w:szCs w:val="24"/>
              </w:rPr>
              <w:t>100,0</w:t>
            </w:r>
          </w:p>
        </w:tc>
      </w:tr>
    </w:tbl>
    <w:p w:rsidR="00090F12" w:rsidRPr="002533D6" w:rsidRDefault="00090F12" w:rsidP="00090F12">
      <w:pPr>
        <w:jc w:val="both"/>
        <w:rPr>
          <w:rFonts w:ascii="Times New Roman" w:hAnsi="Times New Roman"/>
          <w:iCs/>
          <w:color w:val="000000"/>
          <w:sz w:val="24"/>
          <w:szCs w:val="24"/>
        </w:rPr>
      </w:pPr>
      <w:r w:rsidRPr="002533D6">
        <w:rPr>
          <w:rFonts w:ascii="Times New Roman" w:hAnsi="Times New Roman"/>
          <w:iCs/>
          <w:color w:val="000000"/>
          <w:sz w:val="24"/>
          <w:szCs w:val="24"/>
        </w:rPr>
        <w:t>Zdroj:  MPSV (Oknouze/Okslužby); předběžné údaje</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Vývoj výše částek příspěvku na péči obsahuje následující tabulka. Z ní je zřejmé, že od doby, kdy byl příspěvek konstruován, došlo k několika změnám. Nebereme-li v úvahu opatření zaměřená na podporu rodin s dětmi, která byla provedena v rámci příspěvku na péči, tj.</w:t>
      </w:r>
      <w:r w:rsidR="00A16C78">
        <w:rPr>
          <w:rFonts w:ascii="Times New Roman" w:hAnsi="Times New Roman"/>
          <w:sz w:val="24"/>
          <w:szCs w:val="24"/>
        </w:rPr>
        <w:t> </w:t>
      </w:r>
      <w:r w:rsidRPr="002533D6">
        <w:rPr>
          <w:rFonts w:ascii="Times New Roman" w:hAnsi="Times New Roman"/>
          <w:sz w:val="24"/>
          <w:szCs w:val="24"/>
        </w:rPr>
        <w:t>zavedení institutu zvýšení příspěvku na péči a zvýšení příspěvku na péči pro osoby do 18</w:t>
      </w:r>
      <w:r w:rsidR="00A16C78">
        <w:rPr>
          <w:rFonts w:ascii="Times New Roman" w:hAnsi="Times New Roman"/>
          <w:sz w:val="24"/>
          <w:szCs w:val="24"/>
        </w:rPr>
        <w:t> </w:t>
      </w:r>
      <w:r w:rsidRPr="002533D6">
        <w:rPr>
          <w:rFonts w:ascii="Times New Roman" w:hAnsi="Times New Roman"/>
          <w:sz w:val="24"/>
          <w:szCs w:val="24"/>
        </w:rPr>
        <w:t xml:space="preserve">let ve stupni závislosti II, k růstu částek došlo pouze u dětí a dospělých v nejvyšším stupni závislosti, a to o 9 %.  Naopak citelné snížení dávky dopadlo na dospělé osoby ve stupni závislosti I. </w:t>
      </w:r>
    </w:p>
    <w:p w:rsidR="00090F12" w:rsidRPr="002533D6" w:rsidRDefault="00090F12" w:rsidP="00090F12">
      <w:pPr>
        <w:keepNext/>
        <w:rPr>
          <w:rFonts w:ascii="Times New Roman" w:hAnsi="Times New Roman"/>
          <w:b/>
          <w:sz w:val="24"/>
          <w:szCs w:val="24"/>
        </w:rPr>
      </w:pPr>
      <w:r w:rsidRPr="002533D6">
        <w:rPr>
          <w:rFonts w:ascii="Times New Roman" w:hAnsi="Times New Roman"/>
          <w:b/>
          <w:sz w:val="24"/>
          <w:szCs w:val="24"/>
        </w:rPr>
        <w:lastRenderedPageBreak/>
        <w:t xml:space="preserve">Výše částek příspěvku na péči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77"/>
        <w:gridCol w:w="2303"/>
        <w:gridCol w:w="2303"/>
        <w:gridCol w:w="2213"/>
      </w:tblGrid>
      <w:tr w:rsidR="00090F12" w:rsidRPr="002533D6" w:rsidTr="00A16C78">
        <w:tc>
          <w:tcPr>
            <w:tcW w:w="1384" w:type="dxa"/>
            <w:vMerge w:val="restart"/>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Věková skupina</w:t>
            </w:r>
          </w:p>
        </w:tc>
        <w:tc>
          <w:tcPr>
            <w:tcW w:w="977" w:type="dxa"/>
            <w:vMerge w:val="restart"/>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Stupeň</w:t>
            </w:r>
          </w:p>
        </w:tc>
        <w:tc>
          <w:tcPr>
            <w:tcW w:w="4606" w:type="dxa"/>
            <w:gridSpan w:val="2"/>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Částka měsíčně v Kč</w:t>
            </w:r>
          </w:p>
        </w:tc>
        <w:tc>
          <w:tcPr>
            <w:tcW w:w="2213" w:type="dxa"/>
            <w:vMerge w:val="restart"/>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Změna</w:t>
            </w:r>
          </w:p>
        </w:tc>
      </w:tr>
      <w:tr w:rsidR="00090F12" w:rsidRPr="002533D6" w:rsidTr="00A16C78">
        <w:tc>
          <w:tcPr>
            <w:tcW w:w="1384" w:type="dxa"/>
            <w:vMerge/>
            <w:shd w:val="clear" w:color="auto" w:fill="auto"/>
          </w:tcPr>
          <w:p w:rsidR="00090F12" w:rsidRPr="002533D6" w:rsidRDefault="00090F12" w:rsidP="00A16C78">
            <w:pPr>
              <w:keepNext/>
              <w:jc w:val="both"/>
              <w:rPr>
                <w:rFonts w:ascii="Times New Roman" w:hAnsi="Times New Roman"/>
                <w:sz w:val="24"/>
                <w:szCs w:val="24"/>
              </w:rPr>
            </w:pPr>
          </w:p>
        </w:tc>
        <w:tc>
          <w:tcPr>
            <w:tcW w:w="977" w:type="dxa"/>
            <w:vMerge/>
            <w:shd w:val="clear" w:color="auto" w:fill="auto"/>
          </w:tcPr>
          <w:p w:rsidR="00090F12" w:rsidRPr="002533D6" w:rsidRDefault="00090F12" w:rsidP="00A16C78">
            <w:pPr>
              <w:keepNext/>
              <w:jc w:val="both"/>
              <w:rPr>
                <w:rFonts w:ascii="Times New Roman" w:hAnsi="Times New Roman"/>
                <w:sz w:val="24"/>
                <w:szCs w:val="24"/>
              </w:rPr>
            </w:pPr>
          </w:p>
        </w:tc>
        <w:tc>
          <w:tcPr>
            <w:tcW w:w="230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2007</w:t>
            </w:r>
          </w:p>
        </w:tc>
        <w:tc>
          <w:tcPr>
            <w:tcW w:w="230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2015</w:t>
            </w:r>
          </w:p>
        </w:tc>
        <w:tc>
          <w:tcPr>
            <w:tcW w:w="2213" w:type="dxa"/>
            <w:vMerge/>
            <w:shd w:val="clear" w:color="auto" w:fill="auto"/>
          </w:tcPr>
          <w:p w:rsidR="00090F12" w:rsidRPr="002533D6" w:rsidRDefault="00090F12" w:rsidP="00A16C78">
            <w:pPr>
              <w:keepNext/>
              <w:jc w:val="center"/>
              <w:rPr>
                <w:rFonts w:ascii="Times New Roman" w:hAnsi="Times New Roman"/>
                <w:sz w:val="24"/>
                <w:szCs w:val="24"/>
              </w:rPr>
            </w:pP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r w:rsidRPr="002533D6">
              <w:rPr>
                <w:rFonts w:ascii="Times New Roman" w:hAnsi="Times New Roman"/>
                <w:sz w:val="24"/>
                <w:szCs w:val="24"/>
              </w:rPr>
              <w:t>do 18 let</w:t>
            </w: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3 000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3 000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5 000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6 000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+ 20 %</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III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9 000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9 000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IV</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11 000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12 000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+ 9 %</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r w:rsidRPr="002533D6">
              <w:rPr>
                <w:rFonts w:ascii="Times New Roman" w:hAnsi="Times New Roman"/>
                <w:sz w:val="24"/>
                <w:szCs w:val="24"/>
              </w:rPr>
              <w:t>nad 18 let</w:t>
            </w: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2 000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800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- 60 %</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4 000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4 000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III</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8 000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8 000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w:t>
            </w:r>
          </w:p>
        </w:tc>
      </w:tr>
      <w:tr w:rsidR="00090F12" w:rsidRPr="002533D6" w:rsidTr="00A16C78">
        <w:tc>
          <w:tcPr>
            <w:tcW w:w="1384" w:type="dxa"/>
            <w:shd w:val="clear" w:color="auto" w:fill="auto"/>
          </w:tcPr>
          <w:p w:rsidR="00090F12" w:rsidRPr="002533D6" w:rsidRDefault="00090F12" w:rsidP="00A16C78">
            <w:pPr>
              <w:keepNext/>
              <w:jc w:val="both"/>
              <w:rPr>
                <w:rFonts w:ascii="Times New Roman" w:hAnsi="Times New Roman"/>
                <w:sz w:val="24"/>
                <w:szCs w:val="24"/>
              </w:rPr>
            </w:pPr>
          </w:p>
        </w:tc>
        <w:tc>
          <w:tcPr>
            <w:tcW w:w="977" w:type="dxa"/>
            <w:shd w:val="clear" w:color="auto" w:fill="auto"/>
            <w:vAlign w:val="center"/>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IV</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11 000</w:t>
            </w:r>
          </w:p>
        </w:tc>
        <w:tc>
          <w:tcPr>
            <w:tcW w:w="2303" w:type="dxa"/>
            <w:shd w:val="clear" w:color="auto" w:fill="auto"/>
            <w:vAlign w:val="center"/>
          </w:tcPr>
          <w:p w:rsidR="00090F12" w:rsidRPr="002533D6" w:rsidRDefault="00090F12" w:rsidP="00A16C78">
            <w:pPr>
              <w:keepNext/>
              <w:jc w:val="right"/>
              <w:rPr>
                <w:rFonts w:ascii="Times New Roman" w:hAnsi="Times New Roman"/>
                <w:sz w:val="24"/>
                <w:szCs w:val="24"/>
              </w:rPr>
            </w:pPr>
            <w:r w:rsidRPr="002533D6">
              <w:rPr>
                <w:rFonts w:ascii="Times New Roman" w:hAnsi="Times New Roman"/>
                <w:sz w:val="24"/>
                <w:szCs w:val="24"/>
              </w:rPr>
              <w:t>12 000</w:t>
            </w:r>
          </w:p>
        </w:tc>
        <w:tc>
          <w:tcPr>
            <w:tcW w:w="2213" w:type="dxa"/>
            <w:shd w:val="clear" w:color="auto" w:fill="auto"/>
          </w:tcPr>
          <w:p w:rsidR="00090F12" w:rsidRPr="002533D6" w:rsidRDefault="00090F12" w:rsidP="00A16C78">
            <w:pPr>
              <w:keepNext/>
              <w:jc w:val="center"/>
              <w:rPr>
                <w:rFonts w:ascii="Times New Roman" w:hAnsi="Times New Roman"/>
                <w:sz w:val="24"/>
                <w:szCs w:val="24"/>
              </w:rPr>
            </w:pPr>
            <w:r w:rsidRPr="002533D6">
              <w:rPr>
                <w:rFonts w:ascii="Times New Roman" w:hAnsi="Times New Roman"/>
                <w:sz w:val="24"/>
                <w:szCs w:val="24"/>
              </w:rPr>
              <w:t>+ 9 %</w:t>
            </w:r>
          </w:p>
        </w:tc>
      </w:tr>
    </w:tbl>
    <w:p w:rsidR="00090F12" w:rsidRPr="002533D6" w:rsidRDefault="00090F12" w:rsidP="00090F12">
      <w:pPr>
        <w:keepNext/>
        <w:jc w:val="both"/>
        <w:rPr>
          <w:rFonts w:ascii="Times New Roman" w:hAnsi="Times New Roman"/>
          <w:sz w:val="24"/>
          <w:szCs w:val="24"/>
        </w:rPr>
      </w:pPr>
      <w:r w:rsidRPr="002533D6">
        <w:rPr>
          <w:rFonts w:ascii="Times New Roman" w:hAnsi="Times New Roman"/>
          <w:sz w:val="24"/>
          <w:szCs w:val="24"/>
        </w:rPr>
        <w:t>Zdroj: MPSV (vlastní propočet)</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Dopady nezvyšování příspěvku na péči, i když s ohledem na výše uvedené údaje, je přesnější hovořit o nedostatečném nebo selektivním zvyšování, mohou být hodnoceny na základě komparace výše této dávky s vývojem některých ekonomických veličin, jako j</w:t>
      </w:r>
      <w:r w:rsidR="0056077D">
        <w:rPr>
          <w:rFonts w:ascii="Times New Roman" w:hAnsi="Times New Roman"/>
          <w:sz w:val="24"/>
          <w:szCs w:val="24"/>
        </w:rPr>
        <w:t>sou</w:t>
      </w:r>
      <w:r w:rsidRPr="002533D6">
        <w:rPr>
          <w:rFonts w:ascii="Times New Roman" w:hAnsi="Times New Roman"/>
          <w:sz w:val="24"/>
          <w:szCs w:val="24"/>
        </w:rPr>
        <w:t xml:space="preserve"> např. výše mezd celkem nebo určitých pracovníků, starobních nebo invalidních důchodů, spotřebitelských cen celkem nebo určité skupiny produktů, výše cen za poskytování sociálních služeb, životních nákladů domácností celkem nebo jednotlivých typů domácností. </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Na základě analýzy dostupných statistických informací (zdroj ČSÚ) lze mezi lety 2007 a 2014 konstatovat následující vývoj:</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t>průměrná hrubá měsíční mzda v národním hospodářství se zvýšila z 20 957 Kč na 25</w:t>
      </w:r>
      <w:r w:rsidR="00A16C78">
        <w:rPr>
          <w:rFonts w:ascii="Times New Roman" w:hAnsi="Times New Roman"/>
          <w:sz w:val="24"/>
          <w:szCs w:val="24"/>
        </w:rPr>
        <w:t> </w:t>
      </w:r>
      <w:r w:rsidRPr="002533D6">
        <w:rPr>
          <w:rFonts w:ascii="Times New Roman" w:hAnsi="Times New Roman"/>
          <w:sz w:val="24"/>
          <w:szCs w:val="24"/>
        </w:rPr>
        <w:t xml:space="preserve">686 Kč, tj. o 23 %, v podnikatelské sféře z 20 661 Kč na 25 646 Kč, tj. o 24 %, v nepodnikatelské sféře z 22 387 Kč na 25 863 Kč, tj. o 16 %; </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t xml:space="preserve">průměrná hrubá měsíční mzda podle ekonomické činnosti CZ-NACE zdravotnictví a sociální péče se zvýšila z 19 047 Kč na 23 571 Kč, tj. o 24 %; </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t>výdělek pracovníka v sociálních službách lze vzhledem ke změně klasifikace zaměstnání porovnat jen orientačně – ve 4. čtvrtletí roku 2007 činila průměrná hodinová mzda pro podskupinu zaměstnání KZAM 5132 pečovatelé a pomocní ošetřovatelé v zařízení sociální péče, nemocnici 95,25 Kč, v prvním pololetí roku 2014 činila průměrná hodinová mzdy pro kód zaměstnání CZ-ISCO 5321 ošetřovatelé a pracovníci sociálních služeb v oblasti pobytové péče 98,50 Kč, s vědomím omezené srovnatelnosti lze konstatovat zvýšení průměrné hodinové mzdy pracovníka v sociálních službách o 3 %; průměrná měsíční výše důchodu</w:t>
      </w:r>
      <w:r w:rsidR="0056077D">
        <w:rPr>
          <w:rFonts w:ascii="Times New Roman" w:hAnsi="Times New Roman"/>
          <w:sz w:val="24"/>
          <w:szCs w:val="24"/>
        </w:rPr>
        <w:t>, který pobírají důchodci</w:t>
      </w:r>
      <w:r w:rsidRPr="002533D6">
        <w:rPr>
          <w:rFonts w:ascii="Times New Roman" w:hAnsi="Times New Roman"/>
          <w:sz w:val="24"/>
          <w:szCs w:val="24"/>
        </w:rPr>
        <w:t xml:space="preserve"> (údaj za prosinec příslušného roku)</w:t>
      </w:r>
      <w:r w:rsidR="0056077D">
        <w:rPr>
          <w:rFonts w:ascii="Times New Roman" w:hAnsi="Times New Roman"/>
          <w:sz w:val="24"/>
          <w:szCs w:val="24"/>
        </w:rPr>
        <w:t>,</w:t>
      </w:r>
      <w:r w:rsidRPr="002533D6">
        <w:rPr>
          <w:rFonts w:ascii="Times New Roman" w:hAnsi="Times New Roman"/>
          <w:sz w:val="24"/>
          <w:szCs w:val="24"/>
        </w:rPr>
        <w:t xml:space="preserve"> se zvýšila z 8 560 Kč v roce 2007 na 10 741 Kč v roce 2014, tj.</w:t>
      </w:r>
      <w:r w:rsidR="00A16C78">
        <w:rPr>
          <w:rFonts w:ascii="Times New Roman" w:hAnsi="Times New Roman"/>
          <w:sz w:val="24"/>
          <w:szCs w:val="24"/>
        </w:rPr>
        <w:t> </w:t>
      </w:r>
      <w:r w:rsidRPr="002533D6">
        <w:rPr>
          <w:rFonts w:ascii="Times New Roman" w:hAnsi="Times New Roman"/>
          <w:sz w:val="24"/>
          <w:szCs w:val="24"/>
        </w:rPr>
        <w:t>o 25 %, průměrná měsíční výše důchodu</w:t>
      </w:r>
      <w:r w:rsidR="0056077D">
        <w:rPr>
          <w:rFonts w:ascii="Times New Roman" w:hAnsi="Times New Roman"/>
          <w:sz w:val="24"/>
          <w:szCs w:val="24"/>
        </w:rPr>
        <w:t xml:space="preserve">, který pobírají starobní důchodci, </w:t>
      </w:r>
      <w:r w:rsidRPr="002533D6">
        <w:rPr>
          <w:rFonts w:ascii="Times New Roman" w:hAnsi="Times New Roman"/>
          <w:sz w:val="24"/>
          <w:szCs w:val="24"/>
        </w:rPr>
        <w:t>se zvýšila z 9 081 Kč na 11</w:t>
      </w:r>
      <w:r w:rsidR="00A16C78">
        <w:rPr>
          <w:rFonts w:ascii="Times New Roman" w:hAnsi="Times New Roman"/>
          <w:sz w:val="24"/>
          <w:szCs w:val="24"/>
        </w:rPr>
        <w:t> </w:t>
      </w:r>
      <w:r w:rsidRPr="002533D6">
        <w:rPr>
          <w:rFonts w:ascii="Times New Roman" w:hAnsi="Times New Roman"/>
          <w:sz w:val="24"/>
          <w:szCs w:val="24"/>
        </w:rPr>
        <w:t>386</w:t>
      </w:r>
      <w:r w:rsidR="00A16C78">
        <w:rPr>
          <w:rFonts w:ascii="Times New Roman" w:hAnsi="Times New Roman"/>
          <w:sz w:val="24"/>
          <w:szCs w:val="24"/>
        </w:rPr>
        <w:t> </w:t>
      </w:r>
      <w:r w:rsidRPr="002533D6">
        <w:rPr>
          <w:rFonts w:ascii="Times New Roman" w:hAnsi="Times New Roman"/>
          <w:sz w:val="24"/>
          <w:szCs w:val="24"/>
        </w:rPr>
        <w:t>Kč, tj. o 25 %, průměrná měsíční výše důchodu</w:t>
      </w:r>
      <w:r w:rsidR="0056077D">
        <w:rPr>
          <w:rFonts w:ascii="Times New Roman" w:hAnsi="Times New Roman"/>
          <w:sz w:val="24"/>
          <w:szCs w:val="24"/>
        </w:rPr>
        <w:t>, který pobírají invalidní důchodci</w:t>
      </w:r>
      <w:r w:rsidRPr="002533D6">
        <w:rPr>
          <w:rFonts w:ascii="Times New Roman" w:hAnsi="Times New Roman"/>
          <w:sz w:val="24"/>
          <w:szCs w:val="24"/>
        </w:rPr>
        <w:t xml:space="preserve"> ve stupni </w:t>
      </w:r>
      <w:r w:rsidR="0056077D">
        <w:rPr>
          <w:rFonts w:ascii="Times New Roman" w:hAnsi="Times New Roman"/>
          <w:sz w:val="24"/>
          <w:szCs w:val="24"/>
        </w:rPr>
        <w:t>III</w:t>
      </w:r>
      <w:r w:rsidR="005F506D">
        <w:rPr>
          <w:rFonts w:ascii="Times New Roman" w:hAnsi="Times New Roman"/>
          <w:sz w:val="24"/>
          <w:szCs w:val="24"/>
        </w:rPr>
        <w:t>,</w:t>
      </w:r>
      <w:r w:rsidR="0056077D">
        <w:rPr>
          <w:rFonts w:ascii="Times New Roman" w:hAnsi="Times New Roman"/>
          <w:sz w:val="24"/>
          <w:szCs w:val="24"/>
        </w:rPr>
        <w:t xml:space="preserve"> se zvýšila z 8 653 Kč na 10 </w:t>
      </w:r>
      <w:r w:rsidRPr="002533D6">
        <w:rPr>
          <w:rFonts w:ascii="Times New Roman" w:hAnsi="Times New Roman"/>
          <w:sz w:val="24"/>
          <w:szCs w:val="24"/>
        </w:rPr>
        <w:t xml:space="preserve">352 Kč, tj. o 20 %; </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lastRenderedPageBreak/>
        <w:t>náklady na výživu a na ostatní základní osobní potřeby vyjádřené indexem spotřebitelských cen za domácnosti celkem se od roku 2007 zvýšily o 17 %, v případě domácností důchodců to bylo o 23 %. Nejvíce vzrostly ceny u skupiny zdraví</w:t>
      </w:r>
      <w:r w:rsidR="00A16C78">
        <w:rPr>
          <w:rFonts w:ascii="Times New Roman" w:hAnsi="Times New Roman"/>
          <w:sz w:val="24"/>
          <w:szCs w:val="24"/>
        </w:rPr>
        <w:t> </w:t>
      </w:r>
      <w:r w:rsidR="00A16C78">
        <w:rPr>
          <w:rFonts w:ascii="Times New Roman" w:hAnsi="Times New Roman"/>
          <w:sz w:val="24"/>
          <w:szCs w:val="24"/>
        </w:rPr>
        <w:noBreakHyphen/>
        <w:t> </w:t>
      </w:r>
      <w:r w:rsidRPr="002533D6">
        <w:rPr>
          <w:rFonts w:ascii="Times New Roman" w:hAnsi="Times New Roman"/>
          <w:sz w:val="24"/>
          <w:szCs w:val="24"/>
        </w:rPr>
        <w:t>o</w:t>
      </w:r>
      <w:r w:rsidR="00A16C78">
        <w:rPr>
          <w:rFonts w:ascii="Times New Roman" w:hAnsi="Times New Roman"/>
          <w:sz w:val="24"/>
          <w:szCs w:val="24"/>
        </w:rPr>
        <w:t> </w:t>
      </w:r>
      <w:r w:rsidRPr="002533D6">
        <w:rPr>
          <w:rFonts w:ascii="Times New Roman" w:hAnsi="Times New Roman"/>
          <w:sz w:val="24"/>
          <w:szCs w:val="24"/>
        </w:rPr>
        <w:t>52</w:t>
      </w:r>
      <w:r w:rsidR="00A16C78">
        <w:rPr>
          <w:rFonts w:ascii="Times New Roman" w:hAnsi="Times New Roman"/>
          <w:sz w:val="24"/>
          <w:szCs w:val="24"/>
        </w:rPr>
        <w:t> </w:t>
      </w:r>
      <w:r w:rsidRPr="002533D6">
        <w:rPr>
          <w:rFonts w:ascii="Times New Roman" w:hAnsi="Times New Roman"/>
          <w:sz w:val="24"/>
          <w:szCs w:val="24"/>
        </w:rPr>
        <w:t>% u domácností celkem a o 56 % u domácností důchodců a u skupiny bydlení</w:t>
      </w:r>
      <w:r w:rsidR="00A16C78">
        <w:rPr>
          <w:rFonts w:ascii="Times New Roman" w:hAnsi="Times New Roman"/>
          <w:sz w:val="24"/>
          <w:szCs w:val="24"/>
        </w:rPr>
        <w:t> </w:t>
      </w:r>
      <w:r w:rsidR="00A16C78">
        <w:rPr>
          <w:rFonts w:ascii="Times New Roman" w:hAnsi="Times New Roman"/>
          <w:sz w:val="24"/>
          <w:szCs w:val="24"/>
        </w:rPr>
        <w:noBreakHyphen/>
        <w:t> </w:t>
      </w:r>
      <w:r w:rsidRPr="002533D6">
        <w:rPr>
          <w:rFonts w:ascii="Times New Roman" w:hAnsi="Times New Roman"/>
          <w:sz w:val="24"/>
          <w:szCs w:val="24"/>
        </w:rPr>
        <w:t>u domácností celkem o 30 % a u domácností důchodců o 41 %;</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t>ceny sociální péče vyjádřené indexem cen sociální péče</w:t>
      </w:r>
      <w:r w:rsidRPr="002533D6">
        <w:rPr>
          <w:rStyle w:val="Znakapoznpodarou"/>
          <w:rFonts w:ascii="Times New Roman" w:hAnsi="Times New Roman"/>
          <w:sz w:val="24"/>
          <w:szCs w:val="24"/>
        </w:rPr>
        <w:footnoteReference w:id="8"/>
      </w:r>
      <w:r w:rsidRPr="002533D6">
        <w:rPr>
          <w:rFonts w:ascii="Times New Roman" w:hAnsi="Times New Roman"/>
          <w:sz w:val="24"/>
          <w:szCs w:val="24"/>
        </w:rPr>
        <w:t xml:space="preserve"> za domácnosti celkem se od roku 2007 zvýšily o 32 %;</w:t>
      </w:r>
    </w:p>
    <w:p w:rsidR="00090F12" w:rsidRPr="002533D6" w:rsidRDefault="00090F12" w:rsidP="00170FA7">
      <w:pPr>
        <w:pStyle w:val="Odstavecseseznamem"/>
        <w:numPr>
          <w:ilvl w:val="0"/>
          <w:numId w:val="14"/>
        </w:numPr>
        <w:spacing w:after="0"/>
        <w:jc w:val="both"/>
        <w:rPr>
          <w:rFonts w:ascii="Times New Roman" w:hAnsi="Times New Roman"/>
          <w:sz w:val="24"/>
          <w:szCs w:val="24"/>
        </w:rPr>
      </w:pPr>
      <w:r w:rsidRPr="002533D6">
        <w:rPr>
          <w:rFonts w:ascii="Times New Roman" w:hAnsi="Times New Roman"/>
          <w:sz w:val="24"/>
          <w:szCs w:val="24"/>
        </w:rPr>
        <w:t>maximální výše úhrad u služeb sociální péče, které mají stanoven zákonný limit úhrad za jednu hodinu (osobní asistence, pečovatelská služba, průvodcovské a předčitatelské služby, odlehčovací služby, centra denních služeb)</w:t>
      </w:r>
      <w:r w:rsidR="005F506D">
        <w:rPr>
          <w:rFonts w:ascii="Times New Roman" w:hAnsi="Times New Roman"/>
          <w:sz w:val="24"/>
          <w:szCs w:val="24"/>
        </w:rPr>
        <w:t>,</w:t>
      </w:r>
      <w:r w:rsidRPr="002533D6">
        <w:rPr>
          <w:rFonts w:ascii="Times New Roman" w:hAnsi="Times New Roman"/>
          <w:sz w:val="24"/>
          <w:szCs w:val="24"/>
        </w:rPr>
        <w:t xml:space="preserve"> se zvýšila z 85 Kč/hod na 130</w:t>
      </w:r>
      <w:r w:rsidR="00A16C78">
        <w:rPr>
          <w:rFonts w:ascii="Times New Roman" w:hAnsi="Times New Roman"/>
          <w:sz w:val="24"/>
          <w:szCs w:val="24"/>
        </w:rPr>
        <w:t> </w:t>
      </w:r>
      <w:r w:rsidRPr="002533D6">
        <w:rPr>
          <w:rFonts w:ascii="Times New Roman" w:hAnsi="Times New Roman"/>
          <w:sz w:val="24"/>
          <w:szCs w:val="24"/>
        </w:rPr>
        <w:t xml:space="preserve">Kč/hod, tj. o 53 %. </w:t>
      </w:r>
    </w:p>
    <w:p w:rsidR="00090F12" w:rsidRPr="002533D6" w:rsidRDefault="00090F12" w:rsidP="00090F12">
      <w:pPr>
        <w:jc w:val="both"/>
        <w:rPr>
          <w:rFonts w:ascii="Times New Roman" w:hAnsi="Times New Roman"/>
          <w:sz w:val="24"/>
          <w:szCs w:val="24"/>
        </w:rPr>
      </w:pP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Významná zjištění pocházejí od Fondu dalšího vzdělávání, který realizuje projekt s názvem Podpora neformálních pečovatelů</w:t>
      </w:r>
      <w:r w:rsidRPr="002533D6">
        <w:rPr>
          <w:rStyle w:val="Znakapoznpodarou"/>
          <w:rFonts w:ascii="Times New Roman" w:hAnsi="Times New Roman"/>
          <w:sz w:val="24"/>
          <w:szCs w:val="24"/>
        </w:rPr>
        <w:footnoteReference w:id="9"/>
      </w:r>
      <w:r w:rsidRPr="002533D6">
        <w:rPr>
          <w:rFonts w:ascii="Times New Roman" w:hAnsi="Times New Roman"/>
          <w:sz w:val="24"/>
          <w:szCs w:val="24"/>
        </w:rPr>
        <w:t xml:space="preserve">. Předběžné výstupy projektu, jehož součástí je kvantitativní dotazníkové šetření, kterého se účastnilo 858 respondentů, přinášejí informace vztahující se k rodinám poživatelů příspěvku na péči, respektive k pečujícím osobám. Tyto informace jsou klíčové pro uchopení otázky dopadů nezvyšování výše příspěvku na péči na osoby se zdravotním postižením a jejich rodiny. </w:t>
      </w:r>
    </w:p>
    <w:p w:rsidR="00090F12" w:rsidRPr="002533D6" w:rsidRDefault="00090F12" w:rsidP="00090F12">
      <w:pPr>
        <w:jc w:val="both"/>
        <w:rPr>
          <w:rFonts w:ascii="Times New Roman" w:hAnsi="Times New Roman"/>
          <w:sz w:val="24"/>
          <w:szCs w:val="24"/>
        </w:rPr>
      </w:pPr>
      <w:r w:rsidRPr="002533D6">
        <w:rPr>
          <w:rFonts w:ascii="Times New Roman" w:hAnsi="Times New Roman"/>
          <w:bCs/>
          <w:sz w:val="24"/>
          <w:szCs w:val="24"/>
        </w:rPr>
        <w:t>Pokud jde o ekonomickou situaci rodin s členem, který je poživatelem příspěvku na péči, respektive vyžaduje péči jiné fyzické osoby z důvodu dlouhodobě nepříznivého zdravotního stavu, ukazují předběžné výsledky projektu, že ve srovnání s obecnou populací je mezi pečovateli podíl ekonomicky aktivních osob výrazně nižší. Z toho vyplývá i méně příznivá finanční situace takových rodin, včetně jejich vyššího ohrožení příjmovou chudobou. Necelá třetina pečovatelů-respondentů žije v domácnosti bez ekonomicky aktivních členů, zatímco v obecné populaci je to jen necelá pětina domácností.</w:t>
      </w:r>
      <w:r w:rsidRPr="002533D6">
        <w:rPr>
          <w:rFonts w:ascii="Times New Roman" w:hAnsi="Times New Roman"/>
          <w:b/>
          <w:bCs/>
          <w:sz w:val="24"/>
          <w:szCs w:val="24"/>
        </w:rPr>
        <w:t xml:space="preserve"> </w:t>
      </w:r>
      <w:r w:rsidRPr="002533D6">
        <w:rPr>
          <w:rFonts w:ascii="Times New Roman" w:hAnsi="Times New Roman"/>
          <w:bCs/>
          <w:sz w:val="24"/>
          <w:szCs w:val="24"/>
        </w:rPr>
        <w:t>Předběžná zjištění projektu</w:t>
      </w:r>
      <w:r w:rsidRPr="002533D6">
        <w:rPr>
          <w:rFonts w:ascii="Times New Roman" w:hAnsi="Times New Roman"/>
          <w:sz w:val="24"/>
          <w:szCs w:val="24"/>
        </w:rPr>
        <w:t xml:space="preserve"> Podpora neformálních pečovatelů</w:t>
      </w:r>
      <w:r w:rsidRPr="002533D6">
        <w:rPr>
          <w:rFonts w:ascii="Times New Roman" w:hAnsi="Times New Roman"/>
          <w:bCs/>
          <w:sz w:val="24"/>
          <w:szCs w:val="24"/>
        </w:rPr>
        <w:t xml:space="preserve"> potvrzují hypotézu, že finanční situace neformálních pečovatelů je nelehká. Neočekávaný měsíční výdaj v hodnotě 9 600 Kč představuje problém pro nadpoloviční většinu pečovatelů-respondentů. </w:t>
      </w:r>
      <w:r w:rsidRPr="002533D6">
        <w:rPr>
          <w:rFonts w:ascii="Times New Roman" w:hAnsi="Times New Roman"/>
          <w:sz w:val="24"/>
          <w:szCs w:val="24"/>
        </w:rPr>
        <w:t>Většina neformálních pečovatelů-respondentů deklarovala, že s celkovým měsíčním příjmem vystačí jen s obtížemi, přitom o větších finančních potížích hovořily dvě pětiny pečovatelů-respondentů. Příspěvek na péči je tedy významným až nepostradatelným příjmem v rozpočtu domácnosti. Zhruba pro polovinu rodinných pečovatelů-respondentů je zcela nenahraditelný a necelá třetina by bez příspěvku na péči musela výrazně omezit výdaje své domácnosti. Jen 10</w:t>
      </w:r>
      <w:r w:rsidR="00A16C78">
        <w:rPr>
          <w:rFonts w:ascii="Times New Roman" w:hAnsi="Times New Roman"/>
          <w:sz w:val="24"/>
          <w:szCs w:val="24"/>
        </w:rPr>
        <w:t> </w:t>
      </w:r>
      <w:r w:rsidRPr="002533D6">
        <w:rPr>
          <w:rFonts w:ascii="Times New Roman" w:hAnsi="Times New Roman"/>
          <w:sz w:val="24"/>
          <w:szCs w:val="24"/>
        </w:rPr>
        <w:t>% pečovatelů</w:t>
      </w:r>
      <w:r w:rsidR="00A16C78">
        <w:rPr>
          <w:rFonts w:ascii="Times New Roman" w:hAnsi="Times New Roman"/>
          <w:sz w:val="24"/>
          <w:szCs w:val="24"/>
        </w:rPr>
        <w:t> </w:t>
      </w:r>
      <w:r w:rsidR="00A16C78">
        <w:rPr>
          <w:rFonts w:ascii="Times New Roman" w:hAnsi="Times New Roman"/>
          <w:sz w:val="24"/>
          <w:szCs w:val="24"/>
        </w:rPr>
        <w:noBreakHyphen/>
        <w:t> </w:t>
      </w:r>
      <w:r w:rsidRPr="002533D6">
        <w:rPr>
          <w:rFonts w:ascii="Times New Roman" w:hAnsi="Times New Roman"/>
          <w:sz w:val="24"/>
          <w:szCs w:val="24"/>
        </w:rPr>
        <w:t>respondentů uvedlo, že by se bez něj dokázalo zcela obejít. Vlastní nebo partnerův příjem má k dispozici 89 % pečovatelů. Pro valnou část z nich se jedná o nejvýznamnější příjem. Domácnosti bez osobního příjmu pečovatele či jiného člena domácnosti (11 %) z velké části pobírají právě příspěvek na péči a považují jej za svůj hlavní příjem. Necelá třetina pečovatelů je nucena použít také své úspory. Význam příspěvku v rodinném rozpočtu závisí také na jeho výši, jelikož stupeň závislosti opečovávané osoby na pomoci jiné osoby, jemuž odpovídá časová náročnost péče, je velmi silně svázán s možností vykonávat vedle péče také výdělečnou činnost. Polovina pečovatelů, kteří v rodinném rozpočtu přihlížejí k příspěvku I.</w:t>
      </w:r>
      <w:r w:rsidR="00A16C78">
        <w:rPr>
          <w:rFonts w:ascii="Times New Roman" w:hAnsi="Times New Roman"/>
          <w:sz w:val="24"/>
          <w:szCs w:val="24"/>
        </w:rPr>
        <w:t> </w:t>
      </w:r>
      <w:r w:rsidRPr="002533D6">
        <w:rPr>
          <w:rFonts w:ascii="Times New Roman" w:hAnsi="Times New Roman"/>
          <w:sz w:val="24"/>
          <w:szCs w:val="24"/>
        </w:rPr>
        <w:t>a</w:t>
      </w:r>
      <w:r w:rsidR="00A16C78">
        <w:rPr>
          <w:rFonts w:ascii="Times New Roman" w:hAnsi="Times New Roman"/>
          <w:sz w:val="24"/>
          <w:szCs w:val="24"/>
        </w:rPr>
        <w:t> </w:t>
      </w:r>
      <w:r w:rsidRPr="002533D6">
        <w:rPr>
          <w:rFonts w:ascii="Times New Roman" w:hAnsi="Times New Roman"/>
          <w:sz w:val="24"/>
          <w:szCs w:val="24"/>
        </w:rPr>
        <w:t xml:space="preserve">II. stupně, považuje za nejvýznamnější příjem svůj osobní </w:t>
      </w:r>
      <w:r w:rsidRPr="002533D6">
        <w:rPr>
          <w:rFonts w:ascii="Times New Roman" w:hAnsi="Times New Roman"/>
          <w:sz w:val="24"/>
          <w:szCs w:val="24"/>
        </w:rPr>
        <w:lastRenderedPageBreak/>
        <w:t>příjem a další dvě pětiny příjem partnera. Naopak u pečovatelů, kteří do příjmu domácnosti zahrnují příspěvek III. a IV. stupně, klesá podíl těchto osob na 23 %, ale narůstá podíl pečovatelů závislých na partnerově příjmu (48 %) a na příspěvku samotném (22 %). Tito pečovatelé sice mají k dispozici vyšší nominální hodnotu příspěvku, na druhou stranu jsou však pečováním značně omezeni ve výkonu ekonomické aktivity.</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Význam příspěvku na péči v rozpočtu domácnosti také ovlivňuje délka poskytování péče a její rozsah. Čím déle trvá péče a zvyšuje se její náročnost, tím více se pečovatel stává izolovanějším a závislejším na příspěvku. Dle p</w:t>
      </w:r>
      <w:r w:rsidRPr="002533D6">
        <w:rPr>
          <w:rFonts w:ascii="Times New Roman" w:hAnsi="Times New Roman"/>
          <w:bCs/>
          <w:sz w:val="24"/>
          <w:szCs w:val="24"/>
        </w:rPr>
        <w:t xml:space="preserve">ředběžných zjištění projektu </w:t>
      </w:r>
      <w:r w:rsidRPr="002533D6">
        <w:rPr>
          <w:rFonts w:ascii="Times New Roman" w:hAnsi="Times New Roman"/>
          <w:sz w:val="24"/>
          <w:szCs w:val="24"/>
        </w:rPr>
        <w:t>Podpora neformálních pečovatelů</w:t>
      </w:r>
      <w:r w:rsidRPr="002533D6" w:rsidDel="00285B2B">
        <w:rPr>
          <w:rFonts w:ascii="Times New Roman" w:hAnsi="Times New Roman"/>
          <w:bCs/>
          <w:sz w:val="24"/>
          <w:szCs w:val="24"/>
        </w:rPr>
        <w:t xml:space="preserve"> </w:t>
      </w:r>
      <w:r w:rsidRPr="002533D6">
        <w:rPr>
          <w:rFonts w:ascii="Times New Roman" w:hAnsi="Times New Roman"/>
          <w:bCs/>
          <w:sz w:val="24"/>
          <w:szCs w:val="24"/>
        </w:rPr>
        <w:t xml:space="preserve">mezi respondenty, kteří pobírají příspěvek ve stupni IV, převažují osoby, o které je pečováno déle </w:t>
      </w:r>
      <w:r w:rsidRPr="002533D6">
        <w:rPr>
          <w:rFonts w:ascii="Times New Roman" w:hAnsi="Times New Roman"/>
          <w:sz w:val="24"/>
          <w:szCs w:val="24"/>
        </w:rPr>
        <w:t xml:space="preserve">než 10 let a více než 71 hodin týdně. Předběžná zjištění zmíněného projektu také upozorňují na specifickou situaci pečovatelů, osob nad 60 let. Většina z nich sama pobírá důchod, který se dá s péčí lépe skloubit než ekonomická aktivita. Byť i tato skupina uvádí, že (třetina z nich) je nucena využívat své úspory, u této skupiny pečovatelů jde především o náročnost péče jako takové a o křehkou hranici, kdy samy mohou přejít do pozice osob závislých na péči. </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Jeden z významných výstupů zprávy z fokusních skupin získaných v rámci projektu Podpora neformálních pečovatelů směřuje k výši příspěvku na péči. Konstatuje, že zatímco služby zdražují, výše dávky se nemění, čímž se snižuje kupní síla příjemců příspěvku na péči. Určitou roli mezi příčinami nízkého nákupu služeb hraje též místní (ne)dostupnost služeb. </w:t>
      </w:r>
    </w:p>
    <w:p w:rsidR="00090F12" w:rsidRPr="002533D6" w:rsidRDefault="00090F12" w:rsidP="00090F12">
      <w:pPr>
        <w:keepNext/>
        <w:jc w:val="both"/>
        <w:rPr>
          <w:rFonts w:ascii="Times New Roman" w:hAnsi="Times New Roman"/>
          <w:sz w:val="24"/>
          <w:szCs w:val="24"/>
        </w:rPr>
      </w:pPr>
      <w:r w:rsidRPr="002533D6">
        <w:rPr>
          <w:rFonts w:ascii="Times New Roman" w:hAnsi="Times New Roman"/>
          <w:sz w:val="24"/>
          <w:szCs w:val="24"/>
        </w:rPr>
        <w:t xml:space="preserve">Důvody pro zvýšení výše příspěvku na péči jsou legitimní, podporují ho i obecné teorie, že dávky mají zachovávat svou reálnou hodnotu. Za 8 let existence příspěvku na péči docházelo průběžně k poklesu jeho reálné hodnoty. </w:t>
      </w:r>
    </w:p>
    <w:p w:rsidR="00090F12" w:rsidRPr="002533D6" w:rsidRDefault="00090F12" w:rsidP="00090F12">
      <w:pPr>
        <w:autoSpaceDE w:val="0"/>
        <w:autoSpaceDN w:val="0"/>
        <w:adjustRightInd w:val="0"/>
        <w:rPr>
          <w:rFonts w:ascii="Times New Roman" w:hAnsi="Times New Roman"/>
          <w:b/>
          <w:sz w:val="24"/>
          <w:szCs w:val="24"/>
        </w:rPr>
      </w:pPr>
      <w:r w:rsidRPr="002533D6">
        <w:rPr>
          <w:rFonts w:ascii="Times New Roman" w:hAnsi="Times New Roman"/>
          <w:b/>
          <w:bCs/>
          <w:sz w:val="24"/>
          <w:szCs w:val="24"/>
        </w:rPr>
        <w:t>1.4 Identifikace dot</w:t>
      </w:r>
      <w:r w:rsidRPr="002533D6">
        <w:rPr>
          <w:rFonts w:ascii="Times New Roman" w:hAnsi="Times New Roman"/>
          <w:b/>
          <w:sz w:val="24"/>
          <w:szCs w:val="24"/>
        </w:rPr>
        <w:t>č</w:t>
      </w:r>
      <w:r w:rsidRPr="002533D6">
        <w:rPr>
          <w:rFonts w:ascii="Times New Roman" w:hAnsi="Times New Roman"/>
          <w:b/>
          <w:bCs/>
          <w:sz w:val="24"/>
          <w:szCs w:val="24"/>
        </w:rPr>
        <w:t>ených subjekt</w:t>
      </w:r>
      <w:r w:rsidRPr="002533D6">
        <w:rPr>
          <w:rFonts w:ascii="Times New Roman" w:hAnsi="Times New Roman"/>
          <w:b/>
          <w:sz w:val="24"/>
          <w:szCs w:val="24"/>
        </w:rPr>
        <w:t>ů</w:t>
      </w:r>
    </w:p>
    <w:p w:rsidR="00090F12" w:rsidRPr="002533D6" w:rsidRDefault="00090F12" w:rsidP="00170FA7">
      <w:pPr>
        <w:numPr>
          <w:ilvl w:val="0"/>
          <w:numId w:val="8"/>
        </w:numPr>
        <w:tabs>
          <w:tab w:val="left" w:pos="284"/>
        </w:tabs>
        <w:autoSpaceDE w:val="0"/>
        <w:autoSpaceDN w:val="0"/>
        <w:adjustRightInd w:val="0"/>
        <w:spacing w:after="0"/>
        <w:ind w:left="0" w:firstLine="0"/>
        <w:jc w:val="both"/>
        <w:rPr>
          <w:rFonts w:ascii="Times New Roman" w:hAnsi="Times New Roman"/>
          <w:sz w:val="24"/>
          <w:szCs w:val="24"/>
        </w:rPr>
      </w:pPr>
      <w:r w:rsidRPr="002533D6">
        <w:rPr>
          <w:rFonts w:ascii="Times New Roman" w:hAnsi="Times New Roman"/>
          <w:sz w:val="24"/>
          <w:szCs w:val="24"/>
        </w:rPr>
        <w:t xml:space="preserve">příjemci příspěvku – osoby s dlouhodobě nepříznivým zdravotním stavem </w:t>
      </w:r>
    </w:p>
    <w:p w:rsidR="00090F12" w:rsidRPr="002533D6" w:rsidRDefault="00090F12" w:rsidP="00170FA7">
      <w:pPr>
        <w:numPr>
          <w:ilvl w:val="0"/>
          <w:numId w:val="8"/>
        </w:numPr>
        <w:tabs>
          <w:tab w:val="left" w:pos="284"/>
        </w:tabs>
        <w:autoSpaceDE w:val="0"/>
        <w:autoSpaceDN w:val="0"/>
        <w:adjustRightInd w:val="0"/>
        <w:spacing w:after="0"/>
        <w:ind w:left="0" w:firstLine="0"/>
        <w:jc w:val="both"/>
        <w:rPr>
          <w:rFonts w:ascii="Times New Roman" w:hAnsi="Times New Roman"/>
          <w:sz w:val="24"/>
          <w:szCs w:val="24"/>
        </w:rPr>
      </w:pPr>
      <w:r w:rsidRPr="002533D6">
        <w:rPr>
          <w:rFonts w:ascii="Times New Roman" w:hAnsi="Times New Roman"/>
          <w:sz w:val="24"/>
          <w:szCs w:val="24"/>
        </w:rPr>
        <w:t>registrovaní poskytovatelé sociálních služeb</w:t>
      </w:r>
    </w:p>
    <w:p w:rsidR="00090F12" w:rsidRPr="002533D6" w:rsidRDefault="00090F12" w:rsidP="00170FA7">
      <w:pPr>
        <w:numPr>
          <w:ilvl w:val="0"/>
          <w:numId w:val="8"/>
        </w:numPr>
        <w:tabs>
          <w:tab w:val="left" w:pos="284"/>
        </w:tabs>
        <w:autoSpaceDE w:val="0"/>
        <w:autoSpaceDN w:val="0"/>
        <w:adjustRightInd w:val="0"/>
        <w:spacing w:after="0"/>
        <w:ind w:left="0" w:firstLine="0"/>
        <w:jc w:val="both"/>
        <w:rPr>
          <w:rFonts w:ascii="Times New Roman" w:hAnsi="Times New Roman"/>
          <w:sz w:val="24"/>
          <w:szCs w:val="24"/>
        </w:rPr>
      </w:pPr>
      <w:r w:rsidRPr="002533D6">
        <w:rPr>
          <w:rFonts w:ascii="Times New Roman" w:hAnsi="Times New Roman"/>
          <w:sz w:val="24"/>
          <w:szCs w:val="24"/>
        </w:rPr>
        <w:t>pečující osoby</w:t>
      </w:r>
    </w:p>
    <w:p w:rsidR="00090F12" w:rsidRPr="002533D6" w:rsidRDefault="00090F12" w:rsidP="00170FA7">
      <w:pPr>
        <w:numPr>
          <w:ilvl w:val="0"/>
          <w:numId w:val="8"/>
        </w:numPr>
        <w:tabs>
          <w:tab w:val="left" w:pos="284"/>
        </w:tabs>
        <w:autoSpaceDE w:val="0"/>
        <w:autoSpaceDN w:val="0"/>
        <w:adjustRightInd w:val="0"/>
        <w:spacing w:after="0"/>
        <w:ind w:left="0" w:firstLine="0"/>
        <w:jc w:val="both"/>
        <w:rPr>
          <w:rFonts w:ascii="Times New Roman" w:hAnsi="Times New Roman"/>
          <w:sz w:val="24"/>
          <w:szCs w:val="24"/>
        </w:rPr>
      </w:pPr>
      <w:r w:rsidRPr="002533D6">
        <w:rPr>
          <w:rFonts w:ascii="Times New Roman" w:hAnsi="Times New Roman"/>
          <w:sz w:val="24"/>
          <w:szCs w:val="24"/>
        </w:rPr>
        <w:t>Úřad práce České republiky</w:t>
      </w:r>
    </w:p>
    <w:p w:rsidR="00090F12" w:rsidRPr="002533D6" w:rsidRDefault="00090F12" w:rsidP="00170FA7">
      <w:pPr>
        <w:numPr>
          <w:ilvl w:val="0"/>
          <w:numId w:val="8"/>
        </w:numPr>
        <w:tabs>
          <w:tab w:val="left" w:pos="284"/>
        </w:tabs>
        <w:autoSpaceDE w:val="0"/>
        <w:autoSpaceDN w:val="0"/>
        <w:adjustRightInd w:val="0"/>
        <w:spacing w:after="0"/>
        <w:ind w:left="0" w:firstLine="0"/>
        <w:jc w:val="both"/>
        <w:rPr>
          <w:rFonts w:ascii="Times New Roman" w:hAnsi="Times New Roman"/>
          <w:sz w:val="24"/>
          <w:szCs w:val="24"/>
        </w:rPr>
      </w:pPr>
      <w:r w:rsidRPr="002533D6">
        <w:rPr>
          <w:rFonts w:ascii="Times New Roman" w:hAnsi="Times New Roman"/>
          <w:sz w:val="24"/>
          <w:szCs w:val="24"/>
        </w:rPr>
        <w:t xml:space="preserve">Ministerstvo práce a sociálních věcí České republiky </w:t>
      </w:r>
    </w:p>
    <w:p w:rsidR="00090F12" w:rsidRPr="002533D6" w:rsidRDefault="00090F12" w:rsidP="00090F12">
      <w:pPr>
        <w:pStyle w:val="Default"/>
        <w:jc w:val="both"/>
        <w:rPr>
          <w:rFonts w:ascii="Times New Roman" w:hAnsi="Times New Roman" w:cs="Times New Roman"/>
        </w:rPr>
      </w:pPr>
    </w:p>
    <w:p w:rsidR="00090F12" w:rsidRPr="002533D6" w:rsidRDefault="00090F12" w:rsidP="00170FA7">
      <w:pPr>
        <w:numPr>
          <w:ilvl w:val="1"/>
          <w:numId w:val="7"/>
        </w:numPr>
        <w:tabs>
          <w:tab w:val="left" w:pos="284"/>
        </w:tabs>
        <w:spacing w:after="0"/>
        <w:jc w:val="both"/>
        <w:rPr>
          <w:rFonts w:ascii="Times New Roman" w:hAnsi="Times New Roman"/>
          <w:b/>
          <w:bCs/>
          <w:sz w:val="24"/>
          <w:szCs w:val="24"/>
        </w:rPr>
      </w:pPr>
      <w:r w:rsidRPr="002533D6">
        <w:rPr>
          <w:rFonts w:ascii="Times New Roman" w:hAnsi="Times New Roman"/>
          <w:b/>
          <w:bCs/>
          <w:sz w:val="24"/>
          <w:szCs w:val="24"/>
        </w:rPr>
        <w:t xml:space="preserve"> Popis cílového stavu</w:t>
      </w:r>
    </w:p>
    <w:p w:rsidR="00090F12" w:rsidRPr="002533D6" w:rsidRDefault="00090F12" w:rsidP="00090F12">
      <w:pPr>
        <w:pStyle w:val="Default"/>
        <w:jc w:val="both"/>
        <w:rPr>
          <w:rFonts w:ascii="Times New Roman" w:hAnsi="Times New Roman" w:cs="Times New Roman"/>
        </w:rPr>
      </w:pP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Cílem předkládaného návrhu je snaha zachovat reálnou hodnotu příspěvku na péči, resp. v jeho výši alespoň do jisté míry reagovat na růst veličin popsaný v části 1.3. Záměrem je přiblížení příspěvku na péči hladině, na kterou se od roku 2007 dostaly jiné ekonomické veličiny mající k němu určitou vazbu a které v průběhu času vzrostly v rozmezí od 20 do 50</w:t>
      </w:r>
      <w:r w:rsidR="00A16C78">
        <w:rPr>
          <w:rFonts w:ascii="Times New Roman" w:hAnsi="Times New Roman"/>
          <w:sz w:val="24"/>
          <w:szCs w:val="24"/>
        </w:rPr>
        <w:t> </w:t>
      </w:r>
      <w:r w:rsidRPr="002533D6">
        <w:rPr>
          <w:rFonts w:ascii="Times New Roman" w:hAnsi="Times New Roman"/>
          <w:sz w:val="24"/>
          <w:szCs w:val="24"/>
        </w:rPr>
        <w:t xml:space="preserve">%. Vzhledem k tomu, že příspěvek na péči představuje finanční „příspěvek“ určený k zajištění potřebné pomoci, podpory a péče osobám závislým, není navrhována plná kompenzace ztráty jeho reálné hodnoty. Je tomu tak i s ohledem na skutečnost, že příjmy těchto osob sloužící k zabezpečení životních potřeb obecně se zvyšovaly, důchody jsou pravidelně valorizovány.  </w:t>
      </w:r>
    </w:p>
    <w:p w:rsidR="00090F12" w:rsidRPr="002533D6" w:rsidRDefault="00090F12" w:rsidP="00090F12">
      <w:pPr>
        <w:tabs>
          <w:tab w:val="left" w:pos="284"/>
        </w:tabs>
        <w:jc w:val="both"/>
        <w:rPr>
          <w:rFonts w:ascii="Times New Roman" w:hAnsi="Times New Roman"/>
          <w:b/>
          <w:bCs/>
          <w:sz w:val="24"/>
          <w:szCs w:val="24"/>
        </w:rPr>
      </w:pPr>
      <w:r w:rsidRPr="002533D6">
        <w:rPr>
          <w:rFonts w:ascii="Times New Roman" w:hAnsi="Times New Roman"/>
          <w:b/>
          <w:bCs/>
          <w:sz w:val="24"/>
          <w:szCs w:val="24"/>
        </w:rPr>
        <w:t>1.6 Zhodnocení rizika</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Pokud nebude realizována změna zákona o sociálních službách, trend ztráty reálné hodnoty příspěvku na péči bude dále postupovat. </w:t>
      </w:r>
    </w:p>
    <w:p w:rsidR="00090F12" w:rsidRPr="002533D6" w:rsidRDefault="00090F12" w:rsidP="00090F12">
      <w:pPr>
        <w:tabs>
          <w:tab w:val="left" w:pos="284"/>
        </w:tabs>
        <w:jc w:val="both"/>
        <w:rPr>
          <w:rFonts w:ascii="Times New Roman" w:hAnsi="Times New Roman"/>
          <w:b/>
          <w:iCs/>
          <w:sz w:val="24"/>
          <w:szCs w:val="24"/>
        </w:rPr>
      </w:pPr>
      <w:r w:rsidRPr="002533D6">
        <w:rPr>
          <w:rFonts w:ascii="Times New Roman" w:hAnsi="Times New Roman"/>
          <w:b/>
          <w:iCs/>
          <w:sz w:val="24"/>
          <w:szCs w:val="24"/>
        </w:rPr>
        <w:lastRenderedPageBreak/>
        <w:t xml:space="preserve">2. Návrh variant řešení: </w:t>
      </w:r>
    </w:p>
    <w:p w:rsidR="00090F12" w:rsidRPr="002533D6" w:rsidRDefault="00090F12" w:rsidP="00090F12">
      <w:pPr>
        <w:tabs>
          <w:tab w:val="left" w:pos="284"/>
        </w:tabs>
        <w:jc w:val="both"/>
        <w:rPr>
          <w:rFonts w:ascii="Times New Roman" w:hAnsi="Times New Roman"/>
          <w:b/>
          <w:i/>
          <w:sz w:val="24"/>
          <w:szCs w:val="24"/>
        </w:rPr>
      </w:pPr>
      <w:r w:rsidRPr="002533D6">
        <w:rPr>
          <w:rFonts w:ascii="Times New Roman" w:hAnsi="Times New Roman"/>
          <w:b/>
          <w:i/>
          <w:sz w:val="24"/>
          <w:szCs w:val="24"/>
        </w:rPr>
        <w:t>VARIANTA I – „nulová“</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Zachování stávající právní úpravy. Výše příspěvku na péči se nezmění. </w:t>
      </w:r>
    </w:p>
    <w:p w:rsidR="00090F12" w:rsidRPr="002533D6" w:rsidRDefault="00090F12" w:rsidP="00090F12">
      <w:pPr>
        <w:tabs>
          <w:tab w:val="left" w:pos="284"/>
        </w:tabs>
        <w:jc w:val="both"/>
        <w:rPr>
          <w:rFonts w:ascii="Times New Roman" w:hAnsi="Times New Roman"/>
          <w:b/>
          <w:i/>
          <w:sz w:val="24"/>
          <w:szCs w:val="24"/>
        </w:rPr>
      </w:pPr>
      <w:r w:rsidRPr="002533D6">
        <w:rPr>
          <w:rFonts w:ascii="Times New Roman" w:hAnsi="Times New Roman"/>
          <w:b/>
          <w:i/>
          <w:sz w:val="24"/>
          <w:szCs w:val="24"/>
        </w:rPr>
        <w:t xml:space="preserve">VARIANTA II  </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Novelizace zákona o sociálních službách. Návrh reaguje na růst řady ekonomických veličin a</w:t>
      </w:r>
      <w:r w:rsidR="00A16C78">
        <w:rPr>
          <w:rFonts w:ascii="Times New Roman" w:hAnsi="Times New Roman"/>
          <w:bCs/>
          <w:sz w:val="24"/>
          <w:szCs w:val="24"/>
        </w:rPr>
        <w:t> </w:t>
      </w:r>
      <w:r w:rsidRPr="002533D6">
        <w:rPr>
          <w:rFonts w:ascii="Times New Roman" w:hAnsi="Times New Roman"/>
          <w:bCs/>
          <w:sz w:val="24"/>
          <w:szCs w:val="24"/>
        </w:rPr>
        <w:t xml:space="preserve">na pokles reálné hodnoty příspěvku na péči a navrhuje jeho zvýšení ve všech stupních závislosti o 10 %, s tím, že dojde k jednorázovému zvýšení s účinností od 1. července 2016. </w:t>
      </w:r>
    </w:p>
    <w:p w:rsidR="00090F12" w:rsidRPr="002533D6" w:rsidRDefault="00090F12" w:rsidP="00090F12">
      <w:pPr>
        <w:tabs>
          <w:tab w:val="left" w:pos="284"/>
        </w:tabs>
        <w:jc w:val="both"/>
        <w:rPr>
          <w:rFonts w:ascii="Times New Roman" w:hAnsi="Times New Roman"/>
          <w:b/>
          <w:i/>
          <w:sz w:val="24"/>
          <w:szCs w:val="24"/>
        </w:rPr>
      </w:pPr>
      <w:r w:rsidRPr="002533D6">
        <w:rPr>
          <w:rFonts w:ascii="Times New Roman" w:hAnsi="Times New Roman"/>
          <w:b/>
          <w:i/>
          <w:sz w:val="24"/>
          <w:szCs w:val="24"/>
        </w:rPr>
        <w:t xml:space="preserve">VARIANTA III  </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Novelizace zákona o sociálních službách. Návrh reaguje na růst řady ekonomických veličin a</w:t>
      </w:r>
      <w:r w:rsidR="00A16C78">
        <w:rPr>
          <w:rFonts w:ascii="Times New Roman" w:hAnsi="Times New Roman"/>
          <w:bCs/>
          <w:sz w:val="24"/>
          <w:szCs w:val="24"/>
        </w:rPr>
        <w:t> </w:t>
      </w:r>
      <w:r w:rsidRPr="002533D6">
        <w:rPr>
          <w:rFonts w:ascii="Times New Roman" w:hAnsi="Times New Roman"/>
          <w:bCs/>
          <w:sz w:val="24"/>
          <w:szCs w:val="24"/>
        </w:rPr>
        <w:t xml:space="preserve">na pokles reálné hodnoty příspěvku na péči a navrhuje jeho zvýšení ve všech stupních závislosti o 10 %, s tím, že zvýšení bude rozloženo v čase. S účinností od 1. července 2016 budou částky příspěvku na péči zvýšeny o 5 %, zvýšení o „zbylých“ 5 % bude provedeno s účinností od 1. ledna 2017. </w:t>
      </w:r>
    </w:p>
    <w:p w:rsidR="00090F12" w:rsidRPr="002533D6" w:rsidRDefault="00090F12" w:rsidP="00090F12">
      <w:pPr>
        <w:keepNext/>
        <w:tabs>
          <w:tab w:val="left" w:pos="284"/>
        </w:tabs>
        <w:jc w:val="both"/>
        <w:rPr>
          <w:rFonts w:ascii="Times New Roman" w:hAnsi="Times New Roman"/>
          <w:b/>
          <w:iCs/>
          <w:sz w:val="24"/>
          <w:szCs w:val="24"/>
        </w:rPr>
      </w:pPr>
      <w:r w:rsidRPr="002533D6">
        <w:rPr>
          <w:rFonts w:ascii="Times New Roman" w:hAnsi="Times New Roman"/>
          <w:b/>
          <w:iCs/>
          <w:sz w:val="24"/>
          <w:szCs w:val="24"/>
        </w:rPr>
        <w:t xml:space="preserve">3. </w:t>
      </w:r>
      <w:r w:rsidRPr="002533D6">
        <w:rPr>
          <w:rFonts w:ascii="Times New Roman" w:hAnsi="Times New Roman"/>
          <w:b/>
          <w:iCs/>
          <w:sz w:val="24"/>
          <w:szCs w:val="24"/>
        </w:rPr>
        <w:tab/>
        <w:t>Vyhodnocení nákladů a přínosů</w:t>
      </w:r>
    </w:p>
    <w:p w:rsidR="00090F12" w:rsidRPr="002533D6" w:rsidRDefault="00090F12" w:rsidP="00090F12">
      <w:pPr>
        <w:keepNext/>
        <w:tabs>
          <w:tab w:val="left" w:pos="284"/>
        </w:tabs>
        <w:jc w:val="both"/>
        <w:rPr>
          <w:rFonts w:ascii="Times New Roman" w:hAnsi="Times New Roman"/>
          <w:b/>
          <w:i/>
          <w:sz w:val="24"/>
          <w:szCs w:val="24"/>
        </w:rPr>
      </w:pPr>
      <w:r w:rsidRPr="002533D6">
        <w:rPr>
          <w:rFonts w:ascii="Times New Roman" w:hAnsi="Times New Roman"/>
          <w:b/>
          <w:i/>
          <w:sz w:val="24"/>
          <w:szCs w:val="24"/>
        </w:rPr>
        <w:t>VARIANTA I – „nulová“</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Zachování současné výše příspěvku na péči znamená, že nebude žádným způsobem reagováno na růst řady ekonomických veličin, ke kterému došlo od roku 2007, od kdy je dávka poskytována. Pokles reálné hodnoty příspěvku na péči bude pokračovat.</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 xml:space="preserve">Mandatorní výdaje státního rozpočtu se budou vyvíjet v souladu se střednědobým výhledem, nebudou na ně kladeny zvýšené požadavky.  </w:t>
      </w:r>
    </w:p>
    <w:p w:rsidR="00090F12" w:rsidRPr="002533D6" w:rsidRDefault="00090F12" w:rsidP="00090F12">
      <w:pPr>
        <w:tabs>
          <w:tab w:val="left" w:pos="284"/>
        </w:tabs>
        <w:jc w:val="both"/>
        <w:rPr>
          <w:rFonts w:ascii="Times New Roman" w:hAnsi="Times New Roman"/>
          <w:b/>
          <w:i/>
          <w:sz w:val="24"/>
          <w:szCs w:val="24"/>
        </w:rPr>
      </w:pPr>
      <w:r w:rsidRPr="002533D6">
        <w:rPr>
          <w:rFonts w:ascii="Times New Roman" w:hAnsi="Times New Roman"/>
          <w:b/>
          <w:i/>
          <w:sz w:val="24"/>
          <w:szCs w:val="24"/>
        </w:rPr>
        <w:t xml:space="preserve">VARIANTA II </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Přínosy:</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 xml:space="preserve">Zvýšení příspěvku na péči o 10 % reaguje na růst řady ekonomických veličin a na pokles reálné hodnoty příspěvku na péči. Znamená </w:t>
      </w:r>
      <w:r w:rsidRPr="002533D6">
        <w:rPr>
          <w:rFonts w:ascii="Times New Roman" w:hAnsi="Times New Roman"/>
          <w:sz w:val="24"/>
          <w:szCs w:val="24"/>
        </w:rPr>
        <w:t xml:space="preserve">především jasné pozitivní poselství, že se vychází vstříc příjemcům příspěvku na péči a jsou uspokojovány jejich požadavky na zvýšení dávky. </w:t>
      </w:r>
      <w:r w:rsidRPr="002533D6">
        <w:rPr>
          <w:rFonts w:ascii="Times New Roman" w:hAnsi="Times New Roman"/>
          <w:bCs/>
          <w:sz w:val="24"/>
          <w:szCs w:val="24"/>
        </w:rPr>
        <w:t>Stejné zvýšení ve všech stupních závislosti zachovává relaci mezi jednotlivými výšemi dávky stanovené dle náročnosti péče. Zvýšení přinese pozitivní dopady na rozpočty rodin s osobou s postižením v podobě posílení jejich příjmů.  U osob využívajících registrované sociální služby se část vynaložených prostředků vrátí do systému sociálních služeb. Tato skupina tvoří čtvrtinu příjemců příspěvku na péči – služby registrovaných poskytovatelů využívá 25 % příjemců příspěvku na péči.</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Výhodou jednorázového zvýšení je jednoduchost – legislativní a administrativní.</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 xml:space="preserve">Náklady: </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 xml:space="preserve">Jednorázové </w:t>
      </w:r>
      <w:r w:rsidRPr="002533D6">
        <w:rPr>
          <w:rFonts w:ascii="Times New Roman" w:hAnsi="Times New Roman"/>
          <w:bCs/>
          <w:sz w:val="24"/>
          <w:szCs w:val="24"/>
        </w:rPr>
        <w:t xml:space="preserve">zvýšení příspěvku na péči od 1. července 2016 (dřívější účinnost není s ohledem na délku legislativního procesu možná) bude mít negativní fiskální dopady koncentrované do rozpočtu roku 2016. Dopad na </w:t>
      </w:r>
      <w:r w:rsidRPr="002533D6">
        <w:rPr>
          <w:rFonts w:ascii="Times New Roman" w:hAnsi="Times New Roman"/>
          <w:sz w:val="24"/>
          <w:szCs w:val="24"/>
        </w:rPr>
        <w:t>rozpočet 2016, který vychází z výdajů za rok 2015 v částce 21</w:t>
      </w:r>
      <w:r w:rsidR="00A16C78">
        <w:rPr>
          <w:rFonts w:ascii="Times New Roman" w:hAnsi="Times New Roman"/>
          <w:sz w:val="24"/>
          <w:szCs w:val="24"/>
        </w:rPr>
        <w:t> </w:t>
      </w:r>
      <w:r w:rsidRPr="002533D6">
        <w:rPr>
          <w:rFonts w:ascii="Times New Roman" w:hAnsi="Times New Roman"/>
          <w:sz w:val="24"/>
          <w:szCs w:val="24"/>
        </w:rPr>
        <w:t xml:space="preserve">mld. Kč a z předpokladu, že počet příjemců se zásadně nezvýší, je při zvýšení dávky </w:t>
      </w:r>
      <w:r w:rsidRPr="002533D6">
        <w:rPr>
          <w:rFonts w:ascii="Times New Roman" w:hAnsi="Times New Roman"/>
          <w:sz w:val="24"/>
          <w:szCs w:val="24"/>
        </w:rPr>
        <w:lastRenderedPageBreak/>
        <w:t>o</w:t>
      </w:r>
      <w:r w:rsidR="00A16C78">
        <w:rPr>
          <w:rFonts w:ascii="Times New Roman" w:hAnsi="Times New Roman"/>
          <w:sz w:val="24"/>
          <w:szCs w:val="24"/>
        </w:rPr>
        <w:t> </w:t>
      </w:r>
      <w:r w:rsidRPr="002533D6">
        <w:rPr>
          <w:rFonts w:ascii="Times New Roman" w:hAnsi="Times New Roman"/>
          <w:sz w:val="24"/>
          <w:szCs w:val="24"/>
        </w:rPr>
        <w:t>10</w:t>
      </w:r>
      <w:r w:rsidR="00A16C78">
        <w:rPr>
          <w:rFonts w:ascii="Times New Roman" w:hAnsi="Times New Roman"/>
          <w:sz w:val="24"/>
          <w:szCs w:val="24"/>
        </w:rPr>
        <w:t> </w:t>
      </w:r>
      <w:r w:rsidRPr="002533D6">
        <w:rPr>
          <w:rFonts w:ascii="Times New Roman" w:hAnsi="Times New Roman"/>
          <w:sz w:val="24"/>
          <w:szCs w:val="24"/>
        </w:rPr>
        <w:t>% odhadován na 1,05 mld. Kč, o něž se zvýší roční mandatorní výdaje na dávku (bez administrativních nákladů) ve srovnání s výdaji roku 2015.</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Z hlediska aktivit Úřadu práce ČR realizace této varianty obnáší určité zvýšení administrativní náročnosti i administrativních výdajů. Vzhledem k navrhované formě rozhodování o dávce bez správního řízení, kdy částky příspěvku na péči budou upraveny bez žádosti a oznámení o změně nebude příjemcům doručováno, bude implementace navrhované změny vyžadovat hlavně úpravu aplikačního programu, náklady na administraci tedy nebudou příliš vysoké.</w:t>
      </w:r>
    </w:p>
    <w:p w:rsidR="00090F12" w:rsidRPr="002533D6" w:rsidRDefault="00090F12" w:rsidP="00090F12">
      <w:pPr>
        <w:tabs>
          <w:tab w:val="left" w:pos="284"/>
        </w:tabs>
        <w:jc w:val="both"/>
        <w:rPr>
          <w:rFonts w:ascii="Times New Roman" w:hAnsi="Times New Roman"/>
          <w:b/>
          <w:i/>
          <w:sz w:val="24"/>
          <w:szCs w:val="24"/>
        </w:rPr>
      </w:pPr>
      <w:r w:rsidRPr="002533D6">
        <w:rPr>
          <w:rFonts w:ascii="Times New Roman" w:hAnsi="Times New Roman"/>
          <w:b/>
          <w:i/>
          <w:sz w:val="24"/>
          <w:szCs w:val="24"/>
        </w:rPr>
        <w:t>VARIANTA III</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 xml:space="preserve">Zvýšení příspěvku na péči o 10 % bude rozloženo v čase. S účinností od 1. července 2016 budou částky příspěvku na péči zvýšeny o 5 %, zvýšení o „zbylých“ 5 % bude provedeno s účinností od 1. ledna 2017. </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Přínosy:</w:t>
      </w:r>
    </w:p>
    <w:p w:rsidR="00090F12" w:rsidRPr="002533D6" w:rsidRDefault="00090F12" w:rsidP="00090F12">
      <w:pPr>
        <w:tabs>
          <w:tab w:val="left" w:pos="284"/>
        </w:tabs>
        <w:autoSpaceDE w:val="0"/>
        <w:autoSpaceDN w:val="0"/>
        <w:adjustRightInd w:val="0"/>
        <w:jc w:val="both"/>
        <w:rPr>
          <w:rFonts w:ascii="Times New Roman" w:hAnsi="Times New Roman"/>
          <w:bCs/>
          <w:sz w:val="24"/>
          <w:szCs w:val="24"/>
        </w:rPr>
      </w:pPr>
      <w:r w:rsidRPr="002533D6">
        <w:rPr>
          <w:rFonts w:ascii="Times New Roman" w:hAnsi="Times New Roman"/>
          <w:bCs/>
          <w:sz w:val="24"/>
          <w:szCs w:val="24"/>
        </w:rPr>
        <w:t xml:space="preserve">Zvýšení příspěvku na péči o 10 % reaguje na růst řady ekonomických veličin a na pokles reálné hodnoty příspěvku na péči. Znamená </w:t>
      </w:r>
      <w:r w:rsidRPr="002533D6">
        <w:rPr>
          <w:rFonts w:ascii="Times New Roman" w:hAnsi="Times New Roman"/>
          <w:sz w:val="24"/>
          <w:szCs w:val="24"/>
        </w:rPr>
        <w:t xml:space="preserve">především jasné pozitivní poselství, že se vychází vstříc příjemcům příspěvku na péči a jsou uspokojovány jejich požadavky na zvýšení dávky. </w:t>
      </w:r>
      <w:r w:rsidRPr="002533D6">
        <w:rPr>
          <w:rFonts w:ascii="Times New Roman" w:hAnsi="Times New Roman"/>
          <w:bCs/>
          <w:sz w:val="24"/>
          <w:szCs w:val="24"/>
        </w:rPr>
        <w:t>Stejné zvýšení ve všech stupních závislosti zachovává relaci mezi jednotlivými výšemi dávky stanovené dle náročnosti péče. Zvýšení přinese pozitivní dopady na rozpočty rodin s osobou s postižením v podobě posílení jejich příjmů.  U osob využívajících registrované sociální služby se část vynaložených prostředků vrátí do systému sociálních služeb. Tato skupina tvoří čtvrtinu příjemců příspěvku na péči – služby registrovaných poskytovatelů využívá 25 % příjemců příspěvku na péči.</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Výhodou rozložení zvýšení příspěvku na péči do dvou kroků je rozložení fiskálních dopadů v čase. Dopady na státní rozpočet v roce 2016 budou ve srovnání s variantou II nižší – viz dále.</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 xml:space="preserve">Náklady: </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Z</w:t>
      </w:r>
      <w:r w:rsidRPr="002533D6">
        <w:rPr>
          <w:rFonts w:ascii="Times New Roman" w:hAnsi="Times New Roman"/>
          <w:bCs/>
          <w:sz w:val="24"/>
          <w:szCs w:val="24"/>
        </w:rPr>
        <w:t xml:space="preserve">výšení příspěvku na péči bude provedeno ve dvou krocích. Od 1. července 2016 (dřívější účinnost není s ohledem na délku legislativního procesu možná) bude příspěvek na péči zvýšen o 5 %. Dopad na </w:t>
      </w:r>
      <w:r w:rsidRPr="002533D6">
        <w:rPr>
          <w:rFonts w:ascii="Times New Roman" w:hAnsi="Times New Roman"/>
          <w:sz w:val="24"/>
          <w:szCs w:val="24"/>
        </w:rPr>
        <w:t>rozpočet 2016, který vychází z výdajů za rok 2015 v částce 21</w:t>
      </w:r>
      <w:r w:rsidR="00A16C78">
        <w:rPr>
          <w:rFonts w:ascii="Times New Roman" w:hAnsi="Times New Roman"/>
          <w:sz w:val="24"/>
          <w:szCs w:val="24"/>
        </w:rPr>
        <w:t> </w:t>
      </w:r>
      <w:r w:rsidRPr="002533D6">
        <w:rPr>
          <w:rFonts w:ascii="Times New Roman" w:hAnsi="Times New Roman"/>
          <w:sz w:val="24"/>
          <w:szCs w:val="24"/>
        </w:rPr>
        <w:t>mld.</w:t>
      </w:r>
      <w:r w:rsidR="00A16C78">
        <w:rPr>
          <w:rFonts w:ascii="Times New Roman" w:hAnsi="Times New Roman"/>
          <w:sz w:val="24"/>
          <w:szCs w:val="24"/>
        </w:rPr>
        <w:t> </w:t>
      </w:r>
      <w:r w:rsidRPr="002533D6">
        <w:rPr>
          <w:rFonts w:ascii="Times New Roman" w:hAnsi="Times New Roman"/>
          <w:sz w:val="24"/>
          <w:szCs w:val="24"/>
        </w:rPr>
        <w:t>Kč a z předpokladu, že počet příjemců se zásadně nezvýší, je při zvýšení dávky o</w:t>
      </w:r>
      <w:r w:rsidR="00A16C78">
        <w:rPr>
          <w:rFonts w:ascii="Times New Roman" w:hAnsi="Times New Roman"/>
          <w:sz w:val="24"/>
          <w:szCs w:val="24"/>
        </w:rPr>
        <w:t> </w:t>
      </w:r>
      <w:r w:rsidRPr="002533D6">
        <w:rPr>
          <w:rFonts w:ascii="Times New Roman" w:hAnsi="Times New Roman"/>
          <w:sz w:val="24"/>
          <w:szCs w:val="24"/>
        </w:rPr>
        <w:t>5</w:t>
      </w:r>
      <w:r w:rsidR="00A16C78">
        <w:rPr>
          <w:rFonts w:ascii="Times New Roman" w:hAnsi="Times New Roman"/>
          <w:sz w:val="24"/>
          <w:szCs w:val="24"/>
        </w:rPr>
        <w:t> </w:t>
      </w:r>
      <w:r w:rsidRPr="002533D6">
        <w:rPr>
          <w:rFonts w:ascii="Times New Roman" w:hAnsi="Times New Roman"/>
          <w:sz w:val="24"/>
          <w:szCs w:val="24"/>
        </w:rPr>
        <w:t>% odhadován na 0,52 mld. Kč, o něž se zvýší roční mandatorní výdaje na dávku (bez administrativních nákladů) ve srovnání s výdaji roku 2015. Druhé zvýšení o 5 %, k němuž dojde od 1. ledna 2017, se promítne až do rozpočtu roku 2017.</w:t>
      </w:r>
    </w:p>
    <w:p w:rsidR="00090F12" w:rsidRPr="002533D6" w:rsidRDefault="00090F12" w:rsidP="00090F12">
      <w:pPr>
        <w:tabs>
          <w:tab w:val="left" w:pos="284"/>
        </w:tabs>
        <w:autoSpaceDE w:val="0"/>
        <w:autoSpaceDN w:val="0"/>
        <w:adjustRightInd w:val="0"/>
        <w:jc w:val="both"/>
        <w:rPr>
          <w:rFonts w:ascii="Times New Roman" w:hAnsi="Times New Roman"/>
          <w:sz w:val="24"/>
          <w:szCs w:val="24"/>
        </w:rPr>
      </w:pPr>
      <w:r w:rsidRPr="002533D6">
        <w:rPr>
          <w:rFonts w:ascii="Times New Roman" w:hAnsi="Times New Roman"/>
          <w:sz w:val="24"/>
          <w:szCs w:val="24"/>
        </w:rPr>
        <w:t>Z hlediska aktivit Úřadu práce ČR realizace této varianty obnáší určité zvýšení administrativní náročnosti i administrativních výdajů. Vzhledem k navrhované formě rozhodování o dávce bez správního řízení, kdy částky příspěvku na péči budou upraveny bez žádosti a oznámení o změně nebude příjemcům doručováno, bude implementace navrhované změny vyžadovat hlavně úpravu aplikačního programu, náklady na administraci tedy nebudou příliš vysoké. Avšak ve srovnání s variantou II budou dvojnásobné</w:t>
      </w:r>
    </w:p>
    <w:p w:rsidR="00090F12" w:rsidRPr="00A16C78" w:rsidRDefault="00090F12" w:rsidP="00090F12">
      <w:pPr>
        <w:pStyle w:val="Nadpis2"/>
        <w:rPr>
          <w:rFonts w:ascii="Times New Roman" w:hAnsi="Times New Roman" w:cs="Times New Roman"/>
          <w:bCs w:val="0"/>
          <w:color w:val="auto"/>
          <w:sz w:val="24"/>
          <w:szCs w:val="24"/>
        </w:rPr>
      </w:pPr>
      <w:r w:rsidRPr="00A16C78">
        <w:rPr>
          <w:rFonts w:ascii="Times New Roman" w:hAnsi="Times New Roman" w:cs="Times New Roman"/>
          <w:bCs w:val="0"/>
          <w:color w:val="auto"/>
          <w:sz w:val="24"/>
          <w:szCs w:val="24"/>
        </w:rPr>
        <w:t>4. Konzultace</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O navrhovaných změnách výše příspěvku na péči bylo jednáno s Vládním výborem pro zdravotně postižené občany a opakovaně s Ministerstvem financí. Záměry byly prezentovány </w:t>
      </w:r>
      <w:r w:rsidRPr="002533D6">
        <w:rPr>
          <w:rFonts w:ascii="Times New Roman" w:hAnsi="Times New Roman"/>
          <w:sz w:val="24"/>
          <w:szCs w:val="24"/>
        </w:rPr>
        <w:lastRenderedPageBreak/>
        <w:t xml:space="preserve">na seminářích v Poslanecké sněmovně. Návrh změny zákona o sociálních službách byl konzultován příslušnými věcnými útvary Ministerstva práce a sociálních věcí a Úřadu práce České republiky a prošel meziresortním připomínkovým řízením. </w:t>
      </w:r>
    </w:p>
    <w:p w:rsidR="00090F12" w:rsidRPr="002533D6" w:rsidRDefault="00090F12" w:rsidP="00090F12">
      <w:pPr>
        <w:jc w:val="both"/>
        <w:rPr>
          <w:rFonts w:ascii="Times New Roman" w:hAnsi="Times New Roman"/>
          <w:b/>
          <w:iCs/>
          <w:sz w:val="24"/>
          <w:szCs w:val="24"/>
        </w:rPr>
      </w:pPr>
      <w:r w:rsidRPr="002533D6">
        <w:rPr>
          <w:rFonts w:ascii="Times New Roman" w:hAnsi="Times New Roman"/>
          <w:b/>
          <w:iCs/>
          <w:sz w:val="24"/>
          <w:szCs w:val="24"/>
        </w:rPr>
        <w:t>5. Implementace doporučené varianty a vynucování</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 xml:space="preserve">Za provádění navrhované úpravy bude odpovědné Ministerstvo práce a sociálních věcí, respektive Úřad práce České republiky. </w:t>
      </w:r>
    </w:p>
    <w:p w:rsidR="00090F12" w:rsidRPr="008B6F61" w:rsidRDefault="00090F12" w:rsidP="00090F12">
      <w:pPr>
        <w:tabs>
          <w:tab w:val="left" w:pos="284"/>
        </w:tabs>
        <w:jc w:val="both"/>
        <w:rPr>
          <w:rFonts w:ascii="Times New Roman" w:hAnsi="Times New Roman"/>
          <w:b/>
          <w:iCs/>
          <w:sz w:val="24"/>
          <w:szCs w:val="24"/>
        </w:rPr>
      </w:pPr>
      <w:r w:rsidRPr="008B6F61">
        <w:rPr>
          <w:rFonts w:ascii="Times New Roman" w:hAnsi="Times New Roman"/>
          <w:b/>
          <w:iCs/>
          <w:sz w:val="24"/>
          <w:szCs w:val="24"/>
        </w:rPr>
        <w:t>6. Přezkum účinnosti regulace</w:t>
      </w:r>
    </w:p>
    <w:p w:rsidR="00090F12" w:rsidRPr="005F506D" w:rsidRDefault="00090F12" w:rsidP="00090F12">
      <w:pPr>
        <w:pStyle w:val="Nadpis4"/>
        <w:spacing w:before="0"/>
        <w:jc w:val="both"/>
        <w:rPr>
          <w:rFonts w:ascii="Times New Roman" w:hAnsi="Times New Roman" w:cs="Times New Roman"/>
          <w:b w:val="0"/>
          <w:i w:val="0"/>
          <w:color w:val="auto"/>
          <w:sz w:val="24"/>
          <w:szCs w:val="24"/>
        </w:rPr>
      </w:pPr>
      <w:r w:rsidRPr="005F506D">
        <w:rPr>
          <w:rFonts w:ascii="Times New Roman" w:hAnsi="Times New Roman" w:cs="Times New Roman"/>
          <w:b w:val="0"/>
          <w:bCs w:val="0"/>
          <w:i w:val="0"/>
          <w:color w:val="auto"/>
          <w:sz w:val="24"/>
          <w:szCs w:val="24"/>
        </w:rPr>
        <w:t xml:space="preserve">Dopad nové právní úpravy bude průběžně vyhodnocován. Přezkum účinnosti bude realizován formou hodnocení ex post. </w:t>
      </w:r>
      <w:r w:rsidRPr="005F506D">
        <w:rPr>
          <w:rFonts w:ascii="Times New Roman" w:hAnsi="Times New Roman" w:cs="Times New Roman"/>
          <w:b w:val="0"/>
          <w:i w:val="0"/>
          <w:color w:val="auto"/>
          <w:sz w:val="24"/>
          <w:szCs w:val="24"/>
          <w:highlight w:val="yellow"/>
        </w:rPr>
        <w:t xml:space="preserve"> </w:t>
      </w:r>
    </w:p>
    <w:p w:rsidR="008B6F61" w:rsidRDefault="008B6F61" w:rsidP="00090F12">
      <w:pPr>
        <w:tabs>
          <w:tab w:val="left" w:pos="284"/>
        </w:tabs>
        <w:jc w:val="both"/>
        <w:rPr>
          <w:rFonts w:ascii="Times New Roman" w:hAnsi="Times New Roman"/>
          <w:b/>
          <w:iCs/>
          <w:sz w:val="24"/>
          <w:szCs w:val="24"/>
        </w:rPr>
      </w:pPr>
    </w:p>
    <w:p w:rsidR="00090F12" w:rsidRPr="002533D6" w:rsidRDefault="00090F12" w:rsidP="00090F12">
      <w:pPr>
        <w:tabs>
          <w:tab w:val="left" w:pos="284"/>
        </w:tabs>
        <w:jc w:val="both"/>
        <w:rPr>
          <w:rFonts w:ascii="Times New Roman" w:hAnsi="Times New Roman"/>
          <w:b/>
          <w:iCs/>
          <w:sz w:val="24"/>
          <w:szCs w:val="24"/>
        </w:rPr>
      </w:pPr>
      <w:r w:rsidRPr="002533D6">
        <w:rPr>
          <w:rFonts w:ascii="Times New Roman" w:hAnsi="Times New Roman"/>
          <w:b/>
          <w:iCs/>
          <w:sz w:val="24"/>
          <w:szCs w:val="24"/>
        </w:rPr>
        <w:t>7. Dopady navrhované úpravy</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7.1 Na státní rozpočet a ostatní veřejné rozpočty</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Navrhované zvýšení částek příspěvku na péči o 10 % bude mít dopady na státní rozpočet. Celkové roční mandatorní výdaje na dávku (bez nákladů na administraci) se ve srovnání s</w:t>
      </w:r>
      <w:r w:rsidR="00A16C78">
        <w:rPr>
          <w:rFonts w:ascii="Times New Roman" w:hAnsi="Times New Roman"/>
          <w:sz w:val="24"/>
          <w:szCs w:val="24"/>
        </w:rPr>
        <w:t> </w:t>
      </w:r>
      <w:r w:rsidRPr="002533D6">
        <w:rPr>
          <w:rFonts w:ascii="Times New Roman" w:hAnsi="Times New Roman"/>
          <w:sz w:val="24"/>
          <w:szCs w:val="24"/>
        </w:rPr>
        <w:t xml:space="preserve">výdaji roku 2015 zvýší minimálně o 2,1 mld. Kč. Dopady na státní rozpočet roku 2016 se liší v závislosti na datu účinnosti navrhovaných variant, rozložení zvýšení příspěvku na péči do dvou kroků znamená mírnější fiskální dopady v roce 2016, avšak zvyšuje (nevelké) administrativní náklady Úřadu práce České republiky. Část vynaložených prostředků se vrátí do systému sociálních služeb prostřednictvím plateb klientů registrovaným poskytovatelům sociálních služeb.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7.2 Na mezinárodní konkurenceschopnost České republiky</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 xml:space="preserve">Navrhovaná úprava nebude mít dopady na mezinárodní konkurenceschopnost České republiky.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7.3 Na podnikatelské prostředí</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 xml:space="preserve">Navrhovaná úprava nebude mít dopad na podnikatelské prostředí.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7.4 Na územní samosprávné celky</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rPr>
        <w:t xml:space="preserve">Navrhovaná úprava nebude mít dopad na územní samosprávné celky.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7.5 Sociální dopady</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rPr>
        <w:t xml:space="preserve">Navrhovaná úprava bude mít pozitivní dopady na osoby se zdravotním postižením a na jejich rodiny, zejména pečující osoby. Ve vztahu k ostatním zranitelným skupinám obyvatel je neutrální.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7.6 Na spotřebitele</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rPr>
        <w:t>Navrhovaná úprava nebude mít za následek žádné dopady na spotřebitele.</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7.7 Na životní prostředí</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rPr>
        <w:t>Navrhovaná úprava nebude mít dopad na životní prostředí.</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lastRenderedPageBreak/>
        <w:t>7.8 Ve vztahu k zákazu diskriminace</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Navrhovaná úprava nebude mít dopad ve vztahu k zákazu diskriminace.</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 9 Na ochranu soukromí a osobních údajů</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Navrhovaná úprava nebude mít dopad ve vztahu k ochraně soukromí nebo osobních údajů.</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7.10 Na korupční rizika</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 xml:space="preserve">Navrhovaná úprava nebude mít negativní dopady ve vztahu ke korupčním rizikům. Vzhledem k tomu, že se navrhuje změna výše dávky a nemění se zásadním způsobem procesní či jiná pravidla, nepředpokládají se korupční rizika v důsledku navrhovaných změn. </w:t>
      </w:r>
    </w:p>
    <w:p w:rsidR="00090F12" w:rsidRPr="002533D6" w:rsidRDefault="00090F12" w:rsidP="00090F12">
      <w:pPr>
        <w:tabs>
          <w:tab w:val="left" w:pos="284"/>
        </w:tabs>
        <w:jc w:val="both"/>
        <w:rPr>
          <w:rFonts w:ascii="Times New Roman" w:hAnsi="Times New Roman"/>
          <w:sz w:val="24"/>
          <w:szCs w:val="24"/>
          <w:u w:val="single"/>
        </w:rPr>
      </w:pPr>
      <w:r w:rsidRPr="002533D6">
        <w:rPr>
          <w:rFonts w:ascii="Times New Roman" w:hAnsi="Times New Roman"/>
          <w:sz w:val="24"/>
          <w:szCs w:val="24"/>
          <w:u w:val="single"/>
        </w:rPr>
        <w:t>7. 11 Na výkon státní statistické služby</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Navrhovaná úprava nebude mít dopad na výkon státní statistické služby.</w:t>
      </w:r>
    </w:p>
    <w:p w:rsidR="00090F12" w:rsidRPr="002533D6" w:rsidRDefault="00090F12" w:rsidP="00090F12">
      <w:pPr>
        <w:rPr>
          <w:rFonts w:ascii="Times New Roman" w:hAnsi="Times New Roman"/>
          <w:b/>
          <w:sz w:val="24"/>
          <w:szCs w:val="24"/>
        </w:rPr>
      </w:pPr>
      <w:r w:rsidRPr="002533D6">
        <w:rPr>
          <w:rFonts w:ascii="Times New Roman" w:hAnsi="Times New Roman"/>
          <w:b/>
          <w:sz w:val="24"/>
          <w:szCs w:val="24"/>
        </w:rPr>
        <w:t>8. Kontakty</w:t>
      </w:r>
    </w:p>
    <w:p w:rsidR="00090F12" w:rsidRPr="002533D6" w:rsidRDefault="00090F12" w:rsidP="00090F12">
      <w:pPr>
        <w:jc w:val="both"/>
        <w:rPr>
          <w:rFonts w:ascii="Times New Roman" w:hAnsi="Times New Roman"/>
          <w:sz w:val="24"/>
          <w:szCs w:val="24"/>
          <w:u w:val="single"/>
        </w:rPr>
      </w:pPr>
      <w:r w:rsidRPr="002533D6">
        <w:rPr>
          <w:rFonts w:ascii="Times New Roman" w:hAnsi="Times New Roman"/>
          <w:sz w:val="24"/>
          <w:szCs w:val="24"/>
          <w:u w:val="single"/>
        </w:rPr>
        <w:t xml:space="preserve">Závěrečnou zprávu RIA zpracovala: </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JUDr. Michaela Kepková</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Odbor nepojistných sociálních a rodinných dávek</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Ministerstvo práce a sociálních věcí ČR</w:t>
      </w: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Tel.: 221922310</w:t>
      </w:r>
    </w:p>
    <w:p w:rsidR="00090F12" w:rsidRPr="002533D6" w:rsidRDefault="00090F12" w:rsidP="00090F12">
      <w:pPr>
        <w:rPr>
          <w:rFonts w:ascii="Times New Roman" w:hAnsi="Times New Roman"/>
          <w:b/>
          <w:sz w:val="24"/>
          <w:szCs w:val="24"/>
        </w:rPr>
      </w:pPr>
      <w:r w:rsidRPr="002533D6">
        <w:rPr>
          <w:rFonts w:ascii="Times New Roman" w:hAnsi="Times New Roman"/>
          <w:sz w:val="24"/>
          <w:szCs w:val="24"/>
        </w:rPr>
        <w:t>Email: michaela.kepkova@mpsv.cz</w:t>
      </w:r>
    </w:p>
    <w:p w:rsidR="008B6F61" w:rsidRDefault="008B6F61" w:rsidP="00090F12">
      <w:pPr>
        <w:tabs>
          <w:tab w:val="left" w:pos="284"/>
        </w:tabs>
        <w:jc w:val="both"/>
        <w:rPr>
          <w:rFonts w:ascii="Times New Roman" w:hAnsi="Times New Roman"/>
          <w:b/>
          <w:sz w:val="24"/>
          <w:szCs w:val="24"/>
        </w:rPr>
      </w:pPr>
    </w:p>
    <w:p w:rsidR="006631B9" w:rsidRDefault="006631B9" w:rsidP="00090F12">
      <w:pPr>
        <w:tabs>
          <w:tab w:val="left" w:pos="284"/>
        </w:tabs>
        <w:jc w:val="both"/>
        <w:rPr>
          <w:rFonts w:ascii="Times New Roman" w:hAnsi="Times New Roman"/>
          <w:b/>
          <w:sz w:val="24"/>
          <w:szCs w:val="24"/>
        </w:rPr>
      </w:pP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b/>
          <w:sz w:val="24"/>
          <w:szCs w:val="24"/>
        </w:rPr>
        <w:t>B) Zhodnocení souladu návrhu zákona s ústavním pořádkem České republiky</w:t>
      </w: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sz w:val="24"/>
          <w:szCs w:val="24"/>
        </w:rPr>
        <w:t>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Vládní návrh zákona respektuje obecné zásady ústavního pořádku České republiky a není v rozporu s nálezy Ústavního soudu České republiky.</w:t>
      </w:r>
    </w:p>
    <w:p w:rsidR="00090F12" w:rsidRPr="002533D6" w:rsidRDefault="00090F12" w:rsidP="00090F12">
      <w:pPr>
        <w:tabs>
          <w:tab w:val="left" w:pos="284"/>
        </w:tabs>
        <w:jc w:val="both"/>
        <w:rPr>
          <w:rFonts w:ascii="Times New Roman" w:hAnsi="Times New Roman"/>
          <w:sz w:val="24"/>
          <w:szCs w:val="24"/>
        </w:rPr>
      </w:pPr>
    </w:p>
    <w:p w:rsidR="00090F12" w:rsidRPr="002533D6" w:rsidRDefault="00090F12" w:rsidP="00090F12">
      <w:pPr>
        <w:tabs>
          <w:tab w:val="left" w:pos="284"/>
        </w:tabs>
        <w:jc w:val="both"/>
        <w:rPr>
          <w:rFonts w:ascii="Times New Roman" w:hAnsi="Times New Roman"/>
          <w:sz w:val="24"/>
          <w:szCs w:val="24"/>
        </w:rPr>
      </w:pPr>
      <w:r w:rsidRPr="002533D6">
        <w:rPr>
          <w:rFonts w:ascii="Times New Roman" w:hAnsi="Times New Roman"/>
          <w:b/>
          <w:sz w:val="24"/>
          <w:szCs w:val="24"/>
        </w:rPr>
        <w:t>C) Zhodnocení souladu navrhované právní úpravy s mezinárodními smlouvami, slučitelnost s právními akty EU</w:t>
      </w:r>
    </w:p>
    <w:p w:rsidR="00090F12" w:rsidRPr="002533D6" w:rsidRDefault="00090F12" w:rsidP="00090F12">
      <w:pPr>
        <w:pStyle w:val="Default"/>
        <w:jc w:val="both"/>
        <w:rPr>
          <w:rFonts w:ascii="Times New Roman" w:hAnsi="Times New Roman" w:cs="Times New Roman"/>
          <w:bCs/>
        </w:rPr>
      </w:pPr>
    </w:p>
    <w:p w:rsidR="00090F12" w:rsidRPr="002533D6" w:rsidRDefault="00090F12" w:rsidP="00090F12">
      <w:pPr>
        <w:jc w:val="both"/>
        <w:rPr>
          <w:rFonts w:ascii="Times New Roman" w:hAnsi="Times New Roman"/>
          <w:sz w:val="24"/>
          <w:szCs w:val="24"/>
        </w:rPr>
      </w:pPr>
      <w:r w:rsidRPr="002533D6">
        <w:rPr>
          <w:rFonts w:ascii="Times New Roman" w:hAnsi="Times New Roman"/>
          <w:sz w:val="24"/>
          <w:szCs w:val="24"/>
        </w:rPr>
        <w:t xml:space="preserve">Navrhovaná právní úprava provádí některá ustanovení Úmluvy o právech osob se zdravotním postižením, která vstoupila pro Českou republiku v platnost dne 28. října 2009 a na základě článku 10 Ústavy se stala po svém vyhlášení dne 12. února 2010 součástí právního řádu </w:t>
      </w:r>
      <w:r w:rsidRPr="002533D6">
        <w:rPr>
          <w:rFonts w:ascii="Times New Roman" w:hAnsi="Times New Roman"/>
          <w:sz w:val="24"/>
          <w:szCs w:val="24"/>
        </w:rPr>
        <w:lastRenderedPageBreak/>
        <w:t>České republiky (č. 10/2010 Sb. m. s.). Jedná se zejména o ustanovení článku 28, kter</w:t>
      </w:r>
      <w:r w:rsidR="0056077D">
        <w:rPr>
          <w:rFonts w:ascii="Times New Roman" w:hAnsi="Times New Roman"/>
          <w:sz w:val="24"/>
          <w:szCs w:val="24"/>
        </w:rPr>
        <w:t>é</w:t>
      </w:r>
      <w:r w:rsidRPr="002533D6">
        <w:rPr>
          <w:rFonts w:ascii="Times New Roman" w:hAnsi="Times New Roman"/>
          <w:sz w:val="24"/>
          <w:szCs w:val="24"/>
        </w:rPr>
        <w:t xml:space="preserve"> se týk</w:t>
      </w:r>
      <w:r w:rsidR="0056077D">
        <w:rPr>
          <w:rFonts w:ascii="Times New Roman" w:hAnsi="Times New Roman"/>
          <w:sz w:val="24"/>
          <w:szCs w:val="24"/>
        </w:rPr>
        <w:t>á</w:t>
      </w:r>
      <w:r w:rsidRPr="002533D6">
        <w:rPr>
          <w:rFonts w:ascii="Times New Roman" w:hAnsi="Times New Roman"/>
          <w:sz w:val="24"/>
          <w:szCs w:val="24"/>
        </w:rPr>
        <w:t xml:space="preserve"> práva na přiměřenou životní úroveň a sociální ochranu. V souladu s čl. 4 odst. 3 byla právní úprava v průběhu přípravy konzultována s osobami se zdravotním postižením, a to prostřednictvím jejich organizací. Navrhovaná právní úprava je jako celek s předmětnou úmluvou plně v souladu.</w:t>
      </w:r>
    </w:p>
    <w:p w:rsidR="00090F12" w:rsidRPr="002533D6" w:rsidRDefault="00090F12" w:rsidP="00090F12">
      <w:pPr>
        <w:autoSpaceDE w:val="0"/>
        <w:autoSpaceDN w:val="0"/>
        <w:adjustRightInd w:val="0"/>
        <w:jc w:val="both"/>
        <w:rPr>
          <w:rFonts w:ascii="Times New Roman" w:hAnsi="Times New Roman"/>
          <w:sz w:val="24"/>
          <w:szCs w:val="24"/>
        </w:rPr>
      </w:pPr>
      <w:r w:rsidRPr="002533D6">
        <w:rPr>
          <w:rFonts w:ascii="Times New Roman" w:hAnsi="Times New Roman"/>
          <w:sz w:val="24"/>
          <w:szCs w:val="24"/>
        </w:rPr>
        <w:t>Návrhu se dotýkají zejména tyto předpisy práva EU:</w:t>
      </w:r>
    </w:p>
    <w:p w:rsidR="00090F12" w:rsidRPr="002533D6" w:rsidRDefault="00090F12" w:rsidP="00170FA7">
      <w:pPr>
        <w:pStyle w:val="Odstavecseseznamem"/>
        <w:numPr>
          <w:ilvl w:val="0"/>
          <w:numId w:val="17"/>
        </w:numPr>
        <w:autoSpaceDE w:val="0"/>
        <w:autoSpaceDN w:val="0"/>
        <w:adjustRightInd w:val="0"/>
        <w:spacing w:after="0"/>
        <w:jc w:val="both"/>
        <w:rPr>
          <w:rFonts w:ascii="Times New Roman" w:hAnsi="Times New Roman"/>
          <w:sz w:val="24"/>
          <w:szCs w:val="24"/>
        </w:rPr>
      </w:pPr>
      <w:r w:rsidRPr="002533D6">
        <w:rPr>
          <w:rFonts w:ascii="Times New Roman" w:hAnsi="Times New Roman"/>
          <w:sz w:val="24"/>
          <w:szCs w:val="24"/>
        </w:rPr>
        <w:t>Nařízení Evropského parlamentu a Rady (ES) č. 883/2004 ze dne 29. dubna 2004 o</w:t>
      </w:r>
      <w:r w:rsidR="008B6F61">
        <w:rPr>
          <w:rFonts w:ascii="Times New Roman" w:hAnsi="Times New Roman"/>
          <w:sz w:val="24"/>
          <w:szCs w:val="24"/>
        </w:rPr>
        <w:t> </w:t>
      </w:r>
      <w:r w:rsidRPr="002533D6">
        <w:rPr>
          <w:rFonts w:ascii="Times New Roman" w:hAnsi="Times New Roman"/>
          <w:sz w:val="24"/>
          <w:szCs w:val="24"/>
        </w:rPr>
        <w:t>koordinaci systémů sociálního zabezpečení,</w:t>
      </w:r>
    </w:p>
    <w:p w:rsidR="00090F12" w:rsidRPr="002533D6" w:rsidRDefault="00090F12" w:rsidP="00170FA7">
      <w:pPr>
        <w:pStyle w:val="Odstavecseseznamem"/>
        <w:numPr>
          <w:ilvl w:val="0"/>
          <w:numId w:val="17"/>
        </w:numPr>
        <w:autoSpaceDE w:val="0"/>
        <w:autoSpaceDN w:val="0"/>
        <w:adjustRightInd w:val="0"/>
        <w:spacing w:after="0"/>
        <w:jc w:val="both"/>
        <w:rPr>
          <w:rFonts w:ascii="Times New Roman" w:hAnsi="Times New Roman"/>
          <w:sz w:val="24"/>
          <w:szCs w:val="24"/>
        </w:rPr>
      </w:pPr>
      <w:r w:rsidRPr="002533D6">
        <w:rPr>
          <w:rFonts w:ascii="Times New Roman" w:hAnsi="Times New Roman"/>
          <w:sz w:val="24"/>
          <w:szCs w:val="24"/>
        </w:rPr>
        <w:t>Nařízení Evropského parlamentu a Rady (ES) č. 987/2009 ze dne 16. září 2009, kterým se stanoví prováděcí pravidla k nařízení (ES) č. 883/2004 o koordinaci systémů sociálního zabezpečení,</w:t>
      </w:r>
    </w:p>
    <w:p w:rsidR="00090F12" w:rsidRPr="002533D6" w:rsidRDefault="00090F12" w:rsidP="00170FA7">
      <w:pPr>
        <w:pStyle w:val="Odstavecseseznamem"/>
        <w:numPr>
          <w:ilvl w:val="0"/>
          <w:numId w:val="17"/>
        </w:numPr>
        <w:autoSpaceDE w:val="0"/>
        <w:autoSpaceDN w:val="0"/>
        <w:adjustRightInd w:val="0"/>
        <w:spacing w:after="0"/>
        <w:jc w:val="both"/>
        <w:rPr>
          <w:rFonts w:ascii="Times New Roman" w:hAnsi="Times New Roman"/>
          <w:sz w:val="24"/>
          <w:szCs w:val="24"/>
        </w:rPr>
      </w:pPr>
      <w:r w:rsidRPr="002533D6">
        <w:rPr>
          <w:rFonts w:ascii="Times New Roman" w:hAnsi="Times New Roman"/>
          <w:sz w:val="24"/>
          <w:szCs w:val="24"/>
        </w:rPr>
        <w:t>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090F12" w:rsidRPr="002533D6" w:rsidRDefault="00090F12" w:rsidP="00090F12">
      <w:pPr>
        <w:jc w:val="both"/>
        <w:rPr>
          <w:rFonts w:ascii="Times New Roman" w:hAnsi="Times New Roman"/>
          <w:sz w:val="24"/>
          <w:szCs w:val="24"/>
        </w:rPr>
      </w:pPr>
    </w:p>
    <w:p w:rsidR="00090F12" w:rsidRPr="002533D6" w:rsidRDefault="00090F12" w:rsidP="00090F12">
      <w:pPr>
        <w:autoSpaceDE w:val="0"/>
        <w:autoSpaceDN w:val="0"/>
        <w:adjustRightInd w:val="0"/>
        <w:jc w:val="both"/>
        <w:rPr>
          <w:rFonts w:ascii="Times New Roman" w:hAnsi="Times New Roman"/>
          <w:sz w:val="24"/>
          <w:szCs w:val="24"/>
        </w:rPr>
      </w:pPr>
      <w:r w:rsidRPr="002533D6">
        <w:rPr>
          <w:rFonts w:ascii="Times New Roman" w:hAnsi="Times New Roman"/>
          <w:sz w:val="24"/>
          <w:szCs w:val="24"/>
        </w:rPr>
        <w:t>Kategorie osob, jejichž nároky vyplývají z přímo použitelných předpisů Evropské unie, jsou zahrnuty ve výčtu osob oprávněných, a to v § 4, odst. 1, písm. j) zákona č. 108/2006 Sb., o</w:t>
      </w:r>
      <w:r w:rsidR="008B6F61">
        <w:rPr>
          <w:rFonts w:ascii="Times New Roman" w:hAnsi="Times New Roman"/>
          <w:sz w:val="24"/>
          <w:szCs w:val="24"/>
        </w:rPr>
        <w:t> </w:t>
      </w:r>
      <w:r w:rsidRPr="002533D6">
        <w:rPr>
          <w:rFonts w:ascii="Times New Roman" w:hAnsi="Times New Roman"/>
          <w:sz w:val="24"/>
          <w:szCs w:val="24"/>
        </w:rPr>
        <w:t xml:space="preserve">sociálních službách, ve znění pozdějších předpisů. </w:t>
      </w:r>
    </w:p>
    <w:p w:rsidR="00090F12" w:rsidRPr="002533D6" w:rsidRDefault="00090F12" w:rsidP="00090F12">
      <w:pPr>
        <w:autoSpaceDE w:val="0"/>
        <w:autoSpaceDN w:val="0"/>
        <w:adjustRightInd w:val="0"/>
        <w:jc w:val="both"/>
        <w:rPr>
          <w:rFonts w:ascii="Times New Roman" w:hAnsi="Times New Roman"/>
          <w:sz w:val="24"/>
          <w:szCs w:val="24"/>
        </w:rPr>
      </w:pPr>
      <w:r w:rsidRPr="002533D6">
        <w:rPr>
          <w:rFonts w:ascii="Times New Roman" w:hAnsi="Times New Roman"/>
          <w:sz w:val="24"/>
          <w:szCs w:val="24"/>
        </w:rPr>
        <w:t>Navrhovaná právní úprava je v souladu s předpisy EU, judikaturou soudních orgánů EU, obecními právními zásadami práva EU a mezinárodními smlouvami, kterými je ČR vázána, a</w:t>
      </w:r>
      <w:r w:rsidR="008B6F61">
        <w:rPr>
          <w:rFonts w:ascii="Times New Roman" w:hAnsi="Times New Roman"/>
          <w:sz w:val="24"/>
          <w:szCs w:val="24"/>
        </w:rPr>
        <w:t> </w:t>
      </w:r>
      <w:r w:rsidRPr="002533D6">
        <w:rPr>
          <w:rFonts w:ascii="Times New Roman" w:hAnsi="Times New Roman"/>
          <w:sz w:val="24"/>
          <w:szCs w:val="24"/>
        </w:rPr>
        <w:t>není tedy s nimi v rozporu.</w:t>
      </w:r>
    </w:p>
    <w:p w:rsidR="006631B9" w:rsidRDefault="006631B9">
      <w:pPr>
        <w:spacing w:line="276" w:lineRule="auto"/>
        <w:rPr>
          <w:rFonts w:ascii="Times New Roman" w:hAnsi="Times New Roman"/>
          <w:b/>
          <w:sz w:val="28"/>
          <w:szCs w:val="28"/>
          <w:u w:val="single"/>
        </w:rPr>
      </w:pPr>
      <w:r>
        <w:rPr>
          <w:rFonts w:ascii="Times New Roman" w:hAnsi="Times New Roman"/>
          <w:b/>
          <w:sz w:val="28"/>
          <w:szCs w:val="28"/>
          <w:u w:val="single"/>
        </w:rPr>
        <w:br w:type="page"/>
      </w:r>
    </w:p>
    <w:p w:rsidR="003E7774" w:rsidRPr="003E7774" w:rsidRDefault="003E7774" w:rsidP="003E7774">
      <w:pPr>
        <w:jc w:val="center"/>
        <w:rPr>
          <w:rFonts w:ascii="Times New Roman" w:hAnsi="Times New Roman"/>
          <w:b/>
          <w:sz w:val="28"/>
          <w:szCs w:val="28"/>
        </w:rPr>
      </w:pPr>
      <w:r w:rsidRPr="003E7774">
        <w:rPr>
          <w:rFonts w:ascii="Times New Roman" w:hAnsi="Times New Roman"/>
          <w:b/>
          <w:sz w:val="28"/>
          <w:szCs w:val="28"/>
        </w:rPr>
        <w:lastRenderedPageBreak/>
        <w:t xml:space="preserve">II. </w:t>
      </w:r>
    </w:p>
    <w:p w:rsidR="00D14A75" w:rsidRDefault="00133366" w:rsidP="00170FA7">
      <w:pPr>
        <w:pStyle w:val="Odstavecseseznamem"/>
        <w:numPr>
          <w:ilvl w:val="0"/>
          <w:numId w:val="1"/>
        </w:numPr>
        <w:jc w:val="center"/>
        <w:rPr>
          <w:rFonts w:ascii="Times New Roman" w:hAnsi="Times New Roman"/>
          <w:b/>
          <w:sz w:val="28"/>
          <w:szCs w:val="28"/>
        </w:rPr>
      </w:pPr>
      <w:r w:rsidRPr="00FF4B89">
        <w:rPr>
          <w:rFonts w:ascii="Times New Roman" w:hAnsi="Times New Roman"/>
          <w:b/>
          <w:sz w:val="28"/>
          <w:szCs w:val="28"/>
        </w:rPr>
        <w:t>Závěrečná zprava h</w:t>
      </w:r>
      <w:r w:rsidR="00D14A75" w:rsidRPr="00FF4B89">
        <w:rPr>
          <w:rFonts w:ascii="Times New Roman" w:hAnsi="Times New Roman"/>
          <w:b/>
          <w:sz w:val="28"/>
          <w:szCs w:val="28"/>
        </w:rPr>
        <w:t>odnocení dopadů regulace (RIA)</w:t>
      </w:r>
    </w:p>
    <w:p w:rsidR="003E7774" w:rsidRPr="003E7774" w:rsidRDefault="003E7774" w:rsidP="003E7774">
      <w:pPr>
        <w:ind w:left="360"/>
        <w:jc w:val="center"/>
        <w:rPr>
          <w:rFonts w:ascii="Times New Roman" w:hAnsi="Times New Roman"/>
          <w:sz w:val="24"/>
          <w:szCs w:val="24"/>
        </w:rPr>
      </w:pPr>
      <w:r w:rsidRPr="003E7774">
        <w:rPr>
          <w:rFonts w:ascii="Times New Roman" w:hAnsi="Times New Roman"/>
          <w:sz w:val="24"/>
          <w:szCs w:val="24"/>
        </w:rPr>
        <w:t>(k úpravě poskytování pobytových sociálních služeb bez souhlasu osoby)</w:t>
      </w:r>
    </w:p>
    <w:p w:rsidR="00910FF6" w:rsidRPr="00FF4B89" w:rsidRDefault="00910FF6" w:rsidP="00D17619">
      <w:pPr>
        <w:pStyle w:val="Bezmezer"/>
      </w:pPr>
    </w:p>
    <w:p w:rsidR="00910FF6" w:rsidRPr="00FF4B89" w:rsidRDefault="00910FF6" w:rsidP="00910FF6">
      <w:pPr>
        <w:pStyle w:val="Bezmezer"/>
        <w:spacing w:before="120" w:after="120"/>
        <w:jc w:val="center"/>
        <w:rPr>
          <w:rFonts w:ascii="Times New Roman" w:hAnsi="Times New Roman"/>
          <w:sz w:val="24"/>
          <w:szCs w:val="24"/>
        </w:rPr>
      </w:pPr>
      <w:r w:rsidRPr="00FF4B89">
        <w:rPr>
          <w:rFonts w:ascii="Times New Roman" w:hAnsi="Times New Roman"/>
          <w:sz w:val="24"/>
          <w:szCs w:val="24"/>
        </w:rPr>
        <w:t>SHRNUTÍ ZÁVĚREČNÉ ZPRÁVY RIA</w:t>
      </w:r>
    </w:p>
    <w:p w:rsidR="00910FF6" w:rsidRPr="00FF4B89" w:rsidRDefault="00910FF6" w:rsidP="00910FF6">
      <w:pPr>
        <w:pStyle w:val="Bezmezer"/>
        <w:spacing w:before="120" w:after="120"/>
        <w:jc w:val="center"/>
        <w:rPr>
          <w:rFonts w:ascii="Times New Roman" w:hAnsi="Times New Roman"/>
          <w:sz w:val="24"/>
          <w:szCs w:val="24"/>
        </w:rPr>
      </w:pPr>
      <w:r w:rsidRPr="00FF4B89">
        <w:rPr>
          <w:rFonts w:ascii="Times New Roman" w:hAnsi="Times New Roman"/>
          <w:sz w:val="24"/>
          <w:szCs w:val="24"/>
        </w:rPr>
        <w:t>1. Základní identifikační údaje</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6"/>
        <w:gridCol w:w="4606"/>
      </w:tblGrid>
      <w:tr w:rsidR="00FF4B89" w:rsidRPr="00FF4B89" w:rsidTr="00D17619">
        <w:tc>
          <w:tcPr>
            <w:tcW w:w="9212" w:type="dxa"/>
            <w:gridSpan w:val="2"/>
            <w:tcBorders>
              <w:bottom w:val="single" w:sz="6" w:space="0" w:color="auto"/>
            </w:tcBorders>
            <w:vAlign w:val="center"/>
          </w:tcPr>
          <w:p w:rsidR="00910FF6" w:rsidRPr="00FF4B89" w:rsidRDefault="00910FF6" w:rsidP="00807CB4">
            <w:pPr>
              <w:spacing w:before="120" w:after="120"/>
              <w:jc w:val="center"/>
              <w:rPr>
                <w:rFonts w:ascii="Times New Roman" w:hAnsi="Times New Roman"/>
                <w:sz w:val="24"/>
                <w:szCs w:val="24"/>
              </w:rPr>
            </w:pPr>
            <w:r w:rsidRPr="00FF4B89">
              <w:rPr>
                <w:rFonts w:ascii="Times New Roman" w:hAnsi="Times New Roman"/>
                <w:sz w:val="24"/>
                <w:szCs w:val="24"/>
              </w:rPr>
              <w:t>Návrh zákona, kterým se mění zákon č. 108/2006 Sb., o sociálních službách</w:t>
            </w:r>
            <w:r w:rsidR="00807CB4">
              <w:rPr>
                <w:rFonts w:ascii="Times New Roman" w:hAnsi="Times New Roman"/>
                <w:sz w:val="24"/>
                <w:szCs w:val="24"/>
              </w:rPr>
              <w:t>, ve znění pozdějších předpisů</w:t>
            </w:r>
            <w:r w:rsidR="00DF3435">
              <w:rPr>
                <w:rFonts w:ascii="Times New Roman" w:hAnsi="Times New Roman"/>
                <w:sz w:val="24"/>
                <w:szCs w:val="24"/>
              </w:rPr>
              <w:t>, a zákon č. 292/2013 Sb., o zvláštních řízeních soudních, ve znění zákona č. 87/2015 Sb.</w:t>
            </w:r>
          </w:p>
        </w:tc>
      </w:tr>
      <w:tr w:rsidR="00FF4B89" w:rsidRPr="00FF4B89" w:rsidTr="00D17619">
        <w:tc>
          <w:tcPr>
            <w:tcW w:w="4606" w:type="dxa"/>
            <w:tcBorders>
              <w:top w:val="single" w:sz="6" w:space="0" w:color="auto"/>
              <w:right w:val="single" w:sz="6" w:space="0" w:color="auto"/>
            </w:tcBorders>
          </w:tcPr>
          <w:p w:rsidR="00910FF6" w:rsidRPr="00FF4B89" w:rsidRDefault="00910FF6" w:rsidP="00D17619">
            <w:pPr>
              <w:jc w:val="center"/>
              <w:rPr>
                <w:rFonts w:ascii="Times New Roman" w:hAnsi="Times New Roman"/>
                <w:sz w:val="24"/>
                <w:szCs w:val="24"/>
              </w:rPr>
            </w:pPr>
          </w:p>
          <w:p w:rsidR="00910FF6" w:rsidRPr="00FF4B89" w:rsidRDefault="00910FF6" w:rsidP="00D17619">
            <w:pPr>
              <w:jc w:val="center"/>
              <w:rPr>
                <w:rFonts w:ascii="Times New Roman" w:hAnsi="Times New Roman"/>
                <w:sz w:val="24"/>
                <w:szCs w:val="24"/>
              </w:rPr>
            </w:pPr>
            <w:r w:rsidRPr="00FF4B89">
              <w:rPr>
                <w:rFonts w:ascii="Times New Roman" w:hAnsi="Times New Roman"/>
                <w:sz w:val="24"/>
                <w:szCs w:val="24"/>
              </w:rPr>
              <w:t>Zpracovatel / zástupce předkladatele:</w:t>
            </w:r>
          </w:p>
          <w:p w:rsidR="00910FF6" w:rsidRPr="00FF4B89" w:rsidRDefault="00910FF6" w:rsidP="00D17619">
            <w:pPr>
              <w:jc w:val="center"/>
              <w:rPr>
                <w:rFonts w:ascii="Times New Roman" w:hAnsi="Times New Roman"/>
                <w:b/>
                <w:sz w:val="24"/>
                <w:szCs w:val="24"/>
              </w:rPr>
            </w:pPr>
            <w:r w:rsidRPr="00FF4B89">
              <w:rPr>
                <w:rFonts w:ascii="Times New Roman" w:hAnsi="Times New Roman"/>
                <w:b/>
                <w:sz w:val="24"/>
                <w:szCs w:val="24"/>
              </w:rPr>
              <w:t>Mgr. Jan Vrbický</w:t>
            </w:r>
          </w:p>
          <w:p w:rsidR="00910FF6" w:rsidRPr="00FF4B89" w:rsidRDefault="00910FF6" w:rsidP="00D17619">
            <w:pPr>
              <w:jc w:val="center"/>
              <w:rPr>
                <w:rFonts w:ascii="Times New Roman" w:hAnsi="Times New Roman"/>
                <w:sz w:val="24"/>
                <w:szCs w:val="24"/>
              </w:rPr>
            </w:pPr>
            <w:r w:rsidRPr="00FF4B89">
              <w:rPr>
                <w:rFonts w:ascii="Times New Roman" w:hAnsi="Times New Roman"/>
                <w:sz w:val="24"/>
                <w:szCs w:val="24"/>
              </w:rPr>
              <w:t>Tel.: 221 924 539</w:t>
            </w:r>
          </w:p>
          <w:p w:rsidR="00910FF6" w:rsidRDefault="00F66224" w:rsidP="00D17619">
            <w:pPr>
              <w:jc w:val="center"/>
              <w:rPr>
                <w:rFonts w:ascii="Times New Roman" w:hAnsi="Times New Roman"/>
                <w:sz w:val="24"/>
                <w:szCs w:val="24"/>
              </w:rPr>
            </w:pPr>
            <w:r>
              <w:rPr>
                <w:rFonts w:ascii="Times New Roman" w:hAnsi="Times New Roman"/>
                <w:sz w:val="24"/>
                <w:szCs w:val="24"/>
              </w:rPr>
              <w:t>j</w:t>
            </w:r>
            <w:r w:rsidR="00390D3E" w:rsidRPr="00390D3E">
              <w:rPr>
                <w:rFonts w:ascii="Times New Roman" w:hAnsi="Times New Roman"/>
                <w:sz w:val="24"/>
                <w:szCs w:val="24"/>
              </w:rPr>
              <w:t>an.vrbicky@mpsv.cz</w:t>
            </w:r>
          </w:p>
          <w:p w:rsidR="00910FF6" w:rsidRPr="00FF4B89" w:rsidRDefault="00910FF6" w:rsidP="007A1727">
            <w:pPr>
              <w:jc w:val="center"/>
              <w:rPr>
                <w:rFonts w:ascii="Times New Roman" w:hAnsi="Times New Roman"/>
                <w:sz w:val="24"/>
                <w:szCs w:val="24"/>
              </w:rPr>
            </w:pPr>
          </w:p>
        </w:tc>
        <w:tc>
          <w:tcPr>
            <w:tcW w:w="4606" w:type="dxa"/>
            <w:tcBorders>
              <w:top w:val="single" w:sz="6" w:space="0" w:color="auto"/>
              <w:left w:val="single" w:sz="6" w:space="0" w:color="auto"/>
            </w:tcBorders>
          </w:tcPr>
          <w:p w:rsidR="00910FF6" w:rsidRPr="00FF4B89" w:rsidRDefault="00910FF6" w:rsidP="00D17619">
            <w:pPr>
              <w:jc w:val="center"/>
              <w:rPr>
                <w:rFonts w:ascii="Times New Roman" w:hAnsi="Times New Roman"/>
                <w:sz w:val="24"/>
                <w:szCs w:val="24"/>
              </w:rPr>
            </w:pPr>
          </w:p>
          <w:p w:rsidR="005D30C5" w:rsidRPr="00FF4B89" w:rsidRDefault="005D30C5" w:rsidP="005D30C5">
            <w:pPr>
              <w:jc w:val="center"/>
              <w:rPr>
                <w:rFonts w:ascii="Times New Roman" w:hAnsi="Times New Roman"/>
                <w:sz w:val="24"/>
                <w:szCs w:val="24"/>
              </w:rPr>
            </w:pPr>
            <w:r w:rsidRPr="00FF4B89">
              <w:rPr>
                <w:rFonts w:ascii="Times New Roman" w:hAnsi="Times New Roman"/>
                <w:sz w:val="24"/>
                <w:szCs w:val="24"/>
              </w:rPr>
              <w:t xml:space="preserve">Předpokládaný termín nabytí účinnosti </w:t>
            </w:r>
          </w:p>
          <w:p w:rsidR="00750DBB" w:rsidRPr="00941CAF" w:rsidRDefault="00917DBB" w:rsidP="00390D3E">
            <w:pPr>
              <w:ind w:left="360"/>
              <w:jc w:val="center"/>
              <w:rPr>
                <w:rFonts w:ascii="Times New Roman" w:hAnsi="Times New Roman"/>
                <w:sz w:val="24"/>
                <w:szCs w:val="24"/>
              </w:rPr>
            </w:pPr>
            <w:r>
              <w:rPr>
                <w:rFonts w:ascii="Times New Roman" w:hAnsi="Times New Roman"/>
                <w:sz w:val="24"/>
                <w:szCs w:val="24"/>
              </w:rPr>
              <w:t xml:space="preserve"> dnem 1. 7</w:t>
            </w:r>
            <w:r w:rsidR="00390D3E">
              <w:rPr>
                <w:rFonts w:ascii="Times New Roman" w:hAnsi="Times New Roman"/>
                <w:sz w:val="24"/>
                <w:szCs w:val="24"/>
              </w:rPr>
              <w:t>. 2016</w:t>
            </w:r>
          </w:p>
        </w:tc>
      </w:tr>
      <w:tr w:rsidR="00FF4B89" w:rsidRPr="00FF4B89" w:rsidTr="00D17619">
        <w:tc>
          <w:tcPr>
            <w:tcW w:w="9212" w:type="dxa"/>
            <w:gridSpan w:val="2"/>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Implementace práva EU: NE</w:t>
            </w: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2. Cíl návrhu zákona</w:t>
            </w:r>
          </w:p>
        </w:tc>
      </w:tr>
      <w:tr w:rsidR="00FF4B89" w:rsidRPr="00FF4B89" w:rsidTr="00D17619">
        <w:tc>
          <w:tcPr>
            <w:tcW w:w="9212" w:type="dxa"/>
            <w:gridSpan w:val="2"/>
          </w:tcPr>
          <w:p w:rsidR="002551FD" w:rsidRDefault="00910FF6" w:rsidP="00D17619">
            <w:pPr>
              <w:spacing w:before="120" w:after="120"/>
              <w:jc w:val="both"/>
              <w:rPr>
                <w:rFonts w:ascii="Times New Roman" w:hAnsi="Times New Roman"/>
                <w:i/>
                <w:sz w:val="24"/>
                <w:szCs w:val="24"/>
              </w:rPr>
            </w:pPr>
            <w:r w:rsidRPr="00FF4B89">
              <w:rPr>
                <w:rFonts w:ascii="Times New Roman" w:hAnsi="Times New Roman"/>
                <w:i/>
                <w:sz w:val="24"/>
                <w:szCs w:val="24"/>
              </w:rPr>
              <w:t>Cílem</w:t>
            </w:r>
            <w:r w:rsidR="005C4291" w:rsidRPr="00FF4B89">
              <w:rPr>
                <w:rFonts w:ascii="Times New Roman" w:hAnsi="Times New Roman"/>
                <w:i/>
                <w:sz w:val="24"/>
                <w:szCs w:val="24"/>
              </w:rPr>
              <w:t xml:space="preserve"> novely je </w:t>
            </w:r>
            <w:r w:rsidR="00390D3E">
              <w:rPr>
                <w:rFonts w:ascii="Times New Roman" w:hAnsi="Times New Roman"/>
                <w:i/>
                <w:sz w:val="24"/>
                <w:szCs w:val="24"/>
              </w:rPr>
              <w:t>v</w:t>
            </w:r>
            <w:r w:rsidR="00390D3E" w:rsidRPr="00390D3E">
              <w:rPr>
                <w:rFonts w:ascii="Times New Roman" w:hAnsi="Times New Roman"/>
                <w:i/>
                <w:sz w:val="24"/>
                <w:szCs w:val="24"/>
              </w:rPr>
              <w:t>ytvoření podmínek pro poskytování sociálních služeb bez souhlasu</w:t>
            </w:r>
            <w:r w:rsidR="00F66224">
              <w:rPr>
                <w:rFonts w:ascii="Times New Roman" w:hAnsi="Times New Roman"/>
                <w:i/>
                <w:sz w:val="24"/>
                <w:szCs w:val="24"/>
              </w:rPr>
              <w:t xml:space="preserve"> klienta pobytové sociální služby</w:t>
            </w:r>
            <w:r w:rsidR="00390D3E" w:rsidRPr="00390D3E">
              <w:rPr>
                <w:rFonts w:ascii="Times New Roman" w:hAnsi="Times New Roman"/>
                <w:i/>
                <w:sz w:val="24"/>
                <w:szCs w:val="24"/>
              </w:rPr>
              <w:t xml:space="preserve"> a zavedení limitů a pravidel pro detenci v</w:t>
            </w:r>
            <w:r w:rsidR="00C71FC0">
              <w:rPr>
                <w:rFonts w:ascii="Times New Roman" w:hAnsi="Times New Roman"/>
                <w:i/>
                <w:sz w:val="24"/>
                <w:szCs w:val="24"/>
              </w:rPr>
              <w:t xml:space="preserve"> pobytových </w:t>
            </w:r>
            <w:r w:rsidR="00390D3E" w:rsidRPr="00390D3E">
              <w:rPr>
                <w:rFonts w:ascii="Times New Roman" w:hAnsi="Times New Roman"/>
                <w:i/>
                <w:sz w:val="24"/>
                <w:szCs w:val="24"/>
              </w:rPr>
              <w:t>zařízeních  sociální</w:t>
            </w:r>
            <w:r w:rsidR="00C71FC0">
              <w:rPr>
                <w:rFonts w:ascii="Times New Roman" w:hAnsi="Times New Roman"/>
                <w:i/>
                <w:sz w:val="24"/>
                <w:szCs w:val="24"/>
              </w:rPr>
              <w:t>ch</w:t>
            </w:r>
            <w:r w:rsidR="00390D3E" w:rsidRPr="00390D3E">
              <w:rPr>
                <w:rFonts w:ascii="Times New Roman" w:hAnsi="Times New Roman"/>
                <w:i/>
                <w:sz w:val="24"/>
                <w:szCs w:val="24"/>
              </w:rPr>
              <w:t xml:space="preserve"> služ</w:t>
            </w:r>
            <w:r w:rsidR="00C71FC0">
              <w:rPr>
                <w:rFonts w:ascii="Times New Roman" w:hAnsi="Times New Roman"/>
                <w:i/>
                <w:sz w:val="24"/>
                <w:szCs w:val="24"/>
              </w:rPr>
              <w:t>e</w:t>
            </w:r>
            <w:r w:rsidR="00390D3E" w:rsidRPr="00390D3E">
              <w:rPr>
                <w:rFonts w:ascii="Times New Roman" w:hAnsi="Times New Roman"/>
                <w:i/>
                <w:sz w:val="24"/>
                <w:szCs w:val="24"/>
              </w:rPr>
              <w:t>b.</w:t>
            </w:r>
            <w:r w:rsidR="002551FD" w:rsidRPr="00FF4B89">
              <w:rPr>
                <w:rFonts w:ascii="Times New Roman" w:hAnsi="Times New Roman"/>
                <w:i/>
                <w:sz w:val="24"/>
                <w:szCs w:val="24"/>
              </w:rPr>
              <w:t xml:space="preserve"> </w:t>
            </w:r>
          </w:p>
          <w:p w:rsidR="00A2084E" w:rsidRPr="00941CAF" w:rsidRDefault="00390D3E" w:rsidP="00F66224">
            <w:pPr>
              <w:spacing w:before="120" w:after="120"/>
              <w:jc w:val="both"/>
              <w:rPr>
                <w:rFonts w:ascii="Times New Roman" w:hAnsi="Times New Roman"/>
                <w:i/>
                <w:sz w:val="24"/>
                <w:szCs w:val="24"/>
              </w:rPr>
            </w:pPr>
            <w:r w:rsidRPr="00390D3E">
              <w:rPr>
                <w:rFonts w:ascii="Times New Roman" w:hAnsi="Times New Roman"/>
                <w:i/>
                <w:sz w:val="24"/>
                <w:szCs w:val="24"/>
              </w:rPr>
              <w:t xml:space="preserve">Od 1. 1. 2014 v souvislosti s přijetím nového občanského zákoníku </w:t>
            </w:r>
            <w:r w:rsidR="00F66224" w:rsidRPr="00390D3E">
              <w:rPr>
                <w:rFonts w:ascii="Times New Roman" w:hAnsi="Times New Roman"/>
                <w:i/>
                <w:sz w:val="24"/>
                <w:szCs w:val="24"/>
              </w:rPr>
              <w:t xml:space="preserve">nabyl </w:t>
            </w:r>
            <w:r w:rsidRPr="00390D3E">
              <w:rPr>
                <w:rFonts w:ascii="Times New Roman" w:hAnsi="Times New Roman"/>
                <w:i/>
                <w:sz w:val="24"/>
                <w:szCs w:val="24"/>
              </w:rPr>
              <w:t>účinnosti také zákon č. 292/2013 Sb.,</w:t>
            </w:r>
            <w:r w:rsidR="007067D6">
              <w:rPr>
                <w:rFonts w:ascii="Times New Roman" w:hAnsi="Times New Roman"/>
                <w:i/>
                <w:sz w:val="24"/>
                <w:szCs w:val="24"/>
              </w:rPr>
              <w:t xml:space="preserve"> o zvláštních řízeních soudních,</w:t>
            </w:r>
            <w:r w:rsidRPr="00390D3E">
              <w:rPr>
                <w:rFonts w:ascii="Times New Roman" w:hAnsi="Times New Roman"/>
                <w:i/>
                <w:sz w:val="24"/>
                <w:szCs w:val="24"/>
              </w:rPr>
              <w:t xml:space="preserve"> který v ustanovení § 84 stanovuje procesně právní pravidla pro řízení o vyslovení nepřípustnosti držení v zařízení sociálních služeb.</w:t>
            </w:r>
            <w:r>
              <w:t xml:space="preserve"> </w:t>
            </w:r>
            <w:r w:rsidRPr="00390D3E">
              <w:rPr>
                <w:rFonts w:ascii="Times New Roman" w:hAnsi="Times New Roman"/>
                <w:i/>
                <w:sz w:val="24"/>
                <w:szCs w:val="24"/>
              </w:rPr>
              <w:t>Úprava však není dostatečně určitá.</w:t>
            </w:r>
            <w:r>
              <w:rPr>
                <w:rFonts w:ascii="Times New Roman" w:hAnsi="Times New Roman"/>
                <w:i/>
                <w:sz w:val="24"/>
                <w:szCs w:val="24"/>
              </w:rPr>
              <w:t xml:space="preserve"> </w:t>
            </w:r>
            <w:r w:rsidRPr="00390D3E">
              <w:rPr>
                <w:rFonts w:ascii="Times New Roman" w:hAnsi="Times New Roman"/>
                <w:i/>
                <w:sz w:val="24"/>
                <w:szCs w:val="24"/>
              </w:rPr>
              <w:t>Z tohoto důvodu vznikla meziresortní pracovní skupina, která vypracovala návrh na úpravu jak zákona o zvláštních řízeních soudních, tak zákona č. 108/2006 Sb., o sociálních službách, ve znění pozdějších předpisů.</w:t>
            </w: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3. Agregované dopady návrhu zákona</w:t>
            </w:r>
          </w:p>
        </w:tc>
      </w:tr>
      <w:tr w:rsidR="00FF4B89" w:rsidRPr="00FF4B89" w:rsidTr="00D17619">
        <w:tc>
          <w:tcPr>
            <w:tcW w:w="9212" w:type="dxa"/>
            <w:gridSpan w:val="2"/>
            <w:shd w:val="clear" w:color="auto" w:fill="33CCFF"/>
          </w:tcPr>
          <w:p w:rsidR="00910FF6" w:rsidRPr="00FF4B89" w:rsidRDefault="00910FF6" w:rsidP="00390D3E">
            <w:pPr>
              <w:spacing w:before="120" w:after="120"/>
              <w:rPr>
                <w:rFonts w:ascii="Times New Roman" w:hAnsi="Times New Roman"/>
                <w:sz w:val="24"/>
                <w:szCs w:val="24"/>
              </w:rPr>
            </w:pPr>
            <w:r w:rsidRPr="00FF4B89">
              <w:rPr>
                <w:rFonts w:ascii="Times New Roman" w:hAnsi="Times New Roman"/>
                <w:sz w:val="24"/>
                <w:szCs w:val="24"/>
              </w:rPr>
              <w:t xml:space="preserve">3.1 Dopady na státní rozpočet a ostatní veřejné rozpočty: </w:t>
            </w:r>
            <w:r w:rsidR="00390D3E">
              <w:rPr>
                <w:rFonts w:ascii="Times New Roman" w:hAnsi="Times New Roman"/>
                <w:sz w:val="24"/>
                <w:szCs w:val="24"/>
              </w:rPr>
              <w:t>NE</w:t>
            </w:r>
          </w:p>
        </w:tc>
      </w:tr>
      <w:tr w:rsidR="00FF4B89" w:rsidRPr="00FF4B89" w:rsidTr="00D17619">
        <w:tc>
          <w:tcPr>
            <w:tcW w:w="9212" w:type="dxa"/>
            <w:gridSpan w:val="2"/>
          </w:tcPr>
          <w:p w:rsidR="00A2084E" w:rsidRPr="00FF4B89" w:rsidRDefault="00A2084E" w:rsidP="00DC7D1B">
            <w:pPr>
              <w:spacing w:before="120" w:after="120"/>
              <w:jc w:val="both"/>
              <w:rPr>
                <w:rFonts w:ascii="Times New Roman" w:hAnsi="Times New Roman"/>
                <w:i/>
                <w:sz w:val="24"/>
                <w:szCs w:val="24"/>
              </w:rPr>
            </w:pP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3.2 Dopady na podnikatelské subjekty: NE</w:t>
            </w:r>
          </w:p>
        </w:tc>
      </w:tr>
      <w:tr w:rsidR="00FF4B89" w:rsidRPr="00FF4B89" w:rsidTr="00D17619">
        <w:tc>
          <w:tcPr>
            <w:tcW w:w="9212" w:type="dxa"/>
            <w:gridSpan w:val="2"/>
          </w:tcPr>
          <w:p w:rsidR="00647C4D" w:rsidRPr="00FF4B89" w:rsidRDefault="00647C4D" w:rsidP="00941CAF">
            <w:pPr>
              <w:pStyle w:val="Bezmezer"/>
            </w:pP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3.3 Dopady na územní samo</w:t>
            </w:r>
            <w:r w:rsidR="007067D6">
              <w:rPr>
                <w:rFonts w:ascii="Times New Roman" w:hAnsi="Times New Roman"/>
                <w:sz w:val="24"/>
                <w:szCs w:val="24"/>
              </w:rPr>
              <w:t>správné celky (obce, kraje): NE</w:t>
            </w:r>
          </w:p>
        </w:tc>
      </w:tr>
      <w:tr w:rsidR="00FF4B89" w:rsidRPr="00FF4B89" w:rsidTr="00D17619">
        <w:tc>
          <w:tcPr>
            <w:tcW w:w="9212" w:type="dxa"/>
            <w:gridSpan w:val="2"/>
          </w:tcPr>
          <w:p w:rsidR="00A2084E" w:rsidRPr="00FF4B89" w:rsidRDefault="00A2084E" w:rsidP="007067D6">
            <w:pPr>
              <w:spacing w:before="120" w:after="120"/>
              <w:jc w:val="both"/>
              <w:rPr>
                <w:rFonts w:ascii="Times New Roman" w:hAnsi="Times New Roman"/>
                <w:i/>
                <w:sz w:val="24"/>
                <w:szCs w:val="24"/>
              </w:rPr>
            </w:pP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3.4 Sociální dopady: ANO</w:t>
            </w:r>
          </w:p>
        </w:tc>
      </w:tr>
      <w:tr w:rsidR="00FF4B89" w:rsidRPr="00FF4B89" w:rsidTr="00D17619">
        <w:tc>
          <w:tcPr>
            <w:tcW w:w="9212" w:type="dxa"/>
            <w:gridSpan w:val="2"/>
          </w:tcPr>
          <w:p w:rsidR="00910FF6" w:rsidRPr="00FF4B89" w:rsidRDefault="009A0B72" w:rsidP="003D461F">
            <w:pPr>
              <w:spacing w:before="120" w:after="120"/>
              <w:jc w:val="both"/>
              <w:rPr>
                <w:rFonts w:ascii="Times New Roman" w:hAnsi="Times New Roman"/>
                <w:i/>
                <w:sz w:val="24"/>
                <w:szCs w:val="24"/>
              </w:rPr>
            </w:pPr>
            <w:r w:rsidRPr="00FF4B89">
              <w:rPr>
                <w:rFonts w:ascii="Times New Roman" w:hAnsi="Times New Roman"/>
                <w:i/>
                <w:sz w:val="24"/>
                <w:szCs w:val="24"/>
              </w:rPr>
              <w:lastRenderedPageBreak/>
              <w:t xml:space="preserve">Návrh má pozitivní dopady pro </w:t>
            </w:r>
            <w:r w:rsidR="007067D6">
              <w:rPr>
                <w:rFonts w:ascii="Times New Roman" w:hAnsi="Times New Roman"/>
                <w:i/>
                <w:sz w:val="24"/>
                <w:szCs w:val="24"/>
              </w:rPr>
              <w:t xml:space="preserve">uživatele sociálních služeb, </w:t>
            </w:r>
            <w:r w:rsidR="003D461F">
              <w:rPr>
                <w:rFonts w:ascii="Times New Roman" w:hAnsi="Times New Roman"/>
                <w:i/>
                <w:sz w:val="24"/>
                <w:szCs w:val="24"/>
              </w:rPr>
              <w:t xml:space="preserve">neboť </w:t>
            </w:r>
            <w:r w:rsidR="007067D6">
              <w:rPr>
                <w:rFonts w:ascii="Times New Roman" w:hAnsi="Times New Roman"/>
                <w:i/>
                <w:sz w:val="24"/>
                <w:szCs w:val="24"/>
              </w:rPr>
              <w:t>bude podpořeno právo osob na osobní svobodu skrze podporu projevu svobodné vůle – vyslovení nesouhlasu s využíváním sociální služby.</w:t>
            </w:r>
          </w:p>
        </w:tc>
      </w:tr>
      <w:tr w:rsidR="00FF4B89" w:rsidRPr="00FF4B89" w:rsidTr="00D17619">
        <w:tc>
          <w:tcPr>
            <w:tcW w:w="9212" w:type="dxa"/>
            <w:gridSpan w:val="2"/>
            <w:shd w:val="clear" w:color="auto" w:fill="33CCFF"/>
          </w:tcPr>
          <w:p w:rsidR="00910FF6" w:rsidRPr="00FF4B89" w:rsidRDefault="00910FF6" w:rsidP="00D17619">
            <w:pPr>
              <w:spacing w:before="120" w:after="120"/>
              <w:rPr>
                <w:rFonts w:ascii="Times New Roman" w:hAnsi="Times New Roman"/>
                <w:sz w:val="24"/>
                <w:szCs w:val="24"/>
              </w:rPr>
            </w:pPr>
            <w:r w:rsidRPr="00FF4B89">
              <w:rPr>
                <w:rFonts w:ascii="Times New Roman" w:hAnsi="Times New Roman"/>
                <w:sz w:val="24"/>
                <w:szCs w:val="24"/>
              </w:rPr>
              <w:t>3.5 Dopady na životní prostředí: NE</w:t>
            </w:r>
          </w:p>
        </w:tc>
      </w:tr>
      <w:tr w:rsidR="00FF4B89" w:rsidRPr="00FF4B89" w:rsidTr="00D17619">
        <w:tc>
          <w:tcPr>
            <w:tcW w:w="9212" w:type="dxa"/>
            <w:gridSpan w:val="2"/>
          </w:tcPr>
          <w:p w:rsidR="00910FF6" w:rsidRPr="00FF4B89" w:rsidRDefault="00910FF6" w:rsidP="00D17619">
            <w:pPr>
              <w:spacing w:before="120" w:after="120"/>
              <w:rPr>
                <w:rFonts w:ascii="Times New Roman" w:hAnsi="Times New Roman"/>
                <w:sz w:val="24"/>
                <w:szCs w:val="24"/>
              </w:rPr>
            </w:pPr>
          </w:p>
        </w:tc>
      </w:tr>
    </w:tbl>
    <w:p w:rsidR="00910FF6" w:rsidRPr="00FF4B89" w:rsidRDefault="00910FF6" w:rsidP="00910FF6">
      <w:pPr>
        <w:rPr>
          <w:rFonts w:ascii="Times New Roman" w:hAnsi="Times New Roman"/>
          <w:sz w:val="24"/>
          <w:szCs w:val="24"/>
        </w:rPr>
      </w:pPr>
    </w:p>
    <w:p w:rsidR="00910FF6" w:rsidRPr="00FF4B89" w:rsidRDefault="00910FF6" w:rsidP="00D14A75">
      <w:pPr>
        <w:ind w:left="360"/>
        <w:jc w:val="center"/>
        <w:rPr>
          <w:rFonts w:ascii="Times New Roman" w:hAnsi="Times New Roman"/>
          <w:b/>
          <w:sz w:val="24"/>
          <w:szCs w:val="24"/>
        </w:rPr>
      </w:pPr>
    </w:p>
    <w:p w:rsidR="00390A07" w:rsidRDefault="00390A07">
      <w:pPr>
        <w:spacing w:line="276" w:lineRule="auto"/>
        <w:rPr>
          <w:rFonts w:ascii="Times New Roman" w:hAnsi="Times New Roman"/>
          <w:b/>
          <w:sz w:val="28"/>
          <w:szCs w:val="28"/>
        </w:rPr>
      </w:pPr>
      <w:r>
        <w:rPr>
          <w:rFonts w:ascii="Times New Roman" w:hAnsi="Times New Roman"/>
          <w:b/>
          <w:sz w:val="28"/>
          <w:szCs w:val="28"/>
        </w:rPr>
        <w:br w:type="page"/>
      </w:r>
    </w:p>
    <w:p w:rsidR="007F76CC" w:rsidRPr="00FF4B89" w:rsidRDefault="007F76CC" w:rsidP="007F76CC">
      <w:pPr>
        <w:spacing w:after="0"/>
        <w:jc w:val="both"/>
        <w:rPr>
          <w:rFonts w:ascii="Times New Roman" w:hAnsi="Times New Roman"/>
          <w:b/>
          <w:sz w:val="24"/>
          <w:szCs w:val="24"/>
        </w:rPr>
      </w:pPr>
      <w:r w:rsidRPr="00FF4B89">
        <w:rPr>
          <w:rFonts w:ascii="Times New Roman" w:hAnsi="Times New Roman"/>
          <w:b/>
          <w:caps/>
          <w:sz w:val="24"/>
          <w:szCs w:val="24"/>
        </w:rPr>
        <w:lastRenderedPageBreak/>
        <w:t xml:space="preserve">1. </w:t>
      </w:r>
      <w:r w:rsidRPr="00FF4B89">
        <w:rPr>
          <w:rFonts w:ascii="Times New Roman" w:hAnsi="Times New Roman"/>
          <w:b/>
          <w:sz w:val="24"/>
          <w:szCs w:val="24"/>
        </w:rPr>
        <w:t>Důvod</w:t>
      </w:r>
      <w:r w:rsidRPr="00FF4B89">
        <w:rPr>
          <w:rFonts w:ascii="Times New Roman" w:hAnsi="Times New Roman"/>
          <w:b/>
          <w:caps/>
          <w:sz w:val="24"/>
          <w:szCs w:val="24"/>
        </w:rPr>
        <w:t xml:space="preserve"> </w:t>
      </w:r>
      <w:r w:rsidRPr="00FF4B89">
        <w:rPr>
          <w:rFonts w:ascii="Times New Roman" w:hAnsi="Times New Roman"/>
          <w:b/>
          <w:sz w:val="24"/>
          <w:szCs w:val="24"/>
        </w:rPr>
        <w:t xml:space="preserve">předložení a cíle </w:t>
      </w:r>
    </w:p>
    <w:p w:rsidR="007F76CC" w:rsidRPr="00FF4B89" w:rsidRDefault="007F76CC" w:rsidP="007F76CC">
      <w:pPr>
        <w:spacing w:after="0"/>
        <w:jc w:val="both"/>
        <w:rPr>
          <w:rFonts w:ascii="Times New Roman" w:hAnsi="Times New Roman"/>
          <w:b/>
          <w:sz w:val="24"/>
          <w:szCs w:val="24"/>
        </w:rPr>
      </w:pPr>
    </w:p>
    <w:p w:rsidR="007F76CC" w:rsidRPr="00FF4B89" w:rsidRDefault="001072EE" w:rsidP="00170FA7">
      <w:pPr>
        <w:pStyle w:val="Odstavecseseznamem"/>
        <w:numPr>
          <w:ilvl w:val="1"/>
          <w:numId w:val="3"/>
        </w:numPr>
        <w:spacing w:after="0"/>
        <w:jc w:val="both"/>
        <w:rPr>
          <w:rFonts w:ascii="Times New Roman" w:hAnsi="Times New Roman"/>
          <w:b/>
          <w:sz w:val="24"/>
          <w:szCs w:val="24"/>
        </w:rPr>
      </w:pPr>
      <w:r w:rsidRPr="00FF4B89">
        <w:rPr>
          <w:rFonts w:ascii="Times New Roman" w:hAnsi="Times New Roman"/>
          <w:b/>
          <w:sz w:val="24"/>
          <w:szCs w:val="24"/>
        </w:rPr>
        <w:t>Název</w:t>
      </w:r>
    </w:p>
    <w:p w:rsidR="007F76CC" w:rsidRPr="00FF4B89" w:rsidRDefault="007F76CC" w:rsidP="007F76CC">
      <w:pPr>
        <w:spacing w:after="0"/>
        <w:jc w:val="both"/>
        <w:rPr>
          <w:rFonts w:ascii="Times New Roman" w:hAnsi="Times New Roman"/>
          <w:b/>
          <w:sz w:val="24"/>
          <w:szCs w:val="24"/>
        </w:rPr>
      </w:pPr>
    </w:p>
    <w:p w:rsidR="007F76CC" w:rsidRPr="00FF4B89" w:rsidRDefault="007F76CC" w:rsidP="007F76CC">
      <w:pPr>
        <w:jc w:val="both"/>
        <w:rPr>
          <w:rFonts w:ascii="Times New Roman" w:hAnsi="Times New Roman"/>
          <w:bCs/>
          <w:sz w:val="24"/>
          <w:szCs w:val="24"/>
        </w:rPr>
      </w:pPr>
      <w:r w:rsidRPr="00FF4B89">
        <w:rPr>
          <w:rFonts w:ascii="Times New Roman" w:hAnsi="Times New Roman"/>
          <w:bCs/>
          <w:sz w:val="24"/>
          <w:szCs w:val="24"/>
        </w:rPr>
        <w:t>Návrh zákona, kterým se mění zákon č. 108/2006 Sb., o sociálních službách, ve znění pozdějších předpisů</w:t>
      </w:r>
      <w:r w:rsidR="00DF3435">
        <w:rPr>
          <w:rFonts w:ascii="Times New Roman" w:hAnsi="Times New Roman"/>
          <w:bCs/>
          <w:sz w:val="24"/>
          <w:szCs w:val="24"/>
        </w:rPr>
        <w:t xml:space="preserve">, </w:t>
      </w:r>
      <w:r w:rsidR="00DF3435">
        <w:rPr>
          <w:rFonts w:ascii="Times New Roman" w:hAnsi="Times New Roman"/>
          <w:sz w:val="24"/>
          <w:szCs w:val="24"/>
        </w:rPr>
        <w:t>a zákon č. 292/2013 Sb., o zvláštních řízeních soudních, ve znění zákona č. 87/2015 Sb.</w:t>
      </w:r>
      <w:r w:rsidR="009668EC">
        <w:rPr>
          <w:rFonts w:ascii="Times New Roman" w:hAnsi="Times New Roman"/>
          <w:bCs/>
          <w:sz w:val="24"/>
          <w:szCs w:val="24"/>
        </w:rPr>
        <w:t xml:space="preserve"> </w:t>
      </w:r>
    </w:p>
    <w:p w:rsidR="007F76CC" w:rsidRPr="00FF4B89" w:rsidRDefault="007F76CC" w:rsidP="007F76CC">
      <w:pPr>
        <w:spacing w:after="0"/>
        <w:jc w:val="both"/>
        <w:rPr>
          <w:rFonts w:ascii="Times New Roman" w:hAnsi="Times New Roman"/>
          <w:b/>
          <w:sz w:val="24"/>
          <w:szCs w:val="24"/>
        </w:rPr>
      </w:pPr>
    </w:p>
    <w:p w:rsidR="007F76CC" w:rsidRPr="0068354B" w:rsidRDefault="001072EE" w:rsidP="00170FA7">
      <w:pPr>
        <w:pStyle w:val="Odstavecseseznamem"/>
        <w:numPr>
          <w:ilvl w:val="1"/>
          <w:numId w:val="2"/>
        </w:numPr>
        <w:spacing w:after="0"/>
        <w:ind w:left="420"/>
        <w:jc w:val="both"/>
        <w:rPr>
          <w:rFonts w:ascii="Times New Roman" w:hAnsi="Times New Roman"/>
          <w:b/>
          <w:sz w:val="24"/>
        </w:rPr>
      </w:pPr>
      <w:r w:rsidRPr="00FF4B89">
        <w:rPr>
          <w:rFonts w:ascii="Times New Roman" w:hAnsi="Times New Roman"/>
          <w:b/>
          <w:sz w:val="24"/>
          <w:szCs w:val="24"/>
        </w:rPr>
        <w:t>Definice problému</w:t>
      </w:r>
    </w:p>
    <w:p w:rsidR="009668EC" w:rsidRDefault="009668EC" w:rsidP="007F76CC">
      <w:pPr>
        <w:spacing w:after="0"/>
        <w:jc w:val="both"/>
        <w:rPr>
          <w:rFonts w:ascii="Times New Roman" w:hAnsi="Times New Roman"/>
          <w:sz w:val="24"/>
          <w:szCs w:val="24"/>
        </w:rPr>
      </w:pPr>
    </w:p>
    <w:p w:rsidR="009668EC" w:rsidRDefault="009668EC" w:rsidP="009668EC">
      <w:pPr>
        <w:spacing w:after="0"/>
        <w:jc w:val="both"/>
        <w:rPr>
          <w:rFonts w:ascii="Times New Roman" w:hAnsi="Times New Roman"/>
          <w:sz w:val="24"/>
          <w:szCs w:val="24"/>
        </w:rPr>
      </w:pPr>
      <w:r>
        <w:rPr>
          <w:rFonts w:ascii="Times New Roman" w:hAnsi="Times New Roman"/>
          <w:sz w:val="24"/>
          <w:szCs w:val="24"/>
        </w:rPr>
        <w:t>Zákon</w:t>
      </w:r>
      <w:r w:rsidRPr="009668EC">
        <w:rPr>
          <w:rFonts w:ascii="Times New Roman" w:hAnsi="Times New Roman"/>
          <w:sz w:val="24"/>
          <w:szCs w:val="24"/>
        </w:rPr>
        <w:t xml:space="preserve"> č. 292/2013 </w:t>
      </w:r>
      <w:r w:rsidR="00F66224">
        <w:rPr>
          <w:rFonts w:ascii="Times New Roman" w:hAnsi="Times New Roman"/>
          <w:sz w:val="24"/>
          <w:szCs w:val="24"/>
        </w:rPr>
        <w:t>S</w:t>
      </w:r>
      <w:r w:rsidRPr="009668EC">
        <w:rPr>
          <w:rFonts w:ascii="Times New Roman" w:hAnsi="Times New Roman"/>
          <w:sz w:val="24"/>
          <w:szCs w:val="24"/>
        </w:rPr>
        <w:t>b., o zvláštních řízeních soudních</w:t>
      </w:r>
      <w:r w:rsidR="00DF3435">
        <w:rPr>
          <w:rFonts w:ascii="Times New Roman" w:hAnsi="Times New Roman"/>
          <w:sz w:val="24"/>
          <w:szCs w:val="24"/>
        </w:rPr>
        <w:t>,</w:t>
      </w:r>
      <w:r w:rsidRPr="009668EC">
        <w:rPr>
          <w:rFonts w:ascii="Times New Roman" w:hAnsi="Times New Roman"/>
          <w:sz w:val="24"/>
          <w:szCs w:val="24"/>
        </w:rPr>
        <w:t xml:space="preserve"> (dále jen „zákon o zvláštních řízeních soudníc</w:t>
      </w:r>
      <w:r>
        <w:rPr>
          <w:rFonts w:ascii="Times New Roman" w:hAnsi="Times New Roman"/>
          <w:sz w:val="24"/>
          <w:szCs w:val="24"/>
        </w:rPr>
        <w:t>h“) a ani zákon</w:t>
      </w:r>
      <w:r w:rsidR="00DF3435">
        <w:rPr>
          <w:rFonts w:ascii="Times New Roman" w:hAnsi="Times New Roman"/>
          <w:sz w:val="24"/>
          <w:szCs w:val="24"/>
        </w:rPr>
        <w:t xml:space="preserve"> č. 108/2006 Sb., </w:t>
      </w:r>
      <w:r>
        <w:rPr>
          <w:rFonts w:ascii="Times New Roman" w:hAnsi="Times New Roman"/>
          <w:sz w:val="24"/>
          <w:szCs w:val="24"/>
        </w:rPr>
        <w:t>o sociálních službách</w:t>
      </w:r>
      <w:r w:rsidR="00DF3435">
        <w:rPr>
          <w:rFonts w:ascii="Times New Roman" w:hAnsi="Times New Roman"/>
          <w:sz w:val="24"/>
          <w:szCs w:val="24"/>
        </w:rPr>
        <w:t xml:space="preserve">, </w:t>
      </w:r>
      <w:r w:rsidR="00DF3435">
        <w:rPr>
          <w:rFonts w:ascii="Times New Roman" w:hAnsi="Times New Roman"/>
          <w:bCs/>
          <w:sz w:val="24"/>
          <w:szCs w:val="24"/>
        </w:rPr>
        <w:t>(dále jen „zákon o sociálních službách“)</w:t>
      </w:r>
      <w:r>
        <w:rPr>
          <w:rFonts w:ascii="Times New Roman" w:hAnsi="Times New Roman"/>
          <w:sz w:val="24"/>
          <w:szCs w:val="24"/>
        </w:rPr>
        <w:t xml:space="preserve"> nestanovují podrobnější právní úpravu</w:t>
      </w:r>
      <w:r w:rsidRPr="009668EC">
        <w:rPr>
          <w:rFonts w:ascii="Times New Roman" w:hAnsi="Times New Roman"/>
          <w:sz w:val="24"/>
          <w:szCs w:val="24"/>
        </w:rPr>
        <w:t xml:space="preserve">, která by </w:t>
      </w:r>
      <w:r>
        <w:rPr>
          <w:rFonts w:ascii="Times New Roman" w:hAnsi="Times New Roman"/>
          <w:sz w:val="24"/>
          <w:szCs w:val="24"/>
        </w:rPr>
        <w:t>upřesňovala</w:t>
      </w:r>
      <w:r w:rsidRPr="009668EC">
        <w:rPr>
          <w:rFonts w:ascii="Times New Roman" w:hAnsi="Times New Roman"/>
          <w:sz w:val="24"/>
          <w:szCs w:val="24"/>
        </w:rPr>
        <w:t xml:space="preserve"> podmínky, za kterých je držení v</w:t>
      </w:r>
      <w:r>
        <w:rPr>
          <w:rFonts w:ascii="Times New Roman" w:hAnsi="Times New Roman"/>
          <w:sz w:val="24"/>
          <w:szCs w:val="24"/>
        </w:rPr>
        <w:t xml:space="preserve"> sociálních službách přípustné. </w:t>
      </w:r>
    </w:p>
    <w:p w:rsidR="009668EC" w:rsidRDefault="009668EC" w:rsidP="009668EC">
      <w:pPr>
        <w:spacing w:after="0"/>
        <w:jc w:val="both"/>
        <w:rPr>
          <w:rFonts w:ascii="Times New Roman" w:hAnsi="Times New Roman"/>
          <w:sz w:val="24"/>
          <w:szCs w:val="24"/>
        </w:rPr>
      </w:pPr>
      <w:r w:rsidRPr="009668EC">
        <w:rPr>
          <w:rFonts w:ascii="Times New Roman" w:hAnsi="Times New Roman"/>
          <w:sz w:val="24"/>
          <w:szCs w:val="24"/>
        </w:rPr>
        <w:t>Podmínky, za nich</w:t>
      </w:r>
      <w:r w:rsidR="00DF3435">
        <w:rPr>
          <w:rFonts w:ascii="Times New Roman" w:hAnsi="Times New Roman"/>
          <w:sz w:val="24"/>
          <w:szCs w:val="24"/>
        </w:rPr>
        <w:t>ž</w:t>
      </w:r>
      <w:r w:rsidRPr="009668EC">
        <w:rPr>
          <w:rFonts w:ascii="Times New Roman" w:hAnsi="Times New Roman"/>
          <w:sz w:val="24"/>
          <w:szCs w:val="24"/>
        </w:rPr>
        <w:t xml:space="preserve"> je možné osobu zbavit osobní svobody, by měly být definovány zákonem jednoznačně. Toto vyplývá mimo jiné i z čl. 14 Úmluvy OSN o právech osob se zdravotním postižením a stanoviska Výboru OSN pro práva osob </w:t>
      </w:r>
      <w:r w:rsidRPr="00273DFF">
        <w:rPr>
          <w:rFonts w:ascii="Times New Roman" w:hAnsi="Times New Roman"/>
          <w:sz w:val="24"/>
          <w:szCs w:val="24"/>
        </w:rPr>
        <w:t>se zdravotním postižením.</w:t>
      </w:r>
      <w:r w:rsidR="00E92CA7" w:rsidRPr="00273DFF">
        <w:rPr>
          <w:rFonts w:ascii="Times New Roman" w:hAnsi="Times New Roman"/>
          <w:sz w:val="24"/>
          <w:szCs w:val="24"/>
        </w:rPr>
        <w:t xml:space="preserve"> Dále </w:t>
      </w:r>
      <w:r w:rsidR="00DC7D1B" w:rsidRPr="00273DFF">
        <w:rPr>
          <w:rFonts w:ascii="Times New Roman" w:hAnsi="Times New Roman"/>
          <w:sz w:val="24"/>
          <w:szCs w:val="24"/>
        </w:rPr>
        <w:t xml:space="preserve">nejsou pro potřeby poskytovatelů sociálních služeb nebo </w:t>
      </w:r>
      <w:r w:rsidR="00273DFF" w:rsidRPr="00273DFF">
        <w:rPr>
          <w:rFonts w:ascii="Times New Roman" w:hAnsi="Times New Roman"/>
          <w:sz w:val="24"/>
          <w:szCs w:val="24"/>
        </w:rPr>
        <w:t>opatrovníků či obecních úřadů obcí s rozšířenou působností</w:t>
      </w:r>
      <w:r w:rsidR="00E92CA7" w:rsidRPr="00273DFF">
        <w:rPr>
          <w:rFonts w:ascii="Times New Roman" w:hAnsi="Times New Roman"/>
          <w:sz w:val="24"/>
          <w:szCs w:val="24"/>
        </w:rPr>
        <w:t>, které uzavírají za osobu smlouvu</w:t>
      </w:r>
      <w:r w:rsidR="00F66224">
        <w:rPr>
          <w:rFonts w:ascii="Times New Roman" w:hAnsi="Times New Roman"/>
          <w:sz w:val="24"/>
          <w:szCs w:val="24"/>
        </w:rPr>
        <w:t xml:space="preserve"> o poskytnutí sociální služby</w:t>
      </w:r>
      <w:r w:rsidR="00DC7D1B" w:rsidRPr="00273DFF">
        <w:rPr>
          <w:rFonts w:ascii="Times New Roman" w:hAnsi="Times New Roman"/>
          <w:sz w:val="24"/>
          <w:szCs w:val="24"/>
        </w:rPr>
        <w:t>,</w:t>
      </w:r>
      <w:r w:rsidR="00E92CA7" w:rsidRPr="00273DFF">
        <w:rPr>
          <w:rFonts w:ascii="Times New Roman" w:hAnsi="Times New Roman"/>
          <w:sz w:val="24"/>
          <w:szCs w:val="24"/>
        </w:rPr>
        <w:t xml:space="preserve"> </w:t>
      </w:r>
      <w:r w:rsidR="00DC7D1B" w:rsidRPr="00273DFF">
        <w:rPr>
          <w:rFonts w:ascii="Times New Roman" w:hAnsi="Times New Roman"/>
          <w:sz w:val="24"/>
          <w:szCs w:val="24"/>
        </w:rPr>
        <w:t xml:space="preserve">stanoveny </w:t>
      </w:r>
      <w:r w:rsidR="00273DFF" w:rsidRPr="00273DFF">
        <w:rPr>
          <w:rFonts w:ascii="Times New Roman" w:hAnsi="Times New Roman"/>
          <w:sz w:val="24"/>
          <w:szCs w:val="24"/>
        </w:rPr>
        <w:t>jednoznačné</w:t>
      </w:r>
      <w:r w:rsidR="00E92CA7" w:rsidRPr="00273DFF">
        <w:rPr>
          <w:rFonts w:ascii="Times New Roman" w:hAnsi="Times New Roman"/>
          <w:sz w:val="24"/>
          <w:szCs w:val="24"/>
        </w:rPr>
        <w:t xml:space="preserve"> možnosti </w:t>
      </w:r>
      <w:r w:rsidR="00273DFF" w:rsidRPr="00273DFF">
        <w:rPr>
          <w:rFonts w:ascii="Times New Roman" w:hAnsi="Times New Roman"/>
          <w:sz w:val="24"/>
          <w:szCs w:val="24"/>
        </w:rPr>
        <w:t xml:space="preserve">pro </w:t>
      </w:r>
      <w:r w:rsidR="00E92CA7" w:rsidRPr="00273DFF">
        <w:rPr>
          <w:rFonts w:ascii="Times New Roman" w:hAnsi="Times New Roman"/>
          <w:sz w:val="24"/>
          <w:szCs w:val="24"/>
        </w:rPr>
        <w:t>uzavření smlouvy v případě nesouhlasu této osoby.</w:t>
      </w:r>
    </w:p>
    <w:p w:rsidR="009668EC" w:rsidRPr="00FF4B89" w:rsidRDefault="009668EC" w:rsidP="009668EC">
      <w:pPr>
        <w:spacing w:after="0"/>
        <w:jc w:val="both"/>
        <w:rPr>
          <w:rFonts w:ascii="Times New Roman" w:hAnsi="Times New Roman"/>
          <w:b/>
          <w:sz w:val="24"/>
          <w:szCs w:val="24"/>
        </w:rPr>
      </w:pPr>
    </w:p>
    <w:p w:rsidR="009668EC" w:rsidRDefault="009668EC" w:rsidP="007F76CC">
      <w:pPr>
        <w:spacing w:after="0"/>
        <w:jc w:val="both"/>
        <w:rPr>
          <w:rFonts w:ascii="Times New Roman" w:hAnsi="Times New Roman"/>
          <w:sz w:val="24"/>
          <w:szCs w:val="24"/>
        </w:rPr>
      </w:pPr>
    </w:p>
    <w:p w:rsidR="007F76CC" w:rsidRPr="00FF4B89" w:rsidRDefault="007F76CC" w:rsidP="00170FA7">
      <w:pPr>
        <w:pStyle w:val="Odstavecseseznamem"/>
        <w:numPr>
          <w:ilvl w:val="1"/>
          <w:numId w:val="4"/>
        </w:numPr>
        <w:spacing w:after="0"/>
        <w:jc w:val="both"/>
        <w:rPr>
          <w:rFonts w:ascii="Times New Roman" w:hAnsi="Times New Roman"/>
          <w:b/>
          <w:sz w:val="24"/>
          <w:szCs w:val="24"/>
        </w:rPr>
      </w:pPr>
      <w:r w:rsidRPr="00FF4B89">
        <w:rPr>
          <w:rFonts w:ascii="Times New Roman" w:hAnsi="Times New Roman"/>
          <w:b/>
          <w:sz w:val="24"/>
          <w:szCs w:val="24"/>
        </w:rPr>
        <w:t>Popis existujícíh</w:t>
      </w:r>
      <w:r w:rsidR="001072EE" w:rsidRPr="00FF4B89">
        <w:rPr>
          <w:rFonts w:ascii="Times New Roman" w:hAnsi="Times New Roman"/>
          <w:b/>
          <w:sz w:val="24"/>
          <w:szCs w:val="24"/>
        </w:rPr>
        <w:t>o právního stavu v dané oblasti</w:t>
      </w:r>
    </w:p>
    <w:p w:rsidR="007F76CC" w:rsidRPr="00FF4B89" w:rsidRDefault="007F76CC" w:rsidP="007F76CC">
      <w:pPr>
        <w:spacing w:after="0"/>
        <w:jc w:val="both"/>
        <w:rPr>
          <w:rFonts w:ascii="Times New Roman" w:hAnsi="Times New Roman"/>
          <w:b/>
          <w:sz w:val="24"/>
          <w:szCs w:val="24"/>
        </w:rPr>
      </w:pPr>
    </w:p>
    <w:p w:rsidR="009668EC" w:rsidRDefault="009668EC" w:rsidP="009668EC">
      <w:pPr>
        <w:spacing w:after="0"/>
        <w:jc w:val="both"/>
        <w:rPr>
          <w:rFonts w:ascii="Times New Roman" w:hAnsi="Times New Roman"/>
          <w:sz w:val="24"/>
          <w:szCs w:val="24"/>
        </w:rPr>
      </w:pPr>
      <w:r w:rsidRPr="009668EC">
        <w:rPr>
          <w:rFonts w:ascii="Times New Roman" w:hAnsi="Times New Roman"/>
          <w:sz w:val="24"/>
          <w:szCs w:val="24"/>
        </w:rPr>
        <w:t>Od 1. 1. 2014 v souvislosti s přijetím nového občanského zákoníku</w:t>
      </w:r>
      <w:r w:rsidR="00F66224" w:rsidRPr="00F66224">
        <w:rPr>
          <w:rFonts w:ascii="Times New Roman" w:hAnsi="Times New Roman"/>
          <w:sz w:val="24"/>
          <w:szCs w:val="24"/>
        </w:rPr>
        <w:t xml:space="preserve"> </w:t>
      </w:r>
      <w:r w:rsidR="00F66224" w:rsidRPr="009668EC">
        <w:rPr>
          <w:rFonts w:ascii="Times New Roman" w:hAnsi="Times New Roman"/>
          <w:sz w:val="24"/>
          <w:szCs w:val="24"/>
        </w:rPr>
        <w:t>nabyl</w:t>
      </w:r>
      <w:r w:rsidRPr="009668EC">
        <w:rPr>
          <w:rFonts w:ascii="Times New Roman" w:hAnsi="Times New Roman"/>
          <w:sz w:val="24"/>
          <w:szCs w:val="24"/>
        </w:rPr>
        <w:t xml:space="preserve"> účinnosti také zákon o zvláštních řízeních soudních, který v ustanovení § 84 </w:t>
      </w:r>
      <w:r w:rsidR="00F66224">
        <w:rPr>
          <w:rFonts w:ascii="Times New Roman" w:hAnsi="Times New Roman"/>
          <w:sz w:val="24"/>
          <w:szCs w:val="24"/>
        </w:rPr>
        <w:t>upravuje</w:t>
      </w:r>
      <w:r w:rsidRPr="009668EC">
        <w:rPr>
          <w:rFonts w:ascii="Times New Roman" w:hAnsi="Times New Roman"/>
          <w:sz w:val="24"/>
          <w:szCs w:val="24"/>
        </w:rPr>
        <w:t xml:space="preserve"> procesně právní pravidla pro řízení o vyslovení nepřípustnosti držení v zařízení sociálních služeb.</w:t>
      </w:r>
      <w:r>
        <w:rPr>
          <w:rFonts w:ascii="Times New Roman" w:hAnsi="Times New Roman"/>
          <w:sz w:val="24"/>
          <w:szCs w:val="24"/>
        </w:rPr>
        <w:t xml:space="preserve"> </w:t>
      </w:r>
      <w:r w:rsidRPr="009668EC">
        <w:rPr>
          <w:rFonts w:ascii="Times New Roman" w:hAnsi="Times New Roman"/>
          <w:sz w:val="24"/>
          <w:szCs w:val="24"/>
        </w:rPr>
        <w:t>Přestože důvodová zpráva k zákonu o zvláštních řízeních soudních uvádí poměrně podrobné podmínky, text samotného zákona není dostatečně určitý.</w:t>
      </w:r>
      <w:r>
        <w:rPr>
          <w:rFonts w:ascii="Times New Roman" w:hAnsi="Times New Roman"/>
          <w:sz w:val="24"/>
          <w:szCs w:val="24"/>
        </w:rPr>
        <w:t xml:space="preserve"> </w:t>
      </w:r>
      <w:r w:rsidR="008F1547">
        <w:rPr>
          <w:rFonts w:ascii="Times New Roman" w:hAnsi="Times New Roman"/>
          <w:sz w:val="24"/>
          <w:szCs w:val="24"/>
        </w:rPr>
        <w:t>Tímto vzniká potřeba zpřesnění právní úpravy.</w:t>
      </w:r>
    </w:p>
    <w:p w:rsidR="009668EC" w:rsidRDefault="009668EC" w:rsidP="009668EC">
      <w:pPr>
        <w:spacing w:after="0"/>
        <w:jc w:val="both"/>
        <w:rPr>
          <w:rFonts w:ascii="Times New Roman" w:hAnsi="Times New Roman"/>
          <w:sz w:val="24"/>
          <w:szCs w:val="24"/>
        </w:rPr>
      </w:pPr>
    </w:p>
    <w:p w:rsidR="007F76CC" w:rsidRPr="00FF4B89" w:rsidRDefault="009668EC" w:rsidP="009668EC">
      <w:pPr>
        <w:spacing w:after="0"/>
        <w:jc w:val="both"/>
        <w:rPr>
          <w:rFonts w:ascii="Times New Roman" w:hAnsi="Times New Roman"/>
          <w:b/>
          <w:sz w:val="24"/>
          <w:szCs w:val="24"/>
        </w:rPr>
      </w:pPr>
      <w:r>
        <w:rPr>
          <w:rFonts w:ascii="Times New Roman" w:hAnsi="Times New Roman"/>
          <w:b/>
          <w:sz w:val="24"/>
          <w:szCs w:val="24"/>
        </w:rPr>
        <w:t xml:space="preserve">1.4 </w:t>
      </w:r>
      <w:r w:rsidR="007F76CC" w:rsidRPr="00FF4B89">
        <w:rPr>
          <w:rFonts w:ascii="Times New Roman" w:hAnsi="Times New Roman"/>
          <w:b/>
          <w:sz w:val="24"/>
          <w:szCs w:val="24"/>
        </w:rPr>
        <w:t xml:space="preserve">Identifikace dotčených subjektů </w:t>
      </w:r>
    </w:p>
    <w:p w:rsidR="007F76CC" w:rsidRPr="00FF4B89" w:rsidRDefault="007F76CC" w:rsidP="007F76CC">
      <w:pPr>
        <w:spacing w:after="0"/>
        <w:jc w:val="both"/>
        <w:rPr>
          <w:rFonts w:ascii="Times New Roman" w:hAnsi="Times New Roman"/>
          <w:b/>
          <w:sz w:val="24"/>
          <w:szCs w:val="24"/>
        </w:rPr>
      </w:pPr>
    </w:p>
    <w:p w:rsidR="007F76CC" w:rsidRPr="00FF4B89" w:rsidRDefault="007F76CC" w:rsidP="007F76CC">
      <w:pPr>
        <w:widowControl w:val="0"/>
        <w:overflowPunct w:val="0"/>
        <w:autoSpaceDE w:val="0"/>
        <w:autoSpaceDN w:val="0"/>
        <w:adjustRightInd w:val="0"/>
        <w:spacing w:after="0"/>
        <w:jc w:val="both"/>
        <w:textAlignment w:val="baseline"/>
        <w:rPr>
          <w:rFonts w:ascii="Times New Roman" w:hAnsi="Times New Roman"/>
          <w:sz w:val="24"/>
          <w:szCs w:val="24"/>
        </w:rPr>
      </w:pPr>
      <w:r w:rsidRPr="00FF4B89">
        <w:rPr>
          <w:rFonts w:ascii="Times New Roman" w:hAnsi="Times New Roman"/>
          <w:b/>
          <w:sz w:val="24"/>
          <w:szCs w:val="24"/>
        </w:rPr>
        <w:t>MPSV</w:t>
      </w:r>
      <w:r w:rsidR="008F1547">
        <w:rPr>
          <w:rFonts w:ascii="Times New Roman" w:hAnsi="Times New Roman"/>
          <w:sz w:val="24"/>
          <w:szCs w:val="24"/>
        </w:rPr>
        <w:t xml:space="preserve"> – implementace</w:t>
      </w:r>
      <w:r w:rsidR="00DC7D1B">
        <w:rPr>
          <w:rFonts w:ascii="Times New Roman" w:hAnsi="Times New Roman"/>
          <w:sz w:val="24"/>
          <w:szCs w:val="24"/>
        </w:rPr>
        <w:t>, koordinační funkce a metodická</w:t>
      </w:r>
      <w:r w:rsidRPr="00FF4B89">
        <w:rPr>
          <w:rFonts w:ascii="Times New Roman" w:hAnsi="Times New Roman"/>
          <w:sz w:val="24"/>
          <w:szCs w:val="24"/>
        </w:rPr>
        <w:t xml:space="preserve"> práce, zvýší se nároky na metodickou podporu </w:t>
      </w:r>
      <w:r w:rsidR="008F1547">
        <w:rPr>
          <w:rFonts w:ascii="Times New Roman" w:hAnsi="Times New Roman"/>
          <w:sz w:val="24"/>
          <w:szCs w:val="24"/>
        </w:rPr>
        <w:t xml:space="preserve">poskytovatelům, krajským úřadům a obecním úřadům obce s rozšířenou působností. </w:t>
      </w:r>
    </w:p>
    <w:p w:rsidR="00FA2F75" w:rsidRPr="00FF4B89" w:rsidRDefault="00FA2F75" w:rsidP="007F76CC">
      <w:pPr>
        <w:widowControl w:val="0"/>
        <w:overflowPunct w:val="0"/>
        <w:autoSpaceDE w:val="0"/>
        <w:autoSpaceDN w:val="0"/>
        <w:adjustRightInd w:val="0"/>
        <w:spacing w:after="0"/>
        <w:jc w:val="both"/>
        <w:textAlignment w:val="baseline"/>
        <w:rPr>
          <w:rFonts w:ascii="Times New Roman" w:hAnsi="Times New Roman"/>
          <w:sz w:val="24"/>
          <w:szCs w:val="24"/>
        </w:rPr>
      </w:pPr>
    </w:p>
    <w:p w:rsidR="007F76CC" w:rsidRPr="00206C32" w:rsidRDefault="007F76CC" w:rsidP="007F76CC">
      <w:pPr>
        <w:widowControl w:val="0"/>
        <w:overflowPunct w:val="0"/>
        <w:autoSpaceDE w:val="0"/>
        <w:autoSpaceDN w:val="0"/>
        <w:adjustRightInd w:val="0"/>
        <w:spacing w:after="0"/>
        <w:jc w:val="both"/>
        <w:textAlignment w:val="baseline"/>
        <w:rPr>
          <w:rFonts w:ascii="Times New Roman" w:hAnsi="Times New Roman"/>
          <w:sz w:val="24"/>
          <w:szCs w:val="24"/>
        </w:rPr>
      </w:pPr>
      <w:r w:rsidRPr="00206C32">
        <w:rPr>
          <w:rFonts w:ascii="Times New Roman" w:hAnsi="Times New Roman"/>
          <w:b/>
          <w:sz w:val="24"/>
          <w:szCs w:val="24"/>
        </w:rPr>
        <w:t>Poskytovatelé sociálních služeb</w:t>
      </w:r>
      <w:r w:rsidRPr="00206C32">
        <w:rPr>
          <w:rFonts w:ascii="Times New Roman" w:hAnsi="Times New Roman"/>
          <w:sz w:val="24"/>
          <w:szCs w:val="24"/>
        </w:rPr>
        <w:t xml:space="preserve"> –</w:t>
      </w:r>
      <w:r w:rsidR="008F1547">
        <w:rPr>
          <w:rFonts w:ascii="Times New Roman" w:hAnsi="Times New Roman"/>
          <w:sz w:val="24"/>
          <w:szCs w:val="24"/>
        </w:rPr>
        <w:t xml:space="preserve"> </w:t>
      </w:r>
      <w:r w:rsidR="00DC7D1B">
        <w:rPr>
          <w:rFonts w:ascii="Times New Roman" w:hAnsi="Times New Roman"/>
          <w:sz w:val="24"/>
          <w:szCs w:val="24"/>
        </w:rPr>
        <w:t>zvýšení</w:t>
      </w:r>
      <w:r w:rsidRPr="00206C32">
        <w:rPr>
          <w:rFonts w:ascii="Times New Roman" w:hAnsi="Times New Roman"/>
          <w:sz w:val="24"/>
          <w:szCs w:val="24"/>
        </w:rPr>
        <w:t xml:space="preserve"> administrativy spojené </w:t>
      </w:r>
      <w:r w:rsidR="008F1547">
        <w:rPr>
          <w:rFonts w:ascii="Times New Roman" w:hAnsi="Times New Roman"/>
          <w:sz w:val="24"/>
          <w:szCs w:val="24"/>
        </w:rPr>
        <w:t>s povinností vedení evidence. Zpřesnění situací, ve kterých bude poskytovatel povinen podat oznámení soudu.</w:t>
      </w:r>
    </w:p>
    <w:p w:rsidR="00FA2F75" w:rsidRPr="00206C32" w:rsidRDefault="00FA2F75" w:rsidP="007F76CC">
      <w:pPr>
        <w:widowControl w:val="0"/>
        <w:overflowPunct w:val="0"/>
        <w:autoSpaceDE w:val="0"/>
        <w:autoSpaceDN w:val="0"/>
        <w:adjustRightInd w:val="0"/>
        <w:spacing w:after="0"/>
        <w:jc w:val="both"/>
        <w:textAlignment w:val="baseline"/>
        <w:rPr>
          <w:rFonts w:ascii="Times New Roman" w:hAnsi="Times New Roman"/>
          <w:sz w:val="24"/>
          <w:szCs w:val="24"/>
        </w:rPr>
      </w:pPr>
    </w:p>
    <w:p w:rsidR="007F76CC" w:rsidRDefault="008F1547" w:rsidP="007F76CC">
      <w:pPr>
        <w:widowControl w:val="0"/>
        <w:overflowPunct w:val="0"/>
        <w:autoSpaceDE w:val="0"/>
        <w:autoSpaceDN w:val="0"/>
        <w:adjustRightInd w:val="0"/>
        <w:spacing w:after="0"/>
        <w:jc w:val="both"/>
        <w:textAlignment w:val="baseline"/>
        <w:rPr>
          <w:rFonts w:ascii="Times New Roman" w:hAnsi="Times New Roman"/>
          <w:sz w:val="24"/>
          <w:szCs w:val="24"/>
        </w:rPr>
      </w:pPr>
      <w:r w:rsidRPr="00F13C88">
        <w:rPr>
          <w:rFonts w:ascii="Times New Roman" w:hAnsi="Times New Roman"/>
          <w:b/>
          <w:sz w:val="24"/>
          <w:szCs w:val="24"/>
        </w:rPr>
        <w:t>Obecní úřad obce s rozšířenou působností</w:t>
      </w:r>
      <w:r>
        <w:rPr>
          <w:rFonts w:ascii="Times New Roman" w:hAnsi="Times New Roman"/>
          <w:sz w:val="24"/>
          <w:szCs w:val="24"/>
        </w:rPr>
        <w:t xml:space="preserve"> – pokud</w:t>
      </w:r>
      <w:r w:rsidR="00F66224">
        <w:rPr>
          <w:rFonts w:ascii="Times New Roman" w:hAnsi="Times New Roman"/>
          <w:sz w:val="24"/>
          <w:szCs w:val="24"/>
        </w:rPr>
        <w:t xml:space="preserve"> byla</w:t>
      </w:r>
      <w:r>
        <w:rPr>
          <w:rFonts w:ascii="Times New Roman" w:hAnsi="Times New Roman"/>
          <w:sz w:val="24"/>
          <w:szCs w:val="24"/>
        </w:rPr>
        <w:t xml:space="preserve"> do současné doby zjišťov</w:t>
      </w:r>
      <w:r w:rsidR="00F66224">
        <w:rPr>
          <w:rFonts w:ascii="Times New Roman" w:hAnsi="Times New Roman"/>
          <w:sz w:val="24"/>
          <w:szCs w:val="24"/>
        </w:rPr>
        <w:t>ána</w:t>
      </w:r>
      <w:r>
        <w:rPr>
          <w:rFonts w:ascii="Times New Roman" w:hAnsi="Times New Roman"/>
          <w:sz w:val="24"/>
          <w:szCs w:val="24"/>
        </w:rPr>
        <w:t xml:space="preserve"> vůl</w:t>
      </w:r>
      <w:r w:rsidR="00F66224">
        <w:rPr>
          <w:rFonts w:ascii="Times New Roman" w:hAnsi="Times New Roman"/>
          <w:sz w:val="24"/>
          <w:szCs w:val="24"/>
        </w:rPr>
        <w:t>e</w:t>
      </w:r>
      <w:r>
        <w:rPr>
          <w:rFonts w:ascii="Times New Roman" w:hAnsi="Times New Roman"/>
          <w:sz w:val="24"/>
          <w:szCs w:val="24"/>
        </w:rPr>
        <w:t xml:space="preserve"> osoby, za kterou</w:t>
      </w:r>
      <w:r w:rsidR="00F66224">
        <w:rPr>
          <w:rFonts w:ascii="Times New Roman" w:hAnsi="Times New Roman"/>
          <w:sz w:val="24"/>
          <w:szCs w:val="24"/>
        </w:rPr>
        <w:t xml:space="preserve"> byla</w:t>
      </w:r>
      <w:r>
        <w:rPr>
          <w:rFonts w:ascii="Times New Roman" w:hAnsi="Times New Roman"/>
          <w:sz w:val="24"/>
          <w:szCs w:val="24"/>
        </w:rPr>
        <w:t xml:space="preserve"> uzavír</w:t>
      </w:r>
      <w:r w:rsidR="00F66224">
        <w:rPr>
          <w:rFonts w:ascii="Times New Roman" w:hAnsi="Times New Roman"/>
          <w:sz w:val="24"/>
          <w:szCs w:val="24"/>
        </w:rPr>
        <w:t>ána</w:t>
      </w:r>
      <w:r>
        <w:rPr>
          <w:rFonts w:ascii="Times New Roman" w:hAnsi="Times New Roman"/>
          <w:sz w:val="24"/>
          <w:szCs w:val="24"/>
        </w:rPr>
        <w:t xml:space="preserve"> smlouv</w:t>
      </w:r>
      <w:r w:rsidR="00F66224">
        <w:rPr>
          <w:rFonts w:ascii="Times New Roman" w:hAnsi="Times New Roman"/>
          <w:sz w:val="24"/>
          <w:szCs w:val="24"/>
        </w:rPr>
        <w:t>a</w:t>
      </w:r>
      <w:r>
        <w:rPr>
          <w:rFonts w:ascii="Times New Roman" w:hAnsi="Times New Roman"/>
          <w:sz w:val="24"/>
          <w:szCs w:val="24"/>
        </w:rPr>
        <w:t xml:space="preserve"> podle § 91 odst. 6 zákona o sociálních službách, nebude </w:t>
      </w:r>
      <w:r w:rsidR="00C71FC0">
        <w:rPr>
          <w:rFonts w:ascii="Times New Roman" w:hAnsi="Times New Roman"/>
          <w:sz w:val="24"/>
          <w:szCs w:val="24"/>
        </w:rPr>
        <w:t>navrhovaná úprava</w:t>
      </w:r>
      <w:r>
        <w:rPr>
          <w:rFonts w:ascii="Times New Roman" w:hAnsi="Times New Roman"/>
          <w:sz w:val="24"/>
          <w:szCs w:val="24"/>
        </w:rPr>
        <w:t xml:space="preserve"> představovat žádné zvýšené nároky. Pokud vůle osoby v této situaci zjišťována nebyla, bude </w:t>
      </w:r>
      <w:r w:rsidR="00C71FC0">
        <w:rPr>
          <w:rFonts w:ascii="Times New Roman" w:hAnsi="Times New Roman"/>
          <w:sz w:val="24"/>
          <w:szCs w:val="24"/>
        </w:rPr>
        <w:t>návrh</w:t>
      </w:r>
      <w:r>
        <w:rPr>
          <w:rFonts w:ascii="Times New Roman" w:hAnsi="Times New Roman"/>
          <w:sz w:val="24"/>
          <w:szCs w:val="24"/>
        </w:rPr>
        <w:t xml:space="preserve"> představovat zvýšené nárok</w:t>
      </w:r>
      <w:r w:rsidR="00F13C88">
        <w:rPr>
          <w:rFonts w:ascii="Times New Roman" w:hAnsi="Times New Roman"/>
          <w:sz w:val="24"/>
          <w:szCs w:val="24"/>
        </w:rPr>
        <w:t>y ve smyslu nutnosti zjištění vůle, případně existenc</w:t>
      </w:r>
      <w:r w:rsidR="00F66224">
        <w:rPr>
          <w:rFonts w:ascii="Times New Roman" w:hAnsi="Times New Roman"/>
          <w:sz w:val="24"/>
          <w:szCs w:val="24"/>
        </w:rPr>
        <w:t>e</w:t>
      </w:r>
      <w:r w:rsidR="00F13C88">
        <w:rPr>
          <w:rFonts w:ascii="Times New Roman" w:hAnsi="Times New Roman"/>
          <w:sz w:val="24"/>
          <w:szCs w:val="24"/>
        </w:rPr>
        <w:t xml:space="preserve"> podmínek pro uzavření smlouvy nebo změny smlouvy i bez souhlasu této osoby.</w:t>
      </w:r>
      <w:r w:rsidR="007F76CC" w:rsidRPr="00206C32">
        <w:rPr>
          <w:rFonts w:ascii="Times New Roman" w:hAnsi="Times New Roman"/>
          <w:sz w:val="24"/>
          <w:szCs w:val="24"/>
        </w:rPr>
        <w:tab/>
      </w:r>
    </w:p>
    <w:p w:rsidR="00C71FC0" w:rsidRDefault="00C71FC0" w:rsidP="007F76CC">
      <w:pPr>
        <w:widowControl w:val="0"/>
        <w:overflowPunct w:val="0"/>
        <w:autoSpaceDE w:val="0"/>
        <w:autoSpaceDN w:val="0"/>
        <w:adjustRightInd w:val="0"/>
        <w:spacing w:after="0"/>
        <w:jc w:val="both"/>
        <w:textAlignment w:val="baseline"/>
        <w:rPr>
          <w:rFonts w:ascii="Times New Roman" w:hAnsi="Times New Roman"/>
          <w:sz w:val="24"/>
          <w:szCs w:val="24"/>
        </w:rPr>
      </w:pPr>
    </w:p>
    <w:p w:rsidR="00C71FC0" w:rsidRPr="00206C32" w:rsidRDefault="00C71FC0" w:rsidP="007F76CC">
      <w:pPr>
        <w:widowControl w:val="0"/>
        <w:overflowPunct w:val="0"/>
        <w:autoSpaceDE w:val="0"/>
        <w:autoSpaceDN w:val="0"/>
        <w:adjustRightInd w:val="0"/>
        <w:spacing w:after="0"/>
        <w:jc w:val="both"/>
        <w:textAlignment w:val="baseline"/>
        <w:rPr>
          <w:rFonts w:ascii="Times New Roman" w:hAnsi="Times New Roman"/>
          <w:sz w:val="24"/>
          <w:szCs w:val="24"/>
        </w:rPr>
      </w:pPr>
    </w:p>
    <w:p w:rsidR="00F13C88" w:rsidRDefault="00F13C88" w:rsidP="007F76CC">
      <w:pPr>
        <w:widowControl w:val="0"/>
        <w:overflowPunct w:val="0"/>
        <w:autoSpaceDE w:val="0"/>
        <w:autoSpaceDN w:val="0"/>
        <w:adjustRightInd w:val="0"/>
        <w:spacing w:after="0"/>
        <w:jc w:val="both"/>
        <w:textAlignment w:val="baseline"/>
        <w:rPr>
          <w:rFonts w:ascii="Times New Roman" w:hAnsi="Times New Roman"/>
          <w:sz w:val="24"/>
          <w:szCs w:val="24"/>
        </w:rPr>
      </w:pPr>
      <w:r w:rsidRPr="00F13C88">
        <w:rPr>
          <w:rFonts w:ascii="Times New Roman" w:hAnsi="Times New Roman"/>
          <w:b/>
          <w:sz w:val="24"/>
          <w:szCs w:val="24"/>
        </w:rPr>
        <w:lastRenderedPageBreak/>
        <w:t>Opatrovníci</w:t>
      </w:r>
      <w:r>
        <w:rPr>
          <w:rFonts w:ascii="Times New Roman" w:hAnsi="Times New Roman"/>
          <w:sz w:val="24"/>
          <w:szCs w:val="24"/>
        </w:rPr>
        <w:t xml:space="preserve"> – opatrovníci jsou již v dnešní době povinni zjišťovat projev vůle osoby, za kterou právně jednají, zvýšení nároků na jejich činnost by mohlo přinést pouze posouzení, zda jsou plněny v konkrétním případě podmínky pro uzavřen</w:t>
      </w:r>
      <w:r w:rsidR="00DF3435">
        <w:rPr>
          <w:rFonts w:ascii="Times New Roman" w:hAnsi="Times New Roman"/>
          <w:sz w:val="24"/>
          <w:szCs w:val="24"/>
        </w:rPr>
        <w:t>í</w:t>
      </w:r>
      <w:r>
        <w:rPr>
          <w:rFonts w:ascii="Times New Roman" w:hAnsi="Times New Roman"/>
          <w:sz w:val="24"/>
          <w:szCs w:val="24"/>
        </w:rPr>
        <w:t xml:space="preserve"> smlouvy bez souhlasu osoby. </w:t>
      </w:r>
    </w:p>
    <w:p w:rsidR="00DF3435" w:rsidRDefault="00DF3435" w:rsidP="007F76CC">
      <w:pPr>
        <w:widowControl w:val="0"/>
        <w:overflowPunct w:val="0"/>
        <w:autoSpaceDE w:val="0"/>
        <w:autoSpaceDN w:val="0"/>
        <w:adjustRightInd w:val="0"/>
        <w:spacing w:after="0"/>
        <w:jc w:val="both"/>
        <w:textAlignment w:val="baseline"/>
        <w:rPr>
          <w:rFonts w:ascii="Times New Roman" w:hAnsi="Times New Roman"/>
          <w:sz w:val="24"/>
          <w:szCs w:val="24"/>
        </w:rPr>
      </w:pPr>
    </w:p>
    <w:p w:rsidR="007F76CC" w:rsidRPr="00206C32" w:rsidRDefault="007F76CC" w:rsidP="00170FA7">
      <w:pPr>
        <w:pStyle w:val="Odstavecseseznamem"/>
        <w:numPr>
          <w:ilvl w:val="1"/>
          <w:numId w:val="4"/>
        </w:numPr>
        <w:spacing w:after="0"/>
        <w:jc w:val="both"/>
        <w:rPr>
          <w:rFonts w:ascii="Times New Roman" w:hAnsi="Times New Roman"/>
          <w:b/>
          <w:sz w:val="24"/>
          <w:szCs w:val="24"/>
        </w:rPr>
      </w:pPr>
      <w:r w:rsidRPr="00206C32">
        <w:rPr>
          <w:rFonts w:ascii="Times New Roman" w:hAnsi="Times New Roman"/>
          <w:b/>
          <w:sz w:val="24"/>
          <w:szCs w:val="24"/>
        </w:rPr>
        <w:t xml:space="preserve">Popis cílového stavu </w:t>
      </w:r>
    </w:p>
    <w:p w:rsidR="007F76CC" w:rsidRPr="00206C32" w:rsidRDefault="007F76CC" w:rsidP="007F76CC">
      <w:pPr>
        <w:spacing w:after="0"/>
        <w:jc w:val="both"/>
        <w:rPr>
          <w:rFonts w:ascii="Times New Roman" w:hAnsi="Times New Roman"/>
          <w:b/>
          <w:sz w:val="24"/>
          <w:szCs w:val="24"/>
        </w:rPr>
      </w:pPr>
    </w:p>
    <w:p w:rsidR="00F13C88" w:rsidRDefault="005F2860" w:rsidP="005F2860">
      <w:pPr>
        <w:spacing w:after="0"/>
        <w:jc w:val="both"/>
        <w:rPr>
          <w:rFonts w:ascii="Times New Roman" w:hAnsi="Times New Roman"/>
          <w:sz w:val="24"/>
        </w:rPr>
      </w:pPr>
      <w:r w:rsidRPr="0068354B">
        <w:rPr>
          <w:rFonts w:ascii="Times New Roman" w:hAnsi="Times New Roman"/>
          <w:sz w:val="24"/>
        </w:rPr>
        <w:t xml:space="preserve">Navrhovanou </w:t>
      </w:r>
      <w:r w:rsidR="00F13C88">
        <w:rPr>
          <w:rFonts w:ascii="Times New Roman" w:hAnsi="Times New Roman"/>
          <w:sz w:val="24"/>
        </w:rPr>
        <w:t>změnou právní úpravy</w:t>
      </w:r>
      <w:r w:rsidRPr="0068354B">
        <w:rPr>
          <w:rFonts w:ascii="Times New Roman" w:hAnsi="Times New Roman"/>
          <w:sz w:val="24"/>
        </w:rPr>
        <w:t xml:space="preserve"> </w:t>
      </w:r>
      <w:r w:rsidR="00F66224">
        <w:rPr>
          <w:rFonts w:ascii="Times New Roman" w:hAnsi="Times New Roman"/>
          <w:sz w:val="24"/>
        </w:rPr>
        <w:t xml:space="preserve">zákona o sociálních službách </w:t>
      </w:r>
      <w:r w:rsidR="00F13C88">
        <w:rPr>
          <w:rFonts w:ascii="Times New Roman" w:hAnsi="Times New Roman"/>
          <w:sz w:val="24"/>
        </w:rPr>
        <w:t xml:space="preserve">budou </w:t>
      </w:r>
      <w:r w:rsidR="00DC7D1B">
        <w:rPr>
          <w:rFonts w:ascii="Times New Roman" w:hAnsi="Times New Roman"/>
          <w:sz w:val="24"/>
        </w:rPr>
        <w:t>definovány</w:t>
      </w:r>
      <w:r w:rsidR="00F13C88">
        <w:rPr>
          <w:rFonts w:ascii="Times New Roman" w:hAnsi="Times New Roman"/>
          <w:sz w:val="24"/>
        </w:rPr>
        <w:t xml:space="preserve"> podmínky, za kterých bude možné uzavřít smlouvu o poskytování sociální služby i bez souhlasu dané osoby. </w:t>
      </w:r>
    </w:p>
    <w:p w:rsidR="00F13C88" w:rsidRDefault="00F13C88" w:rsidP="005F2860">
      <w:pPr>
        <w:spacing w:after="0"/>
        <w:jc w:val="both"/>
        <w:rPr>
          <w:rFonts w:ascii="Times New Roman" w:hAnsi="Times New Roman"/>
          <w:sz w:val="24"/>
        </w:rPr>
      </w:pPr>
      <w:r>
        <w:rPr>
          <w:rFonts w:ascii="Times New Roman" w:hAnsi="Times New Roman"/>
          <w:sz w:val="24"/>
        </w:rPr>
        <w:t>Konkrétně budou doplněn</w:t>
      </w:r>
      <w:r w:rsidR="00F66224">
        <w:rPr>
          <w:rFonts w:ascii="Times New Roman" w:hAnsi="Times New Roman"/>
          <w:sz w:val="24"/>
        </w:rPr>
        <w:t>a ustanovení</w:t>
      </w:r>
    </w:p>
    <w:p w:rsidR="00F13C88" w:rsidRPr="00E92CA7" w:rsidRDefault="00F13C88"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xml:space="preserve">§ 91a stanovující možnost opatrovníka nebo obecního úřadu obce s rozšířenou působností (jestliže uzavírá smlouvu za osobu podle § 91 odst. 6 zákona o </w:t>
      </w:r>
      <w:r w:rsidR="00E92CA7">
        <w:rPr>
          <w:rFonts w:ascii="Times New Roman" w:hAnsi="Times New Roman"/>
          <w:sz w:val="24"/>
        </w:rPr>
        <w:t>sociální</w:t>
      </w:r>
      <w:r w:rsidRPr="00E92CA7">
        <w:rPr>
          <w:rFonts w:ascii="Times New Roman" w:hAnsi="Times New Roman"/>
          <w:sz w:val="24"/>
        </w:rPr>
        <w:t xml:space="preserve">ch službách) uzavřít smlouvu i bez souhlasu osoby pouze ve stanovených případech. </w:t>
      </w:r>
    </w:p>
    <w:p w:rsidR="00F13C88" w:rsidRPr="00E92CA7" w:rsidRDefault="00F13C88"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91b stanovuj</w:t>
      </w:r>
      <w:r w:rsidR="00F66224">
        <w:rPr>
          <w:rFonts w:ascii="Times New Roman" w:hAnsi="Times New Roman"/>
          <w:sz w:val="24"/>
        </w:rPr>
        <w:t>ící</w:t>
      </w:r>
      <w:r w:rsidRPr="00E92CA7">
        <w:rPr>
          <w:rFonts w:ascii="Times New Roman" w:hAnsi="Times New Roman"/>
          <w:sz w:val="24"/>
        </w:rPr>
        <w:t xml:space="preserve"> oznamovací povinnost poskytovateli sociálních služeb (včetně lhůty) ve vztahu k vyslovení vážně míněného nesouhlasu uživatele služby v případech, kdy sama není schopna vypovědět smlouvu. </w:t>
      </w:r>
    </w:p>
    <w:p w:rsidR="00F13C88" w:rsidRPr="00E92CA7" w:rsidRDefault="00F13C88"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91c st</w:t>
      </w:r>
      <w:r w:rsidR="00B120E5">
        <w:rPr>
          <w:rFonts w:ascii="Times New Roman" w:hAnsi="Times New Roman"/>
          <w:sz w:val="24"/>
        </w:rPr>
        <w:t>anovuj</w:t>
      </w:r>
      <w:r w:rsidR="00F66224">
        <w:rPr>
          <w:rFonts w:ascii="Times New Roman" w:hAnsi="Times New Roman"/>
          <w:sz w:val="24"/>
        </w:rPr>
        <w:t>ící</w:t>
      </w:r>
      <w:r w:rsidR="00B120E5">
        <w:rPr>
          <w:rFonts w:ascii="Times New Roman" w:hAnsi="Times New Roman"/>
          <w:sz w:val="24"/>
        </w:rPr>
        <w:t xml:space="preserve"> poskytovatelům sociální</w:t>
      </w:r>
      <w:r w:rsidRPr="00E92CA7">
        <w:rPr>
          <w:rFonts w:ascii="Times New Roman" w:hAnsi="Times New Roman"/>
          <w:sz w:val="24"/>
        </w:rPr>
        <w:t>ch služeb povinnost vedení evidence ve vztahu k  § 91b.</w:t>
      </w:r>
    </w:p>
    <w:p w:rsidR="005F2860" w:rsidRPr="0068354B" w:rsidRDefault="005F2860" w:rsidP="005F2860">
      <w:pPr>
        <w:spacing w:after="0"/>
        <w:jc w:val="both"/>
        <w:rPr>
          <w:rFonts w:ascii="Times New Roman" w:hAnsi="Times New Roman"/>
          <w:sz w:val="24"/>
        </w:rPr>
      </w:pPr>
    </w:p>
    <w:p w:rsidR="00DC7D1B" w:rsidRDefault="00DC7D1B" w:rsidP="005F2860">
      <w:pPr>
        <w:spacing w:after="0"/>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 xml:space="preserve">Navrhované změny v zákoně o sociálních službách budou mít také dopad na zákon o </w:t>
      </w:r>
      <w:r w:rsidR="00DF3435">
        <w:rPr>
          <w:rFonts w:ascii="Times New Roman" w:eastAsia="Times New Roman" w:hAnsi="Times New Roman"/>
          <w:bCs/>
          <w:sz w:val="24"/>
          <w:szCs w:val="24"/>
          <w:lang w:eastAsia="cs-CZ"/>
        </w:rPr>
        <w:t> </w:t>
      </w:r>
      <w:r>
        <w:rPr>
          <w:rFonts w:ascii="Times New Roman" w:eastAsia="Times New Roman" w:hAnsi="Times New Roman"/>
          <w:bCs/>
          <w:sz w:val="24"/>
          <w:szCs w:val="24"/>
          <w:lang w:eastAsia="cs-CZ"/>
        </w:rPr>
        <w:t>zvláštních řízeních soudních.</w:t>
      </w:r>
    </w:p>
    <w:p w:rsidR="00DC7D1B" w:rsidRPr="00206C32" w:rsidRDefault="00DC7D1B" w:rsidP="005F2860">
      <w:pPr>
        <w:spacing w:after="0"/>
        <w:jc w:val="both"/>
        <w:rPr>
          <w:rFonts w:ascii="Times New Roman" w:eastAsia="Times New Roman" w:hAnsi="Times New Roman"/>
          <w:bCs/>
          <w:sz w:val="24"/>
          <w:szCs w:val="24"/>
          <w:lang w:eastAsia="cs-CZ"/>
        </w:rPr>
      </w:pPr>
    </w:p>
    <w:p w:rsidR="007F76CC" w:rsidRPr="00206C32" w:rsidRDefault="005F2860" w:rsidP="00170FA7">
      <w:pPr>
        <w:pStyle w:val="Odstavecseseznamem"/>
        <w:numPr>
          <w:ilvl w:val="1"/>
          <w:numId w:val="4"/>
        </w:numPr>
        <w:spacing w:after="0"/>
        <w:jc w:val="both"/>
        <w:rPr>
          <w:rFonts w:ascii="Times New Roman" w:hAnsi="Times New Roman"/>
          <w:b/>
          <w:sz w:val="24"/>
          <w:szCs w:val="24"/>
        </w:rPr>
      </w:pPr>
      <w:r w:rsidRPr="00206C32">
        <w:rPr>
          <w:rFonts w:ascii="Times New Roman" w:hAnsi="Times New Roman"/>
          <w:b/>
          <w:sz w:val="24"/>
          <w:szCs w:val="24"/>
        </w:rPr>
        <w:t>Zhodnocení rizika</w:t>
      </w:r>
    </w:p>
    <w:p w:rsidR="007F76CC" w:rsidRPr="00206C32" w:rsidRDefault="007F76CC" w:rsidP="007F76CC">
      <w:pPr>
        <w:pStyle w:val="Bezmezer"/>
      </w:pPr>
    </w:p>
    <w:p w:rsidR="00E92CA7" w:rsidRDefault="007F76CC" w:rsidP="007F76CC">
      <w:pPr>
        <w:spacing w:after="0"/>
        <w:jc w:val="both"/>
        <w:rPr>
          <w:rFonts w:ascii="Times New Roman" w:hAnsi="Times New Roman"/>
          <w:sz w:val="24"/>
        </w:rPr>
      </w:pPr>
      <w:r w:rsidRPr="0068354B">
        <w:rPr>
          <w:rFonts w:ascii="Times New Roman" w:hAnsi="Times New Roman"/>
          <w:sz w:val="24"/>
        </w:rPr>
        <w:t>Současná legislativní úprava</w:t>
      </w:r>
      <w:r w:rsidR="00E92CA7">
        <w:rPr>
          <w:rFonts w:ascii="Times New Roman" w:hAnsi="Times New Roman"/>
          <w:sz w:val="24"/>
        </w:rPr>
        <w:t xml:space="preserve"> dostatečně nezaručuje ochranu práv na osobní svobodu a </w:t>
      </w:r>
      <w:r w:rsidR="00DC7D1B">
        <w:rPr>
          <w:rFonts w:ascii="Times New Roman" w:hAnsi="Times New Roman"/>
          <w:sz w:val="24"/>
        </w:rPr>
        <w:t xml:space="preserve">dále </w:t>
      </w:r>
      <w:r w:rsidR="00E92CA7">
        <w:rPr>
          <w:rFonts w:ascii="Times New Roman" w:hAnsi="Times New Roman"/>
          <w:sz w:val="24"/>
        </w:rPr>
        <w:t xml:space="preserve">nejsou </w:t>
      </w:r>
      <w:r w:rsidR="00DC7D1B">
        <w:rPr>
          <w:rFonts w:ascii="Times New Roman" w:hAnsi="Times New Roman"/>
          <w:sz w:val="24"/>
        </w:rPr>
        <w:t xml:space="preserve">dostatečně </w:t>
      </w:r>
      <w:r w:rsidR="00E92CA7">
        <w:rPr>
          <w:rFonts w:ascii="Times New Roman" w:hAnsi="Times New Roman"/>
          <w:sz w:val="24"/>
        </w:rPr>
        <w:t>naplněny legislativní podmínky pro situace, kdy je třeba toto právo omezit v souladu s čl. 5 Úmluvy o ochraně lidských práv a základních svobod. V této souvislosti by mohlo také docházet k</w:t>
      </w:r>
      <w:r w:rsidR="00DF3435">
        <w:rPr>
          <w:rFonts w:ascii="Times New Roman" w:hAnsi="Times New Roman"/>
          <w:sz w:val="24"/>
        </w:rPr>
        <w:t> žalobám na</w:t>
      </w:r>
      <w:r w:rsidR="00E92CA7">
        <w:rPr>
          <w:rFonts w:ascii="Times New Roman" w:hAnsi="Times New Roman"/>
          <w:sz w:val="24"/>
        </w:rPr>
        <w:t xml:space="preserve"> ČR </w:t>
      </w:r>
      <w:r w:rsidR="00E92CA7" w:rsidRPr="00DC7D1B">
        <w:rPr>
          <w:rFonts w:ascii="Times New Roman" w:hAnsi="Times New Roman"/>
          <w:sz w:val="24"/>
        </w:rPr>
        <w:t>před Evropským soudem pro lidsk</w:t>
      </w:r>
      <w:r w:rsidR="00DC7D1B" w:rsidRPr="00DC7D1B">
        <w:rPr>
          <w:rFonts w:ascii="Times New Roman" w:hAnsi="Times New Roman"/>
          <w:sz w:val="24"/>
        </w:rPr>
        <w:t>á</w:t>
      </w:r>
      <w:r w:rsidR="00E92CA7" w:rsidRPr="00DC7D1B">
        <w:rPr>
          <w:rFonts w:ascii="Times New Roman" w:hAnsi="Times New Roman"/>
          <w:sz w:val="24"/>
        </w:rPr>
        <w:t xml:space="preserve"> práva z</w:t>
      </w:r>
      <w:r w:rsidR="00E92CA7">
        <w:rPr>
          <w:rFonts w:ascii="Times New Roman" w:hAnsi="Times New Roman"/>
          <w:sz w:val="24"/>
        </w:rPr>
        <w:t xml:space="preserve"> důvodu nedostatečné aplikace dané legislativy, ke které se ČR zavázala. </w:t>
      </w:r>
    </w:p>
    <w:p w:rsidR="00E92CA7" w:rsidRDefault="00E92CA7" w:rsidP="007F76CC">
      <w:pPr>
        <w:spacing w:after="0"/>
        <w:jc w:val="both"/>
        <w:rPr>
          <w:rFonts w:ascii="Times New Roman" w:hAnsi="Times New Roman"/>
          <w:sz w:val="24"/>
        </w:rPr>
      </w:pPr>
    </w:p>
    <w:p w:rsidR="00E92CA7" w:rsidRDefault="00E92CA7" w:rsidP="007F76CC">
      <w:pPr>
        <w:spacing w:after="0"/>
        <w:jc w:val="both"/>
        <w:rPr>
          <w:rFonts w:ascii="Times New Roman" w:hAnsi="Times New Roman"/>
          <w:sz w:val="24"/>
        </w:rPr>
      </w:pPr>
      <w:r>
        <w:rPr>
          <w:rFonts w:ascii="Times New Roman" w:hAnsi="Times New Roman"/>
          <w:sz w:val="24"/>
        </w:rPr>
        <w:t>Navrhovaná úprava nepřináší nová rizika</w:t>
      </w:r>
      <w:r w:rsidR="00F66224">
        <w:rPr>
          <w:rFonts w:ascii="Times New Roman" w:hAnsi="Times New Roman"/>
          <w:sz w:val="24"/>
        </w:rPr>
        <w:t>.</w:t>
      </w:r>
    </w:p>
    <w:p w:rsidR="00E92CA7" w:rsidRDefault="00E92CA7" w:rsidP="007F76CC">
      <w:pPr>
        <w:spacing w:after="0"/>
        <w:jc w:val="both"/>
        <w:rPr>
          <w:rFonts w:ascii="Times New Roman" w:hAnsi="Times New Roman"/>
          <w:sz w:val="24"/>
        </w:rPr>
      </w:pPr>
    </w:p>
    <w:p w:rsidR="003C402E" w:rsidRDefault="003C402E" w:rsidP="007F76CC">
      <w:pPr>
        <w:spacing w:after="0"/>
        <w:jc w:val="both"/>
        <w:rPr>
          <w:rFonts w:ascii="Times New Roman" w:hAnsi="Times New Roman"/>
          <w:b/>
          <w:sz w:val="24"/>
          <w:szCs w:val="24"/>
        </w:rPr>
      </w:pPr>
    </w:p>
    <w:p w:rsidR="007F76CC" w:rsidRPr="00206C32" w:rsidRDefault="007F76CC" w:rsidP="007F76CC">
      <w:pPr>
        <w:spacing w:after="0"/>
        <w:jc w:val="both"/>
        <w:rPr>
          <w:rFonts w:ascii="Times New Roman" w:hAnsi="Times New Roman"/>
          <w:b/>
          <w:sz w:val="24"/>
          <w:szCs w:val="24"/>
        </w:rPr>
      </w:pPr>
      <w:r w:rsidRPr="00206C32">
        <w:rPr>
          <w:rFonts w:ascii="Times New Roman" w:hAnsi="Times New Roman"/>
          <w:b/>
          <w:sz w:val="24"/>
          <w:szCs w:val="24"/>
        </w:rPr>
        <w:t xml:space="preserve">2. </w:t>
      </w:r>
      <w:r w:rsidR="007B0412" w:rsidRPr="00206C32">
        <w:rPr>
          <w:rFonts w:ascii="Times New Roman" w:hAnsi="Times New Roman"/>
          <w:b/>
          <w:sz w:val="24"/>
          <w:szCs w:val="24"/>
        </w:rPr>
        <w:t xml:space="preserve"> Návrh variant řešení</w:t>
      </w:r>
    </w:p>
    <w:p w:rsidR="007F76CC" w:rsidRPr="00206C32" w:rsidRDefault="007F76CC" w:rsidP="007F76CC">
      <w:pPr>
        <w:spacing w:after="0"/>
        <w:jc w:val="both"/>
        <w:rPr>
          <w:rFonts w:ascii="Times New Roman" w:hAnsi="Times New Roman"/>
          <w:sz w:val="24"/>
          <w:szCs w:val="24"/>
          <w:u w:val="single"/>
        </w:rPr>
      </w:pPr>
    </w:p>
    <w:p w:rsidR="007F76CC" w:rsidRPr="00206C32" w:rsidRDefault="007F76CC" w:rsidP="007F76CC">
      <w:pPr>
        <w:spacing w:after="0"/>
        <w:jc w:val="both"/>
        <w:rPr>
          <w:rFonts w:ascii="Times New Roman" w:hAnsi="Times New Roman"/>
          <w:sz w:val="24"/>
          <w:szCs w:val="24"/>
          <w:u w:val="single"/>
        </w:rPr>
      </w:pPr>
      <w:r w:rsidRPr="00206C32">
        <w:rPr>
          <w:rFonts w:ascii="Times New Roman" w:hAnsi="Times New Roman"/>
          <w:sz w:val="24"/>
          <w:szCs w:val="24"/>
          <w:u w:val="single"/>
        </w:rPr>
        <w:t>Varianta 0</w:t>
      </w:r>
    </w:p>
    <w:p w:rsidR="00DC7D1B" w:rsidRDefault="00DC7D1B" w:rsidP="007F76CC">
      <w:pPr>
        <w:spacing w:after="0"/>
        <w:jc w:val="both"/>
        <w:rPr>
          <w:rFonts w:ascii="Times New Roman" w:hAnsi="Times New Roman"/>
          <w:sz w:val="24"/>
        </w:rPr>
      </w:pPr>
    </w:p>
    <w:p w:rsidR="007F76CC" w:rsidRPr="0068354B" w:rsidRDefault="007F76CC" w:rsidP="007F76CC">
      <w:pPr>
        <w:spacing w:after="0"/>
        <w:jc w:val="both"/>
        <w:rPr>
          <w:rFonts w:ascii="Times New Roman" w:hAnsi="Times New Roman"/>
          <w:sz w:val="24"/>
        </w:rPr>
      </w:pPr>
      <w:r w:rsidRPr="0068354B">
        <w:rPr>
          <w:rFonts w:ascii="Times New Roman" w:hAnsi="Times New Roman"/>
          <w:sz w:val="24"/>
        </w:rPr>
        <w:t xml:space="preserve">Nulová varianta předpokládá, že bude zachován současný stav. </w:t>
      </w:r>
      <w:r w:rsidR="00E92CA7">
        <w:rPr>
          <w:rFonts w:ascii="Times New Roman" w:hAnsi="Times New Roman"/>
          <w:sz w:val="24"/>
        </w:rPr>
        <w:t xml:space="preserve">Nebude dostatečně zajištěna ochrana osob, za které uzavírá smlouvu jiná osoba (opatrovník, obecní úřad obce s rozšířenou </w:t>
      </w:r>
      <w:r w:rsidR="00DC7D1B">
        <w:rPr>
          <w:rFonts w:ascii="Times New Roman" w:hAnsi="Times New Roman"/>
          <w:sz w:val="24"/>
        </w:rPr>
        <w:t>působností)</w:t>
      </w:r>
      <w:r w:rsidR="00E92CA7">
        <w:rPr>
          <w:rFonts w:ascii="Times New Roman" w:hAnsi="Times New Roman"/>
          <w:sz w:val="24"/>
        </w:rPr>
        <w:t>.</w:t>
      </w:r>
    </w:p>
    <w:p w:rsidR="007F76CC" w:rsidRPr="0068354B" w:rsidRDefault="007F76CC" w:rsidP="007F76CC">
      <w:pPr>
        <w:spacing w:after="0"/>
        <w:jc w:val="both"/>
        <w:rPr>
          <w:rFonts w:ascii="Times New Roman" w:hAnsi="Times New Roman"/>
          <w:sz w:val="24"/>
        </w:rPr>
      </w:pPr>
    </w:p>
    <w:p w:rsidR="007F76CC" w:rsidRDefault="007F76CC" w:rsidP="007F76CC">
      <w:pPr>
        <w:spacing w:after="0"/>
        <w:jc w:val="both"/>
        <w:rPr>
          <w:rFonts w:ascii="Times New Roman" w:hAnsi="Times New Roman"/>
          <w:sz w:val="24"/>
          <w:u w:val="single"/>
        </w:rPr>
      </w:pPr>
      <w:r w:rsidRPr="0068354B">
        <w:rPr>
          <w:rFonts w:ascii="Times New Roman" w:hAnsi="Times New Roman"/>
          <w:sz w:val="24"/>
          <w:u w:val="single"/>
        </w:rPr>
        <w:t>Varianta I.</w:t>
      </w:r>
    </w:p>
    <w:p w:rsidR="00E92CA7" w:rsidRDefault="00E92CA7" w:rsidP="007F76CC">
      <w:pPr>
        <w:spacing w:after="0"/>
        <w:jc w:val="both"/>
        <w:rPr>
          <w:rFonts w:ascii="Times New Roman" w:hAnsi="Times New Roman"/>
          <w:sz w:val="24"/>
          <w:u w:val="single"/>
        </w:rPr>
      </w:pPr>
    </w:p>
    <w:p w:rsidR="00E92CA7" w:rsidRPr="003D461F" w:rsidRDefault="00E92CA7" w:rsidP="007F76CC">
      <w:pPr>
        <w:spacing w:after="0"/>
        <w:jc w:val="both"/>
        <w:rPr>
          <w:rFonts w:ascii="Times New Roman" w:hAnsi="Times New Roman"/>
          <w:sz w:val="24"/>
        </w:rPr>
      </w:pPr>
      <w:r w:rsidRPr="003D461F">
        <w:rPr>
          <w:rFonts w:ascii="Times New Roman" w:hAnsi="Times New Roman"/>
          <w:sz w:val="24"/>
        </w:rPr>
        <w:t xml:space="preserve">V zákoně </w:t>
      </w:r>
      <w:r w:rsidR="00DC7D1B">
        <w:rPr>
          <w:rFonts w:ascii="Times New Roman" w:hAnsi="Times New Roman"/>
          <w:sz w:val="24"/>
        </w:rPr>
        <w:t xml:space="preserve">o sociálních službách (a </w:t>
      </w:r>
      <w:r w:rsidRPr="003D461F">
        <w:rPr>
          <w:rFonts w:ascii="Times New Roman" w:hAnsi="Times New Roman"/>
          <w:sz w:val="24"/>
        </w:rPr>
        <w:t>v návaznosti na to</w:t>
      </w:r>
      <w:r w:rsidR="00DC7D1B">
        <w:rPr>
          <w:rFonts w:ascii="Times New Roman" w:hAnsi="Times New Roman"/>
          <w:sz w:val="24"/>
        </w:rPr>
        <w:t xml:space="preserve"> i</w:t>
      </w:r>
      <w:r w:rsidRPr="003D461F">
        <w:rPr>
          <w:rFonts w:ascii="Times New Roman" w:hAnsi="Times New Roman"/>
          <w:sz w:val="24"/>
        </w:rPr>
        <w:t xml:space="preserve"> v zákoně o zvláštních řízeních soudních) budou doplněna nová ustanovení</w:t>
      </w:r>
      <w:r w:rsidR="00273DFF">
        <w:rPr>
          <w:rFonts w:ascii="Times New Roman" w:hAnsi="Times New Roman"/>
          <w:sz w:val="24"/>
        </w:rPr>
        <w:t xml:space="preserve">.  </w:t>
      </w:r>
      <w:r w:rsidR="002828CF">
        <w:rPr>
          <w:rFonts w:ascii="Times New Roman" w:hAnsi="Times New Roman"/>
          <w:sz w:val="24"/>
        </w:rPr>
        <w:t>J</w:t>
      </w:r>
      <w:r w:rsidR="00273DFF">
        <w:rPr>
          <w:rFonts w:ascii="Times New Roman" w:hAnsi="Times New Roman"/>
          <w:sz w:val="24"/>
        </w:rPr>
        <w:t>edná</w:t>
      </w:r>
      <w:r w:rsidR="002828CF">
        <w:rPr>
          <w:rFonts w:ascii="Times New Roman" w:hAnsi="Times New Roman"/>
          <w:sz w:val="24"/>
        </w:rPr>
        <w:t xml:space="preserve"> se</w:t>
      </w:r>
      <w:r w:rsidR="00273DFF">
        <w:rPr>
          <w:rFonts w:ascii="Times New Roman" w:hAnsi="Times New Roman"/>
          <w:sz w:val="24"/>
        </w:rPr>
        <w:t xml:space="preserve"> o</w:t>
      </w:r>
      <w:r w:rsidRPr="003D461F">
        <w:rPr>
          <w:rFonts w:ascii="Times New Roman" w:hAnsi="Times New Roman"/>
          <w:sz w:val="24"/>
        </w:rPr>
        <w:t xml:space="preserve"> zpřes</w:t>
      </w:r>
      <w:r w:rsidR="00F66224">
        <w:rPr>
          <w:rFonts w:ascii="Times New Roman" w:hAnsi="Times New Roman"/>
          <w:sz w:val="24"/>
        </w:rPr>
        <w:t>něn</w:t>
      </w:r>
      <w:r w:rsidRPr="003D461F">
        <w:rPr>
          <w:rFonts w:ascii="Times New Roman" w:hAnsi="Times New Roman"/>
          <w:sz w:val="24"/>
        </w:rPr>
        <w:t>í podmín</w:t>
      </w:r>
      <w:r w:rsidR="00F66224">
        <w:rPr>
          <w:rFonts w:ascii="Times New Roman" w:hAnsi="Times New Roman"/>
          <w:sz w:val="24"/>
        </w:rPr>
        <w:t>e</w:t>
      </w:r>
      <w:r w:rsidRPr="003D461F">
        <w:rPr>
          <w:rFonts w:ascii="Times New Roman" w:hAnsi="Times New Roman"/>
          <w:sz w:val="24"/>
        </w:rPr>
        <w:t xml:space="preserve">k, za kterých může být uzavřena smlouva o poskytování </w:t>
      </w:r>
      <w:r w:rsidR="00DC7D1B">
        <w:rPr>
          <w:rFonts w:ascii="Times New Roman" w:hAnsi="Times New Roman"/>
          <w:sz w:val="24"/>
        </w:rPr>
        <w:t xml:space="preserve">sociální </w:t>
      </w:r>
      <w:r w:rsidRPr="003D461F">
        <w:rPr>
          <w:rFonts w:ascii="Times New Roman" w:hAnsi="Times New Roman"/>
          <w:sz w:val="24"/>
        </w:rPr>
        <w:t>služby opatrovníkem nebo obecním úřadem obce s rozšířenou působností (§ 91 odst. 6 zákona o sociálních služb</w:t>
      </w:r>
      <w:r w:rsidR="00273DFF">
        <w:rPr>
          <w:rFonts w:ascii="Times New Roman" w:hAnsi="Times New Roman"/>
          <w:sz w:val="24"/>
        </w:rPr>
        <w:t xml:space="preserve">ách) i bez souhlasu této osoby. </w:t>
      </w:r>
      <w:r w:rsidR="002828CF">
        <w:rPr>
          <w:rFonts w:ascii="Times New Roman" w:hAnsi="Times New Roman"/>
          <w:sz w:val="24"/>
        </w:rPr>
        <w:t>Dále</w:t>
      </w:r>
      <w:r w:rsidR="00273DFF">
        <w:rPr>
          <w:rFonts w:ascii="Times New Roman" w:hAnsi="Times New Roman"/>
          <w:sz w:val="24"/>
        </w:rPr>
        <w:t xml:space="preserve"> bude doplněna </w:t>
      </w:r>
      <w:r w:rsidR="00DC7D1B" w:rsidRPr="003D461F">
        <w:rPr>
          <w:rFonts w:ascii="Times New Roman" w:hAnsi="Times New Roman"/>
          <w:sz w:val="24"/>
        </w:rPr>
        <w:t xml:space="preserve">oznamovací </w:t>
      </w:r>
      <w:r w:rsidRPr="003D461F">
        <w:rPr>
          <w:rFonts w:ascii="Times New Roman" w:hAnsi="Times New Roman"/>
          <w:sz w:val="24"/>
        </w:rPr>
        <w:t xml:space="preserve">povinnost poskytovatele sociálních služeb v případě, kdy osoba, která nemůže vypovědět smlouvu o poskytování sociální služby, projevila vážně </w:t>
      </w:r>
      <w:r w:rsidRPr="003D461F">
        <w:rPr>
          <w:rFonts w:ascii="Times New Roman" w:hAnsi="Times New Roman"/>
          <w:sz w:val="24"/>
        </w:rPr>
        <w:lastRenderedPageBreak/>
        <w:t xml:space="preserve">míněný nesouhlas s jejím </w:t>
      </w:r>
      <w:r w:rsidR="00273DFF">
        <w:rPr>
          <w:rFonts w:ascii="Times New Roman" w:hAnsi="Times New Roman"/>
          <w:sz w:val="24"/>
        </w:rPr>
        <w:t xml:space="preserve">poskytováním. </w:t>
      </w:r>
      <w:r w:rsidR="002828CF">
        <w:rPr>
          <w:rFonts w:ascii="Times New Roman" w:hAnsi="Times New Roman"/>
          <w:sz w:val="24"/>
        </w:rPr>
        <w:t>Rovněž</w:t>
      </w:r>
      <w:r w:rsidR="00273DFF">
        <w:rPr>
          <w:rFonts w:ascii="Times New Roman" w:hAnsi="Times New Roman"/>
          <w:sz w:val="24"/>
        </w:rPr>
        <w:t xml:space="preserve"> bude stanovena povinnost poskytovatele sociálních služeb vést evidenci </w:t>
      </w:r>
      <w:r w:rsidR="00273DFF" w:rsidRPr="00273DFF">
        <w:rPr>
          <w:rFonts w:ascii="Times New Roman" w:hAnsi="Times New Roman"/>
          <w:sz w:val="24"/>
        </w:rPr>
        <w:t>o osobách, kterým poskytuje pobytovou sociální službu na základě smlouvy, se kterou osoba nedala souhlas a byla uzavřena za okolností uvedených v</w:t>
      </w:r>
      <w:r w:rsidR="00A16C78">
        <w:rPr>
          <w:rFonts w:ascii="Times New Roman" w:hAnsi="Times New Roman"/>
          <w:sz w:val="24"/>
        </w:rPr>
        <w:t> </w:t>
      </w:r>
      <w:r w:rsidR="00273DFF" w:rsidRPr="00273DFF">
        <w:rPr>
          <w:rFonts w:ascii="Times New Roman" w:hAnsi="Times New Roman"/>
          <w:sz w:val="24"/>
        </w:rPr>
        <w:t>§</w:t>
      </w:r>
      <w:r w:rsidR="00A16C78">
        <w:rPr>
          <w:rFonts w:ascii="Times New Roman" w:hAnsi="Times New Roman"/>
          <w:sz w:val="24"/>
        </w:rPr>
        <w:t> </w:t>
      </w:r>
      <w:r w:rsidR="00273DFF" w:rsidRPr="00273DFF">
        <w:rPr>
          <w:rFonts w:ascii="Times New Roman" w:hAnsi="Times New Roman"/>
          <w:sz w:val="24"/>
        </w:rPr>
        <w:t>91a</w:t>
      </w:r>
      <w:r w:rsidR="00F66224">
        <w:rPr>
          <w:rFonts w:ascii="Times New Roman" w:hAnsi="Times New Roman"/>
          <w:sz w:val="24"/>
        </w:rPr>
        <w:t xml:space="preserve">, a to </w:t>
      </w:r>
      <w:r w:rsidR="00C71FC0">
        <w:rPr>
          <w:rFonts w:ascii="Times New Roman" w:hAnsi="Times New Roman"/>
          <w:sz w:val="24"/>
        </w:rPr>
        <w:t>pro účely</w:t>
      </w:r>
      <w:r w:rsidR="00F66224">
        <w:rPr>
          <w:rFonts w:ascii="Times New Roman" w:hAnsi="Times New Roman"/>
          <w:sz w:val="24"/>
        </w:rPr>
        <w:t> provádění inspekce sociálních služeb</w:t>
      </w:r>
      <w:r w:rsidR="00273DFF" w:rsidRPr="00273DFF">
        <w:rPr>
          <w:rFonts w:ascii="Times New Roman" w:hAnsi="Times New Roman"/>
          <w:sz w:val="24"/>
        </w:rPr>
        <w:t>.</w:t>
      </w:r>
    </w:p>
    <w:p w:rsidR="00E92CA7" w:rsidRDefault="00E92CA7" w:rsidP="00D92337">
      <w:pPr>
        <w:spacing w:after="0"/>
        <w:jc w:val="both"/>
        <w:rPr>
          <w:rFonts w:ascii="Times New Roman" w:hAnsi="Times New Roman"/>
          <w:sz w:val="24"/>
        </w:rPr>
      </w:pPr>
    </w:p>
    <w:p w:rsidR="00E92CA7" w:rsidRDefault="00E92CA7" w:rsidP="00E92CA7">
      <w:pPr>
        <w:spacing w:after="0"/>
        <w:jc w:val="both"/>
        <w:rPr>
          <w:rFonts w:ascii="Times New Roman" w:hAnsi="Times New Roman"/>
          <w:sz w:val="24"/>
        </w:rPr>
      </w:pPr>
      <w:r>
        <w:rPr>
          <w:rFonts w:ascii="Times New Roman" w:hAnsi="Times New Roman"/>
          <w:sz w:val="24"/>
        </w:rPr>
        <w:t>Konkrétně budou doplněn</w:t>
      </w:r>
      <w:r w:rsidR="00F66224">
        <w:rPr>
          <w:rFonts w:ascii="Times New Roman" w:hAnsi="Times New Roman"/>
          <w:sz w:val="24"/>
        </w:rPr>
        <w:t>a ustanovení</w:t>
      </w:r>
    </w:p>
    <w:p w:rsidR="00E92CA7" w:rsidRPr="00E92CA7" w:rsidRDefault="00E92CA7"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xml:space="preserve">§ 91a stanovující možnost opatrovníka nebo obecního úřadu obce s rozšířenou působností (jestliže uzavírá smlouvu za osobu podle § 91 odst. 6 zákona o </w:t>
      </w:r>
      <w:r>
        <w:rPr>
          <w:rFonts w:ascii="Times New Roman" w:hAnsi="Times New Roman"/>
          <w:sz w:val="24"/>
        </w:rPr>
        <w:t>sociální</w:t>
      </w:r>
      <w:r w:rsidRPr="00E92CA7">
        <w:rPr>
          <w:rFonts w:ascii="Times New Roman" w:hAnsi="Times New Roman"/>
          <w:sz w:val="24"/>
        </w:rPr>
        <w:t xml:space="preserve">ch službách) uzavřít smlouvu i bez souhlasu osoby pouze ve stanovených případech. </w:t>
      </w:r>
    </w:p>
    <w:p w:rsidR="00E92CA7" w:rsidRPr="00E92CA7" w:rsidRDefault="00E92CA7"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91b stanovuj</w:t>
      </w:r>
      <w:r w:rsidR="00F66224">
        <w:rPr>
          <w:rFonts w:ascii="Times New Roman" w:hAnsi="Times New Roman"/>
          <w:sz w:val="24"/>
        </w:rPr>
        <w:t>ící</w:t>
      </w:r>
      <w:r w:rsidRPr="00E92CA7">
        <w:rPr>
          <w:rFonts w:ascii="Times New Roman" w:hAnsi="Times New Roman"/>
          <w:sz w:val="24"/>
        </w:rPr>
        <w:t xml:space="preserve"> oznamovací povinnost poskytovateli sociálních služeb (včetně lhůty) ve vztahu k vyslovení vážně míněného nesouhlasu uživatele služby v případech, kdy sama není schopna vypovědět smlouvu. </w:t>
      </w:r>
    </w:p>
    <w:p w:rsidR="00E92CA7" w:rsidRDefault="00E92CA7" w:rsidP="00170FA7">
      <w:pPr>
        <w:pStyle w:val="Odstavecseseznamem"/>
        <w:numPr>
          <w:ilvl w:val="0"/>
          <w:numId w:val="5"/>
        </w:numPr>
        <w:spacing w:after="0"/>
        <w:jc w:val="both"/>
        <w:rPr>
          <w:rFonts w:ascii="Times New Roman" w:hAnsi="Times New Roman"/>
          <w:sz w:val="24"/>
        </w:rPr>
      </w:pPr>
      <w:r w:rsidRPr="00E92CA7">
        <w:rPr>
          <w:rFonts w:ascii="Times New Roman" w:hAnsi="Times New Roman"/>
          <w:sz w:val="24"/>
        </w:rPr>
        <w:t>§ 91c stanovuj</w:t>
      </w:r>
      <w:r w:rsidR="0078087C">
        <w:rPr>
          <w:rFonts w:ascii="Times New Roman" w:hAnsi="Times New Roman"/>
          <w:sz w:val="24"/>
        </w:rPr>
        <w:t>ící</w:t>
      </w:r>
      <w:r w:rsidRPr="00E92CA7">
        <w:rPr>
          <w:rFonts w:ascii="Times New Roman" w:hAnsi="Times New Roman"/>
          <w:sz w:val="24"/>
        </w:rPr>
        <w:t xml:space="preserve"> poskytovatelům sociálních služeb povinnost vedení evidence ve vztahu k návrhu uvedeném v § 91b.</w:t>
      </w:r>
    </w:p>
    <w:p w:rsidR="0078087C" w:rsidRDefault="0078087C" w:rsidP="0078087C">
      <w:pPr>
        <w:spacing w:after="0"/>
        <w:jc w:val="both"/>
        <w:rPr>
          <w:rFonts w:ascii="Times New Roman" w:hAnsi="Times New Roman"/>
          <w:sz w:val="24"/>
        </w:rPr>
      </w:pPr>
    </w:p>
    <w:p w:rsidR="0078087C" w:rsidRPr="0078087C" w:rsidRDefault="0078087C" w:rsidP="0078087C">
      <w:pPr>
        <w:spacing w:after="0"/>
        <w:jc w:val="both"/>
        <w:rPr>
          <w:rFonts w:ascii="Times New Roman" w:hAnsi="Times New Roman"/>
          <w:sz w:val="24"/>
        </w:rPr>
      </w:pPr>
      <w:r>
        <w:rPr>
          <w:rFonts w:ascii="Times New Roman" w:hAnsi="Times New Roman"/>
          <w:sz w:val="24"/>
        </w:rPr>
        <w:t>Současně se navrhuje upravit i zákon o zvláštních řízeních soudních.</w:t>
      </w:r>
    </w:p>
    <w:p w:rsidR="007F76CC" w:rsidRPr="00206C32" w:rsidRDefault="007F76CC" w:rsidP="007F76CC">
      <w:pPr>
        <w:spacing w:after="0"/>
        <w:jc w:val="both"/>
        <w:rPr>
          <w:rFonts w:ascii="Times New Roman" w:hAnsi="Times New Roman"/>
          <w:sz w:val="24"/>
          <w:szCs w:val="24"/>
          <w:u w:val="single"/>
        </w:rPr>
      </w:pPr>
    </w:p>
    <w:p w:rsidR="007F76CC" w:rsidRPr="00206C32" w:rsidRDefault="007F76CC" w:rsidP="007F76CC">
      <w:pPr>
        <w:spacing w:after="0"/>
        <w:jc w:val="both"/>
        <w:rPr>
          <w:rFonts w:ascii="Times New Roman" w:hAnsi="Times New Roman"/>
          <w:b/>
          <w:sz w:val="24"/>
          <w:szCs w:val="24"/>
        </w:rPr>
      </w:pPr>
      <w:r w:rsidRPr="00206C32">
        <w:rPr>
          <w:rFonts w:ascii="Times New Roman" w:hAnsi="Times New Roman"/>
          <w:b/>
          <w:caps/>
          <w:sz w:val="24"/>
          <w:szCs w:val="24"/>
        </w:rPr>
        <w:t xml:space="preserve">3. </w:t>
      </w:r>
      <w:r w:rsidRPr="00206C32">
        <w:rPr>
          <w:rFonts w:ascii="Times New Roman" w:hAnsi="Times New Roman"/>
          <w:b/>
          <w:sz w:val="24"/>
          <w:szCs w:val="24"/>
        </w:rPr>
        <w:t>Vyhodnocení nákladů a přínosů</w:t>
      </w:r>
    </w:p>
    <w:p w:rsidR="00D77A85" w:rsidRPr="00206C32" w:rsidRDefault="00D77A85" w:rsidP="007F76CC">
      <w:pPr>
        <w:spacing w:after="0"/>
        <w:jc w:val="both"/>
        <w:rPr>
          <w:rFonts w:ascii="Times New Roman" w:hAnsi="Times New Roman"/>
          <w:b/>
          <w:sz w:val="24"/>
          <w:szCs w:val="24"/>
        </w:rPr>
      </w:pPr>
    </w:p>
    <w:p w:rsidR="003D461F" w:rsidRDefault="001F5BF4" w:rsidP="007F76CC">
      <w:pPr>
        <w:jc w:val="both"/>
        <w:rPr>
          <w:rFonts w:ascii="Times New Roman" w:hAnsi="Times New Roman"/>
          <w:sz w:val="24"/>
        </w:rPr>
      </w:pPr>
      <w:r w:rsidRPr="00206C32">
        <w:rPr>
          <w:rFonts w:ascii="Times New Roman" w:hAnsi="Times New Roman"/>
          <w:sz w:val="24"/>
        </w:rPr>
        <w:t xml:space="preserve">Dopad na státní rozpočet je </w:t>
      </w:r>
      <w:r w:rsidR="003D461F">
        <w:rPr>
          <w:rFonts w:ascii="Times New Roman" w:hAnsi="Times New Roman"/>
          <w:sz w:val="24"/>
        </w:rPr>
        <w:t>nulový, neboť dochází pouze k upřesnění současných povinností.</w:t>
      </w:r>
    </w:p>
    <w:p w:rsidR="00206C32" w:rsidRPr="0068354B" w:rsidRDefault="00206C32" w:rsidP="0068354B">
      <w:pPr>
        <w:spacing w:after="0"/>
        <w:jc w:val="both"/>
        <w:rPr>
          <w:rFonts w:ascii="Times New Roman" w:hAnsi="Times New Roman"/>
          <w:sz w:val="24"/>
          <w:u w:val="single"/>
        </w:rPr>
      </w:pPr>
    </w:p>
    <w:p w:rsidR="007F76CC" w:rsidRPr="00FF4B89" w:rsidRDefault="007F76CC" w:rsidP="007F76CC">
      <w:pPr>
        <w:spacing w:after="0"/>
        <w:jc w:val="both"/>
        <w:rPr>
          <w:rFonts w:ascii="Times New Roman" w:hAnsi="Times New Roman"/>
          <w:b/>
          <w:sz w:val="24"/>
          <w:szCs w:val="24"/>
        </w:rPr>
      </w:pPr>
      <w:r w:rsidRPr="00FF4B89">
        <w:rPr>
          <w:rFonts w:ascii="Times New Roman" w:hAnsi="Times New Roman"/>
          <w:b/>
          <w:caps/>
          <w:sz w:val="24"/>
          <w:szCs w:val="24"/>
        </w:rPr>
        <w:t xml:space="preserve">4. </w:t>
      </w:r>
      <w:r w:rsidRPr="00FF4B89">
        <w:rPr>
          <w:rFonts w:ascii="Times New Roman" w:hAnsi="Times New Roman"/>
          <w:b/>
          <w:sz w:val="24"/>
          <w:szCs w:val="24"/>
        </w:rPr>
        <w:t>K</w:t>
      </w:r>
      <w:r w:rsidR="00D77A85" w:rsidRPr="00FF4B89">
        <w:rPr>
          <w:rFonts w:ascii="Times New Roman" w:hAnsi="Times New Roman"/>
          <w:b/>
          <w:sz w:val="24"/>
          <w:szCs w:val="24"/>
        </w:rPr>
        <w:t>onzultace</w:t>
      </w:r>
    </w:p>
    <w:p w:rsidR="007F76CC" w:rsidRDefault="007F76CC" w:rsidP="007F76CC">
      <w:pPr>
        <w:spacing w:after="0"/>
        <w:jc w:val="both"/>
        <w:rPr>
          <w:rFonts w:ascii="Times New Roman" w:hAnsi="Times New Roman"/>
          <w:sz w:val="24"/>
          <w:szCs w:val="24"/>
        </w:rPr>
      </w:pPr>
    </w:p>
    <w:p w:rsidR="003D461F" w:rsidRDefault="003D461F" w:rsidP="007F76CC">
      <w:pPr>
        <w:spacing w:after="0"/>
        <w:jc w:val="both"/>
        <w:rPr>
          <w:rFonts w:ascii="Times New Roman" w:hAnsi="Times New Roman"/>
          <w:sz w:val="24"/>
          <w:szCs w:val="24"/>
        </w:rPr>
      </w:pPr>
      <w:r w:rsidRPr="001D6EFC">
        <w:rPr>
          <w:rFonts w:ascii="Times New Roman" w:hAnsi="Times New Roman"/>
          <w:sz w:val="24"/>
          <w:szCs w:val="24"/>
        </w:rPr>
        <w:t xml:space="preserve">Byla vytvořena </w:t>
      </w:r>
      <w:r w:rsidR="001D6EFC" w:rsidRPr="001D6EFC">
        <w:rPr>
          <w:rFonts w:ascii="Times New Roman" w:hAnsi="Times New Roman"/>
          <w:sz w:val="24"/>
          <w:szCs w:val="24"/>
        </w:rPr>
        <w:t xml:space="preserve">meziresortní </w:t>
      </w:r>
      <w:r w:rsidRPr="001D6EFC">
        <w:rPr>
          <w:rFonts w:ascii="Times New Roman" w:hAnsi="Times New Roman"/>
          <w:sz w:val="24"/>
          <w:szCs w:val="24"/>
        </w:rPr>
        <w:t>pracovní skupina</w:t>
      </w:r>
      <w:r w:rsidR="00D2590B" w:rsidRPr="001D6EFC">
        <w:rPr>
          <w:rFonts w:ascii="Times New Roman" w:hAnsi="Times New Roman"/>
          <w:sz w:val="24"/>
          <w:szCs w:val="24"/>
        </w:rPr>
        <w:t xml:space="preserve">, která zpracovala návrh </w:t>
      </w:r>
      <w:r w:rsidR="001D6EFC" w:rsidRPr="001D6EFC">
        <w:rPr>
          <w:rFonts w:ascii="Times New Roman" w:hAnsi="Times New Roman"/>
          <w:sz w:val="24"/>
          <w:szCs w:val="24"/>
        </w:rPr>
        <w:t xml:space="preserve">změn zákona </w:t>
      </w:r>
      <w:r w:rsidR="001D6EFC">
        <w:rPr>
          <w:rFonts w:ascii="Times New Roman" w:hAnsi="Times New Roman"/>
          <w:sz w:val="24"/>
          <w:szCs w:val="24"/>
        </w:rPr>
        <w:t>o </w:t>
      </w:r>
      <w:r w:rsidR="001D6EFC" w:rsidRPr="001D6EFC">
        <w:rPr>
          <w:rFonts w:ascii="Times New Roman" w:hAnsi="Times New Roman"/>
          <w:sz w:val="24"/>
          <w:szCs w:val="24"/>
        </w:rPr>
        <w:t xml:space="preserve">sociálních službách a návrh změn zákona o zvláštních řízeních soudních. </w:t>
      </w:r>
      <w:r w:rsidR="001D6EFC">
        <w:rPr>
          <w:rFonts w:ascii="Times New Roman" w:hAnsi="Times New Roman"/>
          <w:sz w:val="24"/>
          <w:szCs w:val="24"/>
        </w:rPr>
        <w:t xml:space="preserve">Členy skupiny byly zástupci </w:t>
      </w:r>
      <w:r w:rsidR="00741ACB">
        <w:rPr>
          <w:rFonts w:ascii="Times New Roman" w:hAnsi="Times New Roman"/>
          <w:sz w:val="24"/>
          <w:szCs w:val="24"/>
        </w:rPr>
        <w:t>Ministerstva práce a sociálních věcí</w:t>
      </w:r>
      <w:r w:rsidR="00741ACB" w:rsidRPr="00741ACB">
        <w:rPr>
          <w:rFonts w:ascii="Times New Roman" w:hAnsi="Times New Roman"/>
          <w:sz w:val="24"/>
          <w:szCs w:val="24"/>
        </w:rPr>
        <w:t>, Ministerstv</w:t>
      </w:r>
      <w:r w:rsidR="00741ACB">
        <w:rPr>
          <w:rFonts w:ascii="Times New Roman" w:hAnsi="Times New Roman"/>
          <w:sz w:val="24"/>
          <w:szCs w:val="24"/>
        </w:rPr>
        <w:t>a spravedlnosti, Kanceláře veřejného ochránce práv</w:t>
      </w:r>
      <w:r w:rsidR="00741ACB" w:rsidRPr="00741ACB">
        <w:rPr>
          <w:rFonts w:ascii="Times New Roman" w:hAnsi="Times New Roman"/>
          <w:sz w:val="24"/>
          <w:szCs w:val="24"/>
        </w:rPr>
        <w:t>, Úřad</w:t>
      </w:r>
      <w:r w:rsidR="00741ACB">
        <w:rPr>
          <w:rFonts w:ascii="Times New Roman" w:hAnsi="Times New Roman"/>
          <w:sz w:val="24"/>
          <w:szCs w:val="24"/>
        </w:rPr>
        <w:t>u</w:t>
      </w:r>
      <w:r w:rsidR="00741ACB" w:rsidRPr="00741ACB">
        <w:rPr>
          <w:rFonts w:ascii="Times New Roman" w:hAnsi="Times New Roman"/>
          <w:sz w:val="24"/>
          <w:szCs w:val="24"/>
        </w:rPr>
        <w:t xml:space="preserve"> vlády, Kancelář</w:t>
      </w:r>
      <w:r w:rsidR="00741ACB">
        <w:rPr>
          <w:rFonts w:ascii="Times New Roman" w:hAnsi="Times New Roman"/>
          <w:sz w:val="24"/>
          <w:szCs w:val="24"/>
        </w:rPr>
        <w:t>e</w:t>
      </w:r>
      <w:r w:rsidR="00741ACB" w:rsidRPr="00741ACB">
        <w:rPr>
          <w:rFonts w:ascii="Times New Roman" w:hAnsi="Times New Roman"/>
          <w:sz w:val="24"/>
          <w:szCs w:val="24"/>
        </w:rPr>
        <w:t xml:space="preserve"> vládního zmocněnce pro zastupování České republiky před Evropsk</w:t>
      </w:r>
      <w:r w:rsidR="00741ACB">
        <w:rPr>
          <w:rFonts w:ascii="Times New Roman" w:hAnsi="Times New Roman"/>
          <w:sz w:val="24"/>
          <w:szCs w:val="24"/>
        </w:rPr>
        <w:t>ým soudem pro lidská práva, Ligy</w:t>
      </w:r>
      <w:r w:rsidR="00741ACB" w:rsidRPr="00741ACB">
        <w:rPr>
          <w:rFonts w:ascii="Times New Roman" w:hAnsi="Times New Roman"/>
          <w:sz w:val="24"/>
          <w:szCs w:val="24"/>
        </w:rPr>
        <w:t xml:space="preserve"> lidských práv, Nejvyšší</w:t>
      </w:r>
      <w:r w:rsidR="00741ACB">
        <w:rPr>
          <w:rFonts w:ascii="Times New Roman" w:hAnsi="Times New Roman"/>
          <w:sz w:val="24"/>
          <w:szCs w:val="24"/>
        </w:rPr>
        <w:t>ho</w:t>
      </w:r>
      <w:r w:rsidR="00741ACB" w:rsidRPr="00741ACB">
        <w:rPr>
          <w:rFonts w:ascii="Times New Roman" w:hAnsi="Times New Roman"/>
          <w:sz w:val="24"/>
          <w:szCs w:val="24"/>
        </w:rPr>
        <w:t xml:space="preserve"> státní</w:t>
      </w:r>
      <w:r w:rsidR="00741ACB">
        <w:rPr>
          <w:rFonts w:ascii="Times New Roman" w:hAnsi="Times New Roman"/>
          <w:sz w:val="24"/>
          <w:szCs w:val="24"/>
        </w:rPr>
        <w:t>ho</w:t>
      </w:r>
      <w:r w:rsidR="00741ACB" w:rsidRPr="00741ACB">
        <w:rPr>
          <w:rFonts w:ascii="Times New Roman" w:hAnsi="Times New Roman"/>
          <w:sz w:val="24"/>
          <w:szCs w:val="24"/>
        </w:rPr>
        <w:t xml:space="preserve"> zastupitelství.</w:t>
      </w:r>
      <w:r w:rsidR="00D373D0">
        <w:rPr>
          <w:rFonts w:ascii="Times New Roman" w:hAnsi="Times New Roman"/>
          <w:sz w:val="24"/>
          <w:szCs w:val="24"/>
        </w:rPr>
        <w:t xml:space="preserve"> Skupina </w:t>
      </w:r>
      <w:r w:rsidR="0078087C">
        <w:rPr>
          <w:rFonts w:ascii="Times New Roman" w:hAnsi="Times New Roman"/>
          <w:sz w:val="24"/>
          <w:szCs w:val="24"/>
        </w:rPr>
        <w:t>pracovala</w:t>
      </w:r>
      <w:r w:rsidR="009E7804">
        <w:rPr>
          <w:rFonts w:ascii="Times New Roman" w:hAnsi="Times New Roman"/>
          <w:sz w:val="24"/>
          <w:szCs w:val="24"/>
        </w:rPr>
        <w:t xml:space="preserve"> od poloviny ro</w:t>
      </w:r>
      <w:r w:rsidR="00741ACB">
        <w:rPr>
          <w:rFonts w:ascii="Times New Roman" w:hAnsi="Times New Roman"/>
          <w:sz w:val="24"/>
          <w:szCs w:val="24"/>
        </w:rPr>
        <w:t>ku 2014 do února 2015</w:t>
      </w:r>
      <w:r w:rsidR="00D373D0">
        <w:rPr>
          <w:rFonts w:ascii="Times New Roman" w:hAnsi="Times New Roman"/>
          <w:sz w:val="24"/>
          <w:szCs w:val="24"/>
        </w:rPr>
        <w:t xml:space="preserve">. </w:t>
      </w:r>
      <w:r w:rsidR="00D373D0" w:rsidRPr="00D373D0">
        <w:rPr>
          <w:rFonts w:ascii="Times New Roman" w:hAnsi="Times New Roman"/>
          <w:sz w:val="24"/>
          <w:szCs w:val="24"/>
        </w:rPr>
        <w:t xml:space="preserve">Oba návrhy byly následně </w:t>
      </w:r>
      <w:r w:rsidR="00D373D0">
        <w:rPr>
          <w:rFonts w:ascii="Times New Roman" w:hAnsi="Times New Roman"/>
          <w:sz w:val="24"/>
          <w:szCs w:val="24"/>
        </w:rPr>
        <w:t xml:space="preserve">předloženy k připomínkování expertní pracovní skupině fungující v rámci systémového projektu Ministerstva práce a sociálních věcí a jejich připomínky byly zapracovány. Členy skupiny byli odborníci z praxe z oblasti sociálních služeb a sociální politiky. </w:t>
      </w:r>
    </w:p>
    <w:p w:rsidR="00D373D0" w:rsidRDefault="00D373D0" w:rsidP="007F76CC">
      <w:pPr>
        <w:spacing w:after="0"/>
        <w:jc w:val="both"/>
        <w:rPr>
          <w:rFonts w:ascii="Times New Roman" w:hAnsi="Times New Roman"/>
          <w:sz w:val="24"/>
          <w:szCs w:val="24"/>
        </w:rPr>
      </w:pPr>
    </w:p>
    <w:p w:rsidR="007F76CC" w:rsidRPr="00D373D0" w:rsidRDefault="00741ACB" w:rsidP="00741ACB">
      <w:pPr>
        <w:spacing w:after="0"/>
        <w:jc w:val="both"/>
        <w:rPr>
          <w:rFonts w:ascii="Times New Roman" w:hAnsi="Times New Roman"/>
          <w:sz w:val="24"/>
          <w:szCs w:val="24"/>
        </w:rPr>
      </w:pPr>
      <w:r>
        <w:rPr>
          <w:rFonts w:ascii="Times New Roman" w:hAnsi="Times New Roman"/>
          <w:sz w:val="24"/>
          <w:szCs w:val="24"/>
        </w:rPr>
        <w:t>N</w:t>
      </w:r>
      <w:r w:rsidR="00D373D0">
        <w:rPr>
          <w:rFonts w:ascii="Times New Roman" w:hAnsi="Times New Roman"/>
          <w:sz w:val="24"/>
          <w:szCs w:val="24"/>
        </w:rPr>
        <w:t>ávrhy změn</w:t>
      </w:r>
      <w:r w:rsidR="003D461F" w:rsidRPr="00D373D0">
        <w:rPr>
          <w:rFonts w:ascii="Times New Roman" w:hAnsi="Times New Roman"/>
          <w:sz w:val="24"/>
          <w:szCs w:val="24"/>
        </w:rPr>
        <w:t xml:space="preserve"> </w:t>
      </w:r>
      <w:r w:rsidR="00D373D0">
        <w:rPr>
          <w:rFonts w:ascii="Times New Roman" w:hAnsi="Times New Roman"/>
          <w:sz w:val="24"/>
          <w:szCs w:val="24"/>
        </w:rPr>
        <w:t xml:space="preserve">obou </w:t>
      </w:r>
      <w:r w:rsidR="003D461F" w:rsidRPr="00D373D0">
        <w:rPr>
          <w:rFonts w:ascii="Times New Roman" w:hAnsi="Times New Roman"/>
          <w:sz w:val="24"/>
          <w:szCs w:val="24"/>
        </w:rPr>
        <w:t>zákon</w:t>
      </w:r>
      <w:r w:rsidR="00D373D0">
        <w:rPr>
          <w:rFonts w:ascii="Times New Roman" w:hAnsi="Times New Roman"/>
          <w:sz w:val="24"/>
          <w:szCs w:val="24"/>
        </w:rPr>
        <w:t>ů podpořil</w:t>
      </w:r>
      <w:r w:rsidR="00B120E5">
        <w:rPr>
          <w:rFonts w:ascii="Times New Roman" w:hAnsi="Times New Roman"/>
          <w:sz w:val="24"/>
          <w:szCs w:val="24"/>
        </w:rPr>
        <w:t xml:space="preserve"> i ministr spravedlnosti, JUDr. </w:t>
      </w:r>
      <w:r w:rsidR="00D373D0">
        <w:rPr>
          <w:rFonts w:ascii="Times New Roman" w:hAnsi="Times New Roman"/>
          <w:sz w:val="24"/>
          <w:szCs w:val="24"/>
        </w:rPr>
        <w:t>Robert Pelikán, a to dopisem ze dne 19. 5. 2015</w:t>
      </w:r>
      <w:r w:rsidR="00B120E5">
        <w:rPr>
          <w:rFonts w:ascii="Times New Roman" w:hAnsi="Times New Roman"/>
          <w:sz w:val="24"/>
          <w:szCs w:val="24"/>
        </w:rPr>
        <w:t xml:space="preserve"> adresovaným ministryni práce a </w:t>
      </w:r>
      <w:r w:rsidR="00D373D0">
        <w:rPr>
          <w:rFonts w:ascii="Times New Roman" w:hAnsi="Times New Roman"/>
          <w:sz w:val="24"/>
          <w:szCs w:val="24"/>
        </w:rPr>
        <w:t>sociálních věcí Mgr. Michaele Marksové. V červnu 2015 byly návrhy znovu projednány se zástupci Ministerstva</w:t>
      </w:r>
      <w:r w:rsidR="003D461F" w:rsidRPr="00D373D0">
        <w:rPr>
          <w:rFonts w:ascii="Times New Roman" w:hAnsi="Times New Roman"/>
          <w:sz w:val="24"/>
          <w:szCs w:val="24"/>
        </w:rPr>
        <w:t xml:space="preserve"> spravedlnosti</w:t>
      </w:r>
      <w:r w:rsidR="00D373D0">
        <w:rPr>
          <w:rFonts w:ascii="Times New Roman" w:hAnsi="Times New Roman"/>
          <w:sz w:val="24"/>
          <w:szCs w:val="24"/>
        </w:rPr>
        <w:t xml:space="preserve"> a bylo </w:t>
      </w:r>
      <w:r w:rsidR="002828CF">
        <w:rPr>
          <w:rFonts w:ascii="Times New Roman" w:hAnsi="Times New Roman"/>
          <w:sz w:val="24"/>
          <w:szCs w:val="24"/>
        </w:rPr>
        <w:t xml:space="preserve">dohodnuto </w:t>
      </w:r>
      <w:r w:rsidR="00D373D0">
        <w:rPr>
          <w:rFonts w:ascii="Times New Roman" w:hAnsi="Times New Roman"/>
          <w:sz w:val="24"/>
          <w:szCs w:val="24"/>
        </w:rPr>
        <w:t xml:space="preserve">finální znění. </w:t>
      </w:r>
    </w:p>
    <w:p w:rsidR="007F76CC" w:rsidRPr="003D461F" w:rsidRDefault="007F76CC" w:rsidP="007F76CC">
      <w:pPr>
        <w:spacing w:after="0"/>
        <w:jc w:val="both"/>
        <w:rPr>
          <w:rFonts w:ascii="Times New Roman" w:hAnsi="Times New Roman"/>
          <w:b/>
          <w:caps/>
          <w:sz w:val="24"/>
          <w:szCs w:val="24"/>
          <w:highlight w:val="yellow"/>
        </w:rPr>
      </w:pPr>
    </w:p>
    <w:p w:rsidR="007F76CC" w:rsidRPr="00273DFF" w:rsidRDefault="007F76CC" w:rsidP="007F76CC">
      <w:pPr>
        <w:spacing w:after="0"/>
        <w:jc w:val="both"/>
        <w:rPr>
          <w:rFonts w:ascii="Times New Roman" w:hAnsi="Times New Roman"/>
          <w:b/>
          <w:sz w:val="24"/>
          <w:szCs w:val="24"/>
        </w:rPr>
      </w:pPr>
      <w:r w:rsidRPr="00273DFF">
        <w:rPr>
          <w:rFonts w:ascii="Times New Roman" w:hAnsi="Times New Roman"/>
          <w:b/>
          <w:sz w:val="24"/>
          <w:szCs w:val="24"/>
        </w:rPr>
        <w:t>5. K</w:t>
      </w:r>
      <w:r w:rsidR="00D77A85" w:rsidRPr="00273DFF">
        <w:rPr>
          <w:rFonts w:ascii="Times New Roman" w:hAnsi="Times New Roman"/>
          <w:b/>
          <w:sz w:val="24"/>
          <w:szCs w:val="24"/>
        </w:rPr>
        <w:t>ontakty na zpracovatele RIA</w:t>
      </w:r>
    </w:p>
    <w:p w:rsidR="00D77A85" w:rsidRPr="00273DFF" w:rsidRDefault="00D77A85" w:rsidP="007F76CC">
      <w:pPr>
        <w:spacing w:after="0"/>
        <w:jc w:val="both"/>
        <w:rPr>
          <w:rFonts w:ascii="Times New Roman" w:hAnsi="Times New Roman"/>
          <w:b/>
          <w:sz w:val="24"/>
          <w:szCs w:val="24"/>
        </w:rPr>
      </w:pPr>
    </w:p>
    <w:p w:rsidR="007F76CC" w:rsidRPr="00273DFF" w:rsidRDefault="00273DFF" w:rsidP="007F76CC">
      <w:pPr>
        <w:spacing w:after="0"/>
        <w:jc w:val="both"/>
        <w:rPr>
          <w:rFonts w:ascii="Times New Roman" w:hAnsi="Times New Roman"/>
          <w:b/>
          <w:sz w:val="24"/>
          <w:szCs w:val="24"/>
          <w:u w:val="single"/>
        </w:rPr>
      </w:pPr>
      <w:r>
        <w:rPr>
          <w:rFonts w:ascii="Times New Roman" w:hAnsi="Times New Roman"/>
          <w:b/>
          <w:sz w:val="24"/>
          <w:szCs w:val="24"/>
          <w:u w:val="single"/>
        </w:rPr>
        <w:t>Závěrečnou zprávu RIA zpracoval</w:t>
      </w:r>
      <w:r w:rsidR="007F76CC" w:rsidRPr="00273DFF">
        <w:rPr>
          <w:rFonts w:ascii="Times New Roman" w:hAnsi="Times New Roman"/>
          <w:b/>
          <w:sz w:val="24"/>
          <w:szCs w:val="24"/>
          <w:u w:val="single"/>
        </w:rPr>
        <w:t xml:space="preserve">: </w:t>
      </w:r>
    </w:p>
    <w:p w:rsidR="00D77A85" w:rsidRPr="00273DFF" w:rsidRDefault="00D77A85" w:rsidP="007F76CC">
      <w:pPr>
        <w:spacing w:after="0"/>
        <w:jc w:val="both"/>
        <w:rPr>
          <w:rFonts w:ascii="Times New Roman" w:hAnsi="Times New Roman"/>
          <w:sz w:val="24"/>
          <w:szCs w:val="24"/>
        </w:rPr>
      </w:pPr>
    </w:p>
    <w:p w:rsidR="007F76CC" w:rsidRPr="00273DFF" w:rsidRDefault="00273DFF" w:rsidP="007F76CC">
      <w:pPr>
        <w:spacing w:after="0"/>
        <w:jc w:val="both"/>
        <w:rPr>
          <w:rFonts w:ascii="Times New Roman" w:hAnsi="Times New Roman"/>
          <w:sz w:val="24"/>
          <w:szCs w:val="24"/>
        </w:rPr>
      </w:pPr>
      <w:r w:rsidRPr="00273DFF">
        <w:rPr>
          <w:rFonts w:ascii="Times New Roman" w:hAnsi="Times New Roman"/>
          <w:sz w:val="24"/>
          <w:szCs w:val="24"/>
        </w:rPr>
        <w:t>Mgr. Jan Vrbický</w:t>
      </w:r>
    </w:p>
    <w:p w:rsidR="007F76CC" w:rsidRPr="00273DFF" w:rsidRDefault="00273DFF" w:rsidP="007F76CC">
      <w:pPr>
        <w:spacing w:after="0"/>
        <w:jc w:val="both"/>
        <w:rPr>
          <w:rFonts w:ascii="Times New Roman" w:hAnsi="Times New Roman"/>
          <w:sz w:val="24"/>
          <w:szCs w:val="24"/>
        </w:rPr>
      </w:pPr>
      <w:r w:rsidRPr="00273DFF">
        <w:rPr>
          <w:rFonts w:ascii="Times New Roman" w:hAnsi="Times New Roman"/>
          <w:sz w:val="24"/>
          <w:szCs w:val="24"/>
        </w:rPr>
        <w:t>Odbor sociálních služeb, sociální práce a sociálního začleňování</w:t>
      </w:r>
    </w:p>
    <w:p w:rsidR="007F76CC" w:rsidRPr="00273DFF" w:rsidRDefault="007F76CC" w:rsidP="007F76CC">
      <w:pPr>
        <w:spacing w:after="0"/>
        <w:jc w:val="both"/>
        <w:rPr>
          <w:rFonts w:ascii="Times New Roman" w:hAnsi="Times New Roman"/>
          <w:sz w:val="24"/>
          <w:szCs w:val="24"/>
        </w:rPr>
      </w:pPr>
      <w:r w:rsidRPr="00273DFF">
        <w:rPr>
          <w:rFonts w:ascii="Times New Roman" w:hAnsi="Times New Roman"/>
          <w:sz w:val="24"/>
          <w:szCs w:val="24"/>
        </w:rPr>
        <w:t>Ministerstvo práce a sociálních věcí ČR</w:t>
      </w:r>
    </w:p>
    <w:p w:rsidR="007F76CC" w:rsidRPr="00273DFF" w:rsidRDefault="007F76CC" w:rsidP="007F76CC">
      <w:pPr>
        <w:spacing w:after="0"/>
        <w:jc w:val="both"/>
        <w:rPr>
          <w:rFonts w:ascii="Times New Roman" w:hAnsi="Times New Roman"/>
          <w:sz w:val="24"/>
          <w:szCs w:val="24"/>
        </w:rPr>
      </w:pPr>
      <w:r w:rsidRPr="00273DFF">
        <w:rPr>
          <w:rFonts w:ascii="Times New Roman" w:hAnsi="Times New Roman"/>
          <w:sz w:val="24"/>
          <w:szCs w:val="24"/>
        </w:rPr>
        <w:t>Tel.: 221</w:t>
      </w:r>
      <w:r w:rsidR="00273DFF" w:rsidRPr="00273DFF">
        <w:rPr>
          <w:rFonts w:ascii="Times New Roman" w:hAnsi="Times New Roman"/>
          <w:sz w:val="24"/>
          <w:szCs w:val="24"/>
        </w:rPr>
        <w:t> </w:t>
      </w:r>
      <w:r w:rsidRPr="00273DFF">
        <w:rPr>
          <w:rFonts w:ascii="Times New Roman" w:hAnsi="Times New Roman"/>
          <w:sz w:val="24"/>
          <w:szCs w:val="24"/>
        </w:rPr>
        <w:t>92</w:t>
      </w:r>
      <w:r w:rsidR="00273DFF" w:rsidRPr="00273DFF">
        <w:rPr>
          <w:rFonts w:ascii="Times New Roman" w:hAnsi="Times New Roman"/>
          <w:sz w:val="24"/>
          <w:szCs w:val="24"/>
        </w:rPr>
        <w:t>4 539</w:t>
      </w:r>
    </w:p>
    <w:p w:rsidR="007F76CC" w:rsidRPr="00FF4B89" w:rsidRDefault="007F76CC" w:rsidP="007F76CC">
      <w:pPr>
        <w:spacing w:after="0"/>
        <w:jc w:val="both"/>
        <w:rPr>
          <w:rFonts w:ascii="Times New Roman" w:hAnsi="Times New Roman"/>
          <w:sz w:val="24"/>
          <w:szCs w:val="24"/>
        </w:rPr>
      </w:pPr>
      <w:r w:rsidRPr="00273DFF">
        <w:rPr>
          <w:rFonts w:ascii="Times New Roman" w:hAnsi="Times New Roman"/>
          <w:sz w:val="24"/>
          <w:szCs w:val="24"/>
        </w:rPr>
        <w:t xml:space="preserve">Email: </w:t>
      </w:r>
      <w:r w:rsidR="00273DFF" w:rsidRPr="00741ACB">
        <w:rPr>
          <w:rFonts w:ascii="Times New Roman" w:hAnsi="Times New Roman"/>
          <w:sz w:val="24"/>
        </w:rPr>
        <w:t>jan.vrbicky@mpsv.cz</w:t>
      </w:r>
      <w:r w:rsidRPr="00FF4B89">
        <w:rPr>
          <w:rFonts w:ascii="Times New Roman" w:hAnsi="Times New Roman"/>
          <w:sz w:val="24"/>
          <w:szCs w:val="24"/>
        </w:rPr>
        <w:t xml:space="preserve"> </w:t>
      </w:r>
    </w:p>
    <w:p w:rsidR="00627346" w:rsidRPr="00FF4B89" w:rsidRDefault="00627346" w:rsidP="00170FA7">
      <w:pPr>
        <w:pStyle w:val="Odstavecseseznamem"/>
        <w:numPr>
          <w:ilvl w:val="0"/>
          <w:numId w:val="1"/>
        </w:numPr>
        <w:spacing w:after="0"/>
        <w:ind w:left="426" w:hanging="426"/>
        <w:jc w:val="both"/>
        <w:rPr>
          <w:rFonts w:ascii="Times New Roman" w:hAnsi="Times New Roman"/>
          <w:b/>
          <w:sz w:val="24"/>
          <w:szCs w:val="24"/>
        </w:rPr>
      </w:pPr>
      <w:r w:rsidRPr="00FF4B89">
        <w:rPr>
          <w:rFonts w:ascii="Times New Roman" w:hAnsi="Times New Roman"/>
          <w:b/>
          <w:caps/>
          <w:sz w:val="24"/>
          <w:szCs w:val="24"/>
        </w:rPr>
        <w:lastRenderedPageBreak/>
        <w:t xml:space="preserve"> Zhodnocení souladu navrhované úpravy s ústavním pořádkem České republiky</w:t>
      </w:r>
    </w:p>
    <w:p w:rsidR="00627346" w:rsidRPr="00FF4B89" w:rsidRDefault="00627346" w:rsidP="00741ACB">
      <w:pPr>
        <w:spacing w:after="0"/>
        <w:ind w:left="357"/>
        <w:jc w:val="both"/>
        <w:rPr>
          <w:rFonts w:ascii="Times New Roman" w:hAnsi="Times New Roman"/>
          <w:sz w:val="24"/>
          <w:szCs w:val="24"/>
        </w:rPr>
      </w:pPr>
    </w:p>
    <w:p w:rsidR="00303E98" w:rsidRPr="00741ACB" w:rsidRDefault="00627346" w:rsidP="00416074">
      <w:pPr>
        <w:spacing w:after="0"/>
        <w:jc w:val="both"/>
        <w:rPr>
          <w:rFonts w:ascii="Times New Roman" w:hAnsi="Times New Roman"/>
          <w:sz w:val="24"/>
          <w:szCs w:val="24"/>
        </w:rPr>
      </w:pPr>
      <w:r w:rsidRPr="00FF4B89">
        <w:rPr>
          <w:rFonts w:ascii="Times New Roman" w:hAnsi="Times New Roman"/>
          <w:sz w:val="24"/>
          <w:szCs w:val="24"/>
        </w:rPr>
        <w:t>Navrhovaná úprava je v souladu s ústavním pořádkem České republiky</w:t>
      </w:r>
      <w:r w:rsidR="00B36165" w:rsidRPr="00FF4B89">
        <w:rPr>
          <w:rFonts w:ascii="Times New Roman" w:hAnsi="Times New Roman"/>
          <w:sz w:val="24"/>
          <w:szCs w:val="24"/>
        </w:rPr>
        <w:t>. Návrh zákona respektuje obecné zásady ústavního pořádku České republiky a není v rozporu s nálezy Ústavního soudu.</w:t>
      </w:r>
      <w:r w:rsidR="007E65B9">
        <w:rPr>
          <w:rFonts w:ascii="Times New Roman" w:hAnsi="Times New Roman"/>
          <w:sz w:val="24"/>
          <w:szCs w:val="24"/>
        </w:rPr>
        <w:t xml:space="preserve"> </w:t>
      </w:r>
      <w:r w:rsidR="00303E98" w:rsidRPr="00741ACB">
        <w:rPr>
          <w:rFonts w:ascii="Times New Roman" w:hAnsi="Times New Roman"/>
          <w:sz w:val="24"/>
          <w:szCs w:val="24"/>
        </w:rPr>
        <w:t xml:space="preserve">Neoprávněné držení </w:t>
      </w:r>
      <w:r w:rsidR="002828CF">
        <w:rPr>
          <w:rFonts w:ascii="Times New Roman" w:hAnsi="Times New Roman"/>
          <w:sz w:val="24"/>
          <w:szCs w:val="24"/>
        </w:rPr>
        <w:t xml:space="preserve">osoby </w:t>
      </w:r>
      <w:r w:rsidR="00303E98" w:rsidRPr="00741ACB">
        <w:rPr>
          <w:rFonts w:ascii="Times New Roman" w:hAnsi="Times New Roman"/>
          <w:sz w:val="24"/>
          <w:szCs w:val="24"/>
        </w:rPr>
        <w:t>v zařízení sociálních služeb omezuje</w:t>
      </w:r>
      <w:r w:rsidR="002828CF">
        <w:rPr>
          <w:rFonts w:ascii="Times New Roman" w:hAnsi="Times New Roman"/>
          <w:sz w:val="24"/>
          <w:szCs w:val="24"/>
        </w:rPr>
        <w:t xml:space="preserve"> její </w:t>
      </w:r>
      <w:r w:rsidR="00303E98" w:rsidRPr="00741ACB">
        <w:rPr>
          <w:rFonts w:ascii="Times New Roman" w:hAnsi="Times New Roman"/>
          <w:sz w:val="24"/>
          <w:szCs w:val="24"/>
        </w:rPr>
        <w:t xml:space="preserve">právo na osobní svobodu. Právo na osobní svobodu je zaručeno právním řádem České republiky, především v čl. 8 Listiny základních práv </w:t>
      </w:r>
      <w:r w:rsidR="00303E98">
        <w:rPr>
          <w:rFonts w:ascii="Times New Roman" w:hAnsi="Times New Roman"/>
          <w:sz w:val="24"/>
          <w:szCs w:val="24"/>
        </w:rPr>
        <w:t>a svobod (zákona č. 2/1993 Sb.).</w:t>
      </w:r>
      <w:r w:rsidR="00350A48">
        <w:rPr>
          <w:rFonts w:ascii="Times New Roman" w:hAnsi="Times New Roman"/>
          <w:sz w:val="24"/>
          <w:szCs w:val="24"/>
        </w:rPr>
        <w:t xml:space="preserve"> Podle ustanovení tohoto článku Listiny může zákon stanovit podmínky a způsob omezení osobní svobody člověka.</w:t>
      </w:r>
    </w:p>
    <w:p w:rsidR="00303E98" w:rsidRDefault="00303E98" w:rsidP="00741ACB">
      <w:pPr>
        <w:spacing w:after="0"/>
        <w:jc w:val="both"/>
        <w:rPr>
          <w:rFonts w:ascii="Times New Roman" w:hAnsi="Times New Roman"/>
          <w:sz w:val="24"/>
          <w:szCs w:val="24"/>
        </w:rPr>
      </w:pPr>
    </w:p>
    <w:p w:rsidR="00627346" w:rsidRPr="00FF4B89" w:rsidRDefault="00627346" w:rsidP="00170FA7">
      <w:pPr>
        <w:pStyle w:val="Odstavecseseznamem"/>
        <w:numPr>
          <w:ilvl w:val="0"/>
          <w:numId w:val="1"/>
        </w:numPr>
        <w:spacing w:after="0"/>
        <w:ind w:left="425" w:hanging="425"/>
        <w:jc w:val="both"/>
        <w:rPr>
          <w:rFonts w:ascii="Times New Roman" w:hAnsi="Times New Roman"/>
          <w:b/>
          <w:caps/>
          <w:sz w:val="24"/>
          <w:szCs w:val="24"/>
        </w:rPr>
      </w:pPr>
      <w:r w:rsidRPr="00FF4B89">
        <w:rPr>
          <w:rFonts w:ascii="Times New Roman" w:hAnsi="Times New Roman"/>
          <w:b/>
          <w:caps/>
          <w:sz w:val="24"/>
          <w:szCs w:val="24"/>
        </w:rPr>
        <w:t xml:space="preserve">Zhodnocení souladu navrhované úpravy s mezinárodními smlouvami, slučitelnost s právními akty EU  </w:t>
      </w:r>
    </w:p>
    <w:p w:rsidR="00FB18A5" w:rsidRDefault="00FB18A5" w:rsidP="00E90169">
      <w:pPr>
        <w:spacing w:after="0"/>
        <w:jc w:val="both"/>
        <w:rPr>
          <w:rFonts w:ascii="Times New Roman" w:hAnsi="Times New Roman"/>
          <w:sz w:val="24"/>
          <w:szCs w:val="24"/>
        </w:rPr>
      </w:pPr>
    </w:p>
    <w:p w:rsidR="00FB18A5" w:rsidRDefault="00FB18A5" w:rsidP="00E90169">
      <w:pPr>
        <w:spacing w:after="0"/>
        <w:jc w:val="both"/>
        <w:rPr>
          <w:rFonts w:ascii="Times New Roman" w:hAnsi="Times New Roman"/>
          <w:sz w:val="24"/>
          <w:szCs w:val="24"/>
        </w:rPr>
      </w:pPr>
      <w:r>
        <w:rPr>
          <w:rFonts w:ascii="Times New Roman" w:hAnsi="Times New Roman"/>
          <w:sz w:val="24"/>
          <w:szCs w:val="24"/>
        </w:rPr>
        <w:t xml:space="preserve">Navrhovaná právní úprava je v souladu s Úmluvou o ochraně lidských práv </w:t>
      </w:r>
      <w:r w:rsidR="00303E98">
        <w:rPr>
          <w:rFonts w:ascii="Times New Roman" w:hAnsi="Times New Roman"/>
          <w:sz w:val="24"/>
          <w:szCs w:val="24"/>
        </w:rPr>
        <w:t xml:space="preserve">a </w:t>
      </w:r>
      <w:r>
        <w:rPr>
          <w:rFonts w:ascii="Times New Roman" w:hAnsi="Times New Roman"/>
          <w:sz w:val="24"/>
          <w:szCs w:val="24"/>
        </w:rPr>
        <w:t>základních svobod</w:t>
      </w:r>
      <w:r w:rsidR="00303E98">
        <w:rPr>
          <w:rFonts w:ascii="Times New Roman" w:hAnsi="Times New Roman"/>
          <w:sz w:val="24"/>
          <w:szCs w:val="24"/>
        </w:rPr>
        <w:t>,</w:t>
      </w:r>
      <w:r>
        <w:rPr>
          <w:rFonts w:ascii="Times New Roman" w:hAnsi="Times New Roman"/>
          <w:sz w:val="24"/>
          <w:szCs w:val="24"/>
        </w:rPr>
        <w:t xml:space="preserve"> s judikaturou Evropského soudu pro lidská práva v dané </w:t>
      </w:r>
      <w:r w:rsidR="00303E98">
        <w:rPr>
          <w:rFonts w:ascii="Times New Roman" w:hAnsi="Times New Roman"/>
          <w:sz w:val="24"/>
          <w:szCs w:val="24"/>
        </w:rPr>
        <w:t>věci a</w:t>
      </w:r>
      <w:r>
        <w:rPr>
          <w:rFonts w:ascii="Times New Roman" w:hAnsi="Times New Roman"/>
          <w:sz w:val="24"/>
          <w:szCs w:val="24"/>
        </w:rPr>
        <w:t xml:space="preserve"> Úmluvou OSN o</w:t>
      </w:r>
      <w:r w:rsidR="00C71FC0">
        <w:rPr>
          <w:rFonts w:ascii="Times New Roman" w:hAnsi="Times New Roman"/>
          <w:sz w:val="24"/>
          <w:szCs w:val="24"/>
        </w:rPr>
        <w:t> </w:t>
      </w:r>
      <w:r>
        <w:rPr>
          <w:rFonts w:ascii="Times New Roman" w:hAnsi="Times New Roman"/>
          <w:sz w:val="24"/>
          <w:szCs w:val="24"/>
        </w:rPr>
        <w:t>právech osob se zdravotním postižením.</w:t>
      </w:r>
    </w:p>
    <w:p w:rsidR="00FB18A5" w:rsidRDefault="00FB18A5" w:rsidP="00E90169">
      <w:pPr>
        <w:spacing w:after="0"/>
        <w:jc w:val="both"/>
        <w:rPr>
          <w:rFonts w:ascii="Times New Roman" w:hAnsi="Times New Roman"/>
          <w:sz w:val="24"/>
          <w:szCs w:val="24"/>
        </w:rPr>
      </w:pPr>
    </w:p>
    <w:p w:rsidR="003D461F" w:rsidRPr="00741ACB" w:rsidRDefault="003D461F" w:rsidP="00E90169">
      <w:pPr>
        <w:spacing w:after="0"/>
        <w:jc w:val="both"/>
        <w:rPr>
          <w:rFonts w:ascii="Times New Roman" w:hAnsi="Times New Roman"/>
          <w:sz w:val="24"/>
          <w:szCs w:val="24"/>
        </w:rPr>
      </w:pPr>
      <w:r w:rsidRPr="00741ACB">
        <w:rPr>
          <w:rFonts w:ascii="Times New Roman" w:hAnsi="Times New Roman"/>
          <w:sz w:val="24"/>
          <w:szCs w:val="24"/>
        </w:rPr>
        <w:t>Navrhovaná právní úprava naplňuje specifičtěji po</w:t>
      </w:r>
      <w:r w:rsidR="0078087C">
        <w:rPr>
          <w:rFonts w:ascii="Times New Roman" w:hAnsi="Times New Roman"/>
          <w:sz w:val="24"/>
          <w:szCs w:val="24"/>
        </w:rPr>
        <w:t>dmínky</w:t>
      </w:r>
      <w:r w:rsidRPr="00741ACB">
        <w:rPr>
          <w:rFonts w:ascii="Times New Roman" w:hAnsi="Times New Roman"/>
          <w:sz w:val="24"/>
          <w:szCs w:val="24"/>
        </w:rPr>
        <w:t xml:space="preserve"> stanoven</w:t>
      </w:r>
      <w:r w:rsidR="002828CF">
        <w:rPr>
          <w:rFonts w:ascii="Times New Roman" w:hAnsi="Times New Roman"/>
          <w:sz w:val="24"/>
          <w:szCs w:val="24"/>
        </w:rPr>
        <w:t>é</w:t>
      </w:r>
      <w:r w:rsidRPr="00741ACB">
        <w:rPr>
          <w:rFonts w:ascii="Times New Roman" w:hAnsi="Times New Roman"/>
          <w:sz w:val="24"/>
          <w:szCs w:val="24"/>
        </w:rPr>
        <w:t xml:space="preserve"> pro omezení osobní svobody v zařízeních sociálních služeb podle čl. 5 Ú</w:t>
      </w:r>
      <w:r w:rsidR="00741ACB">
        <w:rPr>
          <w:rFonts w:ascii="Times New Roman" w:hAnsi="Times New Roman"/>
          <w:sz w:val="24"/>
          <w:szCs w:val="24"/>
        </w:rPr>
        <w:t>mluvy o ochraně lidských práv a </w:t>
      </w:r>
      <w:r w:rsidRPr="00741ACB">
        <w:rPr>
          <w:rFonts w:ascii="Times New Roman" w:hAnsi="Times New Roman"/>
          <w:sz w:val="24"/>
          <w:szCs w:val="24"/>
        </w:rPr>
        <w:t xml:space="preserve">základních svobod. </w:t>
      </w:r>
      <w:r w:rsidR="0078087C">
        <w:rPr>
          <w:rFonts w:ascii="Times New Roman" w:hAnsi="Times New Roman"/>
          <w:sz w:val="24"/>
          <w:szCs w:val="24"/>
        </w:rPr>
        <w:t xml:space="preserve">Jedná se o </w:t>
      </w:r>
      <w:r w:rsidRPr="00741ACB">
        <w:rPr>
          <w:rFonts w:ascii="Times New Roman" w:hAnsi="Times New Roman"/>
          <w:sz w:val="24"/>
          <w:szCs w:val="24"/>
        </w:rPr>
        <w:t xml:space="preserve">tyto kumulativní podmínky: </w:t>
      </w:r>
    </w:p>
    <w:p w:rsidR="003D461F" w:rsidRPr="00741ACB" w:rsidRDefault="003D461F" w:rsidP="00170FA7">
      <w:pPr>
        <w:pStyle w:val="Odstavecseseznamem"/>
        <w:numPr>
          <w:ilvl w:val="0"/>
          <w:numId w:val="6"/>
        </w:numPr>
        <w:spacing w:after="0"/>
        <w:jc w:val="both"/>
        <w:rPr>
          <w:rFonts w:ascii="Times New Roman" w:hAnsi="Times New Roman"/>
          <w:sz w:val="24"/>
          <w:szCs w:val="24"/>
        </w:rPr>
      </w:pPr>
      <w:r w:rsidRPr="00741ACB">
        <w:rPr>
          <w:rFonts w:ascii="Times New Roman" w:hAnsi="Times New Roman"/>
          <w:sz w:val="24"/>
          <w:szCs w:val="24"/>
        </w:rPr>
        <w:t>osoba trpí duševním onemocněním a její stav představuje nebezpečí pro ni nebo pro její okolí; tato skutečnost musí být prokázána aktuální objektivní lékařskou zprávou,</w:t>
      </w:r>
    </w:p>
    <w:p w:rsidR="003D461F" w:rsidRPr="00741ACB" w:rsidRDefault="003D461F" w:rsidP="00170FA7">
      <w:pPr>
        <w:pStyle w:val="Odstavecseseznamem"/>
        <w:numPr>
          <w:ilvl w:val="0"/>
          <w:numId w:val="6"/>
        </w:numPr>
        <w:spacing w:after="0"/>
        <w:jc w:val="both"/>
        <w:rPr>
          <w:rFonts w:ascii="Times New Roman" w:hAnsi="Times New Roman"/>
          <w:sz w:val="24"/>
          <w:szCs w:val="24"/>
        </w:rPr>
      </w:pPr>
      <w:r w:rsidRPr="00741ACB">
        <w:rPr>
          <w:rFonts w:ascii="Times New Roman" w:hAnsi="Times New Roman"/>
          <w:sz w:val="24"/>
          <w:szCs w:val="24"/>
        </w:rPr>
        <w:t>účelem opatření je odvrácení zmíněného nebezpe</w:t>
      </w:r>
      <w:r w:rsidR="00741ACB">
        <w:rPr>
          <w:rFonts w:ascii="Times New Roman" w:hAnsi="Times New Roman"/>
          <w:sz w:val="24"/>
          <w:szCs w:val="24"/>
        </w:rPr>
        <w:t>čí (existuje přímá souvislost s </w:t>
      </w:r>
      <w:r w:rsidRPr="00741ACB">
        <w:rPr>
          <w:rFonts w:ascii="Times New Roman" w:hAnsi="Times New Roman"/>
          <w:sz w:val="24"/>
          <w:szCs w:val="24"/>
        </w:rPr>
        <w:t>duševním onemocněním, jeho nebezpečími a užitým odvrácením),</w:t>
      </w:r>
    </w:p>
    <w:p w:rsidR="003D461F" w:rsidRPr="00741ACB" w:rsidRDefault="003D461F" w:rsidP="00170FA7">
      <w:pPr>
        <w:pStyle w:val="Zkladntext"/>
        <w:numPr>
          <w:ilvl w:val="0"/>
          <w:numId w:val="6"/>
        </w:numPr>
        <w:rPr>
          <w:rFonts w:eastAsia="Calibri"/>
          <w:szCs w:val="24"/>
          <w:lang w:eastAsia="en-US"/>
        </w:rPr>
      </w:pPr>
      <w:r w:rsidRPr="00741ACB">
        <w:rPr>
          <w:rFonts w:eastAsia="Calibri"/>
          <w:szCs w:val="24"/>
          <w:lang w:eastAsia="en-US"/>
        </w:rPr>
        <w:t>zásada subsidiarity, tj. k odvrácení nebezpečí nestačí jiné, méně invazivní opatření (v daném kontextu zejm</w:t>
      </w:r>
      <w:r w:rsidR="002B255C">
        <w:rPr>
          <w:rFonts w:eastAsia="Calibri"/>
          <w:szCs w:val="24"/>
          <w:lang w:eastAsia="en-US"/>
        </w:rPr>
        <w:t>éna</w:t>
      </w:r>
      <w:r w:rsidRPr="00741ACB">
        <w:rPr>
          <w:rFonts w:eastAsia="Calibri"/>
          <w:szCs w:val="24"/>
          <w:lang w:eastAsia="en-US"/>
        </w:rPr>
        <w:t xml:space="preserve"> poskytnutí jiné sociální služby</w:t>
      </w:r>
      <w:r w:rsidR="002B255C">
        <w:rPr>
          <w:rFonts w:eastAsia="Calibri"/>
          <w:szCs w:val="24"/>
          <w:lang w:eastAsia="en-US"/>
        </w:rPr>
        <w:t>)</w:t>
      </w:r>
      <w:r w:rsidRPr="00741ACB">
        <w:rPr>
          <w:rFonts w:eastAsia="Calibri"/>
          <w:szCs w:val="24"/>
          <w:lang w:eastAsia="en-US"/>
        </w:rPr>
        <w:t>; tedy duševní porucha je takového druhu nebo stupně, že si vyžaduje omezení osobní svobody</w:t>
      </w:r>
      <w:r w:rsidR="0078087C">
        <w:rPr>
          <w:rFonts w:eastAsia="Calibri"/>
          <w:szCs w:val="24"/>
          <w:lang w:eastAsia="en-US"/>
        </w:rPr>
        <w:t>.</w:t>
      </w:r>
    </w:p>
    <w:p w:rsidR="00303E98" w:rsidRDefault="00303E98" w:rsidP="00E90169">
      <w:pPr>
        <w:spacing w:after="0"/>
        <w:jc w:val="both"/>
        <w:rPr>
          <w:rFonts w:ascii="Times New Roman" w:hAnsi="Times New Roman"/>
          <w:sz w:val="24"/>
          <w:szCs w:val="24"/>
        </w:rPr>
      </w:pPr>
    </w:p>
    <w:p w:rsidR="003D461F" w:rsidRDefault="003D461F" w:rsidP="00E90169">
      <w:pPr>
        <w:spacing w:after="0"/>
        <w:jc w:val="both"/>
        <w:rPr>
          <w:rFonts w:ascii="Times New Roman" w:hAnsi="Times New Roman"/>
          <w:sz w:val="24"/>
          <w:szCs w:val="24"/>
        </w:rPr>
      </w:pPr>
      <w:r w:rsidRPr="00741ACB">
        <w:rPr>
          <w:rFonts w:ascii="Times New Roman" w:hAnsi="Times New Roman"/>
          <w:sz w:val="24"/>
          <w:szCs w:val="24"/>
        </w:rPr>
        <w:t xml:space="preserve">Uvedené podmínky musí být naplněny po celou dobu poskytování sociálních služeb bez souhlasu klienta (podmínku vymezil </w:t>
      </w:r>
      <w:r w:rsidR="002B255C">
        <w:rPr>
          <w:rFonts w:ascii="Times New Roman" w:hAnsi="Times New Roman"/>
          <w:sz w:val="24"/>
          <w:szCs w:val="24"/>
        </w:rPr>
        <w:t>Evropský soud pro lidská práva</w:t>
      </w:r>
      <w:r w:rsidRPr="00741ACB">
        <w:rPr>
          <w:rFonts w:ascii="Times New Roman" w:hAnsi="Times New Roman"/>
          <w:sz w:val="24"/>
          <w:szCs w:val="24"/>
        </w:rPr>
        <w:t xml:space="preserve"> v rozsudku Winterwerp proti Nizozemsku). Současné znění zákona o zvláštní</w:t>
      </w:r>
      <w:r w:rsidR="002B255C">
        <w:rPr>
          <w:rFonts w:ascii="Times New Roman" w:hAnsi="Times New Roman"/>
          <w:sz w:val="24"/>
          <w:szCs w:val="24"/>
        </w:rPr>
        <w:t>ch řízeních soudních počítá i s </w:t>
      </w:r>
      <w:r w:rsidRPr="00741ACB">
        <w:rPr>
          <w:rFonts w:ascii="Times New Roman" w:hAnsi="Times New Roman"/>
          <w:sz w:val="24"/>
          <w:szCs w:val="24"/>
        </w:rPr>
        <w:t>opakovaným řízením v jedné věci.</w:t>
      </w:r>
    </w:p>
    <w:p w:rsidR="00FB18A5" w:rsidRDefault="00FB18A5" w:rsidP="00E90169">
      <w:pPr>
        <w:spacing w:after="0"/>
        <w:jc w:val="both"/>
        <w:rPr>
          <w:rFonts w:ascii="Times New Roman" w:hAnsi="Times New Roman"/>
          <w:sz w:val="24"/>
          <w:szCs w:val="24"/>
        </w:rPr>
      </w:pPr>
    </w:p>
    <w:p w:rsidR="00E90169" w:rsidRPr="00303E98" w:rsidRDefault="00E90169" w:rsidP="00E90169">
      <w:pPr>
        <w:spacing w:after="0"/>
        <w:jc w:val="both"/>
        <w:rPr>
          <w:rFonts w:ascii="Times New Roman" w:hAnsi="Times New Roman"/>
          <w:sz w:val="24"/>
          <w:szCs w:val="24"/>
        </w:rPr>
      </w:pPr>
      <w:r>
        <w:rPr>
          <w:rFonts w:ascii="Times New Roman" w:hAnsi="Times New Roman"/>
          <w:sz w:val="24"/>
          <w:szCs w:val="24"/>
        </w:rPr>
        <w:t xml:space="preserve">Nutnost zákonem jednoznačně definovat podmínky, </w:t>
      </w:r>
      <w:r w:rsidRPr="00303E98">
        <w:rPr>
          <w:rFonts w:ascii="Times New Roman" w:hAnsi="Times New Roman"/>
          <w:sz w:val="24"/>
          <w:szCs w:val="24"/>
        </w:rPr>
        <w:t>za nich</w:t>
      </w:r>
      <w:r w:rsidR="002B255C">
        <w:rPr>
          <w:rFonts w:ascii="Times New Roman" w:hAnsi="Times New Roman"/>
          <w:sz w:val="24"/>
          <w:szCs w:val="24"/>
        </w:rPr>
        <w:t>ž</w:t>
      </w:r>
      <w:r w:rsidRPr="00303E98">
        <w:rPr>
          <w:rFonts w:ascii="Times New Roman" w:hAnsi="Times New Roman"/>
          <w:sz w:val="24"/>
          <w:szCs w:val="24"/>
        </w:rPr>
        <w:t xml:space="preserve"> je možné osobu zbavit osobní svobody</w:t>
      </w:r>
      <w:r>
        <w:rPr>
          <w:rFonts w:ascii="Times New Roman" w:hAnsi="Times New Roman"/>
          <w:sz w:val="24"/>
          <w:szCs w:val="24"/>
        </w:rPr>
        <w:t xml:space="preserve">, vyplývá dále z </w:t>
      </w:r>
      <w:r w:rsidRPr="00303E98">
        <w:rPr>
          <w:rFonts w:ascii="Times New Roman" w:hAnsi="Times New Roman"/>
          <w:sz w:val="24"/>
          <w:szCs w:val="24"/>
        </w:rPr>
        <w:t xml:space="preserve">čl. 14 Úmluvy OSN o právech </w:t>
      </w:r>
      <w:r w:rsidR="002B255C">
        <w:rPr>
          <w:rFonts w:ascii="Times New Roman" w:hAnsi="Times New Roman"/>
          <w:sz w:val="24"/>
          <w:szCs w:val="24"/>
        </w:rPr>
        <w:t>osob se zdravotním postižením a </w:t>
      </w:r>
      <w:r w:rsidRPr="00303E98">
        <w:rPr>
          <w:rFonts w:ascii="Times New Roman" w:hAnsi="Times New Roman"/>
          <w:sz w:val="24"/>
          <w:szCs w:val="24"/>
        </w:rPr>
        <w:t xml:space="preserve">stanoviska Výboru OSN pro práva osob se zdravotním postižením. Právo na osobní svobodu není právem absolutním, ale jde o právo relativní a lze do tohoto práva zasáhnout, jsou-li splněny zákonné podmínky, přičemž je ale vhodné naformulovat podmínky pro takový zásah tak, aby byly „disability neutral“. Je třeba dbát na to, aby formulace na jednu stranu naplňovala podmínky článku 14 Úmluvy OSN o právech osob se zdravotním postižením, na druhou stranu </w:t>
      </w:r>
      <w:r w:rsidR="0078087C">
        <w:rPr>
          <w:rFonts w:ascii="Times New Roman" w:hAnsi="Times New Roman"/>
          <w:sz w:val="24"/>
          <w:szCs w:val="24"/>
        </w:rPr>
        <w:t xml:space="preserve">aby </w:t>
      </w:r>
      <w:r w:rsidRPr="00303E98">
        <w:rPr>
          <w:rFonts w:ascii="Times New Roman" w:hAnsi="Times New Roman"/>
          <w:sz w:val="24"/>
          <w:szCs w:val="24"/>
        </w:rPr>
        <w:t>však neobsahovala příliš široce koncipované podmínky pro zbavení osobní svobody, které již nenaplní standard jednoznačně definovaného zákona.</w:t>
      </w:r>
    </w:p>
    <w:p w:rsidR="00E90169" w:rsidRDefault="00E90169" w:rsidP="00E90169">
      <w:pPr>
        <w:spacing w:after="0"/>
        <w:jc w:val="both"/>
        <w:rPr>
          <w:rFonts w:ascii="Times New Roman" w:hAnsi="Times New Roman"/>
          <w:sz w:val="24"/>
          <w:szCs w:val="24"/>
        </w:rPr>
      </w:pPr>
    </w:p>
    <w:p w:rsidR="00FB18A5" w:rsidRPr="00741ACB" w:rsidRDefault="00FB18A5" w:rsidP="00E90169">
      <w:pPr>
        <w:spacing w:after="0"/>
        <w:jc w:val="both"/>
        <w:rPr>
          <w:rFonts w:ascii="Times New Roman" w:hAnsi="Times New Roman"/>
          <w:sz w:val="24"/>
          <w:szCs w:val="24"/>
        </w:rPr>
      </w:pPr>
      <w:r w:rsidRPr="00741ACB">
        <w:rPr>
          <w:rFonts w:ascii="Times New Roman" w:hAnsi="Times New Roman"/>
          <w:sz w:val="24"/>
          <w:szCs w:val="24"/>
        </w:rPr>
        <w:t>Pojem „omezení svobody“ musí být vykládán v souladu s judikaturou Evr</w:t>
      </w:r>
      <w:r>
        <w:rPr>
          <w:rFonts w:ascii="Times New Roman" w:hAnsi="Times New Roman"/>
          <w:sz w:val="24"/>
          <w:szCs w:val="24"/>
        </w:rPr>
        <w:t xml:space="preserve">opského soudu pro lidská práva, </w:t>
      </w:r>
      <w:r w:rsidRPr="00741ACB">
        <w:rPr>
          <w:rFonts w:ascii="Times New Roman" w:hAnsi="Times New Roman"/>
          <w:sz w:val="24"/>
          <w:szCs w:val="24"/>
        </w:rPr>
        <w:t>podle které k omezení svobody v zařízení sociální</w:t>
      </w:r>
      <w:r w:rsidR="0078087C">
        <w:rPr>
          <w:rFonts w:ascii="Times New Roman" w:hAnsi="Times New Roman"/>
          <w:sz w:val="24"/>
          <w:szCs w:val="24"/>
        </w:rPr>
        <w:t>ch služeb</w:t>
      </w:r>
      <w:r w:rsidRPr="00741ACB">
        <w:rPr>
          <w:rFonts w:ascii="Times New Roman" w:hAnsi="Times New Roman"/>
          <w:sz w:val="24"/>
          <w:szCs w:val="24"/>
        </w:rPr>
        <w:t xml:space="preserve"> dochází za následujících podmínek:</w:t>
      </w:r>
    </w:p>
    <w:p w:rsidR="00FB18A5" w:rsidRPr="00DD4D0B" w:rsidRDefault="00FB18A5" w:rsidP="00170FA7">
      <w:pPr>
        <w:pStyle w:val="Odstavecseseznamem"/>
        <w:numPr>
          <w:ilvl w:val="0"/>
          <w:numId w:val="6"/>
        </w:numPr>
        <w:spacing w:after="0"/>
        <w:jc w:val="both"/>
        <w:rPr>
          <w:rFonts w:ascii="Times New Roman" w:hAnsi="Times New Roman"/>
          <w:sz w:val="24"/>
          <w:szCs w:val="24"/>
        </w:rPr>
      </w:pPr>
      <w:r w:rsidRPr="00DD4D0B">
        <w:rPr>
          <w:rFonts w:ascii="Times New Roman" w:hAnsi="Times New Roman"/>
          <w:sz w:val="24"/>
          <w:szCs w:val="24"/>
        </w:rPr>
        <w:lastRenderedPageBreak/>
        <w:t xml:space="preserve">osoba (omezena či </w:t>
      </w:r>
      <w:r w:rsidR="0078087C">
        <w:rPr>
          <w:rFonts w:ascii="Times New Roman" w:hAnsi="Times New Roman"/>
          <w:sz w:val="24"/>
          <w:szCs w:val="24"/>
        </w:rPr>
        <w:t>po</w:t>
      </w:r>
      <w:r w:rsidRPr="00DD4D0B">
        <w:rPr>
          <w:rFonts w:ascii="Times New Roman" w:hAnsi="Times New Roman"/>
          <w:sz w:val="24"/>
          <w:szCs w:val="24"/>
        </w:rPr>
        <w:t xml:space="preserve">dle dřívější právní úpravy zbavena způsobilosti k právním úkonům/omezena ve svéprávnosti) nedala se svým umístěním do </w:t>
      </w:r>
      <w:r w:rsidR="002B255C">
        <w:rPr>
          <w:rFonts w:ascii="Times New Roman" w:hAnsi="Times New Roman"/>
          <w:sz w:val="24"/>
          <w:szCs w:val="24"/>
        </w:rPr>
        <w:t xml:space="preserve">zařízení </w:t>
      </w:r>
      <w:r w:rsidRPr="00DD4D0B">
        <w:rPr>
          <w:rFonts w:ascii="Times New Roman" w:hAnsi="Times New Roman"/>
          <w:sz w:val="24"/>
          <w:szCs w:val="24"/>
        </w:rPr>
        <w:t xml:space="preserve"> souhlas, je však fakticky způsobilá svou situaci posoudit a vyjádřit na ni názor a</w:t>
      </w:r>
      <w:r w:rsidR="00C71FC0">
        <w:rPr>
          <w:rFonts w:ascii="Times New Roman" w:hAnsi="Times New Roman"/>
          <w:sz w:val="24"/>
          <w:szCs w:val="24"/>
        </w:rPr>
        <w:t>  </w:t>
      </w:r>
      <w:r w:rsidRPr="00DD4D0B">
        <w:rPr>
          <w:rFonts w:ascii="Times New Roman" w:hAnsi="Times New Roman"/>
          <w:sz w:val="24"/>
          <w:szCs w:val="24"/>
        </w:rPr>
        <w:t>s</w:t>
      </w:r>
      <w:r w:rsidR="00C71FC0">
        <w:rPr>
          <w:rFonts w:ascii="Times New Roman" w:hAnsi="Times New Roman"/>
          <w:sz w:val="24"/>
          <w:szCs w:val="24"/>
        </w:rPr>
        <w:t> </w:t>
      </w:r>
      <w:r w:rsidRPr="00DD4D0B">
        <w:rPr>
          <w:rFonts w:ascii="Times New Roman" w:hAnsi="Times New Roman"/>
          <w:sz w:val="24"/>
          <w:szCs w:val="24"/>
        </w:rPr>
        <w:t xml:space="preserve">umístěním nesouhlasí, </w:t>
      </w:r>
    </w:p>
    <w:p w:rsidR="002B255C" w:rsidRDefault="00FB18A5" w:rsidP="00170FA7">
      <w:pPr>
        <w:pStyle w:val="Odstavecseseznamem"/>
        <w:numPr>
          <w:ilvl w:val="0"/>
          <w:numId w:val="6"/>
        </w:numPr>
        <w:spacing w:after="0"/>
        <w:jc w:val="both"/>
        <w:rPr>
          <w:rFonts w:ascii="Times New Roman" w:hAnsi="Times New Roman"/>
          <w:sz w:val="24"/>
          <w:szCs w:val="24"/>
        </w:rPr>
      </w:pPr>
      <w:r w:rsidRPr="00DD4D0B">
        <w:rPr>
          <w:rFonts w:ascii="Times New Roman" w:hAnsi="Times New Roman"/>
          <w:sz w:val="24"/>
          <w:szCs w:val="24"/>
        </w:rPr>
        <w:t>pobyt v zařízení sociální</w:t>
      </w:r>
      <w:r w:rsidR="0078087C">
        <w:rPr>
          <w:rFonts w:ascii="Times New Roman" w:hAnsi="Times New Roman"/>
          <w:sz w:val="24"/>
          <w:szCs w:val="24"/>
        </w:rPr>
        <w:t>ch služeb</w:t>
      </w:r>
      <w:r w:rsidRPr="00DD4D0B">
        <w:rPr>
          <w:rFonts w:ascii="Times New Roman" w:hAnsi="Times New Roman"/>
          <w:sz w:val="24"/>
          <w:szCs w:val="24"/>
        </w:rPr>
        <w:t xml:space="preserve"> je dlouhodobý, režim pobytu v zařízení vykazuje mj. následující charakteristiky (nikoli nezbytně kumulativně) – opuštění zařízení podléhá souhlasu třetí osoby (typicky pracovníka zařízení), daná osoba může být podrobena omezujícím opatřením (např. nucené medikaci, umístěním do speciální místnosti, přikurtováním), byť třeba jen na velmi krátkou dobu, dochází k dalším omezením svobody dané osoby (např. nutnost schválení návštěvy či telefonního hovoru či omezení okruhu osobních věcí, které může mít daná osoba u</w:t>
      </w:r>
      <w:r w:rsidR="00C71FC0">
        <w:rPr>
          <w:rFonts w:ascii="Times New Roman" w:hAnsi="Times New Roman"/>
          <w:sz w:val="24"/>
          <w:szCs w:val="24"/>
        </w:rPr>
        <w:t> </w:t>
      </w:r>
      <w:r w:rsidRPr="00DD4D0B">
        <w:rPr>
          <w:rFonts w:ascii="Times New Roman" w:hAnsi="Times New Roman"/>
          <w:sz w:val="24"/>
          <w:szCs w:val="24"/>
        </w:rPr>
        <w:t xml:space="preserve">sebe).  </w:t>
      </w:r>
    </w:p>
    <w:p w:rsidR="002B255C" w:rsidRPr="002B255C" w:rsidRDefault="002B255C" w:rsidP="002B255C">
      <w:pPr>
        <w:spacing w:after="0"/>
        <w:ind w:left="360"/>
        <w:jc w:val="both"/>
        <w:rPr>
          <w:rFonts w:ascii="Times New Roman" w:hAnsi="Times New Roman"/>
          <w:sz w:val="24"/>
          <w:szCs w:val="24"/>
        </w:rPr>
      </w:pPr>
    </w:p>
    <w:p w:rsidR="00FB18A5" w:rsidRPr="002B255C" w:rsidRDefault="0078087C" w:rsidP="0078087C">
      <w:pPr>
        <w:spacing w:after="0"/>
        <w:jc w:val="both"/>
        <w:rPr>
          <w:rFonts w:ascii="Times New Roman" w:hAnsi="Times New Roman"/>
          <w:sz w:val="24"/>
          <w:szCs w:val="24"/>
        </w:rPr>
      </w:pPr>
      <w:r>
        <w:rPr>
          <w:rFonts w:ascii="Times New Roman" w:hAnsi="Times New Roman"/>
          <w:sz w:val="24"/>
          <w:szCs w:val="24"/>
        </w:rPr>
        <w:t>V</w:t>
      </w:r>
      <w:r w:rsidR="00FB18A5" w:rsidRPr="0078087C">
        <w:rPr>
          <w:rFonts w:ascii="Times New Roman" w:hAnsi="Times New Roman"/>
          <w:sz w:val="24"/>
          <w:szCs w:val="24"/>
        </w:rPr>
        <w:t xml:space="preserve">ýklad stanovený judikaturou </w:t>
      </w:r>
      <w:r>
        <w:rPr>
          <w:rFonts w:ascii="Times New Roman" w:hAnsi="Times New Roman"/>
          <w:sz w:val="24"/>
          <w:szCs w:val="24"/>
        </w:rPr>
        <w:t xml:space="preserve">je třeba </w:t>
      </w:r>
      <w:r w:rsidR="00FB18A5" w:rsidRPr="0078087C">
        <w:rPr>
          <w:rFonts w:ascii="Times New Roman" w:hAnsi="Times New Roman"/>
          <w:sz w:val="24"/>
          <w:szCs w:val="24"/>
        </w:rPr>
        <w:t>vztáhnout k českému systému sociálních služeb</w:t>
      </w:r>
      <w:r w:rsidR="009A4E43">
        <w:rPr>
          <w:rFonts w:ascii="Times New Roman" w:hAnsi="Times New Roman"/>
          <w:sz w:val="24"/>
          <w:szCs w:val="24"/>
        </w:rPr>
        <w:t xml:space="preserve">, </w:t>
      </w:r>
      <w:r w:rsidR="00FB18A5" w:rsidRPr="0078087C">
        <w:rPr>
          <w:rFonts w:ascii="Times New Roman" w:hAnsi="Times New Roman"/>
          <w:sz w:val="24"/>
          <w:szCs w:val="24"/>
        </w:rPr>
        <w:t>kde je například „přikurtování“ zcela nepřípustné</w:t>
      </w:r>
      <w:r>
        <w:rPr>
          <w:rFonts w:ascii="Times New Roman" w:hAnsi="Times New Roman"/>
          <w:sz w:val="24"/>
          <w:szCs w:val="24"/>
        </w:rPr>
        <w:t>.</w:t>
      </w:r>
    </w:p>
    <w:p w:rsidR="00E90169" w:rsidRDefault="00E90169" w:rsidP="00E90169">
      <w:pPr>
        <w:spacing w:after="0"/>
        <w:jc w:val="both"/>
        <w:rPr>
          <w:rFonts w:ascii="Times New Roman" w:hAnsi="Times New Roman"/>
          <w:sz w:val="24"/>
          <w:szCs w:val="24"/>
        </w:rPr>
      </w:pPr>
    </w:p>
    <w:p w:rsidR="00C81947" w:rsidRPr="00C81947" w:rsidRDefault="00C81947" w:rsidP="00741ACB">
      <w:pPr>
        <w:spacing w:after="0"/>
        <w:jc w:val="both"/>
        <w:rPr>
          <w:rFonts w:ascii="Times New Roman" w:hAnsi="Times New Roman"/>
          <w:b/>
          <w:sz w:val="24"/>
          <w:szCs w:val="24"/>
        </w:rPr>
      </w:pPr>
    </w:p>
    <w:p w:rsidR="00B36165" w:rsidRPr="00FF4B89" w:rsidRDefault="002B255C" w:rsidP="00741ACB">
      <w:pPr>
        <w:spacing w:after="0"/>
        <w:jc w:val="both"/>
        <w:rPr>
          <w:rFonts w:ascii="Times New Roman" w:hAnsi="Times New Roman"/>
          <w:b/>
          <w:sz w:val="24"/>
          <w:szCs w:val="24"/>
        </w:rPr>
      </w:pPr>
      <w:r>
        <w:rPr>
          <w:rFonts w:ascii="Times New Roman" w:hAnsi="Times New Roman"/>
          <w:b/>
          <w:sz w:val="24"/>
          <w:szCs w:val="24"/>
        </w:rPr>
        <w:t>D</w:t>
      </w:r>
      <w:r w:rsidR="00B36165" w:rsidRPr="00FF4B89">
        <w:rPr>
          <w:rFonts w:ascii="Times New Roman" w:hAnsi="Times New Roman"/>
          <w:b/>
          <w:sz w:val="24"/>
          <w:szCs w:val="24"/>
        </w:rPr>
        <w:t>. OSTATNÍ DOPADY</w:t>
      </w:r>
    </w:p>
    <w:p w:rsidR="00741ACB" w:rsidRDefault="00741ACB"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mezinárodní konkurenceschopnost ČR</w:t>
      </w:r>
    </w:p>
    <w:p w:rsidR="00C140C6" w:rsidRPr="00FF4B89" w:rsidRDefault="00C140C6" w:rsidP="00741ACB">
      <w:pPr>
        <w:pStyle w:val="Bezmezer"/>
        <w:jc w:val="both"/>
        <w:rPr>
          <w:rFonts w:ascii="Times New Roman" w:hAnsi="Times New Roman"/>
          <w:sz w:val="24"/>
          <w:szCs w:val="24"/>
        </w:rPr>
      </w:pPr>
      <w:r w:rsidRPr="00FF4B89">
        <w:rPr>
          <w:rFonts w:ascii="Times New Roman" w:hAnsi="Times New Roman"/>
          <w:sz w:val="24"/>
          <w:szCs w:val="24"/>
        </w:rPr>
        <w:t>Navrhovaná úprava nebude mít dopad na mezinárodní konkurenceschopnost České republiky.</w:t>
      </w:r>
    </w:p>
    <w:p w:rsidR="00741ACB" w:rsidRDefault="00741ACB"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podnikatelské prostředí</w:t>
      </w:r>
    </w:p>
    <w:p w:rsidR="00C140C6" w:rsidRPr="00FF4B89" w:rsidRDefault="00C140C6" w:rsidP="00741ACB">
      <w:pPr>
        <w:pStyle w:val="Bezmezer"/>
        <w:rPr>
          <w:rFonts w:ascii="Times New Roman" w:hAnsi="Times New Roman"/>
          <w:sz w:val="24"/>
          <w:szCs w:val="24"/>
        </w:rPr>
      </w:pPr>
      <w:r w:rsidRPr="00FF4B89">
        <w:rPr>
          <w:rFonts w:ascii="Times New Roman" w:hAnsi="Times New Roman"/>
          <w:sz w:val="24"/>
          <w:szCs w:val="24"/>
        </w:rPr>
        <w:t>Navrhovaná úprava nebude mít vliv na podnikatelské prostředí České republiky.</w:t>
      </w:r>
    </w:p>
    <w:p w:rsidR="00741ACB" w:rsidRDefault="00741ACB"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územní samosprávné celky</w:t>
      </w:r>
    </w:p>
    <w:p w:rsidR="00C8666E" w:rsidRPr="00FF4B89" w:rsidRDefault="003D461F" w:rsidP="00741ACB">
      <w:pPr>
        <w:pStyle w:val="Bezmezer"/>
        <w:jc w:val="both"/>
        <w:rPr>
          <w:rFonts w:ascii="Times New Roman" w:hAnsi="Times New Roman"/>
          <w:sz w:val="24"/>
          <w:szCs w:val="24"/>
        </w:rPr>
      </w:pPr>
      <w:r w:rsidRPr="00FF4B89">
        <w:rPr>
          <w:rFonts w:ascii="Times New Roman" w:hAnsi="Times New Roman"/>
          <w:sz w:val="24"/>
          <w:szCs w:val="24"/>
        </w:rPr>
        <w:t>Navrhovaná úprava nebude mít vliv na</w:t>
      </w:r>
      <w:r>
        <w:rPr>
          <w:rFonts w:ascii="Times New Roman" w:hAnsi="Times New Roman"/>
          <w:sz w:val="24"/>
          <w:szCs w:val="24"/>
        </w:rPr>
        <w:t xml:space="preserve"> územně samosprávné celky.</w:t>
      </w:r>
    </w:p>
    <w:p w:rsidR="00741ACB" w:rsidRDefault="00741ACB"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Sociální dopady</w:t>
      </w:r>
    </w:p>
    <w:p w:rsidR="00C140C6" w:rsidRPr="00FF4B89" w:rsidRDefault="003D461F" w:rsidP="00741ACB">
      <w:pPr>
        <w:pStyle w:val="Bezmezer"/>
        <w:jc w:val="both"/>
        <w:rPr>
          <w:rFonts w:ascii="Times New Roman" w:hAnsi="Times New Roman"/>
          <w:sz w:val="24"/>
          <w:szCs w:val="24"/>
        </w:rPr>
      </w:pPr>
      <w:r w:rsidRPr="003D461F">
        <w:rPr>
          <w:rFonts w:ascii="Times New Roman" w:hAnsi="Times New Roman"/>
          <w:sz w:val="24"/>
          <w:szCs w:val="24"/>
        </w:rPr>
        <w:t>Návrh má pozitivní dopady pro uživatele sociálních služeb, neboť bude podpořeno právo osob na osobní svobodu skrze podporu projevu svobodné vůle – vysl</w:t>
      </w:r>
      <w:r w:rsidR="00B120E5">
        <w:rPr>
          <w:rFonts w:ascii="Times New Roman" w:hAnsi="Times New Roman"/>
          <w:sz w:val="24"/>
          <w:szCs w:val="24"/>
        </w:rPr>
        <w:t>ovení nesouhlasu s </w:t>
      </w:r>
      <w:r w:rsidRPr="003D461F">
        <w:rPr>
          <w:rFonts w:ascii="Times New Roman" w:hAnsi="Times New Roman"/>
          <w:sz w:val="24"/>
          <w:szCs w:val="24"/>
        </w:rPr>
        <w:t>využíváním sociální služby.</w:t>
      </w:r>
    </w:p>
    <w:p w:rsidR="002B255C" w:rsidRDefault="002B255C"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spotřebitele</w:t>
      </w:r>
    </w:p>
    <w:p w:rsidR="00C140C6" w:rsidRPr="00FF4B89" w:rsidRDefault="00C140C6" w:rsidP="00741ACB">
      <w:pPr>
        <w:pStyle w:val="Bezmezer"/>
        <w:rPr>
          <w:rFonts w:ascii="Times New Roman" w:hAnsi="Times New Roman"/>
          <w:sz w:val="24"/>
          <w:szCs w:val="24"/>
        </w:rPr>
      </w:pPr>
      <w:r w:rsidRPr="00FF4B89">
        <w:rPr>
          <w:rFonts w:ascii="Times New Roman" w:hAnsi="Times New Roman"/>
          <w:sz w:val="24"/>
          <w:szCs w:val="24"/>
        </w:rPr>
        <w:t>Navrhovaná úprava nebude mít za následek žádné dopady na spotřebitele.</w:t>
      </w:r>
    </w:p>
    <w:p w:rsidR="00DF2E9B" w:rsidRDefault="00DF2E9B" w:rsidP="00741ACB">
      <w:pPr>
        <w:pStyle w:val="Bezmeze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životní prostředí</w:t>
      </w:r>
    </w:p>
    <w:p w:rsidR="00747E94" w:rsidRPr="00FF4B89" w:rsidRDefault="00747E94" w:rsidP="00741ACB">
      <w:pPr>
        <w:spacing w:after="0"/>
        <w:jc w:val="both"/>
        <w:rPr>
          <w:rFonts w:ascii="Times New Roman" w:hAnsi="Times New Roman"/>
          <w:sz w:val="24"/>
          <w:szCs w:val="24"/>
        </w:rPr>
      </w:pPr>
      <w:r w:rsidRPr="00FF4B89">
        <w:rPr>
          <w:rFonts w:ascii="Times New Roman" w:hAnsi="Times New Roman"/>
          <w:sz w:val="24"/>
          <w:szCs w:val="24"/>
        </w:rPr>
        <w:t>Navrhovaná právní úprava nesouvisí s problematikou ochrany životního</w:t>
      </w:r>
      <w:r w:rsidR="003D461F">
        <w:rPr>
          <w:rFonts w:ascii="Times New Roman" w:hAnsi="Times New Roman"/>
          <w:sz w:val="24"/>
          <w:szCs w:val="24"/>
        </w:rPr>
        <w:t xml:space="preserve"> prostředí a nemá na něj vliv. </w:t>
      </w:r>
    </w:p>
    <w:p w:rsidR="00416074" w:rsidRDefault="00416074" w:rsidP="00741ACB">
      <w:pPr>
        <w:pStyle w:val="Nadpis4"/>
        <w:spacing w:before="0"/>
        <w:rPr>
          <w:rFonts w:ascii="Times New Roman" w:hAnsi="Times New Roman" w:cs="Times New Roman"/>
          <w:b w:val="0"/>
          <w:i w:val="0"/>
          <w:color w:val="auto"/>
          <w:sz w:val="24"/>
          <w:u w:val="single"/>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 xml:space="preserve">Na zákaz </w:t>
      </w:r>
      <w:r w:rsidR="003D461F">
        <w:rPr>
          <w:rFonts w:ascii="Times New Roman" w:hAnsi="Times New Roman" w:cs="Times New Roman"/>
          <w:b w:val="0"/>
          <w:i w:val="0"/>
          <w:color w:val="auto"/>
          <w:sz w:val="24"/>
          <w:u w:val="single"/>
        </w:rPr>
        <w:t>d</w:t>
      </w:r>
      <w:r w:rsidRPr="00FF4B89">
        <w:rPr>
          <w:rFonts w:ascii="Times New Roman" w:hAnsi="Times New Roman" w:cs="Times New Roman"/>
          <w:b w:val="0"/>
          <w:i w:val="0"/>
          <w:color w:val="auto"/>
          <w:sz w:val="24"/>
          <w:u w:val="single"/>
        </w:rPr>
        <w:t>iskriminace</w:t>
      </w:r>
    </w:p>
    <w:p w:rsidR="00C140C6" w:rsidRPr="00FF4B89" w:rsidRDefault="00747E94" w:rsidP="00741ACB">
      <w:pPr>
        <w:pStyle w:val="Bezmezer"/>
        <w:jc w:val="both"/>
        <w:rPr>
          <w:rFonts w:ascii="Times New Roman" w:hAnsi="Times New Roman"/>
          <w:sz w:val="24"/>
          <w:szCs w:val="24"/>
        </w:rPr>
      </w:pPr>
      <w:r w:rsidRPr="00FF4B89">
        <w:rPr>
          <w:rFonts w:ascii="Times New Roman" w:hAnsi="Times New Roman"/>
          <w:sz w:val="24"/>
          <w:szCs w:val="24"/>
        </w:rPr>
        <w:t xml:space="preserve">Navrhovaná právní úprava neobsahuje žádná ustanovení, která by narušovala právo na rovné zacházení a vedla k diskriminaci. </w:t>
      </w:r>
    </w:p>
    <w:p w:rsidR="00747E94" w:rsidRPr="00FF4B89" w:rsidRDefault="00747E94" w:rsidP="00741ACB">
      <w:pPr>
        <w:pStyle w:val="Bezmezer"/>
        <w:jc w:val="both"/>
        <w:rPr>
          <w:rFonts w:ascii="Times New Roman" w:hAnsi="Times New Roman"/>
          <w:sz w:val="24"/>
          <w:szCs w:val="24"/>
        </w:rPr>
      </w:pP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ochranu soukromí a osobních údajů</w:t>
      </w:r>
    </w:p>
    <w:p w:rsidR="00747E94" w:rsidRDefault="00747E94" w:rsidP="00741ACB">
      <w:pPr>
        <w:spacing w:after="0"/>
        <w:jc w:val="both"/>
        <w:rPr>
          <w:rFonts w:ascii="Times New Roman" w:hAnsi="Times New Roman"/>
          <w:sz w:val="24"/>
          <w:szCs w:val="24"/>
        </w:rPr>
      </w:pPr>
      <w:r w:rsidRPr="00FF4B89">
        <w:rPr>
          <w:rFonts w:ascii="Times New Roman" w:hAnsi="Times New Roman"/>
          <w:sz w:val="24"/>
          <w:szCs w:val="24"/>
        </w:rPr>
        <w:t xml:space="preserve">Z navrhované právní úpravy neplynou nepříznivé důsledky pro ochranu soukromí a osobních údajů. </w:t>
      </w:r>
    </w:p>
    <w:p w:rsidR="00E90169" w:rsidRDefault="00E90169" w:rsidP="00741ACB">
      <w:pPr>
        <w:spacing w:after="0"/>
        <w:jc w:val="both"/>
        <w:rPr>
          <w:rFonts w:ascii="Times New Roman" w:hAnsi="Times New Roman"/>
          <w:sz w:val="24"/>
          <w:szCs w:val="24"/>
        </w:rPr>
      </w:pPr>
      <w:r>
        <w:rPr>
          <w:rFonts w:ascii="Times New Roman" w:hAnsi="Times New Roman"/>
          <w:sz w:val="24"/>
          <w:szCs w:val="24"/>
        </w:rPr>
        <w:lastRenderedPageBreak/>
        <w:t>Návrh nezakládá nové zpracování osobních údajů - ú</w:t>
      </w:r>
      <w:r w:rsidR="007E65B9">
        <w:rPr>
          <w:rFonts w:ascii="Times New Roman" w:hAnsi="Times New Roman"/>
          <w:sz w:val="24"/>
          <w:szCs w:val="24"/>
        </w:rPr>
        <w:t>daje, které se navrhuje v rámci evidence podle ustanovení</w:t>
      </w:r>
      <w:r w:rsidR="002B255C">
        <w:rPr>
          <w:rFonts w:ascii="Times New Roman" w:hAnsi="Times New Roman"/>
          <w:sz w:val="24"/>
          <w:szCs w:val="24"/>
        </w:rPr>
        <w:t xml:space="preserve"> </w:t>
      </w:r>
      <w:r w:rsidR="007E65B9">
        <w:rPr>
          <w:rFonts w:ascii="Times New Roman" w:hAnsi="Times New Roman"/>
          <w:sz w:val="24"/>
          <w:szCs w:val="24"/>
        </w:rPr>
        <w:t>§ 91c evidovat</w:t>
      </w:r>
      <w:r>
        <w:rPr>
          <w:rFonts w:ascii="Times New Roman" w:hAnsi="Times New Roman"/>
          <w:sz w:val="24"/>
          <w:szCs w:val="24"/>
        </w:rPr>
        <w:t>,</w:t>
      </w:r>
      <w:r w:rsidR="007E65B9">
        <w:rPr>
          <w:rFonts w:ascii="Times New Roman" w:hAnsi="Times New Roman"/>
          <w:sz w:val="24"/>
          <w:szCs w:val="24"/>
        </w:rPr>
        <w:t xml:space="preserve"> nejsou nově sbíranými údaji, ale údaji, které jsou sbírány nebo evidovány v rámci jiných údajů</w:t>
      </w:r>
      <w:r w:rsidR="00FB18A5">
        <w:rPr>
          <w:rFonts w:ascii="Times New Roman" w:hAnsi="Times New Roman"/>
          <w:sz w:val="24"/>
          <w:szCs w:val="24"/>
        </w:rPr>
        <w:t>. Evidence se týká pouze</w:t>
      </w:r>
      <w:r w:rsidR="002B255C">
        <w:rPr>
          <w:rFonts w:ascii="Times New Roman" w:hAnsi="Times New Roman"/>
          <w:sz w:val="24"/>
          <w:szCs w:val="24"/>
        </w:rPr>
        <w:t xml:space="preserve"> sociálních</w:t>
      </w:r>
      <w:r w:rsidR="00FB18A5">
        <w:rPr>
          <w:rFonts w:ascii="Times New Roman" w:hAnsi="Times New Roman"/>
          <w:sz w:val="24"/>
          <w:szCs w:val="24"/>
        </w:rPr>
        <w:t xml:space="preserve"> služeb poskytovaných v pobytové formě; tyto služby mají předepsanou vždy písemnou formu uzavření smlouvy podle ustanovení § 91 zákona o sociálních služebnách, která musí obsahovat náležitosti stanovené § 91 odst. 2  zákona – konkrétně „označení smluvních stran“. Údaje o opatrovníkov</w:t>
      </w:r>
      <w:r w:rsidR="002B255C">
        <w:rPr>
          <w:rFonts w:ascii="Times New Roman" w:hAnsi="Times New Roman"/>
          <w:sz w:val="24"/>
          <w:szCs w:val="24"/>
        </w:rPr>
        <w:t>i</w:t>
      </w:r>
      <w:r w:rsidR="00FB18A5">
        <w:rPr>
          <w:rFonts w:ascii="Times New Roman" w:hAnsi="Times New Roman"/>
          <w:sz w:val="24"/>
          <w:szCs w:val="24"/>
        </w:rPr>
        <w:t xml:space="preserve"> nebo osobě, která zastupuje obecní úřad obce s rozšířenou působností, jsou v současné době ve smlouvě též vepsány v rámci určení smluvních stran u zastoupení dané osoby. </w:t>
      </w:r>
    </w:p>
    <w:p w:rsidR="00E90169" w:rsidRDefault="00E90169" w:rsidP="00416074">
      <w:pPr>
        <w:pStyle w:val="Bezmezer"/>
      </w:pPr>
    </w:p>
    <w:p w:rsidR="007E65B9" w:rsidRDefault="00303E98" w:rsidP="00741ACB">
      <w:pPr>
        <w:spacing w:after="0"/>
        <w:jc w:val="both"/>
        <w:rPr>
          <w:rFonts w:ascii="Times New Roman" w:hAnsi="Times New Roman"/>
          <w:sz w:val="24"/>
          <w:szCs w:val="24"/>
        </w:rPr>
      </w:pPr>
      <w:r>
        <w:rPr>
          <w:rFonts w:ascii="Times New Roman" w:hAnsi="Times New Roman"/>
          <w:sz w:val="24"/>
          <w:szCs w:val="24"/>
        </w:rPr>
        <w:t>Délka uchování daných údajů se neprodlužuje</w:t>
      </w:r>
      <w:r w:rsidR="00E90169">
        <w:rPr>
          <w:rFonts w:ascii="Times New Roman" w:hAnsi="Times New Roman"/>
          <w:sz w:val="24"/>
          <w:szCs w:val="24"/>
        </w:rPr>
        <w:t>,</w:t>
      </w:r>
      <w:r>
        <w:rPr>
          <w:rFonts w:ascii="Times New Roman" w:hAnsi="Times New Roman"/>
          <w:sz w:val="24"/>
          <w:szCs w:val="24"/>
        </w:rPr>
        <w:t xml:space="preserve"> neboť si poskytovatel </w:t>
      </w:r>
      <w:r w:rsidR="00E90169">
        <w:rPr>
          <w:rFonts w:ascii="Times New Roman" w:hAnsi="Times New Roman"/>
          <w:sz w:val="24"/>
          <w:szCs w:val="24"/>
        </w:rPr>
        <w:t xml:space="preserve">tuto lhůtu stanovuje v rámci Standardu kvality sociálních služeb č. 6 Dokumentace o poskytování sociální služby, konkrétně v kritériu c). Nově vedená evidence by také neměla mít vliv na </w:t>
      </w:r>
      <w:r w:rsidR="00336E54">
        <w:rPr>
          <w:rFonts w:ascii="Times New Roman" w:hAnsi="Times New Roman"/>
          <w:sz w:val="24"/>
          <w:szCs w:val="24"/>
        </w:rPr>
        <w:t>ochranu daných údajů, ve smyslu</w:t>
      </w:r>
      <w:r w:rsidR="00E90169">
        <w:rPr>
          <w:rFonts w:ascii="Times New Roman" w:hAnsi="Times New Roman"/>
          <w:sz w:val="24"/>
          <w:szCs w:val="24"/>
        </w:rPr>
        <w:t xml:space="preserve"> jejich zneužití třetí osobou, neboť již v současné době </w:t>
      </w:r>
      <w:r w:rsidR="00336E54">
        <w:rPr>
          <w:rFonts w:ascii="Times New Roman" w:hAnsi="Times New Roman"/>
          <w:sz w:val="24"/>
          <w:szCs w:val="24"/>
        </w:rPr>
        <w:t>je poskytovatel</w:t>
      </w:r>
      <w:r w:rsidR="00E90169">
        <w:rPr>
          <w:rFonts w:ascii="Times New Roman" w:hAnsi="Times New Roman"/>
          <w:sz w:val="24"/>
          <w:szCs w:val="24"/>
        </w:rPr>
        <w:t xml:space="preserve"> povinen dané údaje zabezpečit a údaje budou evidovat stejní pracovníci, kteří již v současné době údaje o uživateli </w:t>
      </w:r>
      <w:r w:rsidR="0078087C">
        <w:rPr>
          <w:rFonts w:ascii="Times New Roman" w:hAnsi="Times New Roman"/>
          <w:sz w:val="24"/>
          <w:szCs w:val="24"/>
        </w:rPr>
        <w:t xml:space="preserve">zpracovávají </w:t>
      </w:r>
      <w:r w:rsidR="00E90169">
        <w:rPr>
          <w:rFonts w:ascii="Times New Roman" w:hAnsi="Times New Roman"/>
          <w:sz w:val="24"/>
          <w:szCs w:val="24"/>
        </w:rPr>
        <w:t>(např. v rámci uzavření smlouvy, pomoci při uplatňování práv a oprávněných zájmů).</w:t>
      </w:r>
    </w:p>
    <w:p w:rsidR="0078087C" w:rsidRDefault="0078087C" w:rsidP="00416074">
      <w:pPr>
        <w:pStyle w:val="Bezmezer"/>
      </w:pPr>
    </w:p>
    <w:p w:rsidR="0078087C" w:rsidRDefault="0078087C" w:rsidP="0078087C">
      <w:pPr>
        <w:jc w:val="both"/>
        <w:rPr>
          <w:rFonts w:ascii="Times New Roman" w:hAnsi="Times New Roman"/>
          <w:sz w:val="24"/>
          <w:szCs w:val="24"/>
        </w:rPr>
      </w:pPr>
      <w:r>
        <w:rPr>
          <w:rFonts w:ascii="Times New Roman" w:hAnsi="Times New Roman"/>
          <w:sz w:val="24"/>
          <w:szCs w:val="24"/>
        </w:rPr>
        <w:t xml:space="preserve">Cílem vedení evidence je sledování projevů vůle uživatelů spojené s nesouhlasem s poskytováním v pobytové sociální službě. </w:t>
      </w:r>
    </w:p>
    <w:p w:rsidR="0078087C" w:rsidRDefault="0078087C" w:rsidP="00416074">
      <w:pPr>
        <w:jc w:val="both"/>
        <w:rPr>
          <w:rFonts w:ascii="Times New Roman" w:hAnsi="Times New Roman"/>
          <w:sz w:val="24"/>
          <w:szCs w:val="24"/>
        </w:rPr>
      </w:pPr>
      <w:r>
        <w:rPr>
          <w:rFonts w:ascii="Times New Roman" w:hAnsi="Times New Roman"/>
          <w:sz w:val="24"/>
          <w:szCs w:val="24"/>
        </w:rPr>
        <w:t>Evidence bude sloužit jako podklad pro inspekci poskytování sociálních služeb, jejímž předmětem</w:t>
      </w:r>
      <w:r w:rsidR="00617F26">
        <w:rPr>
          <w:rFonts w:ascii="Times New Roman" w:hAnsi="Times New Roman"/>
          <w:sz w:val="24"/>
          <w:szCs w:val="24"/>
        </w:rPr>
        <w:t xml:space="preserve"> </w:t>
      </w:r>
      <w:r>
        <w:rPr>
          <w:rFonts w:ascii="Times New Roman" w:hAnsi="Times New Roman"/>
          <w:sz w:val="24"/>
          <w:szCs w:val="24"/>
        </w:rPr>
        <w:t>je</w:t>
      </w:r>
      <w:r w:rsidR="00617F26">
        <w:rPr>
          <w:rFonts w:ascii="Times New Roman" w:hAnsi="Times New Roman"/>
          <w:sz w:val="24"/>
          <w:szCs w:val="24"/>
        </w:rPr>
        <w:t xml:space="preserve"> </w:t>
      </w:r>
      <w:r>
        <w:rPr>
          <w:rFonts w:ascii="Times New Roman" w:hAnsi="Times New Roman"/>
          <w:sz w:val="24"/>
          <w:szCs w:val="24"/>
        </w:rPr>
        <w:t>kontrola kvalit</w:t>
      </w:r>
      <w:r w:rsidR="00617F26">
        <w:rPr>
          <w:rFonts w:ascii="Times New Roman" w:hAnsi="Times New Roman"/>
          <w:sz w:val="24"/>
          <w:szCs w:val="24"/>
        </w:rPr>
        <w:t>y</w:t>
      </w:r>
      <w:r>
        <w:rPr>
          <w:rFonts w:ascii="Times New Roman" w:hAnsi="Times New Roman"/>
          <w:sz w:val="24"/>
          <w:szCs w:val="24"/>
        </w:rPr>
        <w:t xml:space="preserve"> poskytov</w:t>
      </w:r>
      <w:r w:rsidR="00C71FC0">
        <w:rPr>
          <w:rFonts w:ascii="Times New Roman" w:hAnsi="Times New Roman"/>
          <w:sz w:val="24"/>
          <w:szCs w:val="24"/>
        </w:rPr>
        <w:t>á</w:t>
      </w:r>
      <w:r>
        <w:rPr>
          <w:rFonts w:ascii="Times New Roman" w:hAnsi="Times New Roman"/>
          <w:sz w:val="24"/>
          <w:szCs w:val="24"/>
        </w:rPr>
        <w:t>n</w:t>
      </w:r>
      <w:r w:rsidR="00617F26">
        <w:rPr>
          <w:rFonts w:ascii="Times New Roman" w:hAnsi="Times New Roman"/>
          <w:sz w:val="24"/>
          <w:szCs w:val="24"/>
        </w:rPr>
        <w:t>í</w:t>
      </w:r>
      <w:r>
        <w:rPr>
          <w:rFonts w:ascii="Times New Roman" w:hAnsi="Times New Roman"/>
          <w:sz w:val="24"/>
          <w:szCs w:val="24"/>
        </w:rPr>
        <w:t xml:space="preserve"> sociálních služeb </w:t>
      </w:r>
      <w:r w:rsidR="00617F26">
        <w:rPr>
          <w:rFonts w:ascii="Times New Roman" w:hAnsi="Times New Roman"/>
          <w:sz w:val="24"/>
          <w:szCs w:val="24"/>
        </w:rPr>
        <w:t>prostřednictvím standardů kvality</w:t>
      </w:r>
      <w:r w:rsidR="00C71FC0">
        <w:rPr>
          <w:rFonts w:ascii="Times New Roman" w:hAnsi="Times New Roman"/>
          <w:sz w:val="24"/>
          <w:szCs w:val="24"/>
        </w:rPr>
        <w:t xml:space="preserve"> (standard Ochrana práv osob)</w:t>
      </w:r>
      <w:r w:rsidR="00617F26">
        <w:rPr>
          <w:rFonts w:ascii="Times New Roman" w:hAnsi="Times New Roman"/>
          <w:sz w:val="24"/>
          <w:szCs w:val="24"/>
        </w:rPr>
        <w:t>.</w:t>
      </w:r>
    </w:p>
    <w:p w:rsidR="0078087C" w:rsidRDefault="0078087C" w:rsidP="0078087C">
      <w:pPr>
        <w:jc w:val="both"/>
        <w:rPr>
          <w:rFonts w:ascii="Times New Roman" w:hAnsi="Times New Roman"/>
          <w:sz w:val="24"/>
          <w:szCs w:val="24"/>
        </w:rPr>
      </w:pPr>
      <w:r>
        <w:rPr>
          <w:rFonts w:ascii="Times New Roman" w:hAnsi="Times New Roman"/>
          <w:sz w:val="24"/>
          <w:szCs w:val="24"/>
        </w:rPr>
        <w:t xml:space="preserve">Zpracovaná osobní data nejsou veřejně dostupná, evidence bude interním materiálem poskytovatele. K evidenci budou mít přístup členové inspekčního týmu při inspekci poskytování sociálních služeb. Tyto údaje jsou kryty povinností mlčenlivosti podle § 100 zákona o sociálních službách, která platí jak pro poskytovatele a jejich zaměstnance, tak pro členy inspekčního týmu. </w:t>
      </w:r>
    </w:p>
    <w:p w:rsidR="00C140C6" w:rsidRPr="00FF4B89" w:rsidRDefault="00C140C6" w:rsidP="00741ACB">
      <w:pPr>
        <w:pStyle w:val="Nadpis4"/>
        <w:spacing w:before="0"/>
        <w:rPr>
          <w:rFonts w:ascii="Times New Roman" w:hAnsi="Times New Roman" w:cs="Times New Roman"/>
          <w:b w:val="0"/>
          <w:i w:val="0"/>
          <w:color w:val="auto"/>
          <w:sz w:val="24"/>
          <w:u w:val="single"/>
        </w:rPr>
      </w:pPr>
      <w:r w:rsidRPr="00FF4B89">
        <w:rPr>
          <w:rFonts w:ascii="Times New Roman" w:hAnsi="Times New Roman" w:cs="Times New Roman"/>
          <w:b w:val="0"/>
          <w:i w:val="0"/>
          <w:color w:val="auto"/>
          <w:sz w:val="24"/>
          <w:u w:val="single"/>
        </w:rPr>
        <w:t>Na korupční rizika</w:t>
      </w:r>
    </w:p>
    <w:p w:rsidR="00747E94" w:rsidRPr="00FF4B89" w:rsidRDefault="00747E94" w:rsidP="00741ACB">
      <w:pPr>
        <w:pStyle w:val="Bezmezer"/>
        <w:jc w:val="both"/>
        <w:rPr>
          <w:rFonts w:ascii="Times New Roman" w:hAnsi="Times New Roman"/>
          <w:sz w:val="24"/>
          <w:szCs w:val="24"/>
        </w:rPr>
      </w:pPr>
      <w:r w:rsidRPr="00FF4B89">
        <w:rPr>
          <w:rFonts w:ascii="Times New Roman" w:hAnsi="Times New Roman"/>
          <w:sz w:val="24"/>
          <w:szCs w:val="24"/>
        </w:rPr>
        <w:t>V n</w:t>
      </w:r>
      <w:r w:rsidR="00C140C6" w:rsidRPr="00FF4B89">
        <w:rPr>
          <w:rFonts w:ascii="Times New Roman" w:hAnsi="Times New Roman"/>
          <w:sz w:val="24"/>
          <w:szCs w:val="24"/>
        </w:rPr>
        <w:t>avrhovan</w:t>
      </w:r>
      <w:r w:rsidRPr="00FF4B89">
        <w:rPr>
          <w:rFonts w:ascii="Times New Roman" w:hAnsi="Times New Roman"/>
          <w:sz w:val="24"/>
          <w:szCs w:val="24"/>
        </w:rPr>
        <w:t>é právní</w:t>
      </w:r>
      <w:r w:rsidR="00C140C6" w:rsidRPr="00FF4B89">
        <w:rPr>
          <w:rFonts w:ascii="Times New Roman" w:hAnsi="Times New Roman"/>
          <w:sz w:val="24"/>
          <w:szCs w:val="24"/>
        </w:rPr>
        <w:t xml:space="preserve"> úprav</w:t>
      </w:r>
      <w:r w:rsidRPr="00FF4B89">
        <w:rPr>
          <w:rFonts w:ascii="Times New Roman" w:hAnsi="Times New Roman"/>
          <w:sz w:val="24"/>
          <w:szCs w:val="24"/>
        </w:rPr>
        <w:t>ě nebyla shledána žádná rizika, která by mohla vést ke korupčnímu jednání.</w:t>
      </w:r>
    </w:p>
    <w:p w:rsidR="00741ACB" w:rsidRDefault="00741ACB" w:rsidP="00741ACB">
      <w:pPr>
        <w:spacing w:after="0"/>
        <w:jc w:val="both"/>
        <w:rPr>
          <w:rFonts w:ascii="Times New Roman" w:hAnsi="Times New Roman"/>
          <w:sz w:val="24"/>
          <w:szCs w:val="24"/>
          <w:u w:val="single"/>
        </w:rPr>
      </w:pPr>
    </w:p>
    <w:p w:rsidR="00E80E42" w:rsidRPr="00FF4B89" w:rsidRDefault="00E80E42" w:rsidP="00741ACB">
      <w:pPr>
        <w:spacing w:after="0"/>
        <w:jc w:val="both"/>
        <w:rPr>
          <w:rFonts w:ascii="Times New Roman" w:hAnsi="Times New Roman"/>
          <w:sz w:val="24"/>
          <w:szCs w:val="24"/>
          <w:u w:val="single"/>
        </w:rPr>
      </w:pPr>
      <w:r w:rsidRPr="00FF4B89">
        <w:rPr>
          <w:rFonts w:ascii="Times New Roman" w:hAnsi="Times New Roman"/>
          <w:sz w:val="24"/>
          <w:szCs w:val="24"/>
          <w:u w:val="single"/>
        </w:rPr>
        <w:t>Na výkon státní statistické služby</w:t>
      </w:r>
    </w:p>
    <w:p w:rsidR="00E80E42" w:rsidRPr="00FF4B89" w:rsidRDefault="00E80E42" w:rsidP="00741ACB">
      <w:pPr>
        <w:spacing w:after="0"/>
        <w:jc w:val="both"/>
        <w:rPr>
          <w:rFonts w:ascii="Times New Roman" w:hAnsi="Times New Roman"/>
          <w:sz w:val="24"/>
          <w:szCs w:val="24"/>
        </w:rPr>
      </w:pPr>
      <w:r w:rsidRPr="00FF4B89">
        <w:rPr>
          <w:rFonts w:ascii="Times New Roman" w:hAnsi="Times New Roman"/>
          <w:sz w:val="24"/>
          <w:szCs w:val="24"/>
        </w:rPr>
        <w:t>Navrhovaná</w:t>
      </w:r>
      <w:r w:rsidR="00747E94" w:rsidRPr="00FF4B89">
        <w:rPr>
          <w:rFonts w:ascii="Times New Roman" w:hAnsi="Times New Roman"/>
          <w:sz w:val="24"/>
          <w:szCs w:val="24"/>
        </w:rPr>
        <w:t xml:space="preserve"> právní</w:t>
      </w:r>
      <w:r w:rsidRPr="00FF4B89">
        <w:rPr>
          <w:rFonts w:ascii="Times New Roman" w:hAnsi="Times New Roman"/>
          <w:sz w:val="24"/>
          <w:szCs w:val="24"/>
        </w:rPr>
        <w:t xml:space="preserve"> úprava nebude mít dopad na výkon státní statistické služby.</w:t>
      </w:r>
    </w:p>
    <w:p w:rsidR="00416074" w:rsidRDefault="00416074" w:rsidP="006936E8">
      <w:pPr>
        <w:pStyle w:val="Nadpis4"/>
        <w:spacing w:after="120"/>
        <w:rPr>
          <w:rFonts w:ascii="Times New Roman" w:hAnsi="Times New Roman" w:cs="Times New Roman"/>
          <w:i w:val="0"/>
          <w:color w:val="auto"/>
          <w:sz w:val="24"/>
          <w:szCs w:val="24"/>
        </w:rPr>
      </w:pPr>
    </w:p>
    <w:p w:rsidR="006936E8" w:rsidRPr="00FF4B89" w:rsidRDefault="00221463" w:rsidP="006936E8">
      <w:pPr>
        <w:pStyle w:val="Nadpis4"/>
        <w:spacing w:after="120"/>
        <w:rPr>
          <w:rFonts w:ascii="Times New Roman" w:hAnsi="Times New Roman" w:cs="Times New Roman"/>
          <w:i w:val="0"/>
          <w:color w:val="auto"/>
          <w:sz w:val="24"/>
          <w:szCs w:val="24"/>
        </w:rPr>
      </w:pPr>
      <w:r>
        <w:rPr>
          <w:rFonts w:ascii="Times New Roman" w:hAnsi="Times New Roman" w:cs="Times New Roman"/>
          <w:i w:val="0"/>
          <w:color w:val="auto"/>
          <w:sz w:val="24"/>
          <w:szCs w:val="24"/>
        </w:rPr>
        <w:t>E</w:t>
      </w:r>
      <w:r w:rsidR="00B36165" w:rsidRPr="00FF4B89">
        <w:rPr>
          <w:rFonts w:ascii="Times New Roman" w:hAnsi="Times New Roman" w:cs="Times New Roman"/>
          <w:i w:val="0"/>
          <w:color w:val="auto"/>
          <w:sz w:val="24"/>
          <w:szCs w:val="24"/>
        </w:rPr>
        <w:t>) FINANČNÍ DOPADY</w:t>
      </w:r>
      <w:r w:rsidR="006936E8" w:rsidRPr="00FF4B89">
        <w:rPr>
          <w:rFonts w:ascii="Times New Roman" w:hAnsi="Times New Roman" w:cs="Times New Roman"/>
          <w:i w:val="0"/>
          <w:color w:val="auto"/>
          <w:sz w:val="24"/>
          <w:szCs w:val="24"/>
        </w:rPr>
        <w:t xml:space="preserve"> </w:t>
      </w:r>
    </w:p>
    <w:p w:rsidR="00947C70" w:rsidRPr="00FF4B89" w:rsidRDefault="00307811" w:rsidP="00307811">
      <w:pPr>
        <w:jc w:val="both"/>
        <w:rPr>
          <w:rFonts w:ascii="Times New Roman" w:hAnsi="Times New Roman"/>
          <w:sz w:val="24"/>
          <w:szCs w:val="24"/>
        </w:rPr>
      </w:pPr>
      <w:r w:rsidRPr="00FF4B89">
        <w:rPr>
          <w:rFonts w:ascii="Times New Roman" w:hAnsi="Times New Roman"/>
          <w:sz w:val="24"/>
          <w:szCs w:val="24"/>
        </w:rPr>
        <w:t xml:space="preserve">Návrh </w:t>
      </w:r>
      <w:r w:rsidR="009703FF" w:rsidRPr="00FF4B89">
        <w:rPr>
          <w:rFonts w:ascii="Times New Roman" w:hAnsi="Times New Roman"/>
          <w:sz w:val="24"/>
          <w:szCs w:val="24"/>
        </w:rPr>
        <w:t>ne</w:t>
      </w:r>
      <w:r w:rsidRPr="00FF4B89">
        <w:rPr>
          <w:rFonts w:ascii="Times New Roman" w:hAnsi="Times New Roman"/>
          <w:sz w:val="24"/>
          <w:szCs w:val="24"/>
        </w:rPr>
        <w:t xml:space="preserve">předpokládá </w:t>
      </w:r>
      <w:r w:rsidR="003D461F">
        <w:rPr>
          <w:rFonts w:ascii="Times New Roman" w:hAnsi="Times New Roman"/>
          <w:sz w:val="24"/>
          <w:szCs w:val="24"/>
        </w:rPr>
        <w:t>žádné zvýšené náklady.</w:t>
      </w:r>
    </w:p>
    <w:p w:rsidR="00C14F39" w:rsidRDefault="00C14F39" w:rsidP="00723941">
      <w:pPr>
        <w:pStyle w:val="Bezmezer"/>
        <w:jc w:val="both"/>
        <w:rPr>
          <w:rFonts w:ascii="Times New Roman" w:eastAsia="Times New Roman" w:hAnsi="Times New Roman"/>
          <w:bCs/>
          <w:sz w:val="24"/>
          <w:szCs w:val="24"/>
          <w:lang w:eastAsia="cs-CZ"/>
        </w:rPr>
      </w:pPr>
    </w:p>
    <w:p w:rsidR="00416074" w:rsidRDefault="00416074" w:rsidP="00723941">
      <w:pPr>
        <w:pStyle w:val="Bezmezer"/>
        <w:jc w:val="both"/>
        <w:rPr>
          <w:rFonts w:ascii="Times New Roman" w:eastAsia="Times New Roman" w:hAnsi="Times New Roman"/>
          <w:bCs/>
          <w:sz w:val="24"/>
          <w:szCs w:val="24"/>
          <w:lang w:eastAsia="cs-CZ"/>
        </w:rPr>
      </w:pPr>
    </w:p>
    <w:p w:rsidR="00201495" w:rsidRDefault="00201495" w:rsidP="00723941">
      <w:pPr>
        <w:pStyle w:val="Bezmezer"/>
        <w:jc w:val="both"/>
        <w:rPr>
          <w:rFonts w:ascii="Times New Roman" w:eastAsia="Times New Roman" w:hAnsi="Times New Roman"/>
          <w:bCs/>
          <w:sz w:val="24"/>
          <w:szCs w:val="24"/>
          <w:lang w:eastAsia="cs-CZ"/>
        </w:rPr>
      </w:pPr>
    </w:p>
    <w:p w:rsidR="00201495" w:rsidRDefault="00201495" w:rsidP="00723941">
      <w:pPr>
        <w:pStyle w:val="Bezmezer"/>
        <w:jc w:val="both"/>
        <w:rPr>
          <w:rFonts w:ascii="Times New Roman" w:eastAsia="Times New Roman" w:hAnsi="Times New Roman"/>
          <w:bCs/>
          <w:sz w:val="24"/>
          <w:szCs w:val="24"/>
          <w:lang w:eastAsia="cs-CZ"/>
        </w:rPr>
      </w:pPr>
    </w:p>
    <w:p w:rsidR="00201495" w:rsidRDefault="00201495" w:rsidP="00723941">
      <w:pPr>
        <w:pStyle w:val="Bezmezer"/>
        <w:jc w:val="both"/>
        <w:rPr>
          <w:rFonts w:ascii="Times New Roman" w:eastAsia="Times New Roman" w:hAnsi="Times New Roman"/>
          <w:bCs/>
          <w:sz w:val="24"/>
          <w:szCs w:val="24"/>
          <w:lang w:eastAsia="cs-CZ"/>
        </w:rPr>
      </w:pPr>
    </w:p>
    <w:p w:rsidR="00416074" w:rsidRDefault="00416074" w:rsidP="00723941">
      <w:pPr>
        <w:pStyle w:val="Bezmezer"/>
        <w:jc w:val="both"/>
        <w:rPr>
          <w:rFonts w:ascii="Times New Roman" w:eastAsia="Times New Roman" w:hAnsi="Times New Roman"/>
          <w:bCs/>
          <w:sz w:val="24"/>
          <w:szCs w:val="24"/>
          <w:lang w:eastAsia="cs-CZ"/>
        </w:rPr>
      </w:pPr>
    </w:p>
    <w:p w:rsidR="00416074" w:rsidRPr="00FF4B89" w:rsidRDefault="00416074" w:rsidP="00723941">
      <w:pPr>
        <w:pStyle w:val="Bezmezer"/>
        <w:jc w:val="both"/>
        <w:rPr>
          <w:rFonts w:ascii="Times New Roman" w:eastAsia="Times New Roman" w:hAnsi="Times New Roman"/>
          <w:bCs/>
          <w:sz w:val="24"/>
          <w:szCs w:val="24"/>
          <w:lang w:eastAsia="cs-CZ"/>
        </w:rPr>
      </w:pPr>
    </w:p>
    <w:p w:rsidR="00E70F8A" w:rsidRDefault="00E70F8A" w:rsidP="00416074">
      <w:pPr>
        <w:spacing w:line="276" w:lineRule="auto"/>
        <w:rPr>
          <w:rFonts w:ascii="Times New Roman" w:hAnsi="Times New Roman"/>
          <w:b/>
          <w:sz w:val="28"/>
          <w:szCs w:val="28"/>
          <w:u w:val="single"/>
        </w:rPr>
      </w:pPr>
      <w:r>
        <w:rPr>
          <w:rFonts w:ascii="Times New Roman" w:hAnsi="Times New Roman"/>
          <w:b/>
          <w:sz w:val="28"/>
          <w:szCs w:val="28"/>
          <w:u w:val="single"/>
        </w:rPr>
        <w:lastRenderedPageBreak/>
        <w:t>Zvláštní část</w:t>
      </w:r>
    </w:p>
    <w:p w:rsidR="002B255C" w:rsidRDefault="002B255C" w:rsidP="00E70F8A">
      <w:pPr>
        <w:jc w:val="both"/>
        <w:rPr>
          <w:rFonts w:ascii="Times New Roman" w:hAnsi="Times New Roman"/>
          <w:sz w:val="24"/>
          <w:szCs w:val="24"/>
          <w:u w:val="single"/>
        </w:rPr>
      </w:pPr>
    </w:p>
    <w:p w:rsidR="00416074" w:rsidRPr="00416074" w:rsidRDefault="00221463" w:rsidP="00E70F8A">
      <w:pPr>
        <w:jc w:val="both"/>
        <w:rPr>
          <w:rFonts w:ascii="Times New Roman" w:hAnsi="Times New Roman"/>
          <w:b/>
          <w:sz w:val="24"/>
          <w:szCs w:val="24"/>
          <w:u w:val="single"/>
        </w:rPr>
      </w:pPr>
      <w:r w:rsidRPr="00416074">
        <w:rPr>
          <w:rFonts w:ascii="Times New Roman" w:hAnsi="Times New Roman"/>
          <w:b/>
          <w:sz w:val="24"/>
          <w:szCs w:val="24"/>
          <w:u w:val="single"/>
        </w:rPr>
        <w:t xml:space="preserve">K čl. I </w:t>
      </w:r>
    </w:p>
    <w:p w:rsidR="00221463" w:rsidRDefault="00713476" w:rsidP="00E70F8A">
      <w:pPr>
        <w:jc w:val="both"/>
        <w:rPr>
          <w:rFonts w:ascii="Times New Roman" w:hAnsi="Times New Roman"/>
          <w:sz w:val="24"/>
          <w:szCs w:val="24"/>
          <w:u w:val="single"/>
        </w:rPr>
      </w:pPr>
      <w:r>
        <w:rPr>
          <w:rFonts w:ascii="Times New Roman" w:hAnsi="Times New Roman"/>
          <w:sz w:val="24"/>
          <w:szCs w:val="24"/>
          <w:u w:val="single"/>
        </w:rPr>
        <w:t>K bodu 1</w:t>
      </w:r>
    </w:p>
    <w:p w:rsidR="009A4E43" w:rsidRDefault="009A4E43" w:rsidP="009A4E43">
      <w:pPr>
        <w:jc w:val="both"/>
        <w:rPr>
          <w:rFonts w:ascii="Times New Roman" w:hAnsi="Times New Roman"/>
          <w:sz w:val="24"/>
          <w:szCs w:val="24"/>
        </w:rPr>
      </w:pPr>
      <w:r w:rsidRPr="009A4E43">
        <w:rPr>
          <w:rFonts w:ascii="Times New Roman" w:hAnsi="Times New Roman"/>
          <w:sz w:val="24"/>
          <w:szCs w:val="24"/>
        </w:rPr>
        <w:t xml:space="preserve">Současná výše </w:t>
      </w:r>
      <w:r>
        <w:rPr>
          <w:rFonts w:ascii="Times New Roman" w:hAnsi="Times New Roman"/>
          <w:sz w:val="24"/>
          <w:szCs w:val="24"/>
        </w:rPr>
        <w:t xml:space="preserve">příspěvku na péči </w:t>
      </w:r>
      <w:r w:rsidRPr="009A4E43">
        <w:rPr>
          <w:rFonts w:ascii="Times New Roman" w:hAnsi="Times New Roman"/>
          <w:sz w:val="24"/>
          <w:szCs w:val="24"/>
        </w:rPr>
        <w:t>byla od svého zavedení upravována ad hoc v zásadě v souvislosti s úspornými opatřeními ve vztahu ke státnímu rozpočtu (snížení u prvního stupně závislosti u osob</w:t>
      </w:r>
      <w:r>
        <w:rPr>
          <w:rFonts w:ascii="Times New Roman" w:hAnsi="Times New Roman"/>
          <w:sz w:val="24"/>
          <w:szCs w:val="24"/>
        </w:rPr>
        <w:t xml:space="preserve"> starších 18 let</w:t>
      </w:r>
      <w:r w:rsidRPr="009A4E43">
        <w:rPr>
          <w:rFonts w:ascii="Times New Roman" w:hAnsi="Times New Roman"/>
          <w:sz w:val="24"/>
          <w:szCs w:val="24"/>
        </w:rPr>
        <w:t xml:space="preserve"> z</w:t>
      </w:r>
      <w:r>
        <w:rPr>
          <w:rFonts w:ascii="Times New Roman" w:hAnsi="Times New Roman"/>
          <w:sz w:val="24"/>
          <w:szCs w:val="24"/>
        </w:rPr>
        <w:t> </w:t>
      </w:r>
      <w:r w:rsidRPr="009A4E43">
        <w:rPr>
          <w:rFonts w:ascii="Times New Roman" w:hAnsi="Times New Roman"/>
          <w:sz w:val="24"/>
          <w:szCs w:val="24"/>
        </w:rPr>
        <w:t>2</w:t>
      </w:r>
      <w:r>
        <w:rPr>
          <w:rFonts w:ascii="Times New Roman" w:hAnsi="Times New Roman"/>
          <w:sz w:val="24"/>
          <w:szCs w:val="24"/>
        </w:rPr>
        <w:t> </w:t>
      </w:r>
      <w:r w:rsidRPr="009A4E43">
        <w:rPr>
          <w:rFonts w:ascii="Times New Roman" w:hAnsi="Times New Roman"/>
          <w:sz w:val="24"/>
          <w:szCs w:val="24"/>
        </w:rPr>
        <w:t xml:space="preserve">000 Kč na 800 Kč), s podporou nejvyššího stupně závislosti nebo v návaznosti na změny v systému dávek státní sociální podpory. </w:t>
      </w:r>
      <w:r>
        <w:rPr>
          <w:rFonts w:ascii="Times New Roman" w:hAnsi="Times New Roman"/>
          <w:sz w:val="24"/>
          <w:szCs w:val="24"/>
        </w:rPr>
        <w:t>Lze konstatovat, že č</w:t>
      </w:r>
      <w:r w:rsidRPr="009A4E43">
        <w:rPr>
          <w:rFonts w:ascii="Times New Roman" w:hAnsi="Times New Roman"/>
          <w:sz w:val="24"/>
          <w:szCs w:val="24"/>
        </w:rPr>
        <w:t xml:space="preserve">ástky </w:t>
      </w:r>
      <w:r>
        <w:rPr>
          <w:rFonts w:ascii="Times New Roman" w:hAnsi="Times New Roman"/>
          <w:sz w:val="24"/>
          <w:szCs w:val="24"/>
        </w:rPr>
        <w:t>příspěvku na péči</w:t>
      </w:r>
      <w:r w:rsidRPr="009A4E43">
        <w:rPr>
          <w:rFonts w:ascii="Times New Roman" w:hAnsi="Times New Roman"/>
          <w:sz w:val="24"/>
          <w:szCs w:val="24"/>
        </w:rPr>
        <w:t xml:space="preserve"> od svého zavedení v roce 2007 již ztratily svou reálnou hodnotu</w:t>
      </w:r>
      <w:r>
        <w:rPr>
          <w:rFonts w:ascii="Times New Roman" w:hAnsi="Times New Roman"/>
          <w:sz w:val="24"/>
          <w:szCs w:val="24"/>
        </w:rPr>
        <w:t>.</w:t>
      </w:r>
      <w:r w:rsidRPr="009A4E43">
        <w:rPr>
          <w:rFonts w:ascii="Times New Roman" w:hAnsi="Times New Roman"/>
          <w:sz w:val="24"/>
          <w:szCs w:val="24"/>
        </w:rPr>
        <w:t xml:space="preserve"> </w:t>
      </w:r>
      <w:r>
        <w:rPr>
          <w:rFonts w:ascii="Times New Roman" w:hAnsi="Times New Roman"/>
          <w:sz w:val="24"/>
          <w:szCs w:val="24"/>
        </w:rPr>
        <w:t>P</w:t>
      </w:r>
      <w:r w:rsidRPr="009A4E43">
        <w:rPr>
          <w:rFonts w:ascii="Times New Roman" w:hAnsi="Times New Roman"/>
          <w:sz w:val="24"/>
          <w:szCs w:val="24"/>
        </w:rPr>
        <w:t xml:space="preserve">roto </w:t>
      </w:r>
      <w:r>
        <w:rPr>
          <w:rFonts w:ascii="Times New Roman" w:hAnsi="Times New Roman"/>
          <w:sz w:val="24"/>
          <w:szCs w:val="24"/>
        </w:rPr>
        <w:t>se na základě provedených analýz n</w:t>
      </w:r>
      <w:r w:rsidRPr="00713476">
        <w:rPr>
          <w:rFonts w:ascii="Times New Roman" w:hAnsi="Times New Roman"/>
          <w:sz w:val="24"/>
          <w:szCs w:val="24"/>
        </w:rPr>
        <w:t>avrhuje zvýšení částek příspěvku na péči</w:t>
      </w:r>
      <w:r>
        <w:rPr>
          <w:rFonts w:ascii="Times New Roman" w:hAnsi="Times New Roman"/>
          <w:sz w:val="24"/>
          <w:szCs w:val="24"/>
        </w:rPr>
        <w:t>.</w:t>
      </w:r>
    </w:p>
    <w:p w:rsidR="00416074" w:rsidRDefault="00416074" w:rsidP="00416074">
      <w:pPr>
        <w:pStyle w:val="Bezmezer"/>
      </w:pPr>
    </w:p>
    <w:p w:rsidR="00E70F8A" w:rsidRPr="002B255C" w:rsidRDefault="002B255C" w:rsidP="00E70F8A">
      <w:pPr>
        <w:jc w:val="both"/>
        <w:rPr>
          <w:rFonts w:ascii="Times New Roman" w:hAnsi="Times New Roman"/>
          <w:sz w:val="24"/>
          <w:szCs w:val="24"/>
          <w:u w:val="single"/>
        </w:rPr>
      </w:pPr>
      <w:r w:rsidRPr="002B255C">
        <w:rPr>
          <w:rFonts w:ascii="Times New Roman" w:hAnsi="Times New Roman"/>
          <w:sz w:val="24"/>
          <w:szCs w:val="24"/>
          <w:u w:val="single"/>
        </w:rPr>
        <w:t>K bodu 2</w:t>
      </w:r>
    </w:p>
    <w:p w:rsidR="003D461F" w:rsidRPr="00741ACB" w:rsidRDefault="003D461F" w:rsidP="003D461F">
      <w:pPr>
        <w:jc w:val="both"/>
        <w:rPr>
          <w:rFonts w:ascii="Times New Roman" w:hAnsi="Times New Roman"/>
          <w:sz w:val="24"/>
          <w:szCs w:val="24"/>
        </w:rPr>
      </w:pPr>
      <w:r w:rsidRPr="00741ACB">
        <w:rPr>
          <w:rFonts w:ascii="Times New Roman" w:hAnsi="Times New Roman"/>
          <w:sz w:val="24"/>
          <w:szCs w:val="24"/>
        </w:rPr>
        <w:t xml:space="preserve">Systém </w:t>
      </w:r>
      <w:r w:rsidR="00221463">
        <w:rPr>
          <w:rFonts w:ascii="Times New Roman" w:hAnsi="Times New Roman"/>
          <w:sz w:val="24"/>
          <w:szCs w:val="24"/>
        </w:rPr>
        <w:t xml:space="preserve">poskytování </w:t>
      </w:r>
      <w:r w:rsidRPr="00741ACB">
        <w:rPr>
          <w:rFonts w:ascii="Times New Roman" w:hAnsi="Times New Roman"/>
          <w:sz w:val="24"/>
          <w:szCs w:val="24"/>
        </w:rPr>
        <w:t xml:space="preserve">sociálních služeb </w:t>
      </w:r>
      <w:r w:rsidR="00221463">
        <w:rPr>
          <w:rFonts w:ascii="Times New Roman" w:hAnsi="Times New Roman"/>
          <w:sz w:val="24"/>
          <w:szCs w:val="24"/>
        </w:rPr>
        <w:t>podle platné právní úpravy je založen na</w:t>
      </w:r>
      <w:r w:rsidRPr="00741ACB">
        <w:rPr>
          <w:rFonts w:ascii="Times New Roman" w:hAnsi="Times New Roman"/>
          <w:sz w:val="24"/>
          <w:szCs w:val="24"/>
        </w:rPr>
        <w:t xml:space="preserve"> uzavření smlouvy o poskytování sociální služby. Tedy na dobrovolném projevu vůle dvou stran (zájemce o poskytování sociální služby a poskytovatele) k právnímu jednání, jehož výsledkem je počátek poskytování sociálních služeb za dohodnutých podmínek. Avšak osoba vždy nemusí být zcela bez podpory schopna tuto smlouvu uzavřít (v návaznosti na duševní onemocnění) a musí dojít k jejímu zastoupení při tomto právním jednání. Jakkoliv je povinnost</w:t>
      </w:r>
      <w:r w:rsidR="00221463">
        <w:rPr>
          <w:rFonts w:ascii="Times New Roman" w:hAnsi="Times New Roman"/>
          <w:sz w:val="24"/>
          <w:szCs w:val="24"/>
        </w:rPr>
        <w:t>í</w:t>
      </w:r>
      <w:r w:rsidRPr="00741ACB">
        <w:rPr>
          <w:rFonts w:ascii="Times New Roman" w:hAnsi="Times New Roman"/>
          <w:sz w:val="24"/>
          <w:szCs w:val="24"/>
        </w:rPr>
        <w:t xml:space="preserve"> zákonného zástupce či opatrovníka jednat v zájmu a se souhlasem zastupované osoby, nelze vyloučit situaci, kdy osoba nebude s poskytováním pobytové sociální služby souhlasit. Pokud tato osoba nebude moci poskytování služby odmítnout a zařízení, kde je služba poskytována, opustit, může dojít k situaci, že je v něm omezena na osobní svobodě ve smyslu Listiny základních práv a svobod a mezinárodních úmluv.</w:t>
      </w:r>
      <w:r w:rsidR="00416074">
        <w:rPr>
          <w:rFonts w:ascii="Times New Roman" w:hAnsi="Times New Roman"/>
          <w:sz w:val="24"/>
          <w:szCs w:val="24"/>
        </w:rPr>
        <w:t xml:space="preserve"> Navrhovaná změna zákona o sociálních službách a navazující změna zákona o zvláštních řízení</w:t>
      </w:r>
      <w:r w:rsidR="00C71FC0">
        <w:rPr>
          <w:rFonts w:ascii="Times New Roman" w:hAnsi="Times New Roman"/>
          <w:sz w:val="24"/>
          <w:szCs w:val="24"/>
        </w:rPr>
        <w:t>ch</w:t>
      </w:r>
      <w:r w:rsidR="00416074">
        <w:rPr>
          <w:rFonts w:ascii="Times New Roman" w:hAnsi="Times New Roman"/>
          <w:sz w:val="24"/>
          <w:szCs w:val="24"/>
        </w:rPr>
        <w:t xml:space="preserve"> soudních upřesňuje postup v situacích, kdy klient pobytové sociální nesouhlasí s jejím poskytováním.</w:t>
      </w:r>
    </w:p>
    <w:p w:rsidR="00416074" w:rsidRDefault="00416074" w:rsidP="00DD4D0B">
      <w:pPr>
        <w:jc w:val="both"/>
        <w:rPr>
          <w:rFonts w:ascii="Times New Roman" w:hAnsi="Times New Roman"/>
          <w:sz w:val="24"/>
          <w:szCs w:val="24"/>
        </w:rPr>
      </w:pPr>
    </w:p>
    <w:p w:rsidR="00221463" w:rsidRPr="00416074" w:rsidRDefault="00221463" w:rsidP="00DD4D0B">
      <w:pPr>
        <w:jc w:val="both"/>
        <w:rPr>
          <w:rFonts w:ascii="Times New Roman" w:hAnsi="Times New Roman"/>
          <w:b/>
          <w:sz w:val="24"/>
          <w:szCs w:val="24"/>
          <w:u w:val="single"/>
        </w:rPr>
      </w:pPr>
      <w:r w:rsidRPr="00416074">
        <w:rPr>
          <w:rFonts w:ascii="Times New Roman" w:hAnsi="Times New Roman"/>
          <w:b/>
          <w:sz w:val="24"/>
          <w:szCs w:val="24"/>
          <w:u w:val="single"/>
        </w:rPr>
        <w:t>K čl. II</w:t>
      </w:r>
    </w:p>
    <w:p w:rsidR="00221463" w:rsidRDefault="00713476" w:rsidP="00DD4D0B">
      <w:pPr>
        <w:jc w:val="both"/>
        <w:rPr>
          <w:rFonts w:ascii="Times New Roman" w:hAnsi="Times New Roman"/>
          <w:sz w:val="24"/>
          <w:szCs w:val="24"/>
          <w:u w:val="single"/>
        </w:rPr>
      </w:pPr>
      <w:r>
        <w:rPr>
          <w:rFonts w:ascii="Times New Roman" w:hAnsi="Times New Roman"/>
          <w:sz w:val="24"/>
          <w:szCs w:val="24"/>
          <w:u w:val="single"/>
        </w:rPr>
        <w:t>K bodu 1</w:t>
      </w:r>
    </w:p>
    <w:p w:rsidR="00713476" w:rsidRPr="00713476" w:rsidRDefault="00713476" w:rsidP="00713476">
      <w:pPr>
        <w:spacing w:after="0"/>
        <w:jc w:val="both"/>
        <w:rPr>
          <w:rFonts w:ascii="Times New Roman" w:hAnsi="Times New Roman"/>
          <w:sz w:val="24"/>
          <w:szCs w:val="24"/>
        </w:rPr>
      </w:pPr>
      <w:r w:rsidRPr="00713476">
        <w:rPr>
          <w:rFonts w:ascii="Times New Roman" w:hAnsi="Times New Roman"/>
          <w:sz w:val="24"/>
          <w:szCs w:val="24"/>
        </w:rPr>
        <w:t>Navrhuje se, aby Úřad práce Č</w:t>
      </w:r>
      <w:r w:rsidR="005B39A4">
        <w:rPr>
          <w:rFonts w:ascii="Times New Roman" w:hAnsi="Times New Roman"/>
          <w:sz w:val="24"/>
          <w:szCs w:val="24"/>
        </w:rPr>
        <w:t>eské republiky</w:t>
      </w:r>
      <w:r w:rsidRPr="00713476">
        <w:rPr>
          <w:rFonts w:ascii="Times New Roman" w:hAnsi="Times New Roman"/>
          <w:sz w:val="24"/>
          <w:szCs w:val="24"/>
        </w:rPr>
        <w:t xml:space="preserve"> provedl změnu výše </w:t>
      </w:r>
      <w:r>
        <w:rPr>
          <w:rFonts w:ascii="Times New Roman" w:hAnsi="Times New Roman"/>
          <w:sz w:val="24"/>
          <w:szCs w:val="24"/>
        </w:rPr>
        <w:t>příspěvku na péči automaticky, nevedl o </w:t>
      </w:r>
      <w:r w:rsidRPr="00713476">
        <w:rPr>
          <w:rFonts w:ascii="Times New Roman" w:hAnsi="Times New Roman"/>
          <w:sz w:val="24"/>
          <w:szCs w:val="24"/>
        </w:rPr>
        <w:t>tom správní řízení a nedoručoval p</w:t>
      </w:r>
      <w:r>
        <w:rPr>
          <w:rFonts w:ascii="Times New Roman" w:hAnsi="Times New Roman"/>
          <w:sz w:val="24"/>
          <w:szCs w:val="24"/>
        </w:rPr>
        <w:t>říjemcům</w:t>
      </w:r>
      <w:r w:rsidRPr="00713476">
        <w:rPr>
          <w:rFonts w:ascii="Times New Roman" w:hAnsi="Times New Roman"/>
          <w:sz w:val="24"/>
          <w:szCs w:val="24"/>
        </w:rPr>
        <w:t xml:space="preserve"> </w:t>
      </w:r>
      <w:r>
        <w:rPr>
          <w:rFonts w:ascii="Times New Roman" w:hAnsi="Times New Roman"/>
          <w:sz w:val="24"/>
          <w:szCs w:val="24"/>
        </w:rPr>
        <w:t>příspěvku na péči písemné oznámení o </w:t>
      </w:r>
      <w:r w:rsidRPr="00713476">
        <w:rPr>
          <w:rFonts w:ascii="Times New Roman" w:hAnsi="Times New Roman"/>
          <w:sz w:val="24"/>
          <w:szCs w:val="24"/>
        </w:rPr>
        <w:t>provedené změně výše dávky. Tímto opatřením se významně ušetří administrativní náklady související s implementací navrhovaných úprav</w:t>
      </w:r>
      <w:r>
        <w:rPr>
          <w:rFonts w:ascii="Times New Roman" w:hAnsi="Times New Roman"/>
          <w:sz w:val="24"/>
          <w:szCs w:val="24"/>
        </w:rPr>
        <w:t>,</w:t>
      </w:r>
      <w:r w:rsidRPr="00713476">
        <w:rPr>
          <w:rFonts w:ascii="Times New Roman" w:hAnsi="Times New Roman"/>
          <w:sz w:val="24"/>
          <w:szCs w:val="24"/>
        </w:rPr>
        <w:t xml:space="preserve"> aniž by byly dotčeny oprávněné zájmy </w:t>
      </w:r>
      <w:r>
        <w:rPr>
          <w:rFonts w:ascii="Times New Roman" w:hAnsi="Times New Roman"/>
          <w:sz w:val="24"/>
          <w:szCs w:val="24"/>
        </w:rPr>
        <w:t>osob, kterým byl přiznán příspěvek na péči</w:t>
      </w:r>
      <w:r w:rsidRPr="00713476">
        <w:rPr>
          <w:rFonts w:ascii="Times New Roman" w:hAnsi="Times New Roman"/>
          <w:sz w:val="24"/>
          <w:szCs w:val="24"/>
        </w:rPr>
        <w:t>.</w:t>
      </w:r>
    </w:p>
    <w:p w:rsidR="00713476" w:rsidRDefault="00713476" w:rsidP="00713476">
      <w:pPr>
        <w:spacing w:after="0"/>
        <w:jc w:val="both"/>
        <w:rPr>
          <w:rFonts w:ascii="Arial" w:hAnsi="Arial" w:cs="Arial"/>
          <w:sz w:val="24"/>
          <w:szCs w:val="24"/>
        </w:rPr>
      </w:pPr>
    </w:p>
    <w:p w:rsidR="00713476" w:rsidRDefault="00713476" w:rsidP="00713476">
      <w:pPr>
        <w:spacing w:after="0"/>
        <w:jc w:val="both"/>
        <w:rPr>
          <w:rFonts w:ascii="Times New Roman" w:hAnsi="Times New Roman"/>
          <w:sz w:val="24"/>
          <w:szCs w:val="24"/>
          <w:u w:val="single"/>
        </w:rPr>
      </w:pPr>
      <w:r w:rsidRPr="00713476">
        <w:rPr>
          <w:rFonts w:ascii="Times New Roman" w:hAnsi="Times New Roman"/>
          <w:sz w:val="24"/>
          <w:szCs w:val="24"/>
          <w:u w:val="single"/>
        </w:rPr>
        <w:t>K bodu 2:</w:t>
      </w:r>
    </w:p>
    <w:p w:rsidR="00713476" w:rsidRDefault="00713476" w:rsidP="00713476">
      <w:pPr>
        <w:spacing w:after="0"/>
        <w:jc w:val="both"/>
        <w:rPr>
          <w:rFonts w:ascii="Times New Roman" w:hAnsi="Times New Roman"/>
          <w:sz w:val="24"/>
          <w:szCs w:val="24"/>
          <w:u w:val="single"/>
        </w:rPr>
      </w:pPr>
    </w:p>
    <w:p w:rsidR="00713476" w:rsidRPr="00713476" w:rsidRDefault="00713476" w:rsidP="00713476">
      <w:pPr>
        <w:spacing w:after="0"/>
        <w:jc w:val="both"/>
        <w:rPr>
          <w:rFonts w:ascii="Times New Roman" w:hAnsi="Times New Roman"/>
          <w:sz w:val="24"/>
          <w:szCs w:val="24"/>
        </w:rPr>
      </w:pPr>
      <w:r w:rsidRPr="00713476">
        <w:rPr>
          <w:rFonts w:ascii="Times New Roman" w:hAnsi="Times New Roman"/>
          <w:sz w:val="24"/>
          <w:szCs w:val="24"/>
        </w:rPr>
        <w:t>Je stanoven kalendářní měsíc, od kterého bude zvýšená částka příspěvku na péči vyplácena.</w:t>
      </w:r>
    </w:p>
    <w:p w:rsidR="00713476" w:rsidRPr="00713476" w:rsidRDefault="00713476" w:rsidP="00713476">
      <w:pPr>
        <w:spacing w:after="0"/>
        <w:jc w:val="both"/>
        <w:rPr>
          <w:rFonts w:ascii="Times New Roman" w:hAnsi="Times New Roman"/>
          <w:sz w:val="24"/>
          <w:szCs w:val="24"/>
          <w:u w:val="single"/>
        </w:rPr>
      </w:pPr>
    </w:p>
    <w:p w:rsidR="00713476" w:rsidRDefault="00713476" w:rsidP="00DD4D0B">
      <w:pPr>
        <w:jc w:val="both"/>
        <w:rPr>
          <w:rFonts w:ascii="Times New Roman" w:hAnsi="Times New Roman"/>
          <w:sz w:val="24"/>
          <w:szCs w:val="24"/>
          <w:u w:val="single"/>
        </w:rPr>
      </w:pPr>
    </w:p>
    <w:p w:rsidR="00201495" w:rsidRDefault="00201495" w:rsidP="00DD4D0B">
      <w:pPr>
        <w:jc w:val="both"/>
        <w:rPr>
          <w:rFonts w:ascii="Times New Roman" w:hAnsi="Times New Roman"/>
          <w:sz w:val="24"/>
          <w:szCs w:val="24"/>
          <w:u w:val="single"/>
        </w:rPr>
      </w:pPr>
    </w:p>
    <w:p w:rsidR="00221463" w:rsidRPr="00416074" w:rsidRDefault="00221463" w:rsidP="00DD4D0B">
      <w:pPr>
        <w:jc w:val="both"/>
        <w:rPr>
          <w:rFonts w:ascii="Times New Roman" w:hAnsi="Times New Roman"/>
          <w:b/>
          <w:sz w:val="24"/>
          <w:szCs w:val="24"/>
          <w:u w:val="single"/>
        </w:rPr>
      </w:pPr>
      <w:r w:rsidRPr="00416074">
        <w:rPr>
          <w:rFonts w:ascii="Times New Roman" w:hAnsi="Times New Roman"/>
          <w:b/>
          <w:sz w:val="24"/>
          <w:szCs w:val="24"/>
          <w:u w:val="single"/>
        </w:rPr>
        <w:lastRenderedPageBreak/>
        <w:t>K čl. III</w:t>
      </w:r>
    </w:p>
    <w:p w:rsidR="00221463" w:rsidRDefault="00221463" w:rsidP="00DD4D0B">
      <w:pPr>
        <w:jc w:val="both"/>
        <w:rPr>
          <w:rFonts w:ascii="Times New Roman" w:hAnsi="Times New Roman"/>
          <w:sz w:val="24"/>
          <w:szCs w:val="24"/>
        </w:rPr>
      </w:pPr>
      <w:r w:rsidRPr="00221463">
        <w:rPr>
          <w:rFonts w:ascii="Times New Roman" w:hAnsi="Times New Roman"/>
          <w:sz w:val="24"/>
          <w:szCs w:val="24"/>
        </w:rPr>
        <w:t>Současná právní úprava</w:t>
      </w:r>
      <w:r>
        <w:rPr>
          <w:rFonts w:ascii="Times New Roman" w:hAnsi="Times New Roman"/>
          <w:sz w:val="24"/>
          <w:szCs w:val="24"/>
        </w:rPr>
        <w:t xml:space="preserve"> řízení o vyslovení nepřípustnosti držení osoby v zařízení sociálních služeb obsažená v zákoně o zvláštních řízení soudních není dostatečně určitá a rozhodování soudů je v současné době velmi těžko předvídatelné, neboť soudy pro své rozhodování používají analogie ustanovení občanského zákoníku a</w:t>
      </w:r>
      <w:r w:rsidR="00713476">
        <w:rPr>
          <w:rFonts w:ascii="Times New Roman" w:hAnsi="Times New Roman"/>
          <w:sz w:val="24"/>
          <w:szCs w:val="24"/>
        </w:rPr>
        <w:t xml:space="preserve"> ustanovení</w:t>
      </w:r>
      <w:r>
        <w:rPr>
          <w:rFonts w:ascii="Times New Roman" w:hAnsi="Times New Roman"/>
          <w:sz w:val="24"/>
          <w:szCs w:val="24"/>
        </w:rPr>
        <w:t xml:space="preserve"> zákona o zvláštních řízení soudních, kter</w:t>
      </w:r>
      <w:r w:rsidR="00713476">
        <w:rPr>
          <w:rFonts w:ascii="Times New Roman" w:hAnsi="Times New Roman"/>
          <w:sz w:val="24"/>
          <w:szCs w:val="24"/>
        </w:rPr>
        <w:t>á</w:t>
      </w:r>
      <w:r>
        <w:rPr>
          <w:rFonts w:ascii="Times New Roman" w:hAnsi="Times New Roman"/>
          <w:sz w:val="24"/>
          <w:szCs w:val="24"/>
        </w:rPr>
        <w:t xml:space="preserve"> se zabývají držením ve zdravotnických zařízení</w:t>
      </w:r>
      <w:r w:rsidR="00C71FC0">
        <w:rPr>
          <w:rFonts w:ascii="Times New Roman" w:hAnsi="Times New Roman"/>
          <w:sz w:val="24"/>
          <w:szCs w:val="24"/>
        </w:rPr>
        <w:t>ch</w:t>
      </w:r>
      <w:r>
        <w:rPr>
          <w:rFonts w:ascii="Times New Roman" w:hAnsi="Times New Roman"/>
          <w:sz w:val="24"/>
          <w:szCs w:val="24"/>
        </w:rPr>
        <w:t>. Zákon v současné době neobsahuje podmínky a okolnosti, za nichž musí dojít k soudnímu přezkumu. Upravuje pouze to, jak může soud rozhodovat.  Z těchto důvodů se v návaznosti na změny navržené v zákoně o sociálních službách upřesňují i příslušná ustanovení zákona o zvláštních</w:t>
      </w:r>
      <w:r w:rsidR="00713476">
        <w:rPr>
          <w:rFonts w:ascii="Times New Roman" w:hAnsi="Times New Roman"/>
          <w:sz w:val="24"/>
          <w:szCs w:val="24"/>
        </w:rPr>
        <w:t xml:space="preserve"> </w:t>
      </w:r>
      <w:r>
        <w:rPr>
          <w:rFonts w:ascii="Times New Roman" w:hAnsi="Times New Roman"/>
          <w:sz w:val="24"/>
          <w:szCs w:val="24"/>
        </w:rPr>
        <w:t>řízení</w:t>
      </w:r>
      <w:r w:rsidR="00C71FC0">
        <w:rPr>
          <w:rFonts w:ascii="Times New Roman" w:hAnsi="Times New Roman"/>
          <w:sz w:val="24"/>
          <w:szCs w:val="24"/>
        </w:rPr>
        <w:t>ch</w:t>
      </w:r>
      <w:r>
        <w:rPr>
          <w:rFonts w:ascii="Times New Roman" w:hAnsi="Times New Roman"/>
          <w:sz w:val="24"/>
          <w:szCs w:val="24"/>
        </w:rPr>
        <w:t xml:space="preserve"> soudních.</w:t>
      </w:r>
    </w:p>
    <w:p w:rsidR="00221463" w:rsidRDefault="00221463" w:rsidP="00DD4D0B">
      <w:pPr>
        <w:jc w:val="both"/>
        <w:rPr>
          <w:rFonts w:ascii="Times New Roman" w:hAnsi="Times New Roman"/>
          <w:sz w:val="24"/>
          <w:szCs w:val="24"/>
        </w:rPr>
      </w:pPr>
    </w:p>
    <w:p w:rsidR="00221463" w:rsidRPr="00416074" w:rsidRDefault="00221463" w:rsidP="00DD4D0B">
      <w:pPr>
        <w:jc w:val="both"/>
        <w:rPr>
          <w:rFonts w:ascii="Times New Roman" w:hAnsi="Times New Roman"/>
          <w:b/>
          <w:sz w:val="24"/>
          <w:szCs w:val="24"/>
          <w:u w:val="single"/>
        </w:rPr>
      </w:pPr>
      <w:r w:rsidRPr="00416074">
        <w:rPr>
          <w:rFonts w:ascii="Times New Roman" w:hAnsi="Times New Roman"/>
          <w:b/>
          <w:sz w:val="24"/>
          <w:szCs w:val="24"/>
          <w:u w:val="single"/>
        </w:rPr>
        <w:t>K čl. IV</w:t>
      </w:r>
    </w:p>
    <w:p w:rsidR="00221463" w:rsidRPr="00713476" w:rsidRDefault="00713476" w:rsidP="00DD4D0B">
      <w:pPr>
        <w:jc w:val="both"/>
        <w:rPr>
          <w:rFonts w:ascii="Times New Roman" w:hAnsi="Times New Roman"/>
          <w:sz w:val="24"/>
          <w:szCs w:val="24"/>
        </w:rPr>
      </w:pPr>
      <w:r w:rsidRPr="00713476">
        <w:rPr>
          <w:rFonts w:ascii="Times New Roman" w:hAnsi="Times New Roman"/>
          <w:sz w:val="24"/>
          <w:szCs w:val="24"/>
        </w:rPr>
        <w:t>Navrhovaná účinnost zákona je stanovena s ohledem na délku legislativního procesu.</w:t>
      </w:r>
      <w:bookmarkStart w:id="0" w:name="_GoBack"/>
      <w:bookmarkEnd w:id="0"/>
    </w:p>
    <w:sectPr w:rsidR="00221463" w:rsidRPr="00713476" w:rsidSect="000A14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8A" w:rsidRDefault="00F8728A" w:rsidP="00CB54EE">
      <w:pPr>
        <w:spacing w:after="0"/>
      </w:pPr>
      <w:r>
        <w:separator/>
      </w:r>
    </w:p>
  </w:endnote>
  <w:endnote w:type="continuationSeparator" w:id="0">
    <w:p w:rsidR="00F8728A" w:rsidRDefault="00F8728A" w:rsidP="00CB54EE">
      <w:pPr>
        <w:spacing w:after="0"/>
      </w:pPr>
      <w:r>
        <w:continuationSeparator/>
      </w:r>
    </w:p>
  </w:endnote>
  <w:endnote w:type="continuationNotice" w:id="1">
    <w:p w:rsidR="00F8728A" w:rsidRDefault="00F872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8" w:rsidRDefault="00A16C78">
    <w:pPr>
      <w:pStyle w:val="Zpat"/>
    </w:pPr>
  </w:p>
  <w:p w:rsidR="00A16C78" w:rsidRDefault="00A16C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16525"/>
      <w:docPartObj>
        <w:docPartGallery w:val="Page Numbers (Bottom of Page)"/>
        <w:docPartUnique/>
      </w:docPartObj>
    </w:sdtPr>
    <w:sdtEndPr/>
    <w:sdtContent>
      <w:p w:rsidR="00A16C78" w:rsidRDefault="00A16C78">
        <w:pPr>
          <w:pStyle w:val="Zpat"/>
          <w:jc w:val="center"/>
        </w:pPr>
        <w:r>
          <w:fldChar w:fldCharType="begin"/>
        </w:r>
        <w:r>
          <w:instrText>PAGE   \* MERGEFORMAT</w:instrText>
        </w:r>
        <w:r>
          <w:fldChar w:fldCharType="separate"/>
        </w:r>
        <w:r w:rsidR="006631B9">
          <w:rPr>
            <w:noProof/>
          </w:rPr>
          <w:t>30</w:t>
        </w:r>
        <w:r>
          <w:fldChar w:fldCharType="end"/>
        </w:r>
      </w:p>
    </w:sdtContent>
  </w:sdt>
  <w:p w:rsidR="00A16C78" w:rsidRDefault="00A16C78">
    <w:pPr>
      <w:pStyle w:val="Zpat"/>
    </w:pPr>
  </w:p>
  <w:p w:rsidR="00A16C78" w:rsidRDefault="00A16C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8" w:rsidRDefault="00A16C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8A" w:rsidRDefault="00F8728A" w:rsidP="00CB54EE">
      <w:pPr>
        <w:spacing w:after="0"/>
      </w:pPr>
      <w:r>
        <w:separator/>
      </w:r>
    </w:p>
  </w:footnote>
  <w:footnote w:type="continuationSeparator" w:id="0">
    <w:p w:rsidR="00F8728A" w:rsidRDefault="00F8728A" w:rsidP="00CB54EE">
      <w:pPr>
        <w:spacing w:after="0"/>
      </w:pPr>
      <w:r>
        <w:continuationSeparator/>
      </w:r>
    </w:p>
  </w:footnote>
  <w:footnote w:type="continuationNotice" w:id="1">
    <w:p w:rsidR="00F8728A" w:rsidRDefault="00F8728A">
      <w:pPr>
        <w:spacing w:after="0"/>
      </w:pPr>
    </w:p>
  </w:footnote>
  <w:footnote w:id="2">
    <w:p w:rsidR="00A16C78" w:rsidRPr="00090F12" w:rsidRDefault="00A16C78" w:rsidP="00090F12">
      <w:pPr>
        <w:pStyle w:val="Textpoznpodarou"/>
        <w:ind w:left="142" w:hanging="142"/>
        <w:jc w:val="both"/>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Zákon č. 206/2009 Sb., kterým se mění zákon č. 108/2006 Sb., o sociálních službách, ve znění pozdějších předpisů, a některé další zákony.</w:t>
      </w:r>
    </w:p>
  </w:footnote>
  <w:footnote w:id="3">
    <w:p w:rsidR="00A16C78" w:rsidRPr="00090F12" w:rsidRDefault="00A16C78" w:rsidP="00090F12">
      <w:pPr>
        <w:pStyle w:val="Textpoznpodarou"/>
        <w:ind w:left="142" w:hanging="142"/>
        <w:jc w:val="both"/>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Zákon č. 347/2010 Sb., kterým se mění některé zákony v souvislosti s úspornými opatřeními v působnosti Ministerstva práce a sociálních věcí.</w:t>
      </w:r>
    </w:p>
  </w:footnote>
  <w:footnote w:id="4">
    <w:p w:rsidR="00A16C78" w:rsidRPr="00090F12" w:rsidRDefault="00A16C78" w:rsidP="00090F12">
      <w:pPr>
        <w:pStyle w:val="Textpoznpodarou"/>
        <w:ind w:left="142" w:hanging="142"/>
        <w:jc w:val="both"/>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Zákon č. 366/2011 Sb., kterým se mění zákon č. 111/2006 Sb., o pomoci v hmotné nouzi, ve znění pozdějších předpisů, zákon č. 108/2006 Sb., o sociálních službách, ve znění pozdějších předpisů, zákon č. 117/1995 Sb., o</w:t>
      </w:r>
      <w:r>
        <w:rPr>
          <w:rFonts w:ascii="Times New Roman" w:hAnsi="Times New Roman"/>
        </w:rPr>
        <w:t> </w:t>
      </w:r>
      <w:r w:rsidRPr="00090F12">
        <w:rPr>
          <w:rFonts w:ascii="Times New Roman" w:hAnsi="Times New Roman"/>
        </w:rPr>
        <w:t>státní sociální podpoře, ve znění pozdějších předpisů, a další související zákony.</w:t>
      </w:r>
    </w:p>
  </w:footnote>
  <w:footnote w:id="5">
    <w:p w:rsidR="00A16C78" w:rsidRPr="00090F12" w:rsidRDefault="00A16C78" w:rsidP="00090F12">
      <w:pPr>
        <w:jc w:val="both"/>
        <w:rPr>
          <w:rFonts w:ascii="Times New Roman" w:hAnsi="Times New Roman"/>
        </w:rPr>
      </w:pPr>
      <w:r w:rsidRPr="00090F12">
        <w:rPr>
          <w:rStyle w:val="Znakapoznpodarou"/>
          <w:rFonts w:ascii="Times New Roman" w:hAnsi="Times New Roman"/>
        </w:rPr>
        <w:footnoteRef/>
      </w:r>
      <w:r w:rsidRPr="00090F12">
        <w:rPr>
          <w:rFonts w:ascii="Times New Roman" w:hAnsi="Times New Roman"/>
          <w:sz w:val="20"/>
          <w:szCs w:val="20"/>
        </w:rPr>
        <w:t xml:space="preserve"> V jistém ohledu institut zvýšení mírně deformuje smysl dávky, neboť do ní vkládá tzv. chudinský prvek.</w:t>
      </w:r>
      <w:r w:rsidRPr="00090F12">
        <w:rPr>
          <w:rFonts w:ascii="Times New Roman" w:hAnsi="Times New Roman"/>
        </w:rPr>
        <w:t xml:space="preserve"> </w:t>
      </w:r>
    </w:p>
  </w:footnote>
  <w:footnote w:id="6">
    <w:p w:rsidR="00A16C78" w:rsidRPr="00090F12" w:rsidRDefault="00A16C78" w:rsidP="00090F12">
      <w:pPr>
        <w:widowControl w:val="0"/>
        <w:autoSpaceDE w:val="0"/>
        <w:autoSpaceDN w:val="0"/>
        <w:adjustRightInd w:val="0"/>
        <w:jc w:val="both"/>
        <w:rPr>
          <w:rFonts w:ascii="Times New Roman" w:hAnsi="Times New Roman"/>
          <w:sz w:val="20"/>
          <w:szCs w:val="20"/>
        </w:rPr>
      </w:pPr>
      <w:r w:rsidRPr="00090F12">
        <w:rPr>
          <w:rStyle w:val="Znakapoznpodarou"/>
          <w:rFonts w:ascii="Times New Roman" w:hAnsi="Times New Roman"/>
        </w:rPr>
        <w:footnoteRef/>
      </w:r>
      <w:r w:rsidRPr="00090F12">
        <w:rPr>
          <w:rFonts w:ascii="Times New Roman" w:hAnsi="Times New Roman"/>
          <w:sz w:val="20"/>
          <w:szCs w:val="20"/>
        </w:rPr>
        <w:t xml:space="preserve"> Do konce roku 2011 se hodnotila schopnost zvládat úkony péče o vlastní osobu a úkony soběstačnosti. </w:t>
      </w:r>
    </w:p>
  </w:footnote>
  <w:footnote w:id="7">
    <w:p w:rsidR="00A16C78" w:rsidRPr="00090F12" w:rsidRDefault="00A16C78" w:rsidP="00090F12">
      <w:pPr>
        <w:pStyle w:val="Textpoznpodarou"/>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Od roku 2012 se hodnotí schopnost zvládat základní životní potřeby.</w:t>
      </w:r>
    </w:p>
  </w:footnote>
  <w:footnote w:id="8">
    <w:p w:rsidR="00A16C78" w:rsidRPr="00090F12" w:rsidRDefault="00A16C78" w:rsidP="00090F12">
      <w:pPr>
        <w:pStyle w:val="Textpoznpodarou"/>
        <w:ind w:left="142" w:hanging="142"/>
        <w:jc w:val="both"/>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Index spotřebitelských cen sociální péče sloužil v právní úpravě platné do roku 2008 jako základ pro valorizaci příspěvku na péči. Dle metodiky ČSÚ zastupují ve spotřebním koši skupinu „Sociální péče“ dva cenoví reprezentanti: „Ubytování v domově důchodců“ a „Donáška obědů“.</w:t>
      </w:r>
    </w:p>
  </w:footnote>
  <w:footnote w:id="9">
    <w:p w:rsidR="00A16C78" w:rsidRPr="00090F12" w:rsidRDefault="00A16C78" w:rsidP="00090F12">
      <w:pPr>
        <w:pStyle w:val="Textpoznpodarou"/>
        <w:rPr>
          <w:rFonts w:ascii="Times New Roman" w:hAnsi="Times New Roman"/>
        </w:rPr>
      </w:pPr>
      <w:r w:rsidRPr="00090F12">
        <w:rPr>
          <w:rStyle w:val="Znakapoznpodarou"/>
          <w:rFonts w:ascii="Times New Roman" w:hAnsi="Times New Roman"/>
        </w:rPr>
        <w:footnoteRef/>
      </w:r>
      <w:r w:rsidRPr="00090F12">
        <w:rPr>
          <w:rFonts w:ascii="Times New Roman" w:hAnsi="Times New Roman"/>
        </w:rPr>
        <w:t xml:space="preserve"> Registrační číslo projektu: CZ 1.04/3.1.00/C6.00002.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8" w:rsidRDefault="00A16C78">
    <w:pPr>
      <w:pStyle w:val="Zhlav"/>
    </w:pPr>
  </w:p>
  <w:p w:rsidR="00A16C78" w:rsidRDefault="00A16C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8" w:rsidRDefault="00A16C78">
    <w:pPr>
      <w:pStyle w:val="Zhlav"/>
    </w:pPr>
  </w:p>
  <w:p w:rsidR="00A16C78" w:rsidRDefault="00A16C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C78" w:rsidRDefault="00A16C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D4A"/>
    <w:multiLevelType w:val="hybridMultilevel"/>
    <w:tmpl w:val="229AB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A2775A"/>
    <w:multiLevelType w:val="multilevel"/>
    <w:tmpl w:val="7F1257E4"/>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372C84"/>
    <w:multiLevelType w:val="hybridMultilevel"/>
    <w:tmpl w:val="1556C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B4262A"/>
    <w:multiLevelType w:val="hybridMultilevel"/>
    <w:tmpl w:val="80CE0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FA3EC0"/>
    <w:multiLevelType w:val="hybridMultilevel"/>
    <w:tmpl w:val="0E645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2D127F"/>
    <w:multiLevelType w:val="hybridMultilevel"/>
    <w:tmpl w:val="8370C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306F9A"/>
    <w:multiLevelType w:val="multilevel"/>
    <w:tmpl w:val="614C3A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494167"/>
    <w:multiLevelType w:val="multilevel"/>
    <w:tmpl w:val="64F0BD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850CDC"/>
    <w:multiLevelType w:val="hybridMultilevel"/>
    <w:tmpl w:val="FF121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BF66E4"/>
    <w:multiLevelType w:val="hybridMultilevel"/>
    <w:tmpl w:val="952E9B58"/>
    <w:lvl w:ilvl="0" w:tplc="034261A6">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CB1D8C"/>
    <w:multiLevelType w:val="hybridMultilevel"/>
    <w:tmpl w:val="1F4274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2C37D3"/>
    <w:multiLevelType w:val="hybridMultilevel"/>
    <w:tmpl w:val="7B225E28"/>
    <w:lvl w:ilvl="0" w:tplc="19145F0A">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61AD7427"/>
    <w:multiLevelType w:val="hybridMultilevel"/>
    <w:tmpl w:val="A5A2E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D411CB7"/>
    <w:multiLevelType w:val="multilevel"/>
    <w:tmpl w:val="8A8A6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D45810"/>
    <w:multiLevelType w:val="hybridMultilevel"/>
    <w:tmpl w:val="29BED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4275E16"/>
    <w:multiLevelType w:val="hybridMultilevel"/>
    <w:tmpl w:val="5F0CD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6301E4"/>
    <w:multiLevelType w:val="hybridMultilevel"/>
    <w:tmpl w:val="92E4D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7"/>
  </w:num>
  <w:num w:numId="5">
    <w:abstractNumId w:val="12"/>
  </w:num>
  <w:num w:numId="6">
    <w:abstractNumId w:val="9"/>
  </w:num>
  <w:num w:numId="7">
    <w:abstractNumId w:val="6"/>
  </w:num>
  <w:num w:numId="8">
    <w:abstractNumId w:val="5"/>
  </w:num>
  <w:num w:numId="9">
    <w:abstractNumId w:val="0"/>
  </w:num>
  <w:num w:numId="10">
    <w:abstractNumId w:val="2"/>
  </w:num>
  <w:num w:numId="11">
    <w:abstractNumId w:val="14"/>
  </w:num>
  <w:num w:numId="12">
    <w:abstractNumId w:val="16"/>
  </w:num>
  <w:num w:numId="13">
    <w:abstractNumId w:val="4"/>
  </w:num>
  <w:num w:numId="14">
    <w:abstractNumId w:val="8"/>
  </w:num>
  <w:num w:numId="15">
    <w:abstractNumId w:val="3"/>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75"/>
    <w:rsid w:val="0000414C"/>
    <w:rsid w:val="00010852"/>
    <w:rsid w:val="000119E6"/>
    <w:rsid w:val="00014001"/>
    <w:rsid w:val="0002744F"/>
    <w:rsid w:val="00043821"/>
    <w:rsid w:val="00043868"/>
    <w:rsid w:val="000443B9"/>
    <w:rsid w:val="00045347"/>
    <w:rsid w:val="0004607F"/>
    <w:rsid w:val="0004656D"/>
    <w:rsid w:val="0005043A"/>
    <w:rsid w:val="00053381"/>
    <w:rsid w:val="00056B9A"/>
    <w:rsid w:val="00060E6C"/>
    <w:rsid w:val="00064272"/>
    <w:rsid w:val="0006593C"/>
    <w:rsid w:val="00073DDC"/>
    <w:rsid w:val="00087284"/>
    <w:rsid w:val="00090F12"/>
    <w:rsid w:val="0009211B"/>
    <w:rsid w:val="00093F09"/>
    <w:rsid w:val="000947E5"/>
    <w:rsid w:val="000A1421"/>
    <w:rsid w:val="000A385C"/>
    <w:rsid w:val="000A4831"/>
    <w:rsid w:val="000B01F6"/>
    <w:rsid w:val="000B48F3"/>
    <w:rsid w:val="000B6115"/>
    <w:rsid w:val="000C65D9"/>
    <w:rsid w:val="000D2E31"/>
    <w:rsid w:val="000D5635"/>
    <w:rsid w:val="000E46E4"/>
    <w:rsid w:val="000E49F9"/>
    <w:rsid w:val="000F1230"/>
    <w:rsid w:val="000F20B1"/>
    <w:rsid w:val="000F7565"/>
    <w:rsid w:val="00102239"/>
    <w:rsid w:val="001032E7"/>
    <w:rsid w:val="001033CE"/>
    <w:rsid w:val="0010634D"/>
    <w:rsid w:val="001072EE"/>
    <w:rsid w:val="00111887"/>
    <w:rsid w:val="00112657"/>
    <w:rsid w:val="00113996"/>
    <w:rsid w:val="00117FAA"/>
    <w:rsid w:val="00124F28"/>
    <w:rsid w:val="00126046"/>
    <w:rsid w:val="0012661A"/>
    <w:rsid w:val="00131CC7"/>
    <w:rsid w:val="00133366"/>
    <w:rsid w:val="00141A01"/>
    <w:rsid w:val="00157E5A"/>
    <w:rsid w:val="001611DA"/>
    <w:rsid w:val="0016374A"/>
    <w:rsid w:val="00164095"/>
    <w:rsid w:val="001663BF"/>
    <w:rsid w:val="00170FA7"/>
    <w:rsid w:val="0018378B"/>
    <w:rsid w:val="00191D21"/>
    <w:rsid w:val="001927CD"/>
    <w:rsid w:val="0019511F"/>
    <w:rsid w:val="00196288"/>
    <w:rsid w:val="001978FE"/>
    <w:rsid w:val="001A5494"/>
    <w:rsid w:val="001C10DB"/>
    <w:rsid w:val="001C35E5"/>
    <w:rsid w:val="001C5676"/>
    <w:rsid w:val="001C66E8"/>
    <w:rsid w:val="001D5431"/>
    <w:rsid w:val="001D58A3"/>
    <w:rsid w:val="001D6EFC"/>
    <w:rsid w:val="001D7886"/>
    <w:rsid w:val="001E68CA"/>
    <w:rsid w:val="001F1DC8"/>
    <w:rsid w:val="001F4083"/>
    <w:rsid w:val="001F4324"/>
    <w:rsid w:val="001F5BF4"/>
    <w:rsid w:val="001F76B9"/>
    <w:rsid w:val="0020009A"/>
    <w:rsid w:val="0020019B"/>
    <w:rsid w:val="00201495"/>
    <w:rsid w:val="00206C32"/>
    <w:rsid w:val="0022129C"/>
    <w:rsid w:val="00221315"/>
    <w:rsid w:val="00221463"/>
    <w:rsid w:val="002223DC"/>
    <w:rsid w:val="002238C7"/>
    <w:rsid w:val="00242B00"/>
    <w:rsid w:val="00243E09"/>
    <w:rsid w:val="0024508B"/>
    <w:rsid w:val="00245552"/>
    <w:rsid w:val="0025269F"/>
    <w:rsid w:val="002551FD"/>
    <w:rsid w:val="0025747B"/>
    <w:rsid w:val="002717D5"/>
    <w:rsid w:val="00273A97"/>
    <w:rsid w:val="00273DFF"/>
    <w:rsid w:val="002767B2"/>
    <w:rsid w:val="002828CF"/>
    <w:rsid w:val="002B1A96"/>
    <w:rsid w:val="002B255C"/>
    <w:rsid w:val="002C2ACE"/>
    <w:rsid w:val="002C4AD0"/>
    <w:rsid w:val="002C7C93"/>
    <w:rsid w:val="002D0C6E"/>
    <w:rsid w:val="002D2022"/>
    <w:rsid w:val="002D532E"/>
    <w:rsid w:val="002E0B1F"/>
    <w:rsid w:val="002F2E70"/>
    <w:rsid w:val="002F5ECD"/>
    <w:rsid w:val="00303E98"/>
    <w:rsid w:val="00307811"/>
    <w:rsid w:val="00315BC6"/>
    <w:rsid w:val="003242BF"/>
    <w:rsid w:val="00336E54"/>
    <w:rsid w:val="00350A48"/>
    <w:rsid w:val="003520A6"/>
    <w:rsid w:val="00365B86"/>
    <w:rsid w:val="00366C27"/>
    <w:rsid w:val="00375B21"/>
    <w:rsid w:val="003762A5"/>
    <w:rsid w:val="00385290"/>
    <w:rsid w:val="00390A07"/>
    <w:rsid w:val="00390D3E"/>
    <w:rsid w:val="003A109A"/>
    <w:rsid w:val="003B753D"/>
    <w:rsid w:val="003C325C"/>
    <w:rsid w:val="003C402E"/>
    <w:rsid w:val="003C7A87"/>
    <w:rsid w:val="003D461F"/>
    <w:rsid w:val="003E2747"/>
    <w:rsid w:val="003E7774"/>
    <w:rsid w:val="003F5C4F"/>
    <w:rsid w:val="004003D5"/>
    <w:rsid w:val="00401567"/>
    <w:rsid w:val="00416074"/>
    <w:rsid w:val="004165A5"/>
    <w:rsid w:val="00426D5D"/>
    <w:rsid w:val="00432B56"/>
    <w:rsid w:val="00445AB6"/>
    <w:rsid w:val="0045500A"/>
    <w:rsid w:val="00457782"/>
    <w:rsid w:val="00475F48"/>
    <w:rsid w:val="00483297"/>
    <w:rsid w:val="0048434D"/>
    <w:rsid w:val="0049103C"/>
    <w:rsid w:val="00494062"/>
    <w:rsid w:val="004956BB"/>
    <w:rsid w:val="00495795"/>
    <w:rsid w:val="00497269"/>
    <w:rsid w:val="004A6DB9"/>
    <w:rsid w:val="004B1A13"/>
    <w:rsid w:val="004B5920"/>
    <w:rsid w:val="004C3FC7"/>
    <w:rsid w:val="004C67EC"/>
    <w:rsid w:val="004D5115"/>
    <w:rsid w:val="004E5CDA"/>
    <w:rsid w:val="004F03C0"/>
    <w:rsid w:val="0050041C"/>
    <w:rsid w:val="00504FBB"/>
    <w:rsid w:val="00505B54"/>
    <w:rsid w:val="00513F88"/>
    <w:rsid w:val="0051557F"/>
    <w:rsid w:val="005179E6"/>
    <w:rsid w:val="00526529"/>
    <w:rsid w:val="00533E27"/>
    <w:rsid w:val="005425C5"/>
    <w:rsid w:val="00544E49"/>
    <w:rsid w:val="00552C9B"/>
    <w:rsid w:val="0055795D"/>
    <w:rsid w:val="0056077D"/>
    <w:rsid w:val="00560A4B"/>
    <w:rsid w:val="00560EC4"/>
    <w:rsid w:val="00563219"/>
    <w:rsid w:val="00563C19"/>
    <w:rsid w:val="00564552"/>
    <w:rsid w:val="00576BCE"/>
    <w:rsid w:val="00595C6A"/>
    <w:rsid w:val="005A18F6"/>
    <w:rsid w:val="005A3FF7"/>
    <w:rsid w:val="005B39A4"/>
    <w:rsid w:val="005B5049"/>
    <w:rsid w:val="005B5FD5"/>
    <w:rsid w:val="005C3113"/>
    <w:rsid w:val="005C34EF"/>
    <w:rsid w:val="005C4291"/>
    <w:rsid w:val="005D2418"/>
    <w:rsid w:val="005D30C5"/>
    <w:rsid w:val="005E7EEA"/>
    <w:rsid w:val="005F2860"/>
    <w:rsid w:val="005F506D"/>
    <w:rsid w:val="005F7E8B"/>
    <w:rsid w:val="00602EB1"/>
    <w:rsid w:val="0061452A"/>
    <w:rsid w:val="00617F26"/>
    <w:rsid w:val="00620972"/>
    <w:rsid w:val="006239C7"/>
    <w:rsid w:val="00627346"/>
    <w:rsid w:val="00630E6E"/>
    <w:rsid w:val="00632ED0"/>
    <w:rsid w:val="00647C4D"/>
    <w:rsid w:val="00647C76"/>
    <w:rsid w:val="006534F3"/>
    <w:rsid w:val="00660C1D"/>
    <w:rsid w:val="006631B9"/>
    <w:rsid w:val="00670C04"/>
    <w:rsid w:val="0068354B"/>
    <w:rsid w:val="00683CA5"/>
    <w:rsid w:val="00685B4C"/>
    <w:rsid w:val="00687255"/>
    <w:rsid w:val="006878AA"/>
    <w:rsid w:val="006936E8"/>
    <w:rsid w:val="006977D8"/>
    <w:rsid w:val="006B1AF7"/>
    <w:rsid w:val="006C08C2"/>
    <w:rsid w:val="006C3294"/>
    <w:rsid w:val="006C3F77"/>
    <w:rsid w:val="006C6221"/>
    <w:rsid w:val="006D1F84"/>
    <w:rsid w:val="006D4D64"/>
    <w:rsid w:val="006F2EB6"/>
    <w:rsid w:val="006F61CA"/>
    <w:rsid w:val="00701853"/>
    <w:rsid w:val="00705837"/>
    <w:rsid w:val="00706489"/>
    <w:rsid w:val="007067D6"/>
    <w:rsid w:val="00706A3E"/>
    <w:rsid w:val="007100B0"/>
    <w:rsid w:val="00713476"/>
    <w:rsid w:val="00717CCF"/>
    <w:rsid w:val="00723941"/>
    <w:rsid w:val="00726098"/>
    <w:rsid w:val="007301F9"/>
    <w:rsid w:val="0073357A"/>
    <w:rsid w:val="007363C8"/>
    <w:rsid w:val="00741ACB"/>
    <w:rsid w:val="00747E94"/>
    <w:rsid w:val="00750DBB"/>
    <w:rsid w:val="0075448F"/>
    <w:rsid w:val="007619BD"/>
    <w:rsid w:val="00763F33"/>
    <w:rsid w:val="0078087C"/>
    <w:rsid w:val="0078450F"/>
    <w:rsid w:val="007A01C2"/>
    <w:rsid w:val="007A0D76"/>
    <w:rsid w:val="007A1727"/>
    <w:rsid w:val="007B0412"/>
    <w:rsid w:val="007B45FA"/>
    <w:rsid w:val="007B72E8"/>
    <w:rsid w:val="007B7EF2"/>
    <w:rsid w:val="007C0127"/>
    <w:rsid w:val="007D22ED"/>
    <w:rsid w:val="007D33BE"/>
    <w:rsid w:val="007E65B9"/>
    <w:rsid w:val="007F76CC"/>
    <w:rsid w:val="00803684"/>
    <w:rsid w:val="00807CB4"/>
    <w:rsid w:val="008101A8"/>
    <w:rsid w:val="00816D1C"/>
    <w:rsid w:val="00816E94"/>
    <w:rsid w:val="008176DD"/>
    <w:rsid w:val="0082531A"/>
    <w:rsid w:val="00835FCD"/>
    <w:rsid w:val="00844690"/>
    <w:rsid w:val="00850AA2"/>
    <w:rsid w:val="00863CC9"/>
    <w:rsid w:val="0086467F"/>
    <w:rsid w:val="0087290D"/>
    <w:rsid w:val="008752C8"/>
    <w:rsid w:val="00880381"/>
    <w:rsid w:val="00882796"/>
    <w:rsid w:val="00890F5E"/>
    <w:rsid w:val="00893E64"/>
    <w:rsid w:val="00894B0A"/>
    <w:rsid w:val="008A2ECA"/>
    <w:rsid w:val="008A492B"/>
    <w:rsid w:val="008B1CF8"/>
    <w:rsid w:val="008B6F61"/>
    <w:rsid w:val="008C0C07"/>
    <w:rsid w:val="008C334B"/>
    <w:rsid w:val="008D2610"/>
    <w:rsid w:val="008D2C47"/>
    <w:rsid w:val="008E4A35"/>
    <w:rsid w:val="008F1547"/>
    <w:rsid w:val="008F45E3"/>
    <w:rsid w:val="008F5647"/>
    <w:rsid w:val="009028C3"/>
    <w:rsid w:val="009037F9"/>
    <w:rsid w:val="009108F8"/>
    <w:rsid w:val="00910FF6"/>
    <w:rsid w:val="00917DBB"/>
    <w:rsid w:val="00930AAA"/>
    <w:rsid w:val="00932757"/>
    <w:rsid w:val="00937B9A"/>
    <w:rsid w:val="00941CAF"/>
    <w:rsid w:val="0094483D"/>
    <w:rsid w:val="00947C70"/>
    <w:rsid w:val="00952602"/>
    <w:rsid w:val="0095682D"/>
    <w:rsid w:val="009668EC"/>
    <w:rsid w:val="009703FF"/>
    <w:rsid w:val="00982C45"/>
    <w:rsid w:val="009864E7"/>
    <w:rsid w:val="009A0A5A"/>
    <w:rsid w:val="009A0B72"/>
    <w:rsid w:val="009A11C8"/>
    <w:rsid w:val="009A4E43"/>
    <w:rsid w:val="009A568D"/>
    <w:rsid w:val="009A72A4"/>
    <w:rsid w:val="009C068D"/>
    <w:rsid w:val="009C4694"/>
    <w:rsid w:val="009D5017"/>
    <w:rsid w:val="009E0E9E"/>
    <w:rsid w:val="009E2FEE"/>
    <w:rsid w:val="009E5F08"/>
    <w:rsid w:val="009E7804"/>
    <w:rsid w:val="00A00653"/>
    <w:rsid w:val="00A12F40"/>
    <w:rsid w:val="00A16C78"/>
    <w:rsid w:val="00A2084E"/>
    <w:rsid w:val="00A247B5"/>
    <w:rsid w:val="00A25E13"/>
    <w:rsid w:val="00A43E33"/>
    <w:rsid w:val="00A521B2"/>
    <w:rsid w:val="00A561C8"/>
    <w:rsid w:val="00A6247A"/>
    <w:rsid w:val="00A62EFB"/>
    <w:rsid w:val="00A933EB"/>
    <w:rsid w:val="00A97918"/>
    <w:rsid w:val="00AA27E4"/>
    <w:rsid w:val="00AA6C84"/>
    <w:rsid w:val="00AA7532"/>
    <w:rsid w:val="00AB6D3E"/>
    <w:rsid w:val="00AB70A3"/>
    <w:rsid w:val="00AC42BA"/>
    <w:rsid w:val="00AD3F0B"/>
    <w:rsid w:val="00AD5492"/>
    <w:rsid w:val="00AE055A"/>
    <w:rsid w:val="00AE10DF"/>
    <w:rsid w:val="00AE51E9"/>
    <w:rsid w:val="00AF2A41"/>
    <w:rsid w:val="00B00A9E"/>
    <w:rsid w:val="00B0257E"/>
    <w:rsid w:val="00B120E5"/>
    <w:rsid w:val="00B16C1C"/>
    <w:rsid w:val="00B27969"/>
    <w:rsid w:val="00B30C3C"/>
    <w:rsid w:val="00B36165"/>
    <w:rsid w:val="00B67C7F"/>
    <w:rsid w:val="00B71F5B"/>
    <w:rsid w:val="00B76B50"/>
    <w:rsid w:val="00B87412"/>
    <w:rsid w:val="00B87C9D"/>
    <w:rsid w:val="00B93651"/>
    <w:rsid w:val="00B940CF"/>
    <w:rsid w:val="00B959EB"/>
    <w:rsid w:val="00B97BDD"/>
    <w:rsid w:val="00BB5536"/>
    <w:rsid w:val="00BD72A6"/>
    <w:rsid w:val="00BE272D"/>
    <w:rsid w:val="00BF3762"/>
    <w:rsid w:val="00C140C6"/>
    <w:rsid w:val="00C14F39"/>
    <w:rsid w:val="00C2069D"/>
    <w:rsid w:val="00C22CD8"/>
    <w:rsid w:val="00C32D09"/>
    <w:rsid w:val="00C37B0C"/>
    <w:rsid w:val="00C51B8B"/>
    <w:rsid w:val="00C52CC7"/>
    <w:rsid w:val="00C54546"/>
    <w:rsid w:val="00C64A44"/>
    <w:rsid w:val="00C652ED"/>
    <w:rsid w:val="00C71FC0"/>
    <w:rsid w:val="00C81947"/>
    <w:rsid w:val="00C827CB"/>
    <w:rsid w:val="00C8666E"/>
    <w:rsid w:val="00CB300A"/>
    <w:rsid w:val="00CB3AC3"/>
    <w:rsid w:val="00CB54EE"/>
    <w:rsid w:val="00CC22E6"/>
    <w:rsid w:val="00CC3176"/>
    <w:rsid w:val="00CC6D45"/>
    <w:rsid w:val="00CD35B9"/>
    <w:rsid w:val="00CD38A9"/>
    <w:rsid w:val="00CE0991"/>
    <w:rsid w:val="00CE232C"/>
    <w:rsid w:val="00CE287F"/>
    <w:rsid w:val="00CF2D66"/>
    <w:rsid w:val="00CF4731"/>
    <w:rsid w:val="00D00BF7"/>
    <w:rsid w:val="00D14A75"/>
    <w:rsid w:val="00D17619"/>
    <w:rsid w:val="00D17F66"/>
    <w:rsid w:val="00D2590B"/>
    <w:rsid w:val="00D36E62"/>
    <w:rsid w:val="00D373D0"/>
    <w:rsid w:val="00D4101C"/>
    <w:rsid w:val="00D44108"/>
    <w:rsid w:val="00D55EE2"/>
    <w:rsid w:val="00D56252"/>
    <w:rsid w:val="00D56EE1"/>
    <w:rsid w:val="00D61BAD"/>
    <w:rsid w:val="00D64BA6"/>
    <w:rsid w:val="00D74CE3"/>
    <w:rsid w:val="00D77A85"/>
    <w:rsid w:val="00D83239"/>
    <w:rsid w:val="00D87F20"/>
    <w:rsid w:val="00D92337"/>
    <w:rsid w:val="00D939E8"/>
    <w:rsid w:val="00DB2575"/>
    <w:rsid w:val="00DB3C97"/>
    <w:rsid w:val="00DC6C65"/>
    <w:rsid w:val="00DC7D1B"/>
    <w:rsid w:val="00DD4CD4"/>
    <w:rsid w:val="00DD4D0B"/>
    <w:rsid w:val="00DE25C9"/>
    <w:rsid w:val="00DE2646"/>
    <w:rsid w:val="00DF2E9B"/>
    <w:rsid w:val="00DF3435"/>
    <w:rsid w:val="00DF6301"/>
    <w:rsid w:val="00E01305"/>
    <w:rsid w:val="00E0192B"/>
    <w:rsid w:val="00E07ABD"/>
    <w:rsid w:val="00E1755C"/>
    <w:rsid w:val="00E20702"/>
    <w:rsid w:val="00E21A67"/>
    <w:rsid w:val="00E2213F"/>
    <w:rsid w:val="00E36199"/>
    <w:rsid w:val="00E36551"/>
    <w:rsid w:val="00E36CED"/>
    <w:rsid w:val="00E4110C"/>
    <w:rsid w:val="00E44077"/>
    <w:rsid w:val="00E45C83"/>
    <w:rsid w:val="00E465CC"/>
    <w:rsid w:val="00E47DAA"/>
    <w:rsid w:val="00E56E49"/>
    <w:rsid w:val="00E65195"/>
    <w:rsid w:val="00E70F8A"/>
    <w:rsid w:val="00E80E42"/>
    <w:rsid w:val="00E90169"/>
    <w:rsid w:val="00E92CA7"/>
    <w:rsid w:val="00E9334E"/>
    <w:rsid w:val="00E93CD8"/>
    <w:rsid w:val="00E960CB"/>
    <w:rsid w:val="00E9628E"/>
    <w:rsid w:val="00EA4CF6"/>
    <w:rsid w:val="00EA5BFF"/>
    <w:rsid w:val="00EA6E70"/>
    <w:rsid w:val="00EB7220"/>
    <w:rsid w:val="00ED2EFF"/>
    <w:rsid w:val="00EE32BE"/>
    <w:rsid w:val="00EE4667"/>
    <w:rsid w:val="00EF3563"/>
    <w:rsid w:val="00F01DDD"/>
    <w:rsid w:val="00F12229"/>
    <w:rsid w:val="00F13C88"/>
    <w:rsid w:val="00F141AF"/>
    <w:rsid w:val="00F23F76"/>
    <w:rsid w:val="00F30194"/>
    <w:rsid w:val="00F351FC"/>
    <w:rsid w:val="00F35D74"/>
    <w:rsid w:val="00F363C2"/>
    <w:rsid w:val="00F36D19"/>
    <w:rsid w:val="00F426D9"/>
    <w:rsid w:val="00F52ED1"/>
    <w:rsid w:val="00F66224"/>
    <w:rsid w:val="00F67D7F"/>
    <w:rsid w:val="00F82A89"/>
    <w:rsid w:val="00F8345B"/>
    <w:rsid w:val="00F85B03"/>
    <w:rsid w:val="00F8728A"/>
    <w:rsid w:val="00F87D6A"/>
    <w:rsid w:val="00F90851"/>
    <w:rsid w:val="00FA2F75"/>
    <w:rsid w:val="00FA4492"/>
    <w:rsid w:val="00FA49BF"/>
    <w:rsid w:val="00FA72BE"/>
    <w:rsid w:val="00FB18A5"/>
    <w:rsid w:val="00FB4076"/>
    <w:rsid w:val="00FF283E"/>
    <w:rsid w:val="00FF4647"/>
    <w:rsid w:val="00FF4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A75"/>
    <w:pPr>
      <w:spacing w:line="240" w:lineRule="auto"/>
    </w:pPr>
    <w:rPr>
      <w:rFonts w:ascii="Calibri" w:eastAsia="Calibri" w:hAnsi="Calibri" w:cs="Times New Roman"/>
    </w:rPr>
  </w:style>
  <w:style w:type="paragraph" w:styleId="Nadpis2">
    <w:name w:val="heading 2"/>
    <w:basedOn w:val="Normln"/>
    <w:next w:val="Normln"/>
    <w:link w:val="Nadpis2Char"/>
    <w:uiPriority w:val="9"/>
    <w:unhideWhenUsed/>
    <w:qFormat/>
    <w:rsid w:val="00E36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619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53381"/>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3AC3"/>
    <w:rPr>
      <w:color w:val="DE0000"/>
      <w:u w:val="single"/>
    </w:rPr>
  </w:style>
  <w:style w:type="paragraph" w:styleId="Normlnweb">
    <w:name w:val="Normal (Web)"/>
    <w:basedOn w:val="Normln"/>
    <w:uiPriority w:val="99"/>
    <w:semiHidden/>
    <w:unhideWhenUsed/>
    <w:rsid w:val="00CB3AC3"/>
    <w:pPr>
      <w:spacing w:after="0"/>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CB3AC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AC3"/>
    <w:rPr>
      <w:rFonts w:ascii="Tahoma" w:hAnsi="Tahoma" w:cs="Tahoma"/>
      <w:sz w:val="16"/>
      <w:szCs w:val="16"/>
    </w:rPr>
  </w:style>
  <w:style w:type="character" w:styleId="Siln">
    <w:name w:val="Strong"/>
    <w:basedOn w:val="Standardnpsmoodstavce"/>
    <w:uiPriority w:val="22"/>
    <w:qFormat/>
    <w:rsid w:val="00E36199"/>
    <w:rPr>
      <w:b/>
      <w:bCs/>
    </w:rPr>
  </w:style>
  <w:style w:type="character" w:customStyle="1" w:styleId="perex1">
    <w:name w:val="perex1"/>
    <w:basedOn w:val="Standardnpsmoodstavce"/>
    <w:rsid w:val="00CD35B9"/>
  </w:style>
  <w:style w:type="character" w:customStyle="1" w:styleId="Nadpis2Char">
    <w:name w:val="Nadpis 2 Char"/>
    <w:basedOn w:val="Standardnpsmoodstavce"/>
    <w:link w:val="Nadpis2"/>
    <w:uiPriority w:val="9"/>
    <w:rsid w:val="00E3619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36199"/>
    <w:rPr>
      <w:rFonts w:asciiTheme="majorHAnsi" w:eastAsiaTheme="majorEastAsia" w:hAnsiTheme="majorHAnsi" w:cstheme="majorBidi"/>
      <w:b/>
      <w:bCs/>
      <w:color w:val="4F81BD" w:themeColor="accent1"/>
    </w:rPr>
  </w:style>
  <w:style w:type="paragraph" w:styleId="Bezmezer">
    <w:name w:val="No Spacing"/>
    <w:uiPriority w:val="1"/>
    <w:qFormat/>
    <w:rsid w:val="00D14A75"/>
    <w:pPr>
      <w:spacing w:after="0" w:line="240" w:lineRule="auto"/>
    </w:pPr>
    <w:rPr>
      <w:rFonts w:ascii="Calibri" w:eastAsia="Calibri" w:hAnsi="Calibri" w:cs="Times New Roman"/>
    </w:rPr>
  </w:style>
  <w:style w:type="paragraph" w:styleId="Odstavecseseznamem">
    <w:name w:val="List Paragraph"/>
    <w:aliases w:val="List Paragraph (Czech Tourism)"/>
    <w:basedOn w:val="Normln"/>
    <w:link w:val="OdstavecseseznamemChar"/>
    <w:uiPriority w:val="34"/>
    <w:qFormat/>
    <w:rsid w:val="00D14A75"/>
    <w:pPr>
      <w:ind w:left="720"/>
      <w:contextualSpacing/>
    </w:pPr>
  </w:style>
  <w:style w:type="character" w:styleId="PromnnHTML">
    <w:name w:val="HTML Variable"/>
    <w:basedOn w:val="Standardnpsmoodstavce"/>
    <w:uiPriority w:val="99"/>
    <w:semiHidden/>
    <w:unhideWhenUsed/>
    <w:rsid w:val="007C0127"/>
    <w:rPr>
      <w:b/>
      <w:bCs/>
      <w:i w:val="0"/>
      <w:iCs w:val="0"/>
    </w:rPr>
  </w:style>
  <w:style w:type="paragraph" w:customStyle="1" w:styleId="go">
    <w:name w:val="go"/>
    <w:basedOn w:val="Normln"/>
    <w:rsid w:val="002B1A96"/>
    <w:pPr>
      <w:spacing w:before="100" w:beforeAutospacing="1" w:after="100" w:afterAutospacing="1"/>
    </w:pPr>
    <w:rPr>
      <w:rFonts w:ascii="Times New Roman" w:eastAsia="Times New Roman" w:hAnsi="Times New Roman"/>
      <w:sz w:val="24"/>
      <w:szCs w:val="24"/>
      <w:lang w:eastAsia="cs-CZ"/>
    </w:rPr>
  </w:style>
  <w:style w:type="table" w:styleId="Mkatabulky">
    <w:name w:val="Table Grid"/>
    <w:basedOn w:val="Normlntabulka"/>
    <w:uiPriority w:val="59"/>
    <w:rsid w:val="0068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B54EE"/>
    <w:pPr>
      <w:tabs>
        <w:tab w:val="center" w:pos="4536"/>
        <w:tab w:val="right" w:pos="9072"/>
      </w:tabs>
      <w:spacing w:after="0"/>
    </w:pPr>
  </w:style>
  <w:style w:type="character" w:customStyle="1" w:styleId="ZhlavChar">
    <w:name w:val="Záhlaví Char"/>
    <w:basedOn w:val="Standardnpsmoodstavce"/>
    <w:link w:val="Zhlav"/>
    <w:uiPriority w:val="99"/>
    <w:rsid w:val="00CB54EE"/>
    <w:rPr>
      <w:rFonts w:ascii="Calibri" w:eastAsia="Calibri" w:hAnsi="Calibri" w:cs="Times New Roman"/>
    </w:rPr>
  </w:style>
  <w:style w:type="paragraph" w:styleId="Zpat">
    <w:name w:val="footer"/>
    <w:basedOn w:val="Normln"/>
    <w:link w:val="ZpatChar"/>
    <w:uiPriority w:val="99"/>
    <w:unhideWhenUsed/>
    <w:rsid w:val="00CB54EE"/>
    <w:pPr>
      <w:tabs>
        <w:tab w:val="center" w:pos="4536"/>
        <w:tab w:val="right" w:pos="9072"/>
      </w:tabs>
      <w:spacing w:after="0"/>
    </w:pPr>
  </w:style>
  <w:style w:type="character" w:customStyle="1" w:styleId="ZpatChar">
    <w:name w:val="Zápatí Char"/>
    <w:basedOn w:val="Standardnpsmoodstavce"/>
    <w:link w:val="Zpat"/>
    <w:uiPriority w:val="99"/>
    <w:rsid w:val="00CB54EE"/>
    <w:rPr>
      <w:rFonts w:ascii="Calibri" w:eastAsia="Calibri" w:hAnsi="Calibri" w:cs="Times New Roman"/>
    </w:rPr>
  </w:style>
  <w:style w:type="character" w:styleId="Odkaznakoment">
    <w:name w:val="annotation reference"/>
    <w:basedOn w:val="Standardnpsmoodstavce"/>
    <w:uiPriority w:val="99"/>
    <w:semiHidden/>
    <w:unhideWhenUsed/>
    <w:rsid w:val="00560EC4"/>
    <w:rPr>
      <w:sz w:val="16"/>
      <w:szCs w:val="16"/>
    </w:rPr>
  </w:style>
  <w:style w:type="paragraph" w:styleId="Textkomente">
    <w:name w:val="annotation text"/>
    <w:basedOn w:val="Normln"/>
    <w:link w:val="TextkomenteChar"/>
    <w:uiPriority w:val="99"/>
    <w:semiHidden/>
    <w:unhideWhenUsed/>
    <w:rsid w:val="00560EC4"/>
    <w:rPr>
      <w:sz w:val="20"/>
      <w:szCs w:val="20"/>
    </w:rPr>
  </w:style>
  <w:style w:type="character" w:customStyle="1" w:styleId="TextkomenteChar">
    <w:name w:val="Text komentáře Char"/>
    <w:basedOn w:val="Standardnpsmoodstavce"/>
    <w:link w:val="Textkomente"/>
    <w:uiPriority w:val="99"/>
    <w:semiHidden/>
    <w:rsid w:val="00560EC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60EC4"/>
    <w:rPr>
      <w:b/>
      <w:bCs/>
    </w:rPr>
  </w:style>
  <w:style w:type="character" w:customStyle="1" w:styleId="PedmtkomenteChar">
    <w:name w:val="Předmět komentáře Char"/>
    <w:basedOn w:val="TextkomenteChar"/>
    <w:link w:val="Pedmtkomente"/>
    <w:uiPriority w:val="99"/>
    <w:semiHidden/>
    <w:rsid w:val="00560EC4"/>
    <w:rPr>
      <w:rFonts w:ascii="Calibri" w:eastAsia="Calibri" w:hAnsi="Calibri" w:cs="Times New Roman"/>
      <w:b/>
      <w:bCs/>
      <w:sz w:val="20"/>
      <w:szCs w:val="20"/>
    </w:rPr>
  </w:style>
  <w:style w:type="character" w:customStyle="1" w:styleId="Nadpis4Char">
    <w:name w:val="Nadpis 4 Char"/>
    <w:basedOn w:val="Standardnpsmoodstavce"/>
    <w:link w:val="Nadpis4"/>
    <w:uiPriority w:val="9"/>
    <w:rsid w:val="00053381"/>
    <w:rPr>
      <w:rFonts w:asciiTheme="majorHAnsi" w:eastAsiaTheme="majorEastAsia" w:hAnsiTheme="majorHAnsi" w:cstheme="majorBidi"/>
      <w:b/>
      <w:bCs/>
      <w:i/>
      <w:iCs/>
      <w:color w:val="4F81BD" w:themeColor="accent1"/>
    </w:rPr>
  </w:style>
  <w:style w:type="table" w:styleId="Stednstnovn2zvraznn1">
    <w:name w:val="Medium Shading 2 Accent 1"/>
    <w:basedOn w:val="Normlntabulka"/>
    <w:uiPriority w:val="64"/>
    <w:rsid w:val="00053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zvraznn1">
    <w:name w:val="Medium Shading 1 Accent 1"/>
    <w:basedOn w:val="Normlntabulka"/>
    <w:uiPriority w:val="63"/>
    <w:rsid w:val="000533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kladntext">
    <w:name w:val="Body Text"/>
    <w:basedOn w:val="Normln"/>
    <w:link w:val="ZkladntextChar"/>
    <w:rsid w:val="003C402E"/>
    <w:pPr>
      <w:spacing w:after="0"/>
      <w:jc w:val="both"/>
    </w:pPr>
    <w:rPr>
      <w:rFonts w:ascii="Times New Roman" w:eastAsia="Times New Roman" w:hAnsi="Times New Roman"/>
      <w:sz w:val="24"/>
      <w:lang w:eastAsia="cs-CZ"/>
    </w:rPr>
  </w:style>
  <w:style w:type="character" w:customStyle="1" w:styleId="ZkladntextChar">
    <w:name w:val="Základní text Char"/>
    <w:basedOn w:val="Standardnpsmoodstavce"/>
    <w:link w:val="Zkladntext"/>
    <w:rsid w:val="003C402E"/>
    <w:rPr>
      <w:rFonts w:ascii="Times New Roman" w:eastAsia="Times New Roman" w:hAnsi="Times New Roman" w:cs="Times New Roman"/>
      <w:sz w:val="24"/>
      <w:lang w:eastAsia="cs-CZ"/>
    </w:rPr>
  </w:style>
  <w:style w:type="paragraph" w:customStyle="1" w:styleId="CharCharCharCharChar1Char">
    <w:name w:val="Char Char Char Char Char1 Char"/>
    <w:basedOn w:val="Normln"/>
    <w:next w:val="Normln"/>
    <w:rsid w:val="003C402E"/>
    <w:pPr>
      <w:spacing w:after="160" w:line="240" w:lineRule="exact"/>
    </w:pPr>
    <w:rPr>
      <w:rFonts w:ascii="Tahoma" w:eastAsia="Times New Roman" w:hAnsi="Tahoma" w:cs="Arial"/>
      <w:b/>
      <w:sz w:val="24"/>
      <w:szCs w:val="20"/>
      <w:lang w:val="en-US"/>
    </w:rPr>
  </w:style>
  <w:style w:type="paragraph" w:styleId="Textpoznpodarou">
    <w:name w:val="footnote text"/>
    <w:basedOn w:val="Normln"/>
    <w:link w:val="TextpoznpodarouChar"/>
    <w:uiPriority w:val="99"/>
    <w:unhideWhenUsed/>
    <w:rsid w:val="003D461F"/>
    <w:pPr>
      <w:spacing w:after="0"/>
    </w:pPr>
    <w:rPr>
      <w:sz w:val="20"/>
      <w:szCs w:val="20"/>
    </w:rPr>
  </w:style>
  <w:style w:type="character" w:customStyle="1" w:styleId="TextpoznpodarouChar">
    <w:name w:val="Text pozn. pod čarou Char"/>
    <w:basedOn w:val="Standardnpsmoodstavce"/>
    <w:link w:val="Textpoznpodarou"/>
    <w:uiPriority w:val="99"/>
    <w:rsid w:val="003D461F"/>
    <w:rPr>
      <w:rFonts w:ascii="Calibri" w:eastAsia="Calibri" w:hAnsi="Calibri" w:cs="Times New Roman"/>
      <w:sz w:val="20"/>
      <w:szCs w:val="20"/>
    </w:rPr>
  </w:style>
  <w:style w:type="character" w:styleId="Znakapoznpodarou">
    <w:name w:val="footnote reference"/>
    <w:uiPriority w:val="99"/>
    <w:unhideWhenUsed/>
    <w:rsid w:val="003D461F"/>
    <w:rPr>
      <w:vertAlign w:val="superscript"/>
    </w:rPr>
  </w:style>
  <w:style w:type="paragraph" w:customStyle="1" w:styleId="Default">
    <w:name w:val="Default"/>
    <w:rsid w:val="00090F12"/>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character" w:customStyle="1" w:styleId="OdstavecseseznamemChar">
    <w:name w:val="Odstavec se seznamem Char"/>
    <w:aliases w:val="List Paragraph (Czech Tourism) Char"/>
    <w:link w:val="Odstavecseseznamem"/>
    <w:uiPriority w:val="34"/>
    <w:locked/>
    <w:rsid w:val="00090F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A75"/>
    <w:pPr>
      <w:spacing w:line="240" w:lineRule="auto"/>
    </w:pPr>
    <w:rPr>
      <w:rFonts w:ascii="Calibri" w:eastAsia="Calibri" w:hAnsi="Calibri" w:cs="Times New Roman"/>
    </w:rPr>
  </w:style>
  <w:style w:type="paragraph" w:styleId="Nadpis2">
    <w:name w:val="heading 2"/>
    <w:basedOn w:val="Normln"/>
    <w:next w:val="Normln"/>
    <w:link w:val="Nadpis2Char"/>
    <w:uiPriority w:val="9"/>
    <w:unhideWhenUsed/>
    <w:qFormat/>
    <w:rsid w:val="00E361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3619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53381"/>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B3AC3"/>
    <w:rPr>
      <w:color w:val="DE0000"/>
      <w:u w:val="single"/>
    </w:rPr>
  </w:style>
  <w:style w:type="paragraph" w:styleId="Normlnweb">
    <w:name w:val="Normal (Web)"/>
    <w:basedOn w:val="Normln"/>
    <w:uiPriority w:val="99"/>
    <w:semiHidden/>
    <w:unhideWhenUsed/>
    <w:rsid w:val="00CB3AC3"/>
    <w:pPr>
      <w:spacing w:after="0"/>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CB3AC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3AC3"/>
    <w:rPr>
      <w:rFonts w:ascii="Tahoma" w:hAnsi="Tahoma" w:cs="Tahoma"/>
      <w:sz w:val="16"/>
      <w:szCs w:val="16"/>
    </w:rPr>
  </w:style>
  <w:style w:type="character" w:styleId="Siln">
    <w:name w:val="Strong"/>
    <w:basedOn w:val="Standardnpsmoodstavce"/>
    <w:uiPriority w:val="22"/>
    <w:qFormat/>
    <w:rsid w:val="00E36199"/>
    <w:rPr>
      <w:b/>
      <w:bCs/>
    </w:rPr>
  </w:style>
  <w:style w:type="character" w:customStyle="1" w:styleId="perex1">
    <w:name w:val="perex1"/>
    <w:basedOn w:val="Standardnpsmoodstavce"/>
    <w:rsid w:val="00CD35B9"/>
  </w:style>
  <w:style w:type="character" w:customStyle="1" w:styleId="Nadpis2Char">
    <w:name w:val="Nadpis 2 Char"/>
    <w:basedOn w:val="Standardnpsmoodstavce"/>
    <w:link w:val="Nadpis2"/>
    <w:uiPriority w:val="9"/>
    <w:rsid w:val="00E3619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36199"/>
    <w:rPr>
      <w:rFonts w:asciiTheme="majorHAnsi" w:eastAsiaTheme="majorEastAsia" w:hAnsiTheme="majorHAnsi" w:cstheme="majorBidi"/>
      <w:b/>
      <w:bCs/>
      <w:color w:val="4F81BD" w:themeColor="accent1"/>
    </w:rPr>
  </w:style>
  <w:style w:type="paragraph" w:styleId="Bezmezer">
    <w:name w:val="No Spacing"/>
    <w:uiPriority w:val="1"/>
    <w:qFormat/>
    <w:rsid w:val="00D14A75"/>
    <w:pPr>
      <w:spacing w:after="0" w:line="240" w:lineRule="auto"/>
    </w:pPr>
    <w:rPr>
      <w:rFonts w:ascii="Calibri" w:eastAsia="Calibri" w:hAnsi="Calibri" w:cs="Times New Roman"/>
    </w:rPr>
  </w:style>
  <w:style w:type="paragraph" w:styleId="Odstavecseseznamem">
    <w:name w:val="List Paragraph"/>
    <w:aliases w:val="List Paragraph (Czech Tourism)"/>
    <w:basedOn w:val="Normln"/>
    <w:link w:val="OdstavecseseznamemChar"/>
    <w:uiPriority w:val="34"/>
    <w:qFormat/>
    <w:rsid w:val="00D14A75"/>
    <w:pPr>
      <w:ind w:left="720"/>
      <w:contextualSpacing/>
    </w:pPr>
  </w:style>
  <w:style w:type="character" w:styleId="PromnnHTML">
    <w:name w:val="HTML Variable"/>
    <w:basedOn w:val="Standardnpsmoodstavce"/>
    <w:uiPriority w:val="99"/>
    <w:semiHidden/>
    <w:unhideWhenUsed/>
    <w:rsid w:val="007C0127"/>
    <w:rPr>
      <w:b/>
      <w:bCs/>
      <w:i w:val="0"/>
      <w:iCs w:val="0"/>
    </w:rPr>
  </w:style>
  <w:style w:type="paragraph" w:customStyle="1" w:styleId="go">
    <w:name w:val="go"/>
    <w:basedOn w:val="Normln"/>
    <w:rsid w:val="002B1A96"/>
    <w:pPr>
      <w:spacing w:before="100" w:beforeAutospacing="1" w:after="100" w:afterAutospacing="1"/>
    </w:pPr>
    <w:rPr>
      <w:rFonts w:ascii="Times New Roman" w:eastAsia="Times New Roman" w:hAnsi="Times New Roman"/>
      <w:sz w:val="24"/>
      <w:szCs w:val="24"/>
      <w:lang w:eastAsia="cs-CZ"/>
    </w:rPr>
  </w:style>
  <w:style w:type="table" w:styleId="Mkatabulky">
    <w:name w:val="Table Grid"/>
    <w:basedOn w:val="Normlntabulka"/>
    <w:uiPriority w:val="59"/>
    <w:rsid w:val="0068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B54EE"/>
    <w:pPr>
      <w:tabs>
        <w:tab w:val="center" w:pos="4536"/>
        <w:tab w:val="right" w:pos="9072"/>
      </w:tabs>
      <w:spacing w:after="0"/>
    </w:pPr>
  </w:style>
  <w:style w:type="character" w:customStyle="1" w:styleId="ZhlavChar">
    <w:name w:val="Záhlaví Char"/>
    <w:basedOn w:val="Standardnpsmoodstavce"/>
    <w:link w:val="Zhlav"/>
    <w:uiPriority w:val="99"/>
    <w:rsid w:val="00CB54EE"/>
    <w:rPr>
      <w:rFonts w:ascii="Calibri" w:eastAsia="Calibri" w:hAnsi="Calibri" w:cs="Times New Roman"/>
    </w:rPr>
  </w:style>
  <w:style w:type="paragraph" w:styleId="Zpat">
    <w:name w:val="footer"/>
    <w:basedOn w:val="Normln"/>
    <w:link w:val="ZpatChar"/>
    <w:uiPriority w:val="99"/>
    <w:unhideWhenUsed/>
    <w:rsid w:val="00CB54EE"/>
    <w:pPr>
      <w:tabs>
        <w:tab w:val="center" w:pos="4536"/>
        <w:tab w:val="right" w:pos="9072"/>
      </w:tabs>
      <w:spacing w:after="0"/>
    </w:pPr>
  </w:style>
  <w:style w:type="character" w:customStyle="1" w:styleId="ZpatChar">
    <w:name w:val="Zápatí Char"/>
    <w:basedOn w:val="Standardnpsmoodstavce"/>
    <w:link w:val="Zpat"/>
    <w:uiPriority w:val="99"/>
    <w:rsid w:val="00CB54EE"/>
    <w:rPr>
      <w:rFonts w:ascii="Calibri" w:eastAsia="Calibri" w:hAnsi="Calibri" w:cs="Times New Roman"/>
    </w:rPr>
  </w:style>
  <w:style w:type="character" w:styleId="Odkaznakoment">
    <w:name w:val="annotation reference"/>
    <w:basedOn w:val="Standardnpsmoodstavce"/>
    <w:uiPriority w:val="99"/>
    <w:semiHidden/>
    <w:unhideWhenUsed/>
    <w:rsid w:val="00560EC4"/>
    <w:rPr>
      <w:sz w:val="16"/>
      <w:szCs w:val="16"/>
    </w:rPr>
  </w:style>
  <w:style w:type="paragraph" w:styleId="Textkomente">
    <w:name w:val="annotation text"/>
    <w:basedOn w:val="Normln"/>
    <w:link w:val="TextkomenteChar"/>
    <w:uiPriority w:val="99"/>
    <w:semiHidden/>
    <w:unhideWhenUsed/>
    <w:rsid w:val="00560EC4"/>
    <w:rPr>
      <w:sz w:val="20"/>
      <w:szCs w:val="20"/>
    </w:rPr>
  </w:style>
  <w:style w:type="character" w:customStyle="1" w:styleId="TextkomenteChar">
    <w:name w:val="Text komentáře Char"/>
    <w:basedOn w:val="Standardnpsmoodstavce"/>
    <w:link w:val="Textkomente"/>
    <w:uiPriority w:val="99"/>
    <w:semiHidden/>
    <w:rsid w:val="00560EC4"/>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560EC4"/>
    <w:rPr>
      <w:b/>
      <w:bCs/>
    </w:rPr>
  </w:style>
  <w:style w:type="character" w:customStyle="1" w:styleId="PedmtkomenteChar">
    <w:name w:val="Předmět komentáře Char"/>
    <w:basedOn w:val="TextkomenteChar"/>
    <w:link w:val="Pedmtkomente"/>
    <w:uiPriority w:val="99"/>
    <w:semiHidden/>
    <w:rsid w:val="00560EC4"/>
    <w:rPr>
      <w:rFonts w:ascii="Calibri" w:eastAsia="Calibri" w:hAnsi="Calibri" w:cs="Times New Roman"/>
      <w:b/>
      <w:bCs/>
      <w:sz w:val="20"/>
      <w:szCs w:val="20"/>
    </w:rPr>
  </w:style>
  <w:style w:type="character" w:customStyle="1" w:styleId="Nadpis4Char">
    <w:name w:val="Nadpis 4 Char"/>
    <w:basedOn w:val="Standardnpsmoodstavce"/>
    <w:link w:val="Nadpis4"/>
    <w:uiPriority w:val="9"/>
    <w:rsid w:val="00053381"/>
    <w:rPr>
      <w:rFonts w:asciiTheme="majorHAnsi" w:eastAsiaTheme="majorEastAsia" w:hAnsiTheme="majorHAnsi" w:cstheme="majorBidi"/>
      <w:b/>
      <w:bCs/>
      <w:i/>
      <w:iCs/>
      <w:color w:val="4F81BD" w:themeColor="accent1"/>
    </w:rPr>
  </w:style>
  <w:style w:type="table" w:styleId="Stednstnovn2zvraznn1">
    <w:name w:val="Medium Shading 2 Accent 1"/>
    <w:basedOn w:val="Normlntabulka"/>
    <w:uiPriority w:val="64"/>
    <w:rsid w:val="000533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1zvraznn1">
    <w:name w:val="Medium Shading 1 Accent 1"/>
    <w:basedOn w:val="Normlntabulka"/>
    <w:uiPriority w:val="63"/>
    <w:rsid w:val="000533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kladntext">
    <w:name w:val="Body Text"/>
    <w:basedOn w:val="Normln"/>
    <w:link w:val="ZkladntextChar"/>
    <w:rsid w:val="003C402E"/>
    <w:pPr>
      <w:spacing w:after="0"/>
      <w:jc w:val="both"/>
    </w:pPr>
    <w:rPr>
      <w:rFonts w:ascii="Times New Roman" w:eastAsia="Times New Roman" w:hAnsi="Times New Roman"/>
      <w:sz w:val="24"/>
      <w:lang w:eastAsia="cs-CZ"/>
    </w:rPr>
  </w:style>
  <w:style w:type="character" w:customStyle="1" w:styleId="ZkladntextChar">
    <w:name w:val="Základní text Char"/>
    <w:basedOn w:val="Standardnpsmoodstavce"/>
    <w:link w:val="Zkladntext"/>
    <w:rsid w:val="003C402E"/>
    <w:rPr>
      <w:rFonts w:ascii="Times New Roman" w:eastAsia="Times New Roman" w:hAnsi="Times New Roman" w:cs="Times New Roman"/>
      <w:sz w:val="24"/>
      <w:lang w:eastAsia="cs-CZ"/>
    </w:rPr>
  </w:style>
  <w:style w:type="paragraph" w:customStyle="1" w:styleId="CharCharCharCharChar1Char">
    <w:name w:val="Char Char Char Char Char1 Char"/>
    <w:basedOn w:val="Normln"/>
    <w:next w:val="Normln"/>
    <w:rsid w:val="003C402E"/>
    <w:pPr>
      <w:spacing w:after="160" w:line="240" w:lineRule="exact"/>
    </w:pPr>
    <w:rPr>
      <w:rFonts w:ascii="Tahoma" w:eastAsia="Times New Roman" w:hAnsi="Tahoma" w:cs="Arial"/>
      <w:b/>
      <w:sz w:val="24"/>
      <w:szCs w:val="20"/>
      <w:lang w:val="en-US"/>
    </w:rPr>
  </w:style>
  <w:style w:type="paragraph" w:styleId="Textpoznpodarou">
    <w:name w:val="footnote text"/>
    <w:basedOn w:val="Normln"/>
    <w:link w:val="TextpoznpodarouChar"/>
    <w:uiPriority w:val="99"/>
    <w:unhideWhenUsed/>
    <w:rsid w:val="003D461F"/>
    <w:pPr>
      <w:spacing w:after="0"/>
    </w:pPr>
    <w:rPr>
      <w:sz w:val="20"/>
      <w:szCs w:val="20"/>
    </w:rPr>
  </w:style>
  <w:style w:type="character" w:customStyle="1" w:styleId="TextpoznpodarouChar">
    <w:name w:val="Text pozn. pod čarou Char"/>
    <w:basedOn w:val="Standardnpsmoodstavce"/>
    <w:link w:val="Textpoznpodarou"/>
    <w:uiPriority w:val="99"/>
    <w:rsid w:val="003D461F"/>
    <w:rPr>
      <w:rFonts w:ascii="Calibri" w:eastAsia="Calibri" w:hAnsi="Calibri" w:cs="Times New Roman"/>
      <w:sz w:val="20"/>
      <w:szCs w:val="20"/>
    </w:rPr>
  </w:style>
  <w:style w:type="character" w:styleId="Znakapoznpodarou">
    <w:name w:val="footnote reference"/>
    <w:uiPriority w:val="99"/>
    <w:unhideWhenUsed/>
    <w:rsid w:val="003D461F"/>
    <w:rPr>
      <w:vertAlign w:val="superscript"/>
    </w:rPr>
  </w:style>
  <w:style w:type="paragraph" w:customStyle="1" w:styleId="Default">
    <w:name w:val="Default"/>
    <w:rsid w:val="00090F12"/>
    <w:pPr>
      <w:autoSpaceDE w:val="0"/>
      <w:autoSpaceDN w:val="0"/>
      <w:adjustRightInd w:val="0"/>
      <w:spacing w:after="0" w:line="240" w:lineRule="auto"/>
    </w:pPr>
    <w:rPr>
      <w:rFonts w:ascii="EUAlbertina" w:eastAsia="Times New Roman" w:hAnsi="EUAlbertina" w:cs="EUAlbertina"/>
      <w:color w:val="000000"/>
      <w:sz w:val="24"/>
      <w:szCs w:val="24"/>
      <w:lang w:eastAsia="cs-CZ"/>
    </w:rPr>
  </w:style>
  <w:style w:type="character" w:customStyle="1" w:styleId="OdstavecseseznamemChar">
    <w:name w:val="Odstavec se seznamem Char"/>
    <w:aliases w:val="List Paragraph (Czech Tourism) Char"/>
    <w:link w:val="Odstavecseseznamem"/>
    <w:uiPriority w:val="34"/>
    <w:locked/>
    <w:rsid w:val="00090F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522">
      <w:bodyDiv w:val="1"/>
      <w:marLeft w:val="0"/>
      <w:marRight w:val="0"/>
      <w:marTop w:val="0"/>
      <w:marBottom w:val="0"/>
      <w:divBdr>
        <w:top w:val="none" w:sz="0" w:space="0" w:color="auto"/>
        <w:left w:val="none" w:sz="0" w:space="0" w:color="auto"/>
        <w:bottom w:val="none" w:sz="0" w:space="0" w:color="auto"/>
        <w:right w:val="none" w:sz="0" w:space="0" w:color="auto"/>
      </w:divBdr>
      <w:divsChild>
        <w:div w:id="1337730151">
          <w:marLeft w:val="0"/>
          <w:marRight w:val="0"/>
          <w:marTop w:val="0"/>
          <w:marBottom w:val="0"/>
          <w:divBdr>
            <w:top w:val="none" w:sz="0" w:space="0" w:color="auto"/>
            <w:left w:val="none" w:sz="0" w:space="0" w:color="auto"/>
            <w:bottom w:val="none" w:sz="0" w:space="0" w:color="auto"/>
            <w:right w:val="none" w:sz="0" w:space="0" w:color="auto"/>
          </w:divBdr>
          <w:divsChild>
            <w:div w:id="1174764935">
              <w:marLeft w:val="0"/>
              <w:marRight w:val="0"/>
              <w:marTop w:val="0"/>
              <w:marBottom w:val="0"/>
              <w:divBdr>
                <w:top w:val="none" w:sz="0" w:space="0" w:color="auto"/>
                <w:left w:val="none" w:sz="0" w:space="0" w:color="auto"/>
                <w:bottom w:val="none" w:sz="0" w:space="0" w:color="auto"/>
                <w:right w:val="none" w:sz="0" w:space="0" w:color="auto"/>
              </w:divBdr>
              <w:divsChild>
                <w:div w:id="1853493384">
                  <w:marLeft w:val="0"/>
                  <w:marRight w:val="0"/>
                  <w:marTop w:val="0"/>
                  <w:marBottom w:val="0"/>
                  <w:divBdr>
                    <w:top w:val="none" w:sz="0" w:space="0" w:color="auto"/>
                    <w:left w:val="none" w:sz="0" w:space="0" w:color="auto"/>
                    <w:bottom w:val="none" w:sz="0" w:space="0" w:color="auto"/>
                    <w:right w:val="none" w:sz="0" w:space="0" w:color="auto"/>
                  </w:divBdr>
                  <w:divsChild>
                    <w:div w:id="1580557345">
                      <w:marLeft w:val="0"/>
                      <w:marRight w:val="0"/>
                      <w:marTop w:val="0"/>
                      <w:marBottom w:val="0"/>
                      <w:divBdr>
                        <w:top w:val="none" w:sz="0" w:space="0" w:color="auto"/>
                        <w:left w:val="none" w:sz="0" w:space="0" w:color="auto"/>
                        <w:bottom w:val="none" w:sz="0" w:space="0" w:color="auto"/>
                        <w:right w:val="none" w:sz="0" w:space="0" w:color="auto"/>
                      </w:divBdr>
                      <w:divsChild>
                        <w:div w:id="1242450398">
                          <w:marLeft w:val="0"/>
                          <w:marRight w:val="0"/>
                          <w:marTop w:val="0"/>
                          <w:marBottom w:val="0"/>
                          <w:divBdr>
                            <w:top w:val="none" w:sz="0" w:space="0" w:color="auto"/>
                            <w:left w:val="none" w:sz="0" w:space="0" w:color="auto"/>
                            <w:bottom w:val="none" w:sz="0" w:space="0" w:color="auto"/>
                            <w:right w:val="none" w:sz="0" w:space="0" w:color="auto"/>
                          </w:divBdr>
                          <w:divsChild>
                            <w:div w:id="1692031745">
                              <w:marLeft w:val="0"/>
                              <w:marRight w:val="0"/>
                              <w:marTop w:val="0"/>
                              <w:marBottom w:val="0"/>
                              <w:divBdr>
                                <w:top w:val="none" w:sz="0" w:space="0" w:color="auto"/>
                                <w:left w:val="none" w:sz="0" w:space="0" w:color="auto"/>
                                <w:bottom w:val="none" w:sz="0" w:space="0" w:color="auto"/>
                                <w:right w:val="none" w:sz="0" w:space="0" w:color="auto"/>
                              </w:divBdr>
                              <w:divsChild>
                                <w:div w:id="1418018866">
                                  <w:marLeft w:val="0"/>
                                  <w:marRight w:val="0"/>
                                  <w:marTop w:val="0"/>
                                  <w:marBottom w:val="0"/>
                                  <w:divBdr>
                                    <w:top w:val="none" w:sz="0" w:space="0" w:color="auto"/>
                                    <w:left w:val="none" w:sz="0" w:space="0" w:color="auto"/>
                                    <w:bottom w:val="none" w:sz="0" w:space="0" w:color="auto"/>
                                    <w:right w:val="none" w:sz="0" w:space="0" w:color="auto"/>
                                  </w:divBdr>
                                  <w:divsChild>
                                    <w:div w:id="590314724">
                                      <w:marLeft w:val="0"/>
                                      <w:marRight w:val="0"/>
                                      <w:marTop w:val="0"/>
                                      <w:marBottom w:val="0"/>
                                      <w:divBdr>
                                        <w:top w:val="none" w:sz="0" w:space="0" w:color="auto"/>
                                        <w:left w:val="none" w:sz="0" w:space="0" w:color="auto"/>
                                        <w:bottom w:val="none" w:sz="0" w:space="0" w:color="auto"/>
                                        <w:right w:val="none" w:sz="0" w:space="0" w:color="auto"/>
                                      </w:divBdr>
                                      <w:divsChild>
                                        <w:div w:id="2005618658">
                                          <w:marLeft w:val="0"/>
                                          <w:marRight w:val="0"/>
                                          <w:marTop w:val="0"/>
                                          <w:marBottom w:val="0"/>
                                          <w:divBdr>
                                            <w:top w:val="none" w:sz="0" w:space="0" w:color="auto"/>
                                            <w:left w:val="none" w:sz="0" w:space="0" w:color="auto"/>
                                            <w:bottom w:val="none" w:sz="0" w:space="0" w:color="auto"/>
                                            <w:right w:val="none" w:sz="0" w:space="0" w:color="auto"/>
                                          </w:divBdr>
                                          <w:divsChild>
                                            <w:div w:id="2026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78702">
      <w:bodyDiv w:val="1"/>
      <w:marLeft w:val="0"/>
      <w:marRight w:val="0"/>
      <w:marTop w:val="0"/>
      <w:marBottom w:val="120"/>
      <w:divBdr>
        <w:top w:val="none" w:sz="0" w:space="0" w:color="auto"/>
        <w:left w:val="none" w:sz="0" w:space="0" w:color="auto"/>
        <w:bottom w:val="none" w:sz="0" w:space="0" w:color="auto"/>
        <w:right w:val="none" w:sz="0" w:space="0" w:color="auto"/>
      </w:divBdr>
      <w:divsChild>
        <w:div w:id="1429934832">
          <w:marLeft w:val="0"/>
          <w:marRight w:val="0"/>
          <w:marTop w:val="0"/>
          <w:marBottom w:val="0"/>
          <w:divBdr>
            <w:top w:val="none" w:sz="0" w:space="0" w:color="auto"/>
            <w:left w:val="none" w:sz="0" w:space="0" w:color="auto"/>
            <w:bottom w:val="none" w:sz="0" w:space="0" w:color="auto"/>
            <w:right w:val="none" w:sz="0" w:space="0" w:color="auto"/>
          </w:divBdr>
          <w:divsChild>
            <w:div w:id="972293606">
              <w:marLeft w:val="75"/>
              <w:marRight w:val="75"/>
              <w:marTop w:val="0"/>
              <w:marBottom w:val="0"/>
              <w:divBdr>
                <w:top w:val="none" w:sz="0" w:space="0" w:color="auto"/>
                <w:left w:val="none" w:sz="0" w:space="0" w:color="auto"/>
                <w:bottom w:val="none" w:sz="0" w:space="0" w:color="auto"/>
                <w:right w:val="none" w:sz="0" w:space="0" w:color="auto"/>
              </w:divBdr>
              <w:divsChild>
                <w:div w:id="431780947">
                  <w:marLeft w:val="0"/>
                  <w:marRight w:val="0"/>
                  <w:marTop w:val="0"/>
                  <w:marBottom w:val="0"/>
                  <w:divBdr>
                    <w:top w:val="none" w:sz="0" w:space="0" w:color="auto"/>
                    <w:left w:val="none" w:sz="0" w:space="0" w:color="auto"/>
                    <w:bottom w:val="none" w:sz="0" w:space="0" w:color="auto"/>
                    <w:right w:val="none" w:sz="0" w:space="0" w:color="auto"/>
                  </w:divBdr>
                  <w:divsChild>
                    <w:div w:id="877085841">
                      <w:marLeft w:val="0"/>
                      <w:marRight w:val="0"/>
                      <w:marTop w:val="0"/>
                      <w:marBottom w:val="0"/>
                      <w:divBdr>
                        <w:top w:val="none" w:sz="0" w:space="0" w:color="auto"/>
                        <w:left w:val="none" w:sz="0" w:space="0" w:color="auto"/>
                        <w:bottom w:val="none" w:sz="0" w:space="0" w:color="auto"/>
                        <w:right w:val="none" w:sz="0" w:space="0" w:color="auto"/>
                      </w:divBdr>
                      <w:divsChild>
                        <w:div w:id="438335411">
                          <w:marLeft w:val="0"/>
                          <w:marRight w:val="0"/>
                          <w:marTop w:val="0"/>
                          <w:marBottom w:val="0"/>
                          <w:divBdr>
                            <w:top w:val="none" w:sz="0" w:space="0" w:color="auto"/>
                            <w:left w:val="none" w:sz="0" w:space="0" w:color="auto"/>
                            <w:bottom w:val="none" w:sz="0" w:space="0" w:color="auto"/>
                            <w:right w:val="none" w:sz="0" w:space="0" w:color="auto"/>
                          </w:divBdr>
                          <w:divsChild>
                            <w:div w:id="713582023">
                              <w:marLeft w:val="0"/>
                              <w:marRight w:val="0"/>
                              <w:marTop w:val="0"/>
                              <w:marBottom w:val="0"/>
                              <w:divBdr>
                                <w:top w:val="none" w:sz="0" w:space="0" w:color="auto"/>
                                <w:left w:val="none" w:sz="0" w:space="0" w:color="auto"/>
                                <w:bottom w:val="none" w:sz="0" w:space="0" w:color="auto"/>
                                <w:right w:val="none" w:sz="0" w:space="0" w:color="auto"/>
                              </w:divBdr>
                              <w:divsChild>
                                <w:div w:id="291907704">
                                  <w:marLeft w:val="0"/>
                                  <w:marRight w:val="0"/>
                                  <w:marTop w:val="0"/>
                                  <w:marBottom w:val="0"/>
                                  <w:divBdr>
                                    <w:top w:val="none" w:sz="0" w:space="0" w:color="auto"/>
                                    <w:left w:val="none" w:sz="0" w:space="0" w:color="auto"/>
                                    <w:bottom w:val="none" w:sz="0" w:space="0" w:color="auto"/>
                                    <w:right w:val="none" w:sz="0" w:space="0" w:color="auto"/>
                                  </w:divBdr>
                                  <w:divsChild>
                                    <w:div w:id="919363845">
                                      <w:marLeft w:val="0"/>
                                      <w:marRight w:val="0"/>
                                      <w:marTop w:val="0"/>
                                      <w:marBottom w:val="0"/>
                                      <w:divBdr>
                                        <w:top w:val="none" w:sz="0" w:space="0" w:color="auto"/>
                                        <w:left w:val="none" w:sz="0" w:space="0" w:color="auto"/>
                                        <w:bottom w:val="none" w:sz="0" w:space="0" w:color="auto"/>
                                        <w:right w:val="none" w:sz="0" w:space="0" w:color="auto"/>
                                      </w:divBdr>
                                      <w:divsChild>
                                        <w:div w:id="2002270166">
                                          <w:marLeft w:val="0"/>
                                          <w:marRight w:val="0"/>
                                          <w:marTop w:val="0"/>
                                          <w:marBottom w:val="0"/>
                                          <w:divBdr>
                                            <w:top w:val="none" w:sz="0" w:space="0" w:color="auto"/>
                                            <w:left w:val="none" w:sz="0" w:space="0" w:color="auto"/>
                                            <w:bottom w:val="none" w:sz="0" w:space="0" w:color="auto"/>
                                            <w:right w:val="none" w:sz="0" w:space="0" w:color="auto"/>
                                          </w:divBdr>
                                          <w:divsChild>
                                            <w:div w:id="880022699">
                                              <w:marLeft w:val="0"/>
                                              <w:marRight w:val="0"/>
                                              <w:marTop w:val="0"/>
                                              <w:marBottom w:val="0"/>
                                              <w:divBdr>
                                                <w:top w:val="none" w:sz="0" w:space="0" w:color="auto"/>
                                                <w:left w:val="none" w:sz="0" w:space="0" w:color="auto"/>
                                                <w:bottom w:val="none" w:sz="0" w:space="0" w:color="auto"/>
                                                <w:right w:val="none" w:sz="0" w:space="0" w:color="auto"/>
                                              </w:divBdr>
                                              <w:divsChild>
                                                <w:div w:id="1820532561">
                                                  <w:marLeft w:val="0"/>
                                                  <w:marRight w:val="0"/>
                                                  <w:marTop w:val="0"/>
                                                  <w:marBottom w:val="0"/>
                                                  <w:divBdr>
                                                    <w:top w:val="none" w:sz="0" w:space="0" w:color="auto"/>
                                                    <w:left w:val="none" w:sz="0" w:space="0" w:color="auto"/>
                                                    <w:bottom w:val="none" w:sz="0" w:space="0" w:color="auto"/>
                                                    <w:right w:val="none" w:sz="0" w:space="0" w:color="auto"/>
                                                  </w:divBdr>
                                                  <w:divsChild>
                                                    <w:div w:id="12860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747738">
      <w:bodyDiv w:val="1"/>
      <w:marLeft w:val="0"/>
      <w:marRight w:val="0"/>
      <w:marTop w:val="0"/>
      <w:marBottom w:val="0"/>
      <w:divBdr>
        <w:top w:val="none" w:sz="0" w:space="0" w:color="auto"/>
        <w:left w:val="none" w:sz="0" w:space="0" w:color="auto"/>
        <w:bottom w:val="none" w:sz="0" w:space="0" w:color="auto"/>
        <w:right w:val="none" w:sz="0" w:space="0" w:color="auto"/>
      </w:divBdr>
    </w:div>
    <w:div w:id="358971839">
      <w:bodyDiv w:val="1"/>
      <w:marLeft w:val="0"/>
      <w:marRight w:val="0"/>
      <w:marTop w:val="0"/>
      <w:marBottom w:val="0"/>
      <w:divBdr>
        <w:top w:val="none" w:sz="0" w:space="0" w:color="auto"/>
        <w:left w:val="none" w:sz="0" w:space="0" w:color="auto"/>
        <w:bottom w:val="none" w:sz="0" w:space="0" w:color="auto"/>
        <w:right w:val="none" w:sz="0" w:space="0" w:color="auto"/>
      </w:divBdr>
    </w:div>
    <w:div w:id="392314966">
      <w:bodyDiv w:val="1"/>
      <w:marLeft w:val="0"/>
      <w:marRight w:val="0"/>
      <w:marTop w:val="0"/>
      <w:marBottom w:val="0"/>
      <w:divBdr>
        <w:top w:val="none" w:sz="0" w:space="0" w:color="auto"/>
        <w:left w:val="none" w:sz="0" w:space="0" w:color="auto"/>
        <w:bottom w:val="none" w:sz="0" w:space="0" w:color="auto"/>
        <w:right w:val="none" w:sz="0" w:space="0" w:color="auto"/>
      </w:divBdr>
      <w:divsChild>
        <w:div w:id="1218470699">
          <w:marLeft w:val="0"/>
          <w:marRight w:val="0"/>
          <w:marTop w:val="0"/>
          <w:marBottom w:val="0"/>
          <w:divBdr>
            <w:top w:val="none" w:sz="0" w:space="0" w:color="auto"/>
            <w:left w:val="none" w:sz="0" w:space="0" w:color="auto"/>
            <w:bottom w:val="none" w:sz="0" w:space="0" w:color="auto"/>
            <w:right w:val="none" w:sz="0" w:space="0" w:color="auto"/>
          </w:divBdr>
          <w:divsChild>
            <w:div w:id="913929319">
              <w:marLeft w:val="0"/>
              <w:marRight w:val="0"/>
              <w:marTop w:val="0"/>
              <w:marBottom w:val="0"/>
              <w:divBdr>
                <w:top w:val="none" w:sz="0" w:space="0" w:color="auto"/>
                <w:left w:val="none" w:sz="0" w:space="0" w:color="auto"/>
                <w:bottom w:val="none" w:sz="0" w:space="0" w:color="auto"/>
                <w:right w:val="none" w:sz="0" w:space="0" w:color="auto"/>
              </w:divBdr>
              <w:divsChild>
                <w:div w:id="932396718">
                  <w:marLeft w:val="0"/>
                  <w:marRight w:val="0"/>
                  <w:marTop w:val="0"/>
                  <w:marBottom w:val="0"/>
                  <w:divBdr>
                    <w:top w:val="none" w:sz="0" w:space="0" w:color="auto"/>
                    <w:left w:val="none" w:sz="0" w:space="0" w:color="auto"/>
                    <w:bottom w:val="none" w:sz="0" w:space="0" w:color="auto"/>
                    <w:right w:val="none" w:sz="0" w:space="0" w:color="auto"/>
                  </w:divBdr>
                  <w:divsChild>
                    <w:div w:id="982123001">
                      <w:marLeft w:val="0"/>
                      <w:marRight w:val="0"/>
                      <w:marTop w:val="0"/>
                      <w:marBottom w:val="0"/>
                      <w:divBdr>
                        <w:top w:val="none" w:sz="0" w:space="0" w:color="auto"/>
                        <w:left w:val="none" w:sz="0" w:space="0" w:color="auto"/>
                        <w:bottom w:val="none" w:sz="0" w:space="0" w:color="auto"/>
                        <w:right w:val="none" w:sz="0" w:space="0" w:color="auto"/>
                      </w:divBdr>
                      <w:divsChild>
                        <w:div w:id="2013684427">
                          <w:marLeft w:val="0"/>
                          <w:marRight w:val="0"/>
                          <w:marTop w:val="0"/>
                          <w:marBottom w:val="0"/>
                          <w:divBdr>
                            <w:top w:val="none" w:sz="0" w:space="0" w:color="auto"/>
                            <w:left w:val="none" w:sz="0" w:space="0" w:color="auto"/>
                            <w:bottom w:val="none" w:sz="0" w:space="0" w:color="auto"/>
                            <w:right w:val="none" w:sz="0" w:space="0" w:color="auto"/>
                          </w:divBdr>
                          <w:divsChild>
                            <w:div w:id="1790321503">
                              <w:marLeft w:val="0"/>
                              <w:marRight w:val="0"/>
                              <w:marTop w:val="0"/>
                              <w:marBottom w:val="0"/>
                              <w:divBdr>
                                <w:top w:val="none" w:sz="0" w:space="0" w:color="auto"/>
                                <w:left w:val="none" w:sz="0" w:space="0" w:color="auto"/>
                                <w:bottom w:val="none" w:sz="0" w:space="0" w:color="auto"/>
                                <w:right w:val="none" w:sz="0" w:space="0" w:color="auto"/>
                              </w:divBdr>
                              <w:divsChild>
                                <w:div w:id="781798688">
                                  <w:marLeft w:val="0"/>
                                  <w:marRight w:val="0"/>
                                  <w:marTop w:val="0"/>
                                  <w:marBottom w:val="0"/>
                                  <w:divBdr>
                                    <w:top w:val="none" w:sz="0" w:space="0" w:color="auto"/>
                                    <w:left w:val="none" w:sz="0" w:space="0" w:color="auto"/>
                                    <w:bottom w:val="none" w:sz="0" w:space="0" w:color="auto"/>
                                    <w:right w:val="none" w:sz="0" w:space="0" w:color="auto"/>
                                  </w:divBdr>
                                  <w:divsChild>
                                    <w:div w:id="1224441596">
                                      <w:marLeft w:val="0"/>
                                      <w:marRight w:val="0"/>
                                      <w:marTop w:val="0"/>
                                      <w:marBottom w:val="0"/>
                                      <w:divBdr>
                                        <w:top w:val="none" w:sz="0" w:space="0" w:color="auto"/>
                                        <w:left w:val="none" w:sz="0" w:space="0" w:color="auto"/>
                                        <w:bottom w:val="none" w:sz="0" w:space="0" w:color="auto"/>
                                        <w:right w:val="none" w:sz="0" w:space="0" w:color="auto"/>
                                      </w:divBdr>
                                      <w:divsChild>
                                        <w:div w:id="761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455602">
      <w:bodyDiv w:val="1"/>
      <w:marLeft w:val="0"/>
      <w:marRight w:val="0"/>
      <w:marTop w:val="0"/>
      <w:marBottom w:val="0"/>
      <w:divBdr>
        <w:top w:val="none" w:sz="0" w:space="0" w:color="auto"/>
        <w:left w:val="none" w:sz="0" w:space="0" w:color="auto"/>
        <w:bottom w:val="none" w:sz="0" w:space="0" w:color="auto"/>
        <w:right w:val="none" w:sz="0" w:space="0" w:color="auto"/>
      </w:divBdr>
    </w:div>
    <w:div w:id="521667502">
      <w:bodyDiv w:val="1"/>
      <w:marLeft w:val="0"/>
      <w:marRight w:val="0"/>
      <w:marTop w:val="0"/>
      <w:marBottom w:val="0"/>
      <w:divBdr>
        <w:top w:val="none" w:sz="0" w:space="0" w:color="auto"/>
        <w:left w:val="none" w:sz="0" w:space="0" w:color="auto"/>
        <w:bottom w:val="none" w:sz="0" w:space="0" w:color="auto"/>
        <w:right w:val="none" w:sz="0" w:space="0" w:color="auto"/>
      </w:divBdr>
    </w:div>
    <w:div w:id="678505631">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120"/>
      <w:divBdr>
        <w:top w:val="none" w:sz="0" w:space="0" w:color="auto"/>
        <w:left w:val="none" w:sz="0" w:space="0" w:color="auto"/>
        <w:bottom w:val="none" w:sz="0" w:space="0" w:color="auto"/>
        <w:right w:val="none" w:sz="0" w:space="0" w:color="auto"/>
      </w:divBdr>
      <w:divsChild>
        <w:div w:id="220751797">
          <w:marLeft w:val="0"/>
          <w:marRight w:val="0"/>
          <w:marTop w:val="0"/>
          <w:marBottom w:val="0"/>
          <w:divBdr>
            <w:top w:val="none" w:sz="0" w:space="0" w:color="auto"/>
            <w:left w:val="none" w:sz="0" w:space="0" w:color="auto"/>
            <w:bottom w:val="none" w:sz="0" w:space="0" w:color="auto"/>
            <w:right w:val="none" w:sz="0" w:space="0" w:color="auto"/>
          </w:divBdr>
          <w:divsChild>
            <w:div w:id="531111858">
              <w:marLeft w:val="75"/>
              <w:marRight w:val="75"/>
              <w:marTop w:val="0"/>
              <w:marBottom w:val="0"/>
              <w:divBdr>
                <w:top w:val="none" w:sz="0" w:space="0" w:color="auto"/>
                <w:left w:val="none" w:sz="0" w:space="0" w:color="auto"/>
                <w:bottom w:val="none" w:sz="0" w:space="0" w:color="auto"/>
                <w:right w:val="none" w:sz="0" w:space="0" w:color="auto"/>
              </w:divBdr>
              <w:divsChild>
                <w:div w:id="1131828728">
                  <w:marLeft w:val="0"/>
                  <w:marRight w:val="0"/>
                  <w:marTop w:val="0"/>
                  <w:marBottom w:val="0"/>
                  <w:divBdr>
                    <w:top w:val="none" w:sz="0" w:space="0" w:color="auto"/>
                    <w:left w:val="none" w:sz="0" w:space="0" w:color="auto"/>
                    <w:bottom w:val="none" w:sz="0" w:space="0" w:color="auto"/>
                    <w:right w:val="none" w:sz="0" w:space="0" w:color="auto"/>
                  </w:divBdr>
                  <w:divsChild>
                    <w:div w:id="1724330042">
                      <w:marLeft w:val="0"/>
                      <w:marRight w:val="0"/>
                      <w:marTop w:val="0"/>
                      <w:marBottom w:val="0"/>
                      <w:divBdr>
                        <w:top w:val="none" w:sz="0" w:space="0" w:color="auto"/>
                        <w:left w:val="none" w:sz="0" w:space="0" w:color="auto"/>
                        <w:bottom w:val="none" w:sz="0" w:space="0" w:color="auto"/>
                        <w:right w:val="none" w:sz="0" w:space="0" w:color="auto"/>
                      </w:divBdr>
                      <w:divsChild>
                        <w:div w:id="1202010185">
                          <w:marLeft w:val="0"/>
                          <w:marRight w:val="0"/>
                          <w:marTop w:val="0"/>
                          <w:marBottom w:val="0"/>
                          <w:divBdr>
                            <w:top w:val="none" w:sz="0" w:space="0" w:color="auto"/>
                            <w:left w:val="none" w:sz="0" w:space="0" w:color="auto"/>
                            <w:bottom w:val="none" w:sz="0" w:space="0" w:color="auto"/>
                            <w:right w:val="none" w:sz="0" w:space="0" w:color="auto"/>
                          </w:divBdr>
                          <w:divsChild>
                            <w:div w:id="1777099344">
                              <w:marLeft w:val="0"/>
                              <w:marRight w:val="0"/>
                              <w:marTop w:val="0"/>
                              <w:marBottom w:val="0"/>
                              <w:divBdr>
                                <w:top w:val="none" w:sz="0" w:space="0" w:color="auto"/>
                                <w:left w:val="none" w:sz="0" w:space="0" w:color="auto"/>
                                <w:bottom w:val="none" w:sz="0" w:space="0" w:color="auto"/>
                                <w:right w:val="none" w:sz="0" w:space="0" w:color="auto"/>
                              </w:divBdr>
                              <w:divsChild>
                                <w:div w:id="1473062807">
                                  <w:marLeft w:val="0"/>
                                  <w:marRight w:val="0"/>
                                  <w:marTop w:val="0"/>
                                  <w:marBottom w:val="0"/>
                                  <w:divBdr>
                                    <w:top w:val="none" w:sz="0" w:space="0" w:color="auto"/>
                                    <w:left w:val="none" w:sz="0" w:space="0" w:color="auto"/>
                                    <w:bottom w:val="none" w:sz="0" w:space="0" w:color="auto"/>
                                    <w:right w:val="none" w:sz="0" w:space="0" w:color="auto"/>
                                  </w:divBdr>
                                  <w:divsChild>
                                    <w:div w:id="1848792262">
                                      <w:marLeft w:val="0"/>
                                      <w:marRight w:val="0"/>
                                      <w:marTop w:val="0"/>
                                      <w:marBottom w:val="0"/>
                                      <w:divBdr>
                                        <w:top w:val="none" w:sz="0" w:space="0" w:color="auto"/>
                                        <w:left w:val="none" w:sz="0" w:space="0" w:color="auto"/>
                                        <w:bottom w:val="none" w:sz="0" w:space="0" w:color="auto"/>
                                        <w:right w:val="none" w:sz="0" w:space="0" w:color="auto"/>
                                      </w:divBdr>
                                      <w:divsChild>
                                        <w:div w:id="131289260">
                                          <w:marLeft w:val="0"/>
                                          <w:marRight w:val="0"/>
                                          <w:marTop w:val="0"/>
                                          <w:marBottom w:val="0"/>
                                          <w:divBdr>
                                            <w:top w:val="none" w:sz="0" w:space="0" w:color="auto"/>
                                            <w:left w:val="none" w:sz="0" w:space="0" w:color="auto"/>
                                            <w:bottom w:val="none" w:sz="0" w:space="0" w:color="auto"/>
                                            <w:right w:val="none" w:sz="0" w:space="0" w:color="auto"/>
                                          </w:divBdr>
                                          <w:divsChild>
                                            <w:div w:id="1597860074">
                                              <w:marLeft w:val="0"/>
                                              <w:marRight w:val="0"/>
                                              <w:marTop w:val="0"/>
                                              <w:marBottom w:val="0"/>
                                              <w:divBdr>
                                                <w:top w:val="none" w:sz="0" w:space="0" w:color="auto"/>
                                                <w:left w:val="none" w:sz="0" w:space="0" w:color="auto"/>
                                                <w:bottom w:val="none" w:sz="0" w:space="0" w:color="auto"/>
                                                <w:right w:val="none" w:sz="0" w:space="0" w:color="auto"/>
                                              </w:divBdr>
                                              <w:divsChild>
                                                <w:div w:id="17563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0248">
      <w:bodyDiv w:val="1"/>
      <w:marLeft w:val="0"/>
      <w:marRight w:val="0"/>
      <w:marTop w:val="0"/>
      <w:marBottom w:val="0"/>
      <w:divBdr>
        <w:top w:val="none" w:sz="0" w:space="0" w:color="auto"/>
        <w:left w:val="none" w:sz="0" w:space="0" w:color="auto"/>
        <w:bottom w:val="none" w:sz="0" w:space="0" w:color="auto"/>
        <w:right w:val="none" w:sz="0" w:space="0" w:color="auto"/>
      </w:divBdr>
    </w:div>
    <w:div w:id="895163153">
      <w:bodyDiv w:val="1"/>
      <w:marLeft w:val="0"/>
      <w:marRight w:val="0"/>
      <w:marTop w:val="0"/>
      <w:marBottom w:val="0"/>
      <w:divBdr>
        <w:top w:val="none" w:sz="0" w:space="0" w:color="auto"/>
        <w:left w:val="none" w:sz="0" w:space="0" w:color="auto"/>
        <w:bottom w:val="none" w:sz="0" w:space="0" w:color="auto"/>
        <w:right w:val="none" w:sz="0" w:space="0" w:color="auto"/>
      </w:divBdr>
    </w:div>
    <w:div w:id="1209030691">
      <w:bodyDiv w:val="1"/>
      <w:marLeft w:val="0"/>
      <w:marRight w:val="0"/>
      <w:marTop w:val="0"/>
      <w:marBottom w:val="0"/>
      <w:divBdr>
        <w:top w:val="none" w:sz="0" w:space="0" w:color="auto"/>
        <w:left w:val="none" w:sz="0" w:space="0" w:color="auto"/>
        <w:bottom w:val="none" w:sz="0" w:space="0" w:color="auto"/>
        <w:right w:val="none" w:sz="0" w:space="0" w:color="auto"/>
      </w:divBdr>
    </w:div>
    <w:div w:id="1353022771">
      <w:bodyDiv w:val="1"/>
      <w:marLeft w:val="0"/>
      <w:marRight w:val="0"/>
      <w:marTop w:val="0"/>
      <w:marBottom w:val="0"/>
      <w:divBdr>
        <w:top w:val="none" w:sz="0" w:space="0" w:color="auto"/>
        <w:left w:val="none" w:sz="0" w:space="0" w:color="auto"/>
        <w:bottom w:val="none" w:sz="0" w:space="0" w:color="auto"/>
        <w:right w:val="none" w:sz="0" w:space="0" w:color="auto"/>
      </w:divBdr>
    </w:div>
    <w:div w:id="1371146269">
      <w:bodyDiv w:val="1"/>
      <w:marLeft w:val="0"/>
      <w:marRight w:val="0"/>
      <w:marTop w:val="0"/>
      <w:marBottom w:val="0"/>
      <w:divBdr>
        <w:top w:val="none" w:sz="0" w:space="0" w:color="auto"/>
        <w:left w:val="none" w:sz="0" w:space="0" w:color="auto"/>
        <w:bottom w:val="none" w:sz="0" w:space="0" w:color="auto"/>
        <w:right w:val="none" w:sz="0" w:space="0" w:color="auto"/>
      </w:divBdr>
      <w:divsChild>
        <w:div w:id="1782261521">
          <w:marLeft w:val="0"/>
          <w:marRight w:val="0"/>
          <w:marTop w:val="0"/>
          <w:marBottom w:val="0"/>
          <w:divBdr>
            <w:top w:val="none" w:sz="0" w:space="0" w:color="auto"/>
            <w:left w:val="none" w:sz="0" w:space="0" w:color="auto"/>
            <w:bottom w:val="none" w:sz="0" w:space="0" w:color="auto"/>
            <w:right w:val="none" w:sz="0" w:space="0" w:color="auto"/>
          </w:divBdr>
          <w:divsChild>
            <w:div w:id="2111774418">
              <w:marLeft w:val="0"/>
              <w:marRight w:val="0"/>
              <w:marTop w:val="0"/>
              <w:marBottom w:val="0"/>
              <w:divBdr>
                <w:top w:val="none" w:sz="0" w:space="0" w:color="auto"/>
                <w:left w:val="none" w:sz="0" w:space="0" w:color="auto"/>
                <w:bottom w:val="none" w:sz="0" w:space="0" w:color="auto"/>
                <w:right w:val="none" w:sz="0" w:space="0" w:color="auto"/>
              </w:divBdr>
              <w:divsChild>
                <w:div w:id="9911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267">
      <w:bodyDiv w:val="1"/>
      <w:marLeft w:val="0"/>
      <w:marRight w:val="0"/>
      <w:marTop w:val="0"/>
      <w:marBottom w:val="0"/>
      <w:divBdr>
        <w:top w:val="none" w:sz="0" w:space="0" w:color="auto"/>
        <w:left w:val="none" w:sz="0" w:space="0" w:color="auto"/>
        <w:bottom w:val="none" w:sz="0" w:space="0" w:color="auto"/>
        <w:right w:val="none" w:sz="0" w:space="0" w:color="auto"/>
      </w:divBdr>
    </w:div>
    <w:div w:id="1625119778">
      <w:bodyDiv w:val="1"/>
      <w:marLeft w:val="0"/>
      <w:marRight w:val="0"/>
      <w:marTop w:val="0"/>
      <w:marBottom w:val="0"/>
      <w:divBdr>
        <w:top w:val="none" w:sz="0" w:space="0" w:color="auto"/>
        <w:left w:val="none" w:sz="0" w:space="0" w:color="auto"/>
        <w:bottom w:val="none" w:sz="0" w:space="0" w:color="auto"/>
        <w:right w:val="none" w:sz="0" w:space="0" w:color="auto"/>
      </w:divBdr>
    </w:div>
    <w:div w:id="1763529025">
      <w:bodyDiv w:val="1"/>
      <w:marLeft w:val="0"/>
      <w:marRight w:val="0"/>
      <w:marTop w:val="0"/>
      <w:marBottom w:val="0"/>
      <w:divBdr>
        <w:top w:val="none" w:sz="0" w:space="0" w:color="auto"/>
        <w:left w:val="none" w:sz="0" w:space="0" w:color="auto"/>
        <w:bottom w:val="none" w:sz="0" w:space="0" w:color="auto"/>
        <w:right w:val="none" w:sz="0" w:space="0" w:color="auto"/>
      </w:divBdr>
    </w:div>
    <w:div w:id="1854687169">
      <w:bodyDiv w:val="1"/>
      <w:marLeft w:val="0"/>
      <w:marRight w:val="0"/>
      <w:marTop w:val="0"/>
      <w:marBottom w:val="0"/>
      <w:divBdr>
        <w:top w:val="none" w:sz="0" w:space="0" w:color="auto"/>
        <w:left w:val="none" w:sz="0" w:space="0" w:color="auto"/>
        <w:bottom w:val="none" w:sz="0" w:space="0" w:color="auto"/>
        <w:right w:val="none" w:sz="0" w:space="0" w:color="auto"/>
      </w:divBdr>
    </w:div>
    <w:div w:id="1902401619">
      <w:bodyDiv w:val="1"/>
      <w:marLeft w:val="0"/>
      <w:marRight w:val="0"/>
      <w:marTop w:val="0"/>
      <w:marBottom w:val="0"/>
      <w:divBdr>
        <w:top w:val="none" w:sz="0" w:space="0" w:color="auto"/>
        <w:left w:val="none" w:sz="0" w:space="0" w:color="auto"/>
        <w:bottom w:val="none" w:sz="0" w:space="0" w:color="auto"/>
        <w:right w:val="none" w:sz="0" w:space="0" w:color="auto"/>
      </w:divBdr>
      <w:divsChild>
        <w:div w:id="1000546678">
          <w:marLeft w:val="547"/>
          <w:marRight w:val="0"/>
          <w:marTop w:val="115"/>
          <w:marBottom w:val="0"/>
          <w:divBdr>
            <w:top w:val="none" w:sz="0" w:space="0" w:color="auto"/>
            <w:left w:val="none" w:sz="0" w:space="0" w:color="auto"/>
            <w:bottom w:val="none" w:sz="0" w:space="0" w:color="auto"/>
            <w:right w:val="none" w:sz="0" w:space="0" w:color="auto"/>
          </w:divBdr>
        </w:div>
        <w:div w:id="1542353777">
          <w:marLeft w:val="547"/>
          <w:marRight w:val="0"/>
          <w:marTop w:val="115"/>
          <w:marBottom w:val="0"/>
          <w:divBdr>
            <w:top w:val="none" w:sz="0" w:space="0" w:color="auto"/>
            <w:left w:val="none" w:sz="0" w:space="0" w:color="auto"/>
            <w:bottom w:val="none" w:sz="0" w:space="0" w:color="auto"/>
            <w:right w:val="none" w:sz="0" w:space="0" w:color="auto"/>
          </w:divBdr>
        </w:div>
      </w:divsChild>
    </w:div>
    <w:div w:id="19448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98F0-B98A-4D05-B82A-D5BF4C1C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7539</Words>
  <Characters>44484</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HoleckovaM</dc:creator>
  <cp:lastModifiedBy>Králová Jarmila JUDr. (MPSV)</cp:lastModifiedBy>
  <cp:revision>4</cp:revision>
  <cp:lastPrinted>2015-07-23T12:13:00Z</cp:lastPrinted>
  <dcterms:created xsi:type="dcterms:W3CDTF">2015-07-30T07:59:00Z</dcterms:created>
  <dcterms:modified xsi:type="dcterms:W3CDTF">2015-07-30T08:06:00Z</dcterms:modified>
</cp:coreProperties>
</file>